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sdt>
      <w:sdtPr>
        <w:rPr>
          <w:rFonts w:ascii="Times New Roman" w:hAnsi="Times New Roman" w:cs="Times New Roman"/>
        </w:rPr>
        <w:id w:val="-1076364864"/>
        <w:docPartObj>
          <w:docPartGallery w:val="Cover Pages"/>
          <w:docPartUnique/>
        </w:docPartObj>
      </w:sdtPr>
      <w:sdtEndPr>
        <w:rPr>
          <w:color w:val="000000" w:themeColor="text1"/>
        </w:rPr>
      </w:sdtEndPr>
      <w:sdtContent>
        <w:p w14:paraId="7E36365F" w14:textId="34669EEF" w:rsidR="00D4362E" w:rsidRPr="00AF0CC3" w:rsidRDefault="00D4362E">
          <w:pPr>
            <w:rPr>
              <w:rFonts w:ascii="Times New Roman" w:hAnsi="Times New Roman" w:cs="Times New Roman"/>
            </w:rPr>
          </w:pPr>
        </w:p>
        <w:p w14:paraId="4B8F0D37" w14:textId="148C2A66" w:rsidR="00D4362E" w:rsidRPr="00AF0CC3" w:rsidRDefault="001B4237" w:rsidP="00DF66C5">
          <w:pPr>
            <w:jc w:val="center"/>
            <w:rPr>
              <w:rFonts w:ascii="Times New Roman" w:hAnsi="Times New Roman" w:cs="Times New Roman"/>
              <w:color w:val="000000" w:themeColor="text1"/>
            </w:rPr>
          </w:pPr>
          <w:r w:rsidRPr="00AF0CC3">
            <w:rPr>
              <w:rFonts w:ascii="Times New Roman" w:hAnsi="Times New Roman" w:cs="Times New Roman"/>
              <w:noProof/>
              <w:color w:val="000000" w:themeColor="text1"/>
            </w:rPr>
            <mc:AlternateContent>
              <mc:Choice Requires="wps">
                <w:drawing>
                  <wp:anchor distT="45720" distB="45720" distL="114300" distR="114300" simplePos="0" relativeHeight="251663360" behindDoc="0" locked="0" layoutInCell="1" allowOverlap="1" wp14:anchorId="52489C7F" wp14:editId="681FD07C">
                    <wp:simplePos x="0" y="0"/>
                    <wp:positionH relativeFrom="margin">
                      <wp:posOffset>161925</wp:posOffset>
                    </wp:positionH>
                    <wp:positionV relativeFrom="paragraph">
                      <wp:posOffset>3985260</wp:posOffset>
                    </wp:positionV>
                    <wp:extent cx="5591175" cy="3905250"/>
                    <wp:effectExtent l="0" t="0" r="28575" b="1905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591175" cy="3905250"/>
                            </a:xfrm>
                            <a:prstGeom prst="rect">
                              <a:avLst/>
                            </a:prstGeom>
                            <a:solidFill>
                              <a:srgbClr val="FFFFFF"/>
                            </a:solidFill>
                            <a:ln w="9525">
                              <a:solidFill>
                                <a:srgbClr val="000000"/>
                              </a:solidFill>
                              <a:miter lim="800000"/>
                              <a:headEnd/>
                              <a:tailEnd/>
                            </a:ln>
                          </wps:spPr>
                          <wps:txbx>
                            <w:txbxContent>
                              <w:p w14:paraId="6FDA98A8" w14:textId="77777777" w:rsidR="001B4237" w:rsidRDefault="001B4237" w:rsidP="001B4237">
                                <w:pPr>
                                  <w:jc w:val="center"/>
                                </w:pPr>
                                <w:r>
                                  <w:t>A Dissertation Presented</w:t>
                                </w:r>
                              </w:p>
                              <w:p w14:paraId="301F6802" w14:textId="77777777" w:rsidR="001B4237" w:rsidRDefault="001B4237" w:rsidP="001B4237">
                                <w:pPr>
                                  <w:jc w:val="center"/>
                                </w:pPr>
                                <w:r>
                                  <w:t>by</w:t>
                                </w:r>
                              </w:p>
                              <w:p w14:paraId="3FE5DBAF" w14:textId="26F75584" w:rsidR="001B4237" w:rsidRDefault="001B4237" w:rsidP="001B4237">
                                <w:pPr>
                                  <w:jc w:val="center"/>
                                </w:pPr>
                                <w:r>
                                  <w:t>Erick Gesure</w:t>
                                </w:r>
                              </w:p>
                              <w:p w14:paraId="7029A2EF" w14:textId="77777777" w:rsidR="001B4237" w:rsidRDefault="001B4237" w:rsidP="001B4237">
                                <w:pPr>
                                  <w:jc w:val="center"/>
                                </w:pPr>
                                <w:r>
                                  <w:t>Submitted to the Swiss School of Business Research</w:t>
                                </w:r>
                              </w:p>
                              <w:p w14:paraId="085CAD47" w14:textId="77777777" w:rsidR="001B4237" w:rsidRDefault="001B4237" w:rsidP="001B4237">
                                <w:pPr>
                                  <w:jc w:val="center"/>
                                </w:pPr>
                                <w:r>
                                  <w:t>in partial fulfillment</w:t>
                                </w:r>
                              </w:p>
                              <w:p w14:paraId="66703968" w14:textId="77777777" w:rsidR="001B4237" w:rsidRDefault="001B4237" w:rsidP="001B4237">
                                <w:pPr>
                                  <w:jc w:val="center"/>
                                </w:pPr>
                                <w:r>
                                  <w:t>of the requirements for the degree of</w:t>
                                </w:r>
                              </w:p>
                              <w:p w14:paraId="7A5748F5" w14:textId="77777777" w:rsidR="001B4237" w:rsidRDefault="001B4237" w:rsidP="001B4237">
                                <w:pPr>
                                  <w:jc w:val="center"/>
                                </w:pPr>
                              </w:p>
                              <w:p w14:paraId="0196DAB7" w14:textId="77777777" w:rsidR="001B4237" w:rsidRDefault="001B4237" w:rsidP="001B4237">
                                <w:pPr>
                                  <w:jc w:val="center"/>
                                </w:pPr>
                                <w:r>
                                  <w:t>DOCTOR OF BUSINESS ADMINISTRATION</w:t>
                                </w:r>
                              </w:p>
                              <w:p w14:paraId="13514DC3" w14:textId="77777777" w:rsidR="001B4237" w:rsidRDefault="001B4237" w:rsidP="001B4237">
                                <w:pPr>
                                  <w:jc w:val="center"/>
                                </w:pPr>
                                <w:r>
                                  <w:t>(DBA)</w:t>
                                </w:r>
                              </w:p>
                              <w:p w14:paraId="3120FCEC" w14:textId="799874B4" w:rsidR="001B4237" w:rsidRDefault="001B4237" w:rsidP="001B4237">
                                <w:pPr>
                                  <w:jc w:val="center"/>
                                </w:pPr>
                              </w:p>
                              <w:p w14:paraId="32041692" w14:textId="5993A8DC" w:rsidR="00BD793C" w:rsidRDefault="001B4237" w:rsidP="001B4237">
                                <w:pPr>
                                  <w:jc w:val="center"/>
                                </w:pPr>
                                <w:r>
                                  <w:t>July 2026</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52489C7F" id="_x0000_t202" coordsize="21600,21600" o:spt="202" path="m,l,21600r21600,l21600,xe">
                    <v:stroke joinstyle="miter"/>
                    <v:path gradientshapeok="t" o:connecttype="rect"/>
                  </v:shapetype>
                  <v:shape id="Text Box 2" o:spid="_x0000_s1026" type="#_x0000_t202" style="position:absolute;left:0;text-align:left;margin-left:12.75pt;margin-top:313.8pt;width:440.25pt;height:307.5pt;z-index:251663360;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">
                    <v:textbox>
                      <w:txbxContent>
                        <w:p w14:paraId="6FDA98A8" w14:textId="77777777" w:rsidR="001B4237" w:rsidRDefault="001B4237" w:rsidP="001B4237">
                          <w:pPr>
                            <w:jc w:val="center"/>
                          </w:pPr>
                          <w:r>
                            <w:t>A Dissertation Presented</w:t>
                          </w:r>
                        </w:p>
                        <w:p w14:paraId="301F6802" w14:textId="77777777" w:rsidR="001B4237" w:rsidRDefault="001B4237" w:rsidP="001B4237">
                          <w:pPr>
                            <w:jc w:val="center"/>
                          </w:pPr>
                          <w:r>
                            <w:t>by</w:t>
                          </w:r>
                        </w:p>
                        <w:p w14:paraId="3FE5DBAF" w14:textId="26F75584" w:rsidR="001B4237" w:rsidRDefault="001B4237" w:rsidP="001B4237">
                          <w:pPr>
                            <w:jc w:val="center"/>
                          </w:pPr>
                          <w:r>
                            <w:t>Erick Gesure</w:t>
                          </w:r>
                        </w:p>
                        <w:p w14:paraId="7029A2EF" w14:textId="77777777" w:rsidR="001B4237" w:rsidRDefault="001B4237" w:rsidP="001B4237">
                          <w:pPr>
                            <w:jc w:val="center"/>
                          </w:pPr>
                          <w:r>
                            <w:t>Submitted to the Swiss School of Business Research</w:t>
                          </w:r>
                        </w:p>
                        <w:p w14:paraId="085CAD47" w14:textId="77777777" w:rsidR="001B4237" w:rsidRDefault="001B4237" w:rsidP="001B4237">
                          <w:pPr>
                            <w:jc w:val="center"/>
                          </w:pPr>
                          <w:r>
                            <w:t>in partial fulfillment</w:t>
                          </w:r>
                        </w:p>
                        <w:p w14:paraId="66703968" w14:textId="77777777" w:rsidR="001B4237" w:rsidRDefault="001B4237" w:rsidP="001B4237">
                          <w:pPr>
                            <w:jc w:val="center"/>
                          </w:pPr>
                          <w:r>
                            <w:t>of the requirements for the degree of</w:t>
                          </w:r>
                        </w:p>
                        <w:p w14:paraId="7A5748F5" w14:textId="77777777" w:rsidR="001B4237" w:rsidRDefault="001B4237" w:rsidP="001B4237">
                          <w:pPr>
                            <w:jc w:val="center"/>
                          </w:pPr>
                        </w:p>
                        <w:p w14:paraId="0196DAB7" w14:textId="77777777" w:rsidR="001B4237" w:rsidRDefault="001B4237" w:rsidP="001B4237">
                          <w:pPr>
                            <w:jc w:val="center"/>
                          </w:pPr>
                          <w:r>
                            <w:t>DOCTOR OF BUSINESS ADMINISTRATION</w:t>
                          </w:r>
                        </w:p>
                        <w:p w14:paraId="13514DC3" w14:textId="77777777" w:rsidR="001B4237" w:rsidRDefault="001B4237" w:rsidP="001B4237">
                          <w:pPr>
                            <w:jc w:val="center"/>
                          </w:pPr>
                          <w:r>
                            <w:t>(DBA)</w:t>
                          </w:r>
                        </w:p>
                        <w:p w14:paraId="3120FCEC" w14:textId="799874B4" w:rsidR="001B4237" w:rsidRDefault="001B4237" w:rsidP="001B4237">
                          <w:pPr>
                            <w:jc w:val="center"/>
                          </w:pPr>
                        </w:p>
                        <w:p w14:paraId="32041692" w14:textId="5993A8DC" w:rsidR="00BD793C" w:rsidRDefault="001B4237" w:rsidP="001B4237">
                          <w:pPr>
                            <w:jc w:val="center"/>
                          </w:pPr>
                          <w:r>
                            <w:t>July 2026</w:t>
                          </w:r>
                        </w:p>
                      </w:txbxContent>
                    </v:textbox>
                    <w10:wrap type="square" anchorx="margin"/>
                  </v:shape>
                </w:pict>
              </mc:Fallback>
            </mc:AlternateContent>
          </w:r>
          <w:r w:rsidRPr="00AF0CC3">
            <w:rPr>
              <w:rFonts w:ascii="Times New Roman" w:hAnsi="Times New Roman" w:cs="Times New Roman"/>
              <w:noProof/>
            </w:rPr>
            <mc:AlternateContent>
              <mc:Choice Requires="wps">
                <w:drawing>
                  <wp:anchor distT="0" distB="0" distL="182880" distR="182880" simplePos="0" relativeHeight="251659264" behindDoc="0" locked="0" layoutInCell="1" allowOverlap="1" wp14:anchorId="64051706" wp14:editId="4AE8BDAD">
                    <wp:simplePos x="0" y="0"/>
                    <wp:positionH relativeFrom="page">
                      <wp:posOffset>361950</wp:posOffset>
                    </wp:positionH>
                    <wp:positionV relativeFrom="margin">
                      <wp:align>center</wp:align>
                    </wp:positionV>
                    <wp:extent cx="7286625" cy="6720840"/>
                    <wp:effectExtent l="0" t="0" r="9525" b="0"/>
                    <wp:wrapSquare wrapText="bothSides"/>
                    <wp:docPr id="131" name="Text Box 131"/>
                    <wp:cNvGraphicFramePr/>
                    <a:graphic xmlns:a="http://schemas.openxmlformats.org/drawingml/2006/main">
                      <a:graphicData uri="http://schemas.microsoft.com/office/word/2010/wordprocessingShape">
                        <wps:wsp>
                          <wps:cNvSpPr txBox="1"/>
                          <wps:spPr>
                            <a:xfrm>
                              <a:off x="0" y="0"/>
                              <a:ext cx="7286625" cy="672084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727C5363" w14:textId="3F6A5136" w:rsidR="00D4362E" w:rsidRPr="007709B6" w:rsidRDefault="00000000">
                                <w:pPr>
                                  <w:pStyle w:val="NoSpacing"/>
                                  <w:spacing w:before="40" w:after="560" w:line="216" w:lineRule="auto"/>
                                  <w:rPr>
                                    <w:color w:val="000000" w:themeColor="text1"/>
                                    <w:sz w:val="48"/>
                                    <w:szCs w:val="48"/>
                                  </w:rPr>
                                </w:pPr>
                                <w:sdt>
                                  <w:sdtPr>
                                    <w:rPr>
                                      <w:color w:val="000000" w:themeColor="text1"/>
                                      <w:sz w:val="48"/>
                                      <w:szCs w:val="48"/>
                                    </w:rPr>
                                    <w:alias w:val="Title"/>
                                    <w:tag w:val=""/>
                                    <w:id w:val="151731938"/>
                                    <w:dataBinding w:prefixMappings="xmlns:ns0='http://purl.org/dc/elements/1.1/' xmlns:ns1='http://schemas.openxmlformats.org/package/2006/metadata/core-properties' " w:xpath="/ns1:coreProperties[1]/ns0:title[1]" w:storeItemID="{6C3C8BC8-F283-45AE-878A-BAB7291924A1}"/>
                                    <w:text/>
                                  </w:sdtPr>
                                  <w:sdtContent>
                                    <w:r w:rsidR="00E76A43" w:rsidRPr="007709B6">
                                      <w:rPr>
                                        <w:color w:val="000000" w:themeColor="text1"/>
                                        <w:sz w:val="48"/>
                                        <w:szCs w:val="48"/>
                                      </w:rPr>
                                      <w:t xml:space="preserve">Beyond Capital Mobilization: Governance Quality and the Performance of Water </w:t>
                                    </w:r>
                                    <w:r w:rsidR="0045476E" w:rsidRPr="007709B6">
                                      <w:rPr>
                                        <w:color w:val="000000" w:themeColor="text1"/>
                                        <w:sz w:val="48"/>
                                        <w:szCs w:val="48"/>
                                      </w:rPr>
                                      <w:t>Management Projects</w:t>
                                    </w:r>
                                    <w:r w:rsidR="00E76A43" w:rsidRPr="007709B6">
                                      <w:rPr>
                                        <w:color w:val="000000" w:themeColor="text1"/>
                                        <w:sz w:val="48"/>
                                        <w:szCs w:val="48"/>
                                      </w:rPr>
                                      <w:t xml:space="preserve"> in Kenya</w:t>
                                    </w:r>
                                  </w:sdtContent>
                                </w:sdt>
                              </w:p>
                              <w:p w14:paraId="3E2F26DA" w14:textId="77777777" w:rsidR="00BD793C" w:rsidRDefault="00BD793C">
                                <w:pPr>
                                  <w:pStyle w:val="NoSpacing"/>
                                  <w:spacing w:before="40" w:after="560" w:line="216" w:lineRule="auto"/>
                                  <w:rPr>
                                    <w:color w:val="156082" w:themeColor="accent1"/>
                                    <w:sz w:val="72"/>
                                    <w:szCs w:val="72"/>
                                  </w:rPr>
                                </w:pPr>
                              </w:p>
                              <w:p w14:paraId="366B88D5" w14:textId="77777777" w:rsidR="00BD793C" w:rsidRDefault="00BD793C">
                                <w:pPr>
                                  <w:pStyle w:val="NoSpacing"/>
                                  <w:spacing w:before="40" w:after="560" w:line="216" w:lineRule="auto"/>
                                  <w:rPr>
                                    <w:color w:val="156082" w:themeColor="accent1"/>
                                    <w:sz w:val="72"/>
                                    <w:szCs w:val="72"/>
                                  </w:rPr>
                                </w:pP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14:sizeRelH relativeFrom="margin">
                      <wp14:pctWidth>0</wp14:pctWidth>
                    </wp14:sizeRelH>
                    <wp14:sizeRelV relativeFrom="page">
                      <wp14:pctHeight>35000</wp14:pctHeight>
                    </wp14:sizeRelV>
                  </wp:anchor>
                </w:drawing>
              </mc:Choice>
              <mc:Fallback>
                <w:pict>
                  <v:shape w14:anchorId="64051706" id="Text Box 131" o:spid="_x0000_s1027" type="#_x0000_t202" style="position:absolute;left:0;text-align:left;margin-left:28.5pt;margin-top:0;width:573.75pt;height:529.2pt;z-index:251659264;visibility:visible;mso-wrap-style:square;mso-width-percent:0;mso-height-percent:350;mso-wrap-distance-left:14.4pt;mso-wrap-distance-top:0;mso-wrap-distance-right:14.4pt;mso-wrap-distance-bottom:0;mso-position-horizontal:absolute;mso-position-horizontal-relative:page;mso-position-vertical:center;mso-position-vertical-relative:margin;mso-width-percent:0;mso-height-percent:350;mso-width-relative:margin;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" filled="f" stroked="f" strokeweight=".5pt">
                    <v:textbox style="mso-fit-shape-to-text:t" inset="0,0,0,0">
                      <w:txbxContent>
                        <w:p w14:paraId="727C5363" w14:textId="3F6A5136" w:rsidR="00D4362E" w:rsidRPr="007709B6" w:rsidRDefault="00E76A43">
                          <w:pPr>
                            <w:pStyle w:val="NoSpacing"/>
                            <w:spacing w:before="40" w:after="560" w:line="216" w:lineRule="auto"/>
                            <w:rPr>
                              <w:color w:val="000000" w:themeColor="text1"/>
                              <w:sz w:val="48"/>
                              <w:szCs w:val="48"/>
                            </w:rPr>
                          </w:pPr>
                          <w:sdt>
                            <w:sdtPr>
                              <w:rPr>
                                <w:color w:val="000000" w:themeColor="text1"/>
                                <w:sz w:val="48"/>
                                <w:szCs w:val="48"/>
                              </w:rPr>
                              <w:alias w:val="Title"/>
                              <w:tag w:val=""/>
                              <w:id w:val="151731938"/>
                              <w:dataBinding w:prefixMappings="xmlns:ns0='http://purl.org/dc/elements/1.1/' xmlns:ns1='http://schemas.openxmlformats.org/package/2006/metadata/core-properties' " w:xpath="/ns1:coreProperties[1]/ns0:title[1]" w:storeItemID="{6C3C8BC8-F283-45AE-878A-BAB7291924A1}"/>
                              <w:text/>
                            </w:sdtPr>
                            <w:sdtContent>
                              <w:r w:rsidRPr="007709B6">
                                <w:rPr>
                                  <w:color w:val="000000" w:themeColor="text1"/>
                                  <w:sz w:val="48"/>
                                  <w:szCs w:val="48"/>
                                </w:rPr>
                                <w:t xml:space="preserve">Beyond Capital Mobilization: Governance Quality and the Performance of Water </w:t>
                              </w:r>
                              <w:r w:rsidR="0045476E" w:rsidRPr="007709B6">
                                <w:rPr>
                                  <w:color w:val="000000" w:themeColor="text1"/>
                                  <w:sz w:val="48"/>
                                  <w:szCs w:val="48"/>
                                </w:rPr>
                                <w:t>Management Projects</w:t>
                              </w:r>
                              <w:r w:rsidRPr="007709B6">
                                <w:rPr>
                                  <w:color w:val="000000" w:themeColor="text1"/>
                                  <w:sz w:val="48"/>
                                  <w:szCs w:val="48"/>
                                </w:rPr>
                                <w:t xml:space="preserve"> in Kenya</w:t>
                              </w:r>
                            </w:sdtContent>
                          </w:sdt>
                        </w:p>
                        <w:p w14:paraId="3E2F26DA" w14:textId="77777777" w:rsidR="00BD793C" w:rsidRDefault="00BD793C">
                          <w:pPr>
                            <w:pStyle w:val="NoSpacing"/>
                            <w:spacing w:before="40" w:after="560" w:line="216" w:lineRule="auto"/>
                            <w:rPr>
                              <w:color w:val="156082" w:themeColor="accent1"/>
                              <w:sz w:val="72"/>
                              <w:szCs w:val="72"/>
                            </w:rPr>
                          </w:pPr>
                        </w:p>
                        <w:p w14:paraId="366B88D5" w14:textId="77777777" w:rsidR="00BD793C" w:rsidRDefault="00BD793C">
                          <w:pPr>
                            <w:pStyle w:val="NoSpacing"/>
                            <w:spacing w:before="40" w:after="560" w:line="216" w:lineRule="auto"/>
                            <w:rPr>
                              <w:color w:val="156082" w:themeColor="accent1"/>
                              <w:sz w:val="72"/>
                              <w:szCs w:val="72"/>
                            </w:rPr>
                          </w:pPr>
                        </w:p>
                      </w:txbxContent>
                    </v:textbox>
                    <w10:wrap type="square" anchorx="page" anchory="margin"/>
                  </v:shape>
                </w:pict>
              </mc:Fallback>
            </mc:AlternateContent>
          </w:r>
          <w:r w:rsidR="00DF66C5" w:rsidRPr="00AF0CC3">
            <w:rPr>
              <w:rFonts w:ascii="Times New Roman" w:hAnsi="Times New Roman" w:cs="Times New Roman"/>
              <w:noProof/>
              <w:color w:val="000000" w:themeColor="text1"/>
            </w:rPr>
            <w:drawing>
              <wp:inline distT="0" distB="0" distL="0" distR="0" wp14:anchorId="6045CF4D" wp14:editId="488982AA">
                <wp:extent cx="2030095" cy="2212975"/>
                <wp:effectExtent l="0" t="0" r="0" b="0"/>
                <wp:docPr id="158309306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030095" cy="2212975"/>
                        </a:xfrm>
                        <a:prstGeom prst="rect">
                          <a:avLst/>
                        </a:prstGeom>
                        <a:noFill/>
                      </pic:spPr>
                    </pic:pic>
                  </a:graphicData>
                </a:graphic>
              </wp:inline>
            </w:drawing>
          </w:r>
          <w:r w:rsidR="00D4362E" w:rsidRPr="00AF0CC3">
            <w:rPr>
              <w:rFonts w:ascii="Times New Roman" w:hAnsi="Times New Roman" w:cs="Times New Roman"/>
              <w:color w:val="000000" w:themeColor="text1"/>
            </w:rPr>
            <w:br w:type="page"/>
          </w:r>
        </w:p>
      </w:sdtContent>
    </w:sdt>
    <w:p w14:paraId="36EC0D89" w14:textId="77777777" w:rsidR="004155E3" w:rsidRPr="00AF0CC3" w:rsidRDefault="004155E3" w:rsidP="004155E3">
      <w:pPr>
        <w:jc w:val="center"/>
        <w:rPr>
          <w:rFonts w:ascii="Times New Roman" w:hAnsi="Times New Roman" w:cs="Times New Roman"/>
          <w:color w:val="000000" w:themeColor="text1"/>
        </w:rPr>
      </w:pPr>
      <w:r w:rsidRPr="00AF0CC3">
        <w:rPr>
          <w:rFonts w:ascii="Times New Roman" w:hAnsi="Times New Roman" w:cs="Times New Roman"/>
          <w:color w:val="000000" w:themeColor="text1"/>
        </w:rPr>
        <w:lastRenderedPageBreak/>
        <w:t>© Copyright by Erick Gesure 2026</w:t>
      </w:r>
    </w:p>
    <w:p w14:paraId="18D00AE0" w14:textId="77777777" w:rsidR="004155E3" w:rsidRPr="00AF0CC3" w:rsidRDefault="004155E3" w:rsidP="004155E3">
      <w:pPr>
        <w:jc w:val="center"/>
        <w:rPr>
          <w:rFonts w:ascii="Times New Roman" w:hAnsi="Times New Roman" w:cs="Times New Roman"/>
          <w:color w:val="000000" w:themeColor="text1"/>
        </w:rPr>
      </w:pPr>
    </w:p>
    <w:p w14:paraId="003DFF82" w14:textId="77777777" w:rsidR="004155E3" w:rsidRPr="00AF0CC3" w:rsidRDefault="004155E3" w:rsidP="004155E3">
      <w:pPr>
        <w:jc w:val="center"/>
        <w:rPr>
          <w:rFonts w:ascii="Times New Roman" w:hAnsi="Times New Roman" w:cs="Times New Roman"/>
          <w:color w:val="000000" w:themeColor="text1"/>
        </w:rPr>
      </w:pPr>
      <w:r w:rsidRPr="00AF0CC3">
        <w:rPr>
          <w:rFonts w:ascii="Times New Roman" w:hAnsi="Times New Roman" w:cs="Times New Roman"/>
          <w:color w:val="000000" w:themeColor="text1"/>
        </w:rPr>
        <w:t>All Rights Reserved</w:t>
      </w:r>
    </w:p>
    <w:p w14:paraId="657FC051" w14:textId="77777777" w:rsidR="004155E3" w:rsidRPr="00AF0CC3" w:rsidRDefault="004155E3" w:rsidP="004155E3">
      <w:pPr>
        <w:jc w:val="center"/>
        <w:rPr>
          <w:rFonts w:ascii="Times New Roman" w:hAnsi="Times New Roman" w:cs="Times New Roman"/>
          <w:color w:val="000000" w:themeColor="text1"/>
        </w:rPr>
      </w:pPr>
      <w:commentRangeStart w:id="0"/>
      <w:r w:rsidRPr="00AF0CC3">
        <w:rPr>
          <w:rFonts w:ascii="Times New Roman" w:hAnsi="Times New Roman" w:cs="Times New Roman"/>
          <w:color w:val="000000" w:themeColor="text1"/>
        </w:rPr>
        <w:t>Beyond Capital Mobilization: Governance Quality and the Performance of Water Management Infrastructure Projects in Kenya</w:t>
      </w:r>
      <w:commentRangeEnd w:id="0"/>
      <w:r w:rsidR="00CC1C26" w:rsidRPr="00AF0CC3">
        <w:rPr>
          <w:rStyle w:val="CommentReference"/>
          <w:rFonts w:ascii="Times New Roman" w:hAnsi="Times New Roman" w:cs="Times New Roman"/>
          <w:color w:val="000000" w:themeColor="text1"/>
          <w:sz w:val="24"/>
          <w:szCs w:val="24"/>
        </w:rPr>
        <w:commentReference w:id="0"/>
      </w:r>
    </w:p>
    <w:p w14:paraId="7101D611" w14:textId="77777777" w:rsidR="004155E3" w:rsidRPr="00AF0CC3" w:rsidRDefault="004155E3" w:rsidP="004155E3">
      <w:pPr>
        <w:jc w:val="center"/>
        <w:rPr>
          <w:rFonts w:ascii="Times New Roman" w:hAnsi="Times New Roman" w:cs="Times New Roman"/>
          <w:color w:val="000000" w:themeColor="text1"/>
        </w:rPr>
      </w:pPr>
    </w:p>
    <w:p w14:paraId="6E7E2EF4" w14:textId="77777777" w:rsidR="004155E3" w:rsidRPr="00AF0CC3" w:rsidRDefault="004155E3" w:rsidP="004155E3">
      <w:pPr>
        <w:jc w:val="center"/>
        <w:rPr>
          <w:rFonts w:ascii="Times New Roman" w:hAnsi="Times New Roman" w:cs="Times New Roman"/>
          <w:color w:val="000000" w:themeColor="text1"/>
        </w:rPr>
      </w:pPr>
      <w:r w:rsidRPr="00AF0CC3">
        <w:rPr>
          <w:rFonts w:ascii="Times New Roman" w:hAnsi="Times New Roman" w:cs="Times New Roman"/>
          <w:color w:val="000000" w:themeColor="text1"/>
        </w:rPr>
        <w:t>A Dissertation Presented</w:t>
      </w:r>
    </w:p>
    <w:p w14:paraId="79DC2C51" w14:textId="77777777" w:rsidR="004155E3" w:rsidRPr="00AF0CC3" w:rsidRDefault="004155E3" w:rsidP="004155E3">
      <w:pPr>
        <w:jc w:val="center"/>
        <w:rPr>
          <w:rFonts w:ascii="Times New Roman" w:hAnsi="Times New Roman" w:cs="Times New Roman"/>
          <w:color w:val="000000" w:themeColor="text1"/>
        </w:rPr>
      </w:pPr>
    </w:p>
    <w:p w14:paraId="0E9D0C00" w14:textId="77777777" w:rsidR="004155E3" w:rsidRPr="00AF0CC3" w:rsidRDefault="004155E3" w:rsidP="004155E3">
      <w:pPr>
        <w:jc w:val="center"/>
        <w:rPr>
          <w:rFonts w:ascii="Times New Roman" w:hAnsi="Times New Roman" w:cs="Times New Roman"/>
          <w:color w:val="000000" w:themeColor="text1"/>
        </w:rPr>
      </w:pPr>
      <w:r w:rsidRPr="00AF0CC3">
        <w:rPr>
          <w:rFonts w:ascii="Times New Roman" w:hAnsi="Times New Roman" w:cs="Times New Roman"/>
          <w:color w:val="000000" w:themeColor="text1"/>
        </w:rPr>
        <w:t>by</w:t>
      </w:r>
    </w:p>
    <w:p w14:paraId="39E2171E" w14:textId="77777777" w:rsidR="004155E3" w:rsidRPr="00AF0CC3" w:rsidRDefault="004155E3" w:rsidP="004155E3">
      <w:pPr>
        <w:jc w:val="center"/>
        <w:rPr>
          <w:rFonts w:ascii="Times New Roman" w:hAnsi="Times New Roman" w:cs="Times New Roman"/>
          <w:color w:val="000000" w:themeColor="text1"/>
        </w:rPr>
      </w:pPr>
    </w:p>
    <w:p w14:paraId="319DBFCD" w14:textId="77777777" w:rsidR="004155E3" w:rsidRPr="007E5C0D" w:rsidRDefault="004155E3" w:rsidP="004155E3">
      <w:pPr>
        <w:jc w:val="center"/>
        <w:rPr>
          <w:rFonts w:ascii="Times New Roman" w:hAnsi="Times New Roman" w:cs="Times New Roman"/>
          <w:b/>
          <w:bCs/>
          <w:color w:val="000000" w:themeColor="text1"/>
        </w:rPr>
      </w:pPr>
      <w:r w:rsidRPr="007E5C0D">
        <w:rPr>
          <w:rFonts w:ascii="Times New Roman" w:hAnsi="Times New Roman" w:cs="Times New Roman"/>
          <w:b/>
          <w:bCs/>
          <w:color w:val="000000" w:themeColor="text1"/>
        </w:rPr>
        <w:t>Erick Gesure</w:t>
      </w:r>
    </w:p>
    <w:p w14:paraId="0BD3F684" w14:textId="77777777" w:rsidR="004155E3" w:rsidRPr="00AF0CC3" w:rsidRDefault="004155E3" w:rsidP="004155E3">
      <w:pPr>
        <w:jc w:val="center"/>
        <w:rPr>
          <w:rFonts w:ascii="Times New Roman" w:hAnsi="Times New Roman" w:cs="Times New Roman"/>
          <w:color w:val="000000" w:themeColor="text1"/>
        </w:rPr>
      </w:pPr>
    </w:p>
    <w:p w14:paraId="5DA4CDAA" w14:textId="77777777" w:rsidR="004155E3" w:rsidRPr="00AF0CC3" w:rsidRDefault="004155E3" w:rsidP="004155E3">
      <w:pPr>
        <w:jc w:val="center"/>
        <w:rPr>
          <w:rFonts w:ascii="Times New Roman" w:hAnsi="Times New Roman" w:cs="Times New Roman"/>
          <w:color w:val="000000" w:themeColor="text1"/>
        </w:rPr>
      </w:pPr>
    </w:p>
    <w:p w14:paraId="1672D6F1" w14:textId="77777777" w:rsidR="004155E3" w:rsidRPr="00AF0CC3" w:rsidRDefault="004155E3" w:rsidP="004155E3">
      <w:pPr>
        <w:jc w:val="center"/>
        <w:rPr>
          <w:rFonts w:ascii="Times New Roman" w:hAnsi="Times New Roman" w:cs="Times New Roman"/>
          <w:color w:val="000000" w:themeColor="text1"/>
        </w:rPr>
      </w:pPr>
    </w:p>
    <w:p w14:paraId="4EAC8968" w14:textId="77777777" w:rsidR="004155E3" w:rsidRPr="00AF0CC3" w:rsidRDefault="004155E3" w:rsidP="004155E3">
      <w:pPr>
        <w:jc w:val="center"/>
        <w:rPr>
          <w:rFonts w:ascii="Times New Roman" w:hAnsi="Times New Roman" w:cs="Times New Roman"/>
          <w:color w:val="000000" w:themeColor="text1"/>
        </w:rPr>
      </w:pPr>
    </w:p>
    <w:p w14:paraId="4C203AEA" w14:textId="77777777" w:rsidR="004155E3" w:rsidRPr="00AF0CC3" w:rsidRDefault="004155E3" w:rsidP="004155E3">
      <w:pPr>
        <w:jc w:val="center"/>
        <w:rPr>
          <w:rFonts w:ascii="Times New Roman" w:hAnsi="Times New Roman" w:cs="Times New Roman"/>
          <w:color w:val="000000" w:themeColor="text1"/>
        </w:rPr>
      </w:pPr>
      <w:r w:rsidRPr="00AF0CC3">
        <w:rPr>
          <w:rFonts w:ascii="Times New Roman" w:hAnsi="Times New Roman" w:cs="Times New Roman"/>
          <w:color w:val="000000" w:themeColor="text1"/>
        </w:rPr>
        <w:t>Approved as to style and content by:</w:t>
      </w:r>
    </w:p>
    <w:p w14:paraId="0B80FE93" w14:textId="77777777" w:rsidR="004155E3" w:rsidRPr="00AF0CC3" w:rsidRDefault="004155E3" w:rsidP="004155E3">
      <w:pPr>
        <w:jc w:val="center"/>
        <w:rPr>
          <w:rFonts w:ascii="Times New Roman" w:hAnsi="Times New Roman" w:cs="Times New Roman"/>
          <w:color w:val="000000" w:themeColor="text1"/>
        </w:rPr>
      </w:pPr>
    </w:p>
    <w:p w14:paraId="6EB2FF87" w14:textId="77777777" w:rsidR="004155E3" w:rsidRPr="00AF0CC3" w:rsidRDefault="004155E3" w:rsidP="004155E3">
      <w:pPr>
        <w:jc w:val="center"/>
        <w:rPr>
          <w:rFonts w:ascii="Times New Roman" w:hAnsi="Times New Roman" w:cs="Times New Roman"/>
          <w:color w:val="000000" w:themeColor="text1"/>
        </w:rPr>
      </w:pPr>
    </w:p>
    <w:p w14:paraId="6401CBBC" w14:textId="77777777" w:rsidR="004155E3" w:rsidRPr="00AF0CC3" w:rsidRDefault="004155E3" w:rsidP="004155E3">
      <w:pPr>
        <w:jc w:val="center"/>
        <w:rPr>
          <w:rFonts w:ascii="Times New Roman" w:hAnsi="Times New Roman" w:cs="Times New Roman"/>
          <w:color w:val="000000" w:themeColor="text1"/>
        </w:rPr>
      </w:pPr>
    </w:p>
    <w:p w14:paraId="06A8C2E2" w14:textId="33F1E881" w:rsidR="00925A36" w:rsidRPr="007E5C0D" w:rsidRDefault="004155E3" w:rsidP="004155E3">
      <w:pPr>
        <w:jc w:val="center"/>
        <w:rPr>
          <w:rFonts w:ascii="Times New Roman" w:hAnsi="Times New Roman" w:cs="Times New Roman"/>
          <w:b/>
          <w:bCs/>
          <w:color w:val="000000" w:themeColor="text1"/>
        </w:rPr>
      </w:pPr>
      <w:r w:rsidRPr="007E5C0D">
        <w:rPr>
          <w:rFonts w:ascii="Times New Roman" w:hAnsi="Times New Roman" w:cs="Times New Roman"/>
          <w:b/>
          <w:bCs/>
          <w:color w:val="000000" w:themeColor="text1"/>
        </w:rPr>
        <w:t>Professor James Punch</w:t>
      </w:r>
    </w:p>
    <w:p w14:paraId="0E1914E6" w14:textId="77777777" w:rsidR="00412836" w:rsidRPr="00AF0CC3" w:rsidRDefault="00412836" w:rsidP="002E0E45">
      <w:pPr>
        <w:rPr>
          <w:rFonts w:ascii="Times New Roman" w:hAnsi="Times New Roman" w:cs="Times New Roman"/>
          <w:color w:val="000000" w:themeColor="text1"/>
        </w:rPr>
      </w:pPr>
    </w:p>
    <w:p w14:paraId="65A18BD1" w14:textId="77777777" w:rsidR="00412836" w:rsidRPr="00AF0CC3" w:rsidRDefault="00412836" w:rsidP="002E0E45">
      <w:pPr>
        <w:rPr>
          <w:rFonts w:ascii="Times New Roman" w:hAnsi="Times New Roman" w:cs="Times New Roman"/>
          <w:color w:val="000000" w:themeColor="text1"/>
        </w:rPr>
      </w:pPr>
    </w:p>
    <w:p w14:paraId="2D354B9C" w14:textId="77777777" w:rsidR="00412836" w:rsidRPr="00AF0CC3" w:rsidRDefault="00412836" w:rsidP="002E0E45">
      <w:pPr>
        <w:rPr>
          <w:rFonts w:ascii="Times New Roman" w:hAnsi="Times New Roman" w:cs="Times New Roman"/>
          <w:color w:val="000000" w:themeColor="text1"/>
        </w:rPr>
      </w:pPr>
    </w:p>
    <w:p w14:paraId="5277C73F" w14:textId="77777777" w:rsidR="00412836" w:rsidRPr="00AF0CC3" w:rsidRDefault="00412836" w:rsidP="002E0E45">
      <w:pPr>
        <w:rPr>
          <w:rFonts w:ascii="Times New Roman" w:hAnsi="Times New Roman" w:cs="Times New Roman"/>
          <w:color w:val="000000" w:themeColor="text1"/>
        </w:rPr>
      </w:pPr>
    </w:p>
    <w:p w14:paraId="10402190" w14:textId="77777777" w:rsidR="00412836" w:rsidRPr="00AF0CC3" w:rsidRDefault="00412836" w:rsidP="002E0E45">
      <w:pPr>
        <w:rPr>
          <w:rFonts w:ascii="Times New Roman" w:hAnsi="Times New Roman" w:cs="Times New Roman"/>
          <w:color w:val="000000" w:themeColor="text1"/>
        </w:rPr>
      </w:pPr>
    </w:p>
    <w:p w14:paraId="1637A4F3" w14:textId="77777777" w:rsidR="00412836" w:rsidRPr="00AF0CC3" w:rsidRDefault="00412836" w:rsidP="002E0E45">
      <w:pPr>
        <w:rPr>
          <w:rFonts w:ascii="Times New Roman" w:hAnsi="Times New Roman" w:cs="Times New Roman"/>
          <w:color w:val="000000" w:themeColor="text1"/>
        </w:rPr>
      </w:pPr>
    </w:p>
    <w:p w14:paraId="0CA26507" w14:textId="77777777" w:rsidR="000A7472" w:rsidRPr="00AF0CC3" w:rsidRDefault="000A7472" w:rsidP="00D0373A">
      <w:pPr>
        <w:rPr>
          <w:rFonts w:ascii="Times New Roman" w:hAnsi="Times New Roman" w:cs="Times New Roman"/>
          <w:color w:val="000000" w:themeColor="text1"/>
        </w:rPr>
      </w:pPr>
    </w:p>
    <w:p w14:paraId="0DB5842A" w14:textId="563FC361" w:rsidR="00930FD9" w:rsidRPr="007E5C0D" w:rsidRDefault="00930FD9" w:rsidP="00930FD9">
      <w:pPr>
        <w:pStyle w:val="FrontMatterheading2"/>
        <w:rPr>
          <w:b/>
          <w:bCs/>
          <w:szCs w:val="24"/>
        </w:rPr>
      </w:pPr>
      <w:bookmarkStart w:id="1" w:name="_Toc234488953"/>
      <w:r w:rsidRPr="007E5C0D">
        <w:rPr>
          <w:b/>
          <w:bCs/>
          <w:szCs w:val="24"/>
        </w:rPr>
        <w:lastRenderedPageBreak/>
        <w:t>ABSTRACT</w:t>
      </w:r>
      <w:bookmarkEnd w:id="1"/>
    </w:p>
    <w:p w14:paraId="74B78E2F" w14:textId="77777777" w:rsidR="00A37F6C" w:rsidRPr="00A37F6C" w:rsidRDefault="00A37F6C" w:rsidP="00A37F6C">
      <w:pPr>
        <w:rPr>
          <w:rFonts w:ascii="Times New Roman" w:hAnsi="Times New Roman" w:cs="Times New Roman"/>
          <w:color w:val="000000" w:themeColor="text1"/>
        </w:rPr>
      </w:pPr>
      <w:r w:rsidRPr="00A37F6C">
        <w:rPr>
          <w:rFonts w:ascii="Times New Roman" w:hAnsi="Times New Roman" w:cs="Times New Roman"/>
          <w:color w:val="000000" w:themeColor="text1"/>
        </w:rPr>
        <w:t>Water infrastructure is fundamental to sustainable development, climate resilience, and economic transformation. Despite substantial investment through government expenditure, concessional finance, grants, public–private partnerships, and other financing mechanisms, many water infrastructure projects in Kenya continue to experience project stalling, implementation delays, and cost overruns. Existing research has largely emphasized financing, technical, and project management constraints, while giving comparatively limited attention to governance quality as an integrated institutional capability influencing infrastructure delivery. This study addresses that gap by examining the relationship between governance quality and climate-resilient water infrastructure outcomes in Kenya.</w:t>
      </w:r>
    </w:p>
    <w:p w14:paraId="40D68DB8" w14:textId="77777777" w:rsidR="00A37F6C" w:rsidRPr="00A37F6C" w:rsidRDefault="00A37F6C" w:rsidP="00A37F6C">
      <w:pPr>
        <w:rPr>
          <w:rFonts w:ascii="Times New Roman" w:hAnsi="Times New Roman" w:cs="Times New Roman"/>
          <w:color w:val="000000" w:themeColor="text1"/>
        </w:rPr>
      </w:pPr>
      <w:r w:rsidRPr="00A37F6C">
        <w:rPr>
          <w:rFonts w:ascii="Times New Roman" w:hAnsi="Times New Roman" w:cs="Times New Roman"/>
          <w:color w:val="000000" w:themeColor="text1"/>
        </w:rPr>
        <w:t xml:space="preserve">Guided by four research objectives, the study examined the relationship between governance quality and project stalling, time overruns, and cost overruns. Drawing on Institutional Theory, Principal–Agent Theory, Transaction Cost Economics, and lifecycle governance perspectives, the study developed a </w:t>
      </w:r>
      <w:r w:rsidRPr="00A37F6C">
        <w:rPr>
          <w:rFonts w:ascii="Times New Roman" w:hAnsi="Times New Roman" w:cs="Times New Roman"/>
          <w:b/>
          <w:bCs/>
          <w:color w:val="000000" w:themeColor="text1"/>
        </w:rPr>
        <w:t>Governance Quality Index (GQI)</w:t>
      </w:r>
      <w:r w:rsidRPr="00A37F6C">
        <w:rPr>
          <w:rFonts w:ascii="Times New Roman" w:hAnsi="Times New Roman" w:cs="Times New Roman"/>
          <w:color w:val="000000" w:themeColor="text1"/>
        </w:rPr>
        <w:t xml:space="preserve"> comprising nine governance dimensions to measure governance quality at the project level.</w:t>
      </w:r>
    </w:p>
    <w:p w14:paraId="0207B45F" w14:textId="77777777" w:rsidR="00A37F6C" w:rsidRPr="00A37F6C" w:rsidRDefault="00A37F6C" w:rsidP="00A37F6C">
      <w:pPr>
        <w:rPr>
          <w:rFonts w:ascii="Times New Roman" w:hAnsi="Times New Roman" w:cs="Times New Roman"/>
          <w:color w:val="000000" w:themeColor="text1"/>
        </w:rPr>
      </w:pPr>
      <w:r w:rsidRPr="00A37F6C">
        <w:rPr>
          <w:rFonts w:ascii="Times New Roman" w:hAnsi="Times New Roman" w:cs="Times New Roman"/>
          <w:color w:val="000000" w:themeColor="text1"/>
        </w:rPr>
        <w:t>A cross-sectional mixed-methods design was adopted using documentary analysis of nationally implemented water infrastructure projects undertaken between 2012 and 2025. Fifty-one projects were identified, of which thirty-two met the inclusion criteria. Quantitative analysis employed descriptive statistics and regression modelling, while qualitative documentary analysis provided contextual interpretation of governance processes and implementation experiences.</w:t>
      </w:r>
    </w:p>
    <w:p w14:paraId="7C9F62E5" w14:textId="00987823" w:rsidR="00A37F6C" w:rsidRPr="00A37F6C" w:rsidRDefault="00A37F6C" w:rsidP="00A37F6C">
      <w:pPr>
        <w:rPr>
          <w:rFonts w:ascii="Times New Roman" w:hAnsi="Times New Roman" w:cs="Times New Roman"/>
          <w:color w:val="000000" w:themeColor="text1"/>
        </w:rPr>
      </w:pPr>
      <w:r w:rsidRPr="00A37F6C">
        <w:rPr>
          <w:rFonts w:ascii="Times New Roman" w:hAnsi="Times New Roman" w:cs="Times New Roman"/>
          <w:color w:val="000000" w:themeColor="text1"/>
        </w:rPr>
        <w:t xml:space="preserve">The findings demonstrate that higher governance quality is significantly associated with lower probabilities of project stalling and reduced implementation delays. The relationship with cost overruns was weaker, indicating that expenditure outcomes are also influenced by broader macroeconomic and market conditions. Documentary evidence further showed that stronger governance arrangements supported </w:t>
      </w:r>
      <w:r w:rsidR="004E01D5">
        <w:rPr>
          <w:rFonts w:ascii="Times New Roman" w:hAnsi="Times New Roman" w:cs="Times New Roman"/>
          <w:color w:val="000000" w:themeColor="text1"/>
        </w:rPr>
        <w:t>continuity of implementation</w:t>
      </w:r>
      <w:r w:rsidRPr="00A37F6C">
        <w:rPr>
          <w:rFonts w:ascii="Times New Roman" w:hAnsi="Times New Roman" w:cs="Times New Roman"/>
          <w:color w:val="000000" w:themeColor="text1"/>
        </w:rPr>
        <w:t xml:space="preserve"> during periods of climate disruption and political transition. In addition, substantial documentation deficiencies among county-implemented projects suggest that documentation accessibility is both a methodological consideration and an indicator of institutional governance capability.</w:t>
      </w:r>
    </w:p>
    <w:p w14:paraId="09A1E8DA" w14:textId="2BEE8B12" w:rsidR="00A37F6C" w:rsidRPr="00A37F6C" w:rsidRDefault="00A37F6C" w:rsidP="00A37F6C">
      <w:pPr>
        <w:rPr>
          <w:rFonts w:ascii="Times New Roman" w:hAnsi="Times New Roman" w:cs="Times New Roman"/>
          <w:color w:val="000000" w:themeColor="text1"/>
        </w:rPr>
      </w:pPr>
      <w:r w:rsidRPr="00A37F6C">
        <w:rPr>
          <w:rFonts w:ascii="Times New Roman" w:hAnsi="Times New Roman" w:cs="Times New Roman"/>
          <w:color w:val="000000" w:themeColor="text1"/>
        </w:rPr>
        <w:t xml:space="preserve">The study makes four principal contributions. It extends infrastructure governance theory by </w:t>
      </w:r>
      <w:r w:rsidR="004E01D5">
        <w:rPr>
          <w:rFonts w:ascii="Times New Roman" w:hAnsi="Times New Roman" w:cs="Times New Roman"/>
          <w:color w:val="000000" w:themeColor="text1"/>
        </w:rPr>
        <w:t>conceptualizing</w:t>
      </w:r>
      <w:r w:rsidRPr="00A37F6C">
        <w:rPr>
          <w:rFonts w:ascii="Times New Roman" w:hAnsi="Times New Roman" w:cs="Times New Roman"/>
          <w:color w:val="000000" w:themeColor="text1"/>
        </w:rPr>
        <w:t xml:space="preserve"> governance as an integrated institutional capability operating across the project lifecycle; develops the Governance Quality Index as a structured governance assessment tool; provides empirical evidence linking governance quality to infrastructure delivery outcomes; and proposes an Integrated Governance Reform and Implementation Framework to strengthen accountability, resilience, and infrastructure performance.</w:t>
      </w:r>
    </w:p>
    <w:p w14:paraId="236EAEC4" w14:textId="53D79BB2" w:rsidR="00A37F6C" w:rsidRPr="00A37F6C" w:rsidRDefault="00A37F6C" w:rsidP="00A37F6C">
      <w:pPr>
        <w:rPr>
          <w:rFonts w:ascii="Times New Roman" w:hAnsi="Times New Roman" w:cs="Times New Roman"/>
          <w:color w:val="000000" w:themeColor="text1"/>
        </w:rPr>
      </w:pPr>
      <w:r w:rsidRPr="00A37F6C">
        <w:rPr>
          <w:rFonts w:ascii="Times New Roman" w:hAnsi="Times New Roman" w:cs="Times New Roman"/>
          <w:color w:val="000000" w:themeColor="text1"/>
        </w:rPr>
        <w:t xml:space="preserve">The study concludes that capital </w:t>
      </w:r>
      <w:r w:rsidR="004E01D5" w:rsidRPr="00A37F6C">
        <w:rPr>
          <w:rFonts w:ascii="Times New Roman" w:hAnsi="Times New Roman" w:cs="Times New Roman"/>
          <w:color w:val="000000" w:themeColor="text1"/>
        </w:rPr>
        <w:t>mobilization</w:t>
      </w:r>
      <w:r w:rsidRPr="00A37F6C">
        <w:rPr>
          <w:rFonts w:ascii="Times New Roman" w:hAnsi="Times New Roman" w:cs="Times New Roman"/>
          <w:color w:val="000000" w:themeColor="text1"/>
        </w:rPr>
        <w:t xml:space="preserve"> alone is insufficient to achieve sustainable infrastructure development. Regardless of the financing source, infrastructure performance depends fundamentally on the quality of governance systems through which projects are </w:t>
      </w:r>
      <w:r w:rsidRPr="00A37F6C">
        <w:rPr>
          <w:rFonts w:ascii="Times New Roman" w:hAnsi="Times New Roman" w:cs="Times New Roman"/>
          <w:color w:val="000000" w:themeColor="text1"/>
        </w:rPr>
        <w:lastRenderedPageBreak/>
        <w:t xml:space="preserve">planned, coordinated, implemented, monitored, and managed. Strengthening governance should therefore be </w:t>
      </w:r>
      <w:r w:rsidR="004E01D5">
        <w:rPr>
          <w:rFonts w:ascii="Times New Roman" w:hAnsi="Times New Roman" w:cs="Times New Roman"/>
          <w:color w:val="000000" w:themeColor="text1"/>
        </w:rPr>
        <w:t>recognized</w:t>
      </w:r>
      <w:r w:rsidRPr="00A37F6C">
        <w:rPr>
          <w:rFonts w:ascii="Times New Roman" w:hAnsi="Times New Roman" w:cs="Times New Roman"/>
          <w:color w:val="000000" w:themeColor="text1"/>
        </w:rPr>
        <w:t xml:space="preserve"> as a strategic complement to infrastructure financing in advancing climate-resilient and sustainable infrastructure development in Kenya and other developing-country contexts.</w:t>
      </w:r>
    </w:p>
    <w:p w14:paraId="68335830" w14:textId="77777777" w:rsidR="00A37F6C" w:rsidRPr="00A37F6C" w:rsidRDefault="00A37F6C" w:rsidP="00A37F6C">
      <w:pPr>
        <w:rPr>
          <w:rFonts w:ascii="Times New Roman" w:hAnsi="Times New Roman" w:cs="Times New Roman"/>
          <w:color w:val="000000" w:themeColor="text1"/>
        </w:rPr>
      </w:pPr>
      <w:r w:rsidRPr="00A37F6C">
        <w:rPr>
          <w:rFonts w:ascii="Times New Roman" w:hAnsi="Times New Roman" w:cs="Times New Roman"/>
          <w:b/>
          <w:bCs/>
          <w:color w:val="000000" w:themeColor="text1"/>
        </w:rPr>
        <w:t>Keywords:</w:t>
      </w:r>
      <w:r w:rsidRPr="00A37F6C">
        <w:rPr>
          <w:rFonts w:ascii="Times New Roman" w:hAnsi="Times New Roman" w:cs="Times New Roman"/>
          <w:color w:val="000000" w:themeColor="text1"/>
        </w:rPr>
        <w:t xml:space="preserve"> Infrastructure governance; Governance Quality Index; climate resilience; water infrastructure; project stalling; implementation delays; Kenya; sustainable infrastructure.</w:t>
      </w:r>
    </w:p>
    <w:p w14:paraId="6D481328" w14:textId="77777777" w:rsidR="00412836" w:rsidRPr="00AF0CC3" w:rsidRDefault="00412836" w:rsidP="002E0E45">
      <w:pPr>
        <w:rPr>
          <w:rFonts w:ascii="Times New Roman" w:hAnsi="Times New Roman" w:cs="Times New Roman"/>
          <w:color w:val="000000" w:themeColor="text1"/>
        </w:rPr>
      </w:pPr>
    </w:p>
    <w:p w14:paraId="13F5CCA7" w14:textId="77777777" w:rsidR="00412836" w:rsidRPr="00AF0CC3" w:rsidRDefault="00412836" w:rsidP="002E0E45">
      <w:pPr>
        <w:rPr>
          <w:rFonts w:ascii="Times New Roman" w:hAnsi="Times New Roman" w:cs="Times New Roman"/>
          <w:color w:val="000000" w:themeColor="text1"/>
        </w:rPr>
      </w:pPr>
    </w:p>
    <w:p w14:paraId="238FC86C" w14:textId="77777777" w:rsidR="00412836" w:rsidRPr="00AF0CC3" w:rsidRDefault="00412836" w:rsidP="002E0E45">
      <w:pPr>
        <w:rPr>
          <w:rFonts w:ascii="Times New Roman" w:hAnsi="Times New Roman" w:cs="Times New Roman"/>
          <w:color w:val="000000" w:themeColor="text1"/>
        </w:rPr>
      </w:pPr>
    </w:p>
    <w:p w14:paraId="4E55EE73" w14:textId="77777777" w:rsidR="00412836" w:rsidRDefault="00412836" w:rsidP="002E0E45">
      <w:pPr>
        <w:rPr>
          <w:rFonts w:ascii="Times New Roman" w:hAnsi="Times New Roman" w:cs="Times New Roman"/>
          <w:color w:val="000000" w:themeColor="text1"/>
        </w:rPr>
      </w:pPr>
    </w:p>
    <w:p w14:paraId="444A06EF" w14:textId="77777777" w:rsidR="00A37F6C" w:rsidRDefault="00A37F6C" w:rsidP="002E0E45">
      <w:pPr>
        <w:rPr>
          <w:rFonts w:ascii="Times New Roman" w:hAnsi="Times New Roman" w:cs="Times New Roman"/>
          <w:color w:val="000000" w:themeColor="text1"/>
        </w:rPr>
      </w:pPr>
    </w:p>
    <w:p w14:paraId="74604619" w14:textId="77777777" w:rsidR="00A37F6C" w:rsidRDefault="00A37F6C" w:rsidP="002E0E45">
      <w:pPr>
        <w:rPr>
          <w:rFonts w:ascii="Times New Roman" w:hAnsi="Times New Roman" w:cs="Times New Roman"/>
          <w:color w:val="000000" w:themeColor="text1"/>
        </w:rPr>
      </w:pPr>
    </w:p>
    <w:p w14:paraId="16C6DE22" w14:textId="77777777" w:rsidR="00A37F6C" w:rsidRDefault="00A37F6C" w:rsidP="002E0E45">
      <w:pPr>
        <w:rPr>
          <w:rFonts w:ascii="Times New Roman" w:hAnsi="Times New Roman" w:cs="Times New Roman"/>
          <w:color w:val="000000" w:themeColor="text1"/>
        </w:rPr>
      </w:pPr>
    </w:p>
    <w:p w14:paraId="6C3CB343" w14:textId="77777777" w:rsidR="00A37F6C" w:rsidRDefault="00A37F6C" w:rsidP="002E0E45">
      <w:pPr>
        <w:rPr>
          <w:rFonts w:ascii="Times New Roman" w:hAnsi="Times New Roman" w:cs="Times New Roman"/>
          <w:color w:val="000000" w:themeColor="text1"/>
        </w:rPr>
      </w:pPr>
    </w:p>
    <w:p w14:paraId="3308DE7E" w14:textId="77777777" w:rsidR="00A37F6C" w:rsidRDefault="00A37F6C" w:rsidP="002E0E45">
      <w:pPr>
        <w:rPr>
          <w:rFonts w:ascii="Times New Roman" w:hAnsi="Times New Roman" w:cs="Times New Roman"/>
          <w:color w:val="000000" w:themeColor="text1"/>
        </w:rPr>
      </w:pPr>
    </w:p>
    <w:p w14:paraId="6B271742" w14:textId="77777777" w:rsidR="00A37F6C" w:rsidRDefault="00A37F6C" w:rsidP="002E0E45">
      <w:pPr>
        <w:rPr>
          <w:rFonts w:ascii="Times New Roman" w:hAnsi="Times New Roman" w:cs="Times New Roman"/>
          <w:color w:val="000000" w:themeColor="text1"/>
        </w:rPr>
      </w:pPr>
    </w:p>
    <w:p w14:paraId="7AC6C90C" w14:textId="77777777" w:rsidR="00A37F6C" w:rsidRDefault="00A37F6C" w:rsidP="002E0E45">
      <w:pPr>
        <w:rPr>
          <w:rFonts w:ascii="Times New Roman" w:hAnsi="Times New Roman" w:cs="Times New Roman"/>
          <w:color w:val="000000" w:themeColor="text1"/>
        </w:rPr>
      </w:pPr>
    </w:p>
    <w:p w14:paraId="3F8B86EC" w14:textId="77777777" w:rsidR="00A37F6C" w:rsidRDefault="00A37F6C" w:rsidP="002E0E45">
      <w:pPr>
        <w:rPr>
          <w:rFonts w:ascii="Times New Roman" w:hAnsi="Times New Roman" w:cs="Times New Roman"/>
          <w:color w:val="000000" w:themeColor="text1"/>
        </w:rPr>
      </w:pPr>
    </w:p>
    <w:p w14:paraId="0311B82D" w14:textId="77777777" w:rsidR="00A37F6C" w:rsidRDefault="00A37F6C" w:rsidP="002E0E45">
      <w:pPr>
        <w:rPr>
          <w:rFonts w:ascii="Times New Roman" w:hAnsi="Times New Roman" w:cs="Times New Roman"/>
          <w:color w:val="000000" w:themeColor="text1"/>
        </w:rPr>
      </w:pPr>
    </w:p>
    <w:p w14:paraId="18066960" w14:textId="77777777" w:rsidR="00A37F6C" w:rsidRDefault="00A37F6C" w:rsidP="002E0E45">
      <w:pPr>
        <w:rPr>
          <w:rFonts w:ascii="Times New Roman" w:hAnsi="Times New Roman" w:cs="Times New Roman"/>
          <w:color w:val="000000" w:themeColor="text1"/>
        </w:rPr>
      </w:pPr>
    </w:p>
    <w:p w14:paraId="6A216D96" w14:textId="77777777" w:rsidR="00A37F6C" w:rsidRDefault="00A37F6C" w:rsidP="002E0E45">
      <w:pPr>
        <w:rPr>
          <w:rFonts w:ascii="Times New Roman" w:hAnsi="Times New Roman" w:cs="Times New Roman"/>
          <w:color w:val="000000" w:themeColor="text1"/>
        </w:rPr>
      </w:pPr>
    </w:p>
    <w:p w14:paraId="0F31ED19" w14:textId="77777777" w:rsidR="00A37F6C" w:rsidRDefault="00A37F6C" w:rsidP="002E0E45">
      <w:pPr>
        <w:rPr>
          <w:rFonts w:ascii="Times New Roman" w:hAnsi="Times New Roman" w:cs="Times New Roman"/>
          <w:color w:val="000000" w:themeColor="text1"/>
        </w:rPr>
      </w:pPr>
    </w:p>
    <w:p w14:paraId="00B1E1EA" w14:textId="77777777" w:rsidR="00A37F6C" w:rsidRDefault="00A37F6C" w:rsidP="002E0E45">
      <w:pPr>
        <w:rPr>
          <w:rFonts w:ascii="Times New Roman" w:hAnsi="Times New Roman" w:cs="Times New Roman"/>
          <w:color w:val="000000" w:themeColor="text1"/>
        </w:rPr>
      </w:pPr>
    </w:p>
    <w:p w14:paraId="51273A68" w14:textId="77777777" w:rsidR="00A37F6C" w:rsidRPr="00AF0CC3" w:rsidRDefault="00A37F6C" w:rsidP="002E0E45">
      <w:pPr>
        <w:rPr>
          <w:rFonts w:ascii="Times New Roman" w:hAnsi="Times New Roman" w:cs="Times New Roman"/>
          <w:color w:val="000000" w:themeColor="text1"/>
        </w:rPr>
      </w:pPr>
    </w:p>
    <w:p w14:paraId="5A8250E8" w14:textId="77777777" w:rsidR="00412836" w:rsidRPr="00AF0CC3" w:rsidRDefault="00412836" w:rsidP="002E0E45">
      <w:pPr>
        <w:rPr>
          <w:rFonts w:ascii="Times New Roman" w:hAnsi="Times New Roman" w:cs="Times New Roman"/>
          <w:color w:val="000000" w:themeColor="text1"/>
        </w:rPr>
      </w:pPr>
    </w:p>
    <w:p w14:paraId="260FD271" w14:textId="77777777" w:rsidR="004155E3" w:rsidRPr="00AF0CC3" w:rsidRDefault="004155E3" w:rsidP="002E0E45">
      <w:pPr>
        <w:rPr>
          <w:rFonts w:ascii="Times New Roman" w:hAnsi="Times New Roman" w:cs="Times New Roman"/>
          <w:color w:val="000000" w:themeColor="text1"/>
        </w:rPr>
      </w:pPr>
    </w:p>
    <w:p w14:paraId="08C665C6" w14:textId="77777777" w:rsidR="00412836" w:rsidRPr="00AF0CC3" w:rsidRDefault="00412836" w:rsidP="002E0E45">
      <w:pPr>
        <w:rPr>
          <w:rFonts w:ascii="Times New Roman" w:hAnsi="Times New Roman" w:cs="Times New Roman"/>
          <w:color w:val="000000" w:themeColor="text1"/>
        </w:rPr>
      </w:pPr>
    </w:p>
    <w:p w14:paraId="4A1BB727" w14:textId="05FAE514" w:rsidR="00412836" w:rsidRPr="007E5C0D" w:rsidRDefault="00854BDF" w:rsidP="00854BDF">
      <w:pPr>
        <w:pStyle w:val="FrontMatterheading2"/>
        <w:rPr>
          <w:b/>
          <w:bCs/>
          <w:szCs w:val="24"/>
        </w:rPr>
      </w:pPr>
      <w:bookmarkStart w:id="2" w:name="_Toc234488954"/>
      <w:r w:rsidRPr="007E5C0D">
        <w:rPr>
          <w:b/>
          <w:bCs/>
          <w:szCs w:val="24"/>
        </w:rPr>
        <w:lastRenderedPageBreak/>
        <w:t>Table of Contents</w:t>
      </w:r>
      <w:bookmarkEnd w:id="2"/>
    </w:p>
    <w:p w14:paraId="15871A63" w14:textId="77777777" w:rsidR="00854BDF" w:rsidRPr="00AF0CC3" w:rsidRDefault="00854BDF" w:rsidP="002E0E45">
      <w:pPr>
        <w:rPr>
          <w:rFonts w:ascii="Times New Roman" w:hAnsi="Times New Roman" w:cs="Times New Roman"/>
          <w:color w:val="000000" w:themeColor="text1"/>
        </w:rPr>
      </w:pPr>
    </w:p>
    <w:p w14:paraId="1A09BE10" w14:textId="77777777" w:rsidR="00854BDF" w:rsidRPr="00AF0CC3" w:rsidRDefault="00854BDF" w:rsidP="002E0E45">
      <w:pPr>
        <w:rPr>
          <w:rFonts w:ascii="Times New Roman" w:hAnsi="Times New Roman" w:cs="Times New Roman"/>
          <w:color w:val="000000" w:themeColor="text1"/>
        </w:rPr>
      </w:pPr>
    </w:p>
    <w:p w14:paraId="39C5860A" w14:textId="53561A46" w:rsidR="009B5C28" w:rsidRDefault="009F2BD0">
      <w:pPr>
        <w:pStyle w:val="TOC1"/>
        <w:tabs>
          <w:tab w:val="right" w:leader="dot" w:pos="9350"/>
        </w:tabs>
        <w:rPr>
          <w:rFonts w:eastAsiaTheme="minorEastAsia"/>
          <w:noProof/>
        </w:rPr>
      </w:pPr>
      <w:r w:rsidRPr="00AF0CC3">
        <w:rPr>
          <w:rFonts w:ascii="Times New Roman" w:hAnsi="Times New Roman" w:cs="Times New Roman"/>
          <w:color w:val="000000" w:themeColor="text1"/>
        </w:rPr>
        <w:fldChar w:fldCharType="begin"/>
      </w:r>
      <w:r w:rsidRPr="00AF0CC3">
        <w:rPr>
          <w:rFonts w:ascii="Times New Roman" w:hAnsi="Times New Roman" w:cs="Times New Roman"/>
          <w:color w:val="000000" w:themeColor="text1"/>
        </w:rPr>
        <w:instrText xml:space="preserve"> TOC \o "1-3" \u </w:instrText>
      </w:r>
      <w:r w:rsidRPr="00AF0CC3">
        <w:rPr>
          <w:rFonts w:ascii="Times New Roman" w:hAnsi="Times New Roman" w:cs="Times New Roman"/>
          <w:color w:val="000000" w:themeColor="text1"/>
        </w:rPr>
        <w:fldChar w:fldCharType="separate"/>
      </w:r>
      <w:r w:rsidR="009B5C28" w:rsidRPr="00D16B20">
        <w:rPr>
          <w:b/>
          <w:bCs/>
          <w:noProof/>
        </w:rPr>
        <w:t>ABSTRACT</w:t>
      </w:r>
      <w:r w:rsidR="009B5C28">
        <w:rPr>
          <w:noProof/>
        </w:rPr>
        <w:tab/>
      </w:r>
      <w:r w:rsidR="009B5C28">
        <w:rPr>
          <w:noProof/>
        </w:rPr>
        <w:fldChar w:fldCharType="begin"/>
      </w:r>
      <w:r w:rsidR="009B5C28">
        <w:rPr>
          <w:noProof/>
        </w:rPr>
        <w:instrText xml:space="preserve"> PAGEREF _Toc234488953 \h </w:instrText>
      </w:r>
      <w:r w:rsidR="009B5C28">
        <w:rPr>
          <w:noProof/>
        </w:rPr>
      </w:r>
      <w:r w:rsidR="009B5C28">
        <w:rPr>
          <w:noProof/>
        </w:rPr>
        <w:fldChar w:fldCharType="separate"/>
      </w:r>
      <w:r w:rsidR="009B5C28">
        <w:rPr>
          <w:noProof/>
        </w:rPr>
        <w:t>ii</w:t>
      </w:r>
      <w:r w:rsidR="009B5C28">
        <w:rPr>
          <w:noProof/>
        </w:rPr>
        <w:fldChar w:fldCharType="end"/>
      </w:r>
    </w:p>
    <w:p w14:paraId="69B405E5" w14:textId="5192935B" w:rsidR="009B5C28" w:rsidRDefault="009B5C28">
      <w:pPr>
        <w:pStyle w:val="TOC1"/>
        <w:tabs>
          <w:tab w:val="right" w:leader="dot" w:pos="9350"/>
        </w:tabs>
        <w:rPr>
          <w:rFonts w:eastAsiaTheme="minorEastAsia"/>
          <w:noProof/>
        </w:rPr>
      </w:pPr>
      <w:r w:rsidRPr="00D16B20">
        <w:rPr>
          <w:b/>
          <w:bCs/>
          <w:noProof/>
        </w:rPr>
        <w:t>Table of Contents</w:t>
      </w:r>
      <w:r>
        <w:rPr>
          <w:noProof/>
        </w:rPr>
        <w:tab/>
      </w:r>
      <w:r>
        <w:rPr>
          <w:noProof/>
        </w:rPr>
        <w:fldChar w:fldCharType="begin"/>
      </w:r>
      <w:r>
        <w:rPr>
          <w:noProof/>
        </w:rPr>
        <w:instrText xml:space="preserve"> PAGEREF _Toc234488954 \h </w:instrText>
      </w:r>
      <w:r>
        <w:rPr>
          <w:noProof/>
        </w:rPr>
      </w:r>
      <w:r>
        <w:rPr>
          <w:noProof/>
        </w:rPr>
        <w:fldChar w:fldCharType="separate"/>
      </w:r>
      <w:r>
        <w:rPr>
          <w:noProof/>
        </w:rPr>
        <w:t>iv</w:t>
      </w:r>
      <w:r>
        <w:rPr>
          <w:noProof/>
        </w:rPr>
        <w:fldChar w:fldCharType="end"/>
      </w:r>
    </w:p>
    <w:p w14:paraId="3A532158" w14:textId="523FFB50" w:rsidR="009B5C28" w:rsidRDefault="009B5C28">
      <w:pPr>
        <w:pStyle w:val="TOC1"/>
        <w:tabs>
          <w:tab w:val="right" w:leader="dot" w:pos="9350"/>
        </w:tabs>
        <w:rPr>
          <w:rFonts w:eastAsiaTheme="minorEastAsia"/>
          <w:noProof/>
        </w:rPr>
      </w:pPr>
      <w:r w:rsidRPr="00D16B20">
        <w:rPr>
          <w:b/>
          <w:bCs/>
          <w:noProof/>
        </w:rPr>
        <w:t>LIST OF TABLES</w:t>
      </w:r>
      <w:r>
        <w:rPr>
          <w:noProof/>
        </w:rPr>
        <w:tab/>
      </w:r>
      <w:r>
        <w:rPr>
          <w:noProof/>
        </w:rPr>
        <w:fldChar w:fldCharType="begin"/>
      </w:r>
      <w:r>
        <w:rPr>
          <w:noProof/>
        </w:rPr>
        <w:instrText xml:space="preserve"> PAGEREF _Toc234488955 \h </w:instrText>
      </w:r>
      <w:r>
        <w:rPr>
          <w:noProof/>
        </w:rPr>
      </w:r>
      <w:r>
        <w:rPr>
          <w:noProof/>
        </w:rPr>
        <w:fldChar w:fldCharType="separate"/>
      </w:r>
      <w:r>
        <w:rPr>
          <w:noProof/>
        </w:rPr>
        <w:t>xii</w:t>
      </w:r>
      <w:r>
        <w:rPr>
          <w:noProof/>
        </w:rPr>
        <w:fldChar w:fldCharType="end"/>
      </w:r>
    </w:p>
    <w:p w14:paraId="2233102D" w14:textId="37FA46CC" w:rsidR="009B5C28" w:rsidRDefault="009B5C28">
      <w:pPr>
        <w:pStyle w:val="TOC1"/>
        <w:tabs>
          <w:tab w:val="right" w:leader="dot" w:pos="9350"/>
        </w:tabs>
        <w:rPr>
          <w:rFonts w:eastAsiaTheme="minorEastAsia"/>
          <w:noProof/>
        </w:rPr>
      </w:pPr>
      <w:r w:rsidRPr="00D16B20">
        <w:rPr>
          <w:b/>
          <w:bCs/>
          <w:noProof/>
        </w:rPr>
        <w:t>LIST OF FIGURES</w:t>
      </w:r>
      <w:r>
        <w:rPr>
          <w:noProof/>
        </w:rPr>
        <w:tab/>
      </w:r>
      <w:r>
        <w:rPr>
          <w:noProof/>
        </w:rPr>
        <w:fldChar w:fldCharType="begin"/>
      </w:r>
      <w:r>
        <w:rPr>
          <w:noProof/>
        </w:rPr>
        <w:instrText xml:space="preserve"> PAGEREF _Toc234488956 \h </w:instrText>
      </w:r>
      <w:r>
        <w:rPr>
          <w:noProof/>
        </w:rPr>
      </w:r>
      <w:r>
        <w:rPr>
          <w:noProof/>
        </w:rPr>
        <w:fldChar w:fldCharType="separate"/>
      </w:r>
      <w:r>
        <w:rPr>
          <w:noProof/>
        </w:rPr>
        <w:t>xiii</w:t>
      </w:r>
      <w:r>
        <w:rPr>
          <w:noProof/>
        </w:rPr>
        <w:fldChar w:fldCharType="end"/>
      </w:r>
    </w:p>
    <w:p w14:paraId="1C0054B5" w14:textId="5FE2871E" w:rsidR="009B5C28" w:rsidRDefault="009B5C28">
      <w:pPr>
        <w:pStyle w:val="TOC1"/>
        <w:tabs>
          <w:tab w:val="right" w:leader="dot" w:pos="9350"/>
        </w:tabs>
        <w:rPr>
          <w:rFonts w:eastAsiaTheme="minorEastAsia"/>
          <w:noProof/>
        </w:rPr>
      </w:pPr>
      <w:r w:rsidRPr="00D16B20">
        <w:rPr>
          <w:b/>
          <w:bCs/>
          <w:noProof/>
        </w:rPr>
        <w:t>DEDICATION</w:t>
      </w:r>
      <w:r>
        <w:rPr>
          <w:noProof/>
        </w:rPr>
        <w:tab/>
      </w:r>
      <w:r>
        <w:rPr>
          <w:noProof/>
        </w:rPr>
        <w:fldChar w:fldCharType="begin"/>
      </w:r>
      <w:r>
        <w:rPr>
          <w:noProof/>
        </w:rPr>
        <w:instrText xml:space="preserve"> PAGEREF _Toc234488957 \h </w:instrText>
      </w:r>
      <w:r>
        <w:rPr>
          <w:noProof/>
        </w:rPr>
      </w:r>
      <w:r>
        <w:rPr>
          <w:noProof/>
        </w:rPr>
        <w:fldChar w:fldCharType="separate"/>
      </w:r>
      <w:r>
        <w:rPr>
          <w:noProof/>
        </w:rPr>
        <w:t>xiv</w:t>
      </w:r>
      <w:r>
        <w:rPr>
          <w:noProof/>
        </w:rPr>
        <w:fldChar w:fldCharType="end"/>
      </w:r>
    </w:p>
    <w:p w14:paraId="53BE6CBC" w14:textId="47CA24C2" w:rsidR="009B5C28" w:rsidRDefault="009B5C28">
      <w:pPr>
        <w:pStyle w:val="TOC1"/>
        <w:tabs>
          <w:tab w:val="right" w:leader="dot" w:pos="9350"/>
        </w:tabs>
        <w:rPr>
          <w:rFonts w:eastAsiaTheme="minorEastAsia"/>
          <w:noProof/>
        </w:rPr>
      </w:pPr>
      <w:r w:rsidRPr="00D16B20">
        <w:rPr>
          <w:b/>
          <w:bCs/>
          <w:noProof/>
        </w:rPr>
        <w:t>ACKNOWLEDGMENTS</w:t>
      </w:r>
      <w:r>
        <w:rPr>
          <w:noProof/>
        </w:rPr>
        <w:tab/>
      </w:r>
      <w:r>
        <w:rPr>
          <w:noProof/>
        </w:rPr>
        <w:fldChar w:fldCharType="begin"/>
      </w:r>
      <w:r>
        <w:rPr>
          <w:noProof/>
        </w:rPr>
        <w:instrText xml:space="preserve"> PAGEREF _Toc234488958 \h </w:instrText>
      </w:r>
      <w:r>
        <w:rPr>
          <w:noProof/>
        </w:rPr>
      </w:r>
      <w:r>
        <w:rPr>
          <w:noProof/>
        </w:rPr>
        <w:fldChar w:fldCharType="separate"/>
      </w:r>
      <w:r>
        <w:rPr>
          <w:noProof/>
        </w:rPr>
        <w:t>xv</w:t>
      </w:r>
      <w:r>
        <w:rPr>
          <w:noProof/>
        </w:rPr>
        <w:fldChar w:fldCharType="end"/>
      </w:r>
    </w:p>
    <w:p w14:paraId="4B5E3EFD" w14:textId="26AC0BDC" w:rsidR="009B5C28" w:rsidRDefault="009B5C28">
      <w:pPr>
        <w:pStyle w:val="TOC1"/>
        <w:tabs>
          <w:tab w:val="right" w:leader="dot" w:pos="9350"/>
        </w:tabs>
        <w:rPr>
          <w:rFonts w:eastAsiaTheme="minorEastAsia"/>
          <w:noProof/>
        </w:rPr>
      </w:pPr>
      <w:r w:rsidRPr="00D16B20">
        <w:rPr>
          <w:b/>
          <w:bCs/>
          <w:noProof/>
        </w:rPr>
        <w:t>ABBREVIATION &amp; ACRONYMS</w:t>
      </w:r>
      <w:r>
        <w:rPr>
          <w:noProof/>
        </w:rPr>
        <w:tab/>
      </w:r>
      <w:r>
        <w:rPr>
          <w:noProof/>
        </w:rPr>
        <w:fldChar w:fldCharType="begin"/>
      </w:r>
      <w:r>
        <w:rPr>
          <w:noProof/>
        </w:rPr>
        <w:instrText xml:space="preserve"> PAGEREF _Toc234488959 \h </w:instrText>
      </w:r>
      <w:r>
        <w:rPr>
          <w:noProof/>
        </w:rPr>
      </w:r>
      <w:r>
        <w:rPr>
          <w:noProof/>
        </w:rPr>
        <w:fldChar w:fldCharType="separate"/>
      </w:r>
      <w:r>
        <w:rPr>
          <w:noProof/>
        </w:rPr>
        <w:t>xvi</w:t>
      </w:r>
      <w:r>
        <w:rPr>
          <w:noProof/>
        </w:rPr>
        <w:fldChar w:fldCharType="end"/>
      </w:r>
    </w:p>
    <w:p w14:paraId="79A34FD1" w14:textId="5D6D617E" w:rsidR="009B5C28" w:rsidRDefault="009B5C28">
      <w:pPr>
        <w:pStyle w:val="TOC1"/>
        <w:tabs>
          <w:tab w:val="left" w:pos="1680"/>
          <w:tab w:val="right" w:leader="dot" w:pos="9350"/>
        </w:tabs>
        <w:rPr>
          <w:rFonts w:eastAsiaTheme="minorEastAsia"/>
          <w:noProof/>
        </w:rPr>
      </w:pPr>
      <w:r w:rsidRPr="00D16B20">
        <w:rPr>
          <w:rFonts w:cs="Times New Roman"/>
          <w:noProof/>
          <w:color w:val="000000" w:themeColor="text1"/>
        </w:rPr>
        <w:t>CHAPTER 1 :</w:t>
      </w:r>
      <w:r>
        <w:rPr>
          <w:rFonts w:eastAsiaTheme="minorEastAsia"/>
          <w:noProof/>
        </w:rPr>
        <w:tab/>
      </w:r>
      <w:r w:rsidRPr="00D16B20">
        <w:rPr>
          <w:rFonts w:cs="Times New Roman"/>
          <w:noProof/>
          <w:color w:val="000000" w:themeColor="text1"/>
        </w:rPr>
        <w:t>INTRODUCTION</w:t>
      </w:r>
      <w:r>
        <w:rPr>
          <w:noProof/>
        </w:rPr>
        <w:tab/>
      </w:r>
      <w:r>
        <w:rPr>
          <w:noProof/>
        </w:rPr>
        <w:fldChar w:fldCharType="begin"/>
      </w:r>
      <w:r>
        <w:rPr>
          <w:noProof/>
        </w:rPr>
        <w:instrText xml:space="preserve"> PAGEREF _Toc234488960 \h </w:instrText>
      </w:r>
      <w:r>
        <w:rPr>
          <w:noProof/>
        </w:rPr>
      </w:r>
      <w:r>
        <w:rPr>
          <w:noProof/>
        </w:rPr>
        <w:fldChar w:fldCharType="separate"/>
      </w:r>
      <w:r>
        <w:rPr>
          <w:noProof/>
        </w:rPr>
        <w:t>1</w:t>
      </w:r>
      <w:r>
        <w:rPr>
          <w:noProof/>
        </w:rPr>
        <w:fldChar w:fldCharType="end"/>
      </w:r>
    </w:p>
    <w:p w14:paraId="0939F1F3" w14:textId="2A74BC76" w:rsidR="009B5C28" w:rsidRDefault="009B5C28">
      <w:pPr>
        <w:pStyle w:val="TOC2"/>
        <w:tabs>
          <w:tab w:val="left" w:pos="960"/>
          <w:tab w:val="right" w:leader="dot" w:pos="9350"/>
        </w:tabs>
        <w:rPr>
          <w:rFonts w:eastAsiaTheme="minorEastAsia"/>
          <w:noProof/>
        </w:rPr>
      </w:pPr>
      <w:r w:rsidRPr="00D16B20">
        <w:rPr>
          <w:rFonts w:cs="Times New Roman"/>
          <w:bCs/>
          <w:noProof/>
          <w:color w:val="000000" w:themeColor="text1"/>
        </w:rPr>
        <w:t>1.1</w:t>
      </w:r>
      <w:r>
        <w:rPr>
          <w:rFonts w:eastAsiaTheme="minorEastAsia"/>
          <w:noProof/>
        </w:rPr>
        <w:tab/>
      </w:r>
      <w:r w:rsidRPr="00D16B20">
        <w:rPr>
          <w:rFonts w:cs="Times New Roman"/>
          <w:bCs/>
          <w:noProof/>
          <w:color w:val="000000" w:themeColor="text1"/>
        </w:rPr>
        <w:t>Background of Study</w:t>
      </w:r>
      <w:r>
        <w:rPr>
          <w:noProof/>
        </w:rPr>
        <w:tab/>
      </w:r>
      <w:r>
        <w:rPr>
          <w:noProof/>
        </w:rPr>
        <w:fldChar w:fldCharType="begin"/>
      </w:r>
      <w:r>
        <w:rPr>
          <w:noProof/>
        </w:rPr>
        <w:instrText xml:space="preserve"> PAGEREF _Toc234488961 \h </w:instrText>
      </w:r>
      <w:r>
        <w:rPr>
          <w:noProof/>
        </w:rPr>
      </w:r>
      <w:r>
        <w:rPr>
          <w:noProof/>
        </w:rPr>
        <w:fldChar w:fldCharType="separate"/>
      </w:r>
      <w:r>
        <w:rPr>
          <w:noProof/>
        </w:rPr>
        <w:t>1</w:t>
      </w:r>
      <w:r>
        <w:rPr>
          <w:noProof/>
        </w:rPr>
        <w:fldChar w:fldCharType="end"/>
      </w:r>
    </w:p>
    <w:p w14:paraId="0F03B5D9" w14:textId="43875096" w:rsidR="009B5C28" w:rsidRDefault="009B5C28">
      <w:pPr>
        <w:pStyle w:val="TOC2"/>
        <w:tabs>
          <w:tab w:val="left" w:pos="960"/>
          <w:tab w:val="right" w:leader="dot" w:pos="9350"/>
        </w:tabs>
        <w:rPr>
          <w:rFonts w:eastAsiaTheme="minorEastAsia"/>
          <w:noProof/>
        </w:rPr>
      </w:pPr>
      <w:r w:rsidRPr="00D16B20">
        <w:rPr>
          <w:rFonts w:cs="Times New Roman"/>
          <w:bCs/>
          <w:noProof/>
          <w:color w:val="000000" w:themeColor="text1"/>
        </w:rPr>
        <w:t>1.2</w:t>
      </w:r>
      <w:r>
        <w:rPr>
          <w:rFonts w:eastAsiaTheme="minorEastAsia"/>
          <w:noProof/>
        </w:rPr>
        <w:tab/>
      </w:r>
      <w:r w:rsidRPr="00D16B20">
        <w:rPr>
          <w:rFonts w:cs="Times New Roman"/>
          <w:bCs/>
          <w:noProof/>
          <w:color w:val="000000" w:themeColor="text1"/>
        </w:rPr>
        <w:t>Global, Regional, and Kenyan Context of Infrastructure Underperformance</w:t>
      </w:r>
      <w:r>
        <w:rPr>
          <w:noProof/>
        </w:rPr>
        <w:tab/>
      </w:r>
      <w:r>
        <w:rPr>
          <w:noProof/>
        </w:rPr>
        <w:fldChar w:fldCharType="begin"/>
      </w:r>
      <w:r>
        <w:rPr>
          <w:noProof/>
        </w:rPr>
        <w:instrText xml:space="preserve"> PAGEREF _Toc234488962 \h </w:instrText>
      </w:r>
      <w:r>
        <w:rPr>
          <w:noProof/>
        </w:rPr>
      </w:r>
      <w:r>
        <w:rPr>
          <w:noProof/>
        </w:rPr>
        <w:fldChar w:fldCharType="separate"/>
      </w:r>
      <w:r>
        <w:rPr>
          <w:noProof/>
        </w:rPr>
        <w:t>4</w:t>
      </w:r>
      <w:r>
        <w:rPr>
          <w:noProof/>
        </w:rPr>
        <w:fldChar w:fldCharType="end"/>
      </w:r>
    </w:p>
    <w:p w14:paraId="1C63ECA6" w14:textId="4E1A008E" w:rsidR="009B5C28" w:rsidRDefault="009B5C28">
      <w:pPr>
        <w:pStyle w:val="TOC2"/>
        <w:tabs>
          <w:tab w:val="left" w:pos="960"/>
          <w:tab w:val="right" w:leader="dot" w:pos="9350"/>
        </w:tabs>
        <w:rPr>
          <w:rFonts w:eastAsiaTheme="minorEastAsia"/>
          <w:noProof/>
        </w:rPr>
      </w:pPr>
      <w:r w:rsidRPr="00D16B20">
        <w:rPr>
          <w:rFonts w:cs="Times New Roman"/>
          <w:bCs/>
          <w:noProof/>
          <w:color w:val="000000" w:themeColor="text1"/>
        </w:rPr>
        <w:t>1.3</w:t>
      </w:r>
      <w:r>
        <w:rPr>
          <w:rFonts w:eastAsiaTheme="minorEastAsia"/>
          <w:noProof/>
        </w:rPr>
        <w:tab/>
      </w:r>
      <w:r w:rsidRPr="00D16B20">
        <w:rPr>
          <w:rFonts w:cs="Times New Roman"/>
          <w:bCs/>
          <w:noProof/>
          <w:color w:val="000000" w:themeColor="text1"/>
        </w:rPr>
        <w:t>Kenya as an Analytical Context for Infrastructure Governance</w:t>
      </w:r>
      <w:r>
        <w:rPr>
          <w:noProof/>
        </w:rPr>
        <w:tab/>
      </w:r>
      <w:r>
        <w:rPr>
          <w:noProof/>
        </w:rPr>
        <w:fldChar w:fldCharType="begin"/>
      </w:r>
      <w:r>
        <w:rPr>
          <w:noProof/>
        </w:rPr>
        <w:instrText xml:space="preserve"> PAGEREF _Toc234488963 \h </w:instrText>
      </w:r>
      <w:r>
        <w:rPr>
          <w:noProof/>
        </w:rPr>
      </w:r>
      <w:r>
        <w:rPr>
          <w:noProof/>
        </w:rPr>
        <w:fldChar w:fldCharType="separate"/>
      </w:r>
      <w:r>
        <w:rPr>
          <w:noProof/>
        </w:rPr>
        <w:t>5</w:t>
      </w:r>
      <w:r>
        <w:rPr>
          <w:noProof/>
        </w:rPr>
        <w:fldChar w:fldCharType="end"/>
      </w:r>
    </w:p>
    <w:p w14:paraId="407A533A" w14:textId="0B4EEA39" w:rsidR="009B5C28" w:rsidRDefault="009B5C28">
      <w:pPr>
        <w:pStyle w:val="TOC2"/>
        <w:tabs>
          <w:tab w:val="left" w:pos="960"/>
          <w:tab w:val="right" w:leader="dot" w:pos="9350"/>
        </w:tabs>
        <w:rPr>
          <w:rFonts w:eastAsiaTheme="minorEastAsia"/>
          <w:noProof/>
        </w:rPr>
      </w:pPr>
      <w:r w:rsidRPr="00D16B20">
        <w:rPr>
          <w:rFonts w:cs="Times New Roman"/>
          <w:bCs/>
          <w:noProof/>
          <w:color w:val="000000" w:themeColor="text1"/>
        </w:rPr>
        <w:t>1.4</w:t>
      </w:r>
      <w:r>
        <w:rPr>
          <w:rFonts w:eastAsiaTheme="minorEastAsia"/>
          <w:noProof/>
        </w:rPr>
        <w:tab/>
      </w:r>
      <w:r w:rsidRPr="00D16B20">
        <w:rPr>
          <w:rFonts w:cs="Times New Roman"/>
          <w:bCs/>
          <w:noProof/>
          <w:color w:val="000000" w:themeColor="text1"/>
        </w:rPr>
        <w:t>Water Management Infrastructure Governance in Kenya</w:t>
      </w:r>
      <w:r>
        <w:rPr>
          <w:noProof/>
        </w:rPr>
        <w:tab/>
      </w:r>
      <w:r>
        <w:rPr>
          <w:noProof/>
        </w:rPr>
        <w:fldChar w:fldCharType="begin"/>
      </w:r>
      <w:r>
        <w:rPr>
          <w:noProof/>
        </w:rPr>
        <w:instrText xml:space="preserve"> PAGEREF _Toc234488964 \h </w:instrText>
      </w:r>
      <w:r>
        <w:rPr>
          <w:noProof/>
        </w:rPr>
      </w:r>
      <w:r>
        <w:rPr>
          <w:noProof/>
        </w:rPr>
        <w:fldChar w:fldCharType="separate"/>
      </w:r>
      <w:r>
        <w:rPr>
          <w:noProof/>
        </w:rPr>
        <w:t>6</w:t>
      </w:r>
      <w:r>
        <w:rPr>
          <w:noProof/>
        </w:rPr>
        <w:fldChar w:fldCharType="end"/>
      </w:r>
    </w:p>
    <w:p w14:paraId="2FD7B761" w14:textId="524FA167" w:rsidR="009B5C28" w:rsidRDefault="009B5C28">
      <w:pPr>
        <w:pStyle w:val="TOC3"/>
        <w:tabs>
          <w:tab w:val="left" w:pos="1440"/>
          <w:tab w:val="right" w:leader="dot" w:pos="9350"/>
        </w:tabs>
        <w:rPr>
          <w:rFonts w:eastAsiaTheme="minorEastAsia"/>
          <w:noProof/>
        </w:rPr>
      </w:pPr>
      <w:r w:rsidRPr="00D16B20">
        <w:rPr>
          <w:rFonts w:cs="Times New Roman"/>
          <w:noProof/>
          <w:color w:val="000000" w:themeColor="text1"/>
        </w:rPr>
        <w:t>1.4.1</w:t>
      </w:r>
      <w:r>
        <w:rPr>
          <w:rFonts w:eastAsiaTheme="minorEastAsia"/>
          <w:noProof/>
        </w:rPr>
        <w:tab/>
      </w:r>
      <w:r w:rsidRPr="00D16B20">
        <w:rPr>
          <w:rFonts w:cs="Times New Roman"/>
          <w:noProof/>
          <w:color w:val="000000" w:themeColor="text1"/>
        </w:rPr>
        <w:t>Hydro-climatic pressures</w:t>
      </w:r>
      <w:r>
        <w:rPr>
          <w:noProof/>
        </w:rPr>
        <w:tab/>
      </w:r>
      <w:r>
        <w:rPr>
          <w:noProof/>
        </w:rPr>
        <w:fldChar w:fldCharType="begin"/>
      </w:r>
      <w:r>
        <w:rPr>
          <w:noProof/>
        </w:rPr>
        <w:instrText xml:space="preserve"> PAGEREF _Toc234488965 \h </w:instrText>
      </w:r>
      <w:r>
        <w:rPr>
          <w:noProof/>
        </w:rPr>
      </w:r>
      <w:r>
        <w:rPr>
          <w:noProof/>
        </w:rPr>
        <w:fldChar w:fldCharType="separate"/>
      </w:r>
      <w:r>
        <w:rPr>
          <w:noProof/>
        </w:rPr>
        <w:t>6</w:t>
      </w:r>
      <w:r>
        <w:rPr>
          <w:noProof/>
        </w:rPr>
        <w:fldChar w:fldCharType="end"/>
      </w:r>
    </w:p>
    <w:p w14:paraId="01A2DFE1" w14:textId="2FC6ACF6" w:rsidR="009B5C28" w:rsidRDefault="009B5C28">
      <w:pPr>
        <w:pStyle w:val="TOC3"/>
        <w:tabs>
          <w:tab w:val="left" w:pos="1440"/>
          <w:tab w:val="right" w:leader="dot" w:pos="9350"/>
        </w:tabs>
        <w:rPr>
          <w:rFonts w:eastAsiaTheme="minorEastAsia"/>
          <w:noProof/>
        </w:rPr>
      </w:pPr>
      <w:r w:rsidRPr="00D16B20">
        <w:rPr>
          <w:rFonts w:cs="Times New Roman"/>
          <w:noProof/>
          <w:color w:val="000000" w:themeColor="text1"/>
        </w:rPr>
        <w:t>1.4.2</w:t>
      </w:r>
      <w:r>
        <w:rPr>
          <w:rFonts w:eastAsiaTheme="minorEastAsia"/>
          <w:noProof/>
        </w:rPr>
        <w:tab/>
      </w:r>
      <w:r w:rsidRPr="00D16B20">
        <w:rPr>
          <w:rFonts w:cs="Times New Roman"/>
          <w:noProof/>
          <w:color w:val="000000" w:themeColor="text1"/>
        </w:rPr>
        <w:t>Institutional fragmentation under devolution</w:t>
      </w:r>
      <w:r>
        <w:rPr>
          <w:noProof/>
        </w:rPr>
        <w:tab/>
      </w:r>
      <w:r>
        <w:rPr>
          <w:noProof/>
        </w:rPr>
        <w:fldChar w:fldCharType="begin"/>
      </w:r>
      <w:r>
        <w:rPr>
          <w:noProof/>
        </w:rPr>
        <w:instrText xml:space="preserve"> PAGEREF _Toc234488966 \h </w:instrText>
      </w:r>
      <w:r>
        <w:rPr>
          <w:noProof/>
        </w:rPr>
      </w:r>
      <w:r>
        <w:rPr>
          <w:noProof/>
        </w:rPr>
        <w:fldChar w:fldCharType="separate"/>
      </w:r>
      <w:r>
        <w:rPr>
          <w:noProof/>
        </w:rPr>
        <w:t>7</w:t>
      </w:r>
      <w:r>
        <w:rPr>
          <w:noProof/>
        </w:rPr>
        <w:fldChar w:fldCharType="end"/>
      </w:r>
    </w:p>
    <w:p w14:paraId="607373D5" w14:textId="5FAF1C4A" w:rsidR="009B5C28" w:rsidRDefault="009B5C28">
      <w:pPr>
        <w:pStyle w:val="TOC2"/>
        <w:tabs>
          <w:tab w:val="left" w:pos="960"/>
          <w:tab w:val="right" w:leader="dot" w:pos="9350"/>
        </w:tabs>
        <w:rPr>
          <w:rFonts w:eastAsiaTheme="minorEastAsia"/>
          <w:noProof/>
        </w:rPr>
      </w:pPr>
      <w:r w:rsidRPr="00D16B20">
        <w:rPr>
          <w:rFonts w:cs="Times New Roman"/>
          <w:noProof/>
          <w:color w:val="000000" w:themeColor="text1"/>
        </w:rPr>
        <w:t>1.5</w:t>
      </w:r>
      <w:r>
        <w:rPr>
          <w:rFonts w:eastAsiaTheme="minorEastAsia"/>
          <w:noProof/>
        </w:rPr>
        <w:tab/>
      </w:r>
      <w:r w:rsidRPr="00D16B20">
        <w:rPr>
          <w:rFonts w:cs="Times New Roman"/>
          <w:noProof/>
          <w:color w:val="000000" w:themeColor="text1"/>
        </w:rPr>
        <w:t>Capital Mobilization versus Governance Capability</w:t>
      </w:r>
      <w:r>
        <w:rPr>
          <w:noProof/>
        </w:rPr>
        <w:tab/>
      </w:r>
      <w:r>
        <w:rPr>
          <w:noProof/>
        </w:rPr>
        <w:fldChar w:fldCharType="begin"/>
      </w:r>
      <w:r>
        <w:rPr>
          <w:noProof/>
        </w:rPr>
        <w:instrText xml:space="preserve"> PAGEREF _Toc234488967 \h </w:instrText>
      </w:r>
      <w:r>
        <w:rPr>
          <w:noProof/>
        </w:rPr>
      </w:r>
      <w:r>
        <w:rPr>
          <w:noProof/>
        </w:rPr>
        <w:fldChar w:fldCharType="separate"/>
      </w:r>
      <w:r>
        <w:rPr>
          <w:noProof/>
        </w:rPr>
        <w:t>8</w:t>
      </w:r>
      <w:r>
        <w:rPr>
          <w:noProof/>
        </w:rPr>
        <w:fldChar w:fldCharType="end"/>
      </w:r>
    </w:p>
    <w:p w14:paraId="482F9BF4" w14:textId="4E0826D8" w:rsidR="009B5C28" w:rsidRDefault="009B5C28">
      <w:pPr>
        <w:pStyle w:val="TOC2"/>
        <w:tabs>
          <w:tab w:val="left" w:pos="960"/>
          <w:tab w:val="right" w:leader="dot" w:pos="9350"/>
        </w:tabs>
        <w:rPr>
          <w:rFonts w:eastAsiaTheme="minorEastAsia"/>
          <w:noProof/>
        </w:rPr>
      </w:pPr>
      <w:r w:rsidRPr="00D16B20">
        <w:rPr>
          <w:rFonts w:cs="Times New Roman"/>
          <w:bCs/>
          <w:noProof/>
          <w:color w:val="000000" w:themeColor="text1"/>
        </w:rPr>
        <w:t>1.6</w:t>
      </w:r>
      <w:r>
        <w:rPr>
          <w:rFonts w:eastAsiaTheme="minorEastAsia"/>
          <w:noProof/>
        </w:rPr>
        <w:tab/>
      </w:r>
      <w:r w:rsidRPr="00D16B20">
        <w:rPr>
          <w:rFonts w:cs="Times New Roman"/>
          <w:bCs/>
          <w:noProof/>
          <w:color w:val="000000" w:themeColor="text1"/>
        </w:rPr>
        <w:t>Governance Failure and Project Stalling</w:t>
      </w:r>
      <w:r>
        <w:rPr>
          <w:noProof/>
        </w:rPr>
        <w:tab/>
      </w:r>
      <w:r>
        <w:rPr>
          <w:noProof/>
        </w:rPr>
        <w:fldChar w:fldCharType="begin"/>
      </w:r>
      <w:r>
        <w:rPr>
          <w:noProof/>
        </w:rPr>
        <w:instrText xml:space="preserve"> PAGEREF _Toc234488968 \h </w:instrText>
      </w:r>
      <w:r>
        <w:rPr>
          <w:noProof/>
        </w:rPr>
      </w:r>
      <w:r>
        <w:rPr>
          <w:noProof/>
        </w:rPr>
        <w:fldChar w:fldCharType="separate"/>
      </w:r>
      <w:r>
        <w:rPr>
          <w:noProof/>
        </w:rPr>
        <w:t>8</w:t>
      </w:r>
      <w:r>
        <w:rPr>
          <w:noProof/>
        </w:rPr>
        <w:fldChar w:fldCharType="end"/>
      </w:r>
    </w:p>
    <w:p w14:paraId="657EC252" w14:textId="51612C5B" w:rsidR="009B5C28" w:rsidRDefault="009B5C28">
      <w:pPr>
        <w:pStyle w:val="TOC2"/>
        <w:tabs>
          <w:tab w:val="left" w:pos="960"/>
          <w:tab w:val="right" w:leader="dot" w:pos="9350"/>
        </w:tabs>
        <w:rPr>
          <w:rFonts w:eastAsiaTheme="minorEastAsia"/>
          <w:noProof/>
        </w:rPr>
      </w:pPr>
      <w:r w:rsidRPr="00D16B20">
        <w:rPr>
          <w:rFonts w:cs="Times New Roman"/>
          <w:bCs/>
          <w:noProof/>
          <w:color w:val="000000" w:themeColor="text1"/>
        </w:rPr>
        <w:t>1.7</w:t>
      </w:r>
      <w:r>
        <w:rPr>
          <w:rFonts w:eastAsiaTheme="minorEastAsia"/>
          <w:noProof/>
        </w:rPr>
        <w:tab/>
      </w:r>
      <w:r w:rsidRPr="00D16B20">
        <w:rPr>
          <w:rFonts w:cs="Times New Roman"/>
          <w:bCs/>
          <w:noProof/>
          <w:color w:val="000000" w:themeColor="text1"/>
        </w:rPr>
        <w:t>Conceptualizing Project Stalling as a Distinct Outcome</w:t>
      </w:r>
      <w:r>
        <w:rPr>
          <w:noProof/>
        </w:rPr>
        <w:tab/>
      </w:r>
      <w:r>
        <w:rPr>
          <w:noProof/>
        </w:rPr>
        <w:fldChar w:fldCharType="begin"/>
      </w:r>
      <w:r>
        <w:rPr>
          <w:noProof/>
        </w:rPr>
        <w:instrText xml:space="preserve"> PAGEREF _Toc234488969 \h </w:instrText>
      </w:r>
      <w:r>
        <w:rPr>
          <w:noProof/>
        </w:rPr>
      </w:r>
      <w:r>
        <w:rPr>
          <w:noProof/>
        </w:rPr>
        <w:fldChar w:fldCharType="separate"/>
      </w:r>
      <w:r>
        <w:rPr>
          <w:noProof/>
        </w:rPr>
        <w:t>9</w:t>
      </w:r>
      <w:r>
        <w:rPr>
          <w:noProof/>
        </w:rPr>
        <w:fldChar w:fldCharType="end"/>
      </w:r>
    </w:p>
    <w:p w14:paraId="4AF1A618" w14:textId="5A6DD0AC" w:rsidR="009B5C28" w:rsidRDefault="009B5C28">
      <w:pPr>
        <w:pStyle w:val="TOC2"/>
        <w:tabs>
          <w:tab w:val="left" w:pos="960"/>
          <w:tab w:val="right" w:leader="dot" w:pos="9350"/>
        </w:tabs>
        <w:rPr>
          <w:rFonts w:eastAsiaTheme="minorEastAsia"/>
          <w:noProof/>
        </w:rPr>
      </w:pPr>
      <w:r w:rsidRPr="00D16B20">
        <w:rPr>
          <w:rFonts w:cs="Times New Roman"/>
          <w:bCs/>
          <w:noProof/>
          <w:color w:val="000000" w:themeColor="text1"/>
        </w:rPr>
        <w:t>1.8</w:t>
      </w:r>
      <w:r>
        <w:rPr>
          <w:rFonts w:eastAsiaTheme="minorEastAsia"/>
          <w:noProof/>
        </w:rPr>
        <w:tab/>
      </w:r>
      <w:r w:rsidRPr="00D16B20">
        <w:rPr>
          <w:rFonts w:cs="Times New Roman"/>
          <w:bCs/>
          <w:noProof/>
          <w:color w:val="000000" w:themeColor="text1"/>
        </w:rPr>
        <w:t>Problem Statement</w:t>
      </w:r>
      <w:r>
        <w:rPr>
          <w:noProof/>
        </w:rPr>
        <w:tab/>
      </w:r>
      <w:r>
        <w:rPr>
          <w:noProof/>
        </w:rPr>
        <w:fldChar w:fldCharType="begin"/>
      </w:r>
      <w:r>
        <w:rPr>
          <w:noProof/>
        </w:rPr>
        <w:instrText xml:space="preserve"> PAGEREF _Toc234488970 \h </w:instrText>
      </w:r>
      <w:r>
        <w:rPr>
          <w:noProof/>
        </w:rPr>
      </w:r>
      <w:r>
        <w:rPr>
          <w:noProof/>
        </w:rPr>
        <w:fldChar w:fldCharType="separate"/>
      </w:r>
      <w:r>
        <w:rPr>
          <w:noProof/>
        </w:rPr>
        <w:t>10</w:t>
      </w:r>
      <w:r>
        <w:rPr>
          <w:noProof/>
        </w:rPr>
        <w:fldChar w:fldCharType="end"/>
      </w:r>
    </w:p>
    <w:p w14:paraId="337DCC8C" w14:textId="7808620B" w:rsidR="009B5C28" w:rsidRDefault="009B5C28">
      <w:pPr>
        <w:pStyle w:val="TOC2"/>
        <w:tabs>
          <w:tab w:val="left" w:pos="960"/>
          <w:tab w:val="right" w:leader="dot" w:pos="9350"/>
        </w:tabs>
        <w:rPr>
          <w:rFonts w:eastAsiaTheme="minorEastAsia"/>
          <w:noProof/>
        </w:rPr>
      </w:pPr>
      <w:r w:rsidRPr="00D16B20">
        <w:rPr>
          <w:rFonts w:cs="Times New Roman"/>
          <w:bCs/>
          <w:noProof/>
          <w:color w:val="000000" w:themeColor="text1"/>
        </w:rPr>
        <w:t>1.9</w:t>
      </w:r>
      <w:r>
        <w:rPr>
          <w:rFonts w:eastAsiaTheme="minorEastAsia"/>
          <w:noProof/>
        </w:rPr>
        <w:tab/>
      </w:r>
      <w:r w:rsidRPr="00D16B20">
        <w:rPr>
          <w:rFonts w:cs="Times New Roman"/>
          <w:bCs/>
          <w:noProof/>
          <w:color w:val="000000" w:themeColor="text1"/>
        </w:rPr>
        <w:t>Research Questions</w:t>
      </w:r>
      <w:r>
        <w:rPr>
          <w:noProof/>
        </w:rPr>
        <w:tab/>
      </w:r>
      <w:r>
        <w:rPr>
          <w:noProof/>
        </w:rPr>
        <w:fldChar w:fldCharType="begin"/>
      </w:r>
      <w:r>
        <w:rPr>
          <w:noProof/>
        </w:rPr>
        <w:instrText xml:space="preserve"> PAGEREF _Toc234488971 \h </w:instrText>
      </w:r>
      <w:r>
        <w:rPr>
          <w:noProof/>
        </w:rPr>
      </w:r>
      <w:r>
        <w:rPr>
          <w:noProof/>
        </w:rPr>
        <w:fldChar w:fldCharType="separate"/>
      </w:r>
      <w:r>
        <w:rPr>
          <w:noProof/>
        </w:rPr>
        <w:t>11</w:t>
      </w:r>
      <w:r>
        <w:rPr>
          <w:noProof/>
        </w:rPr>
        <w:fldChar w:fldCharType="end"/>
      </w:r>
    </w:p>
    <w:p w14:paraId="7C1CEAED" w14:textId="284D3E09" w:rsidR="009B5C28" w:rsidRDefault="009B5C28">
      <w:pPr>
        <w:pStyle w:val="TOC2"/>
        <w:tabs>
          <w:tab w:val="left" w:pos="960"/>
          <w:tab w:val="right" w:leader="dot" w:pos="9350"/>
        </w:tabs>
        <w:rPr>
          <w:rFonts w:eastAsiaTheme="minorEastAsia"/>
          <w:noProof/>
        </w:rPr>
      </w:pPr>
      <w:r w:rsidRPr="00D16B20">
        <w:rPr>
          <w:rFonts w:cs="Times New Roman"/>
          <w:bCs/>
          <w:noProof/>
          <w:color w:val="000000" w:themeColor="text1"/>
        </w:rPr>
        <w:t>1.10</w:t>
      </w:r>
      <w:r>
        <w:rPr>
          <w:rFonts w:eastAsiaTheme="minorEastAsia"/>
          <w:noProof/>
        </w:rPr>
        <w:tab/>
      </w:r>
      <w:r w:rsidRPr="00D16B20">
        <w:rPr>
          <w:rFonts w:cs="Times New Roman"/>
          <w:bCs/>
          <w:noProof/>
          <w:color w:val="000000" w:themeColor="text1"/>
        </w:rPr>
        <w:t>Research Objectives</w:t>
      </w:r>
      <w:r>
        <w:rPr>
          <w:noProof/>
        </w:rPr>
        <w:tab/>
      </w:r>
      <w:r>
        <w:rPr>
          <w:noProof/>
        </w:rPr>
        <w:fldChar w:fldCharType="begin"/>
      </w:r>
      <w:r>
        <w:rPr>
          <w:noProof/>
        </w:rPr>
        <w:instrText xml:space="preserve"> PAGEREF _Toc234488972 \h </w:instrText>
      </w:r>
      <w:r>
        <w:rPr>
          <w:noProof/>
        </w:rPr>
      </w:r>
      <w:r>
        <w:rPr>
          <w:noProof/>
        </w:rPr>
        <w:fldChar w:fldCharType="separate"/>
      </w:r>
      <w:r>
        <w:rPr>
          <w:noProof/>
        </w:rPr>
        <w:t>11</w:t>
      </w:r>
      <w:r>
        <w:rPr>
          <w:noProof/>
        </w:rPr>
        <w:fldChar w:fldCharType="end"/>
      </w:r>
    </w:p>
    <w:p w14:paraId="7C6D7EA7" w14:textId="7603D230" w:rsidR="009B5C28" w:rsidRDefault="009B5C28">
      <w:pPr>
        <w:pStyle w:val="TOC2"/>
        <w:tabs>
          <w:tab w:val="left" w:pos="960"/>
          <w:tab w:val="right" w:leader="dot" w:pos="9350"/>
        </w:tabs>
        <w:rPr>
          <w:rFonts w:eastAsiaTheme="minorEastAsia"/>
          <w:noProof/>
        </w:rPr>
      </w:pPr>
      <w:r w:rsidRPr="00D16B20">
        <w:rPr>
          <w:rFonts w:cs="Times New Roman"/>
          <w:bCs/>
          <w:noProof/>
          <w:color w:val="000000" w:themeColor="text1"/>
        </w:rPr>
        <w:t>1.11</w:t>
      </w:r>
      <w:r>
        <w:rPr>
          <w:rFonts w:eastAsiaTheme="minorEastAsia"/>
          <w:noProof/>
        </w:rPr>
        <w:tab/>
      </w:r>
      <w:r w:rsidRPr="00D16B20">
        <w:rPr>
          <w:rFonts w:cs="Times New Roman"/>
          <w:bCs/>
          <w:noProof/>
          <w:color w:val="000000" w:themeColor="text1"/>
        </w:rPr>
        <w:t>Significance of Study</w:t>
      </w:r>
      <w:r>
        <w:rPr>
          <w:noProof/>
        </w:rPr>
        <w:tab/>
      </w:r>
      <w:r>
        <w:rPr>
          <w:noProof/>
        </w:rPr>
        <w:fldChar w:fldCharType="begin"/>
      </w:r>
      <w:r>
        <w:rPr>
          <w:noProof/>
        </w:rPr>
        <w:instrText xml:space="preserve"> PAGEREF _Toc234488973 \h </w:instrText>
      </w:r>
      <w:r>
        <w:rPr>
          <w:noProof/>
        </w:rPr>
      </w:r>
      <w:r>
        <w:rPr>
          <w:noProof/>
        </w:rPr>
        <w:fldChar w:fldCharType="separate"/>
      </w:r>
      <w:r>
        <w:rPr>
          <w:noProof/>
        </w:rPr>
        <w:t>12</w:t>
      </w:r>
      <w:r>
        <w:rPr>
          <w:noProof/>
        </w:rPr>
        <w:fldChar w:fldCharType="end"/>
      </w:r>
    </w:p>
    <w:p w14:paraId="0FA0D6EA" w14:textId="1A0A517B" w:rsidR="009B5C28" w:rsidRDefault="009B5C28">
      <w:pPr>
        <w:pStyle w:val="TOC3"/>
        <w:tabs>
          <w:tab w:val="left" w:pos="1440"/>
          <w:tab w:val="right" w:leader="dot" w:pos="9350"/>
        </w:tabs>
        <w:rPr>
          <w:rFonts w:eastAsiaTheme="minorEastAsia"/>
          <w:noProof/>
        </w:rPr>
      </w:pPr>
      <w:r w:rsidRPr="00D16B20">
        <w:rPr>
          <w:rFonts w:cs="Times New Roman"/>
          <w:noProof/>
          <w:color w:val="000000" w:themeColor="text1"/>
        </w:rPr>
        <w:t>1.11.1</w:t>
      </w:r>
      <w:r>
        <w:rPr>
          <w:rFonts w:eastAsiaTheme="minorEastAsia"/>
          <w:noProof/>
        </w:rPr>
        <w:tab/>
      </w:r>
      <w:r w:rsidRPr="00D16B20">
        <w:rPr>
          <w:rFonts w:cs="Times New Roman"/>
          <w:noProof/>
          <w:color w:val="000000" w:themeColor="text1"/>
        </w:rPr>
        <w:t>Empirical Contribution</w:t>
      </w:r>
      <w:r>
        <w:rPr>
          <w:noProof/>
        </w:rPr>
        <w:tab/>
      </w:r>
      <w:r>
        <w:rPr>
          <w:noProof/>
        </w:rPr>
        <w:fldChar w:fldCharType="begin"/>
      </w:r>
      <w:r>
        <w:rPr>
          <w:noProof/>
        </w:rPr>
        <w:instrText xml:space="preserve"> PAGEREF _Toc234488974 \h </w:instrText>
      </w:r>
      <w:r>
        <w:rPr>
          <w:noProof/>
        </w:rPr>
      </w:r>
      <w:r>
        <w:rPr>
          <w:noProof/>
        </w:rPr>
        <w:fldChar w:fldCharType="separate"/>
      </w:r>
      <w:r>
        <w:rPr>
          <w:noProof/>
        </w:rPr>
        <w:t>12</w:t>
      </w:r>
      <w:r>
        <w:rPr>
          <w:noProof/>
        </w:rPr>
        <w:fldChar w:fldCharType="end"/>
      </w:r>
    </w:p>
    <w:p w14:paraId="2861876E" w14:textId="17F81428" w:rsidR="009B5C28" w:rsidRDefault="009B5C28">
      <w:pPr>
        <w:pStyle w:val="TOC3"/>
        <w:tabs>
          <w:tab w:val="left" w:pos="1440"/>
          <w:tab w:val="right" w:leader="dot" w:pos="9350"/>
        </w:tabs>
        <w:rPr>
          <w:rFonts w:eastAsiaTheme="minorEastAsia"/>
          <w:noProof/>
        </w:rPr>
      </w:pPr>
      <w:r w:rsidRPr="00D16B20">
        <w:rPr>
          <w:rFonts w:cs="Times New Roman"/>
          <w:bCs/>
          <w:noProof/>
          <w:color w:val="000000" w:themeColor="text1"/>
        </w:rPr>
        <w:t>1.11.2</w:t>
      </w:r>
      <w:r>
        <w:rPr>
          <w:rFonts w:eastAsiaTheme="minorEastAsia"/>
          <w:noProof/>
        </w:rPr>
        <w:tab/>
      </w:r>
      <w:r w:rsidRPr="00D16B20">
        <w:rPr>
          <w:rFonts w:cs="Times New Roman"/>
          <w:bCs/>
          <w:noProof/>
          <w:color w:val="000000" w:themeColor="text1"/>
        </w:rPr>
        <w:t>Theoretical Contribution</w:t>
      </w:r>
      <w:r>
        <w:rPr>
          <w:noProof/>
        </w:rPr>
        <w:tab/>
      </w:r>
      <w:r>
        <w:rPr>
          <w:noProof/>
        </w:rPr>
        <w:fldChar w:fldCharType="begin"/>
      </w:r>
      <w:r>
        <w:rPr>
          <w:noProof/>
        </w:rPr>
        <w:instrText xml:space="preserve"> PAGEREF _Toc234488975 \h </w:instrText>
      </w:r>
      <w:r>
        <w:rPr>
          <w:noProof/>
        </w:rPr>
      </w:r>
      <w:r>
        <w:rPr>
          <w:noProof/>
        </w:rPr>
        <w:fldChar w:fldCharType="separate"/>
      </w:r>
      <w:r>
        <w:rPr>
          <w:noProof/>
        </w:rPr>
        <w:t>12</w:t>
      </w:r>
      <w:r>
        <w:rPr>
          <w:noProof/>
        </w:rPr>
        <w:fldChar w:fldCharType="end"/>
      </w:r>
    </w:p>
    <w:p w14:paraId="4095582F" w14:textId="1F647325" w:rsidR="009B5C28" w:rsidRDefault="009B5C28">
      <w:pPr>
        <w:pStyle w:val="TOC3"/>
        <w:tabs>
          <w:tab w:val="left" w:pos="1440"/>
          <w:tab w:val="right" w:leader="dot" w:pos="9350"/>
        </w:tabs>
        <w:rPr>
          <w:rFonts w:eastAsiaTheme="minorEastAsia"/>
          <w:noProof/>
        </w:rPr>
      </w:pPr>
      <w:r w:rsidRPr="00D16B20">
        <w:rPr>
          <w:rFonts w:cs="Times New Roman"/>
          <w:bCs/>
          <w:noProof/>
          <w:color w:val="000000" w:themeColor="text1"/>
        </w:rPr>
        <w:t>1.11.3</w:t>
      </w:r>
      <w:r>
        <w:rPr>
          <w:rFonts w:eastAsiaTheme="minorEastAsia"/>
          <w:noProof/>
        </w:rPr>
        <w:tab/>
      </w:r>
      <w:r w:rsidRPr="00D16B20">
        <w:rPr>
          <w:rFonts w:cs="Times New Roman"/>
          <w:bCs/>
          <w:noProof/>
          <w:color w:val="000000" w:themeColor="text1"/>
        </w:rPr>
        <w:t>Practical and Policy Contribution</w:t>
      </w:r>
      <w:r>
        <w:rPr>
          <w:noProof/>
        </w:rPr>
        <w:tab/>
      </w:r>
      <w:r>
        <w:rPr>
          <w:noProof/>
        </w:rPr>
        <w:fldChar w:fldCharType="begin"/>
      </w:r>
      <w:r>
        <w:rPr>
          <w:noProof/>
        </w:rPr>
        <w:instrText xml:space="preserve"> PAGEREF _Toc234488976 \h </w:instrText>
      </w:r>
      <w:r>
        <w:rPr>
          <w:noProof/>
        </w:rPr>
      </w:r>
      <w:r>
        <w:rPr>
          <w:noProof/>
        </w:rPr>
        <w:fldChar w:fldCharType="separate"/>
      </w:r>
      <w:r>
        <w:rPr>
          <w:noProof/>
        </w:rPr>
        <w:t>13</w:t>
      </w:r>
      <w:r>
        <w:rPr>
          <w:noProof/>
        </w:rPr>
        <w:fldChar w:fldCharType="end"/>
      </w:r>
    </w:p>
    <w:p w14:paraId="3C64D904" w14:textId="45EE8A52" w:rsidR="009B5C28" w:rsidRDefault="009B5C28">
      <w:pPr>
        <w:pStyle w:val="TOC3"/>
        <w:tabs>
          <w:tab w:val="left" w:pos="1440"/>
          <w:tab w:val="right" w:leader="dot" w:pos="9350"/>
        </w:tabs>
        <w:rPr>
          <w:rFonts w:eastAsiaTheme="minorEastAsia"/>
          <w:noProof/>
        </w:rPr>
      </w:pPr>
      <w:r w:rsidRPr="00D16B20">
        <w:rPr>
          <w:rFonts w:cs="Times New Roman"/>
          <w:bCs/>
          <w:noProof/>
          <w:color w:val="000000" w:themeColor="text1"/>
        </w:rPr>
        <w:t>1.11.4</w:t>
      </w:r>
      <w:r>
        <w:rPr>
          <w:rFonts w:eastAsiaTheme="minorEastAsia"/>
          <w:noProof/>
        </w:rPr>
        <w:tab/>
      </w:r>
      <w:r w:rsidRPr="00D16B20">
        <w:rPr>
          <w:rFonts w:cs="Times New Roman"/>
          <w:bCs/>
          <w:noProof/>
          <w:color w:val="000000" w:themeColor="text1"/>
        </w:rPr>
        <w:t>Contribution to Sustainable Development</w:t>
      </w:r>
      <w:r>
        <w:rPr>
          <w:noProof/>
        </w:rPr>
        <w:tab/>
      </w:r>
      <w:r>
        <w:rPr>
          <w:noProof/>
        </w:rPr>
        <w:fldChar w:fldCharType="begin"/>
      </w:r>
      <w:r>
        <w:rPr>
          <w:noProof/>
        </w:rPr>
        <w:instrText xml:space="preserve"> PAGEREF _Toc234488977 \h </w:instrText>
      </w:r>
      <w:r>
        <w:rPr>
          <w:noProof/>
        </w:rPr>
      </w:r>
      <w:r>
        <w:rPr>
          <w:noProof/>
        </w:rPr>
        <w:fldChar w:fldCharType="separate"/>
      </w:r>
      <w:r>
        <w:rPr>
          <w:noProof/>
        </w:rPr>
        <w:t>13</w:t>
      </w:r>
      <w:r>
        <w:rPr>
          <w:noProof/>
        </w:rPr>
        <w:fldChar w:fldCharType="end"/>
      </w:r>
    </w:p>
    <w:p w14:paraId="03E65569" w14:textId="2AAA6BE2" w:rsidR="009B5C28" w:rsidRDefault="009B5C28">
      <w:pPr>
        <w:pStyle w:val="TOC2"/>
        <w:tabs>
          <w:tab w:val="left" w:pos="960"/>
          <w:tab w:val="right" w:leader="dot" w:pos="9350"/>
        </w:tabs>
        <w:rPr>
          <w:rFonts w:eastAsiaTheme="minorEastAsia"/>
          <w:noProof/>
        </w:rPr>
      </w:pPr>
      <w:r w:rsidRPr="00D16B20">
        <w:rPr>
          <w:rFonts w:cs="Times New Roman"/>
          <w:bCs/>
          <w:noProof/>
          <w:color w:val="000000" w:themeColor="text1"/>
        </w:rPr>
        <w:t>1.12</w:t>
      </w:r>
      <w:r>
        <w:rPr>
          <w:rFonts w:eastAsiaTheme="minorEastAsia"/>
          <w:noProof/>
        </w:rPr>
        <w:tab/>
      </w:r>
      <w:r w:rsidRPr="00D16B20">
        <w:rPr>
          <w:rFonts w:cs="Times New Roman"/>
          <w:bCs/>
          <w:noProof/>
          <w:color w:val="000000" w:themeColor="text1"/>
        </w:rPr>
        <w:t>Scope of the Study</w:t>
      </w:r>
      <w:r>
        <w:rPr>
          <w:noProof/>
        </w:rPr>
        <w:tab/>
      </w:r>
      <w:r>
        <w:rPr>
          <w:noProof/>
        </w:rPr>
        <w:fldChar w:fldCharType="begin"/>
      </w:r>
      <w:r>
        <w:rPr>
          <w:noProof/>
        </w:rPr>
        <w:instrText xml:space="preserve"> PAGEREF _Toc234488978 \h </w:instrText>
      </w:r>
      <w:r>
        <w:rPr>
          <w:noProof/>
        </w:rPr>
      </w:r>
      <w:r>
        <w:rPr>
          <w:noProof/>
        </w:rPr>
        <w:fldChar w:fldCharType="separate"/>
      </w:r>
      <w:r>
        <w:rPr>
          <w:noProof/>
        </w:rPr>
        <w:t>14</w:t>
      </w:r>
      <w:r>
        <w:rPr>
          <w:noProof/>
        </w:rPr>
        <w:fldChar w:fldCharType="end"/>
      </w:r>
    </w:p>
    <w:p w14:paraId="36674049" w14:textId="0E2683FD" w:rsidR="009B5C28" w:rsidRDefault="009B5C28">
      <w:pPr>
        <w:pStyle w:val="TOC2"/>
        <w:tabs>
          <w:tab w:val="left" w:pos="960"/>
          <w:tab w:val="right" w:leader="dot" w:pos="9350"/>
        </w:tabs>
        <w:rPr>
          <w:rFonts w:eastAsiaTheme="minorEastAsia"/>
          <w:noProof/>
        </w:rPr>
      </w:pPr>
      <w:r w:rsidRPr="00D16B20">
        <w:rPr>
          <w:rFonts w:cs="Times New Roman"/>
          <w:bCs/>
          <w:noProof/>
          <w:color w:val="000000" w:themeColor="text1"/>
        </w:rPr>
        <w:lastRenderedPageBreak/>
        <w:t>1.13</w:t>
      </w:r>
      <w:r>
        <w:rPr>
          <w:rFonts w:eastAsiaTheme="minorEastAsia"/>
          <w:noProof/>
        </w:rPr>
        <w:tab/>
      </w:r>
      <w:r w:rsidRPr="00D16B20">
        <w:rPr>
          <w:rFonts w:cs="Times New Roman"/>
          <w:bCs/>
          <w:noProof/>
          <w:color w:val="000000" w:themeColor="text1"/>
        </w:rPr>
        <w:t>Limitations of the Study</w:t>
      </w:r>
      <w:r>
        <w:rPr>
          <w:noProof/>
        </w:rPr>
        <w:tab/>
      </w:r>
      <w:r>
        <w:rPr>
          <w:noProof/>
        </w:rPr>
        <w:fldChar w:fldCharType="begin"/>
      </w:r>
      <w:r>
        <w:rPr>
          <w:noProof/>
        </w:rPr>
        <w:instrText xml:space="preserve"> PAGEREF _Toc234488979 \h </w:instrText>
      </w:r>
      <w:r>
        <w:rPr>
          <w:noProof/>
        </w:rPr>
      </w:r>
      <w:r>
        <w:rPr>
          <w:noProof/>
        </w:rPr>
        <w:fldChar w:fldCharType="separate"/>
      </w:r>
      <w:r>
        <w:rPr>
          <w:noProof/>
        </w:rPr>
        <w:t>14</w:t>
      </w:r>
      <w:r>
        <w:rPr>
          <w:noProof/>
        </w:rPr>
        <w:fldChar w:fldCharType="end"/>
      </w:r>
    </w:p>
    <w:p w14:paraId="321A11A1" w14:textId="4725529F" w:rsidR="009B5C28" w:rsidRDefault="009B5C28">
      <w:pPr>
        <w:pStyle w:val="TOC2"/>
        <w:tabs>
          <w:tab w:val="left" w:pos="960"/>
          <w:tab w:val="right" w:leader="dot" w:pos="9350"/>
        </w:tabs>
        <w:rPr>
          <w:rFonts w:eastAsiaTheme="minorEastAsia"/>
          <w:noProof/>
        </w:rPr>
      </w:pPr>
      <w:r w:rsidRPr="00D16B20">
        <w:rPr>
          <w:rFonts w:cs="Times New Roman"/>
          <w:noProof/>
          <w:color w:val="000000" w:themeColor="text1"/>
        </w:rPr>
        <w:t>1.14</w:t>
      </w:r>
      <w:r>
        <w:rPr>
          <w:rFonts w:eastAsiaTheme="minorEastAsia"/>
          <w:noProof/>
        </w:rPr>
        <w:tab/>
      </w:r>
      <w:r w:rsidRPr="00D16B20">
        <w:rPr>
          <w:rFonts w:cs="Times New Roman"/>
          <w:noProof/>
          <w:color w:val="000000" w:themeColor="text1"/>
        </w:rPr>
        <w:t>Delimitations of the Study</w:t>
      </w:r>
      <w:r>
        <w:rPr>
          <w:noProof/>
        </w:rPr>
        <w:tab/>
      </w:r>
      <w:r>
        <w:rPr>
          <w:noProof/>
        </w:rPr>
        <w:fldChar w:fldCharType="begin"/>
      </w:r>
      <w:r>
        <w:rPr>
          <w:noProof/>
        </w:rPr>
        <w:instrText xml:space="preserve"> PAGEREF _Toc234488980 \h </w:instrText>
      </w:r>
      <w:r>
        <w:rPr>
          <w:noProof/>
        </w:rPr>
      </w:r>
      <w:r>
        <w:rPr>
          <w:noProof/>
        </w:rPr>
        <w:fldChar w:fldCharType="separate"/>
      </w:r>
      <w:r>
        <w:rPr>
          <w:noProof/>
        </w:rPr>
        <w:t>15</w:t>
      </w:r>
      <w:r>
        <w:rPr>
          <w:noProof/>
        </w:rPr>
        <w:fldChar w:fldCharType="end"/>
      </w:r>
    </w:p>
    <w:p w14:paraId="2D23108D" w14:textId="7FC5AE95" w:rsidR="009B5C28" w:rsidRDefault="009B5C28">
      <w:pPr>
        <w:pStyle w:val="TOC2"/>
        <w:tabs>
          <w:tab w:val="left" w:pos="960"/>
          <w:tab w:val="right" w:leader="dot" w:pos="9350"/>
        </w:tabs>
        <w:rPr>
          <w:rFonts w:eastAsiaTheme="minorEastAsia"/>
          <w:noProof/>
        </w:rPr>
      </w:pPr>
      <w:r w:rsidRPr="00D16B20">
        <w:rPr>
          <w:rFonts w:cs="Times New Roman"/>
          <w:bCs/>
          <w:noProof/>
          <w:color w:val="000000" w:themeColor="text1"/>
        </w:rPr>
        <w:t>1.15</w:t>
      </w:r>
      <w:r>
        <w:rPr>
          <w:rFonts w:eastAsiaTheme="minorEastAsia"/>
          <w:noProof/>
        </w:rPr>
        <w:tab/>
      </w:r>
      <w:r w:rsidRPr="00D16B20">
        <w:rPr>
          <w:rFonts w:cs="Times New Roman"/>
          <w:bCs/>
          <w:noProof/>
          <w:color w:val="000000" w:themeColor="text1"/>
        </w:rPr>
        <w:t>Assumptions</w:t>
      </w:r>
      <w:r>
        <w:rPr>
          <w:noProof/>
        </w:rPr>
        <w:tab/>
      </w:r>
      <w:r>
        <w:rPr>
          <w:noProof/>
        </w:rPr>
        <w:fldChar w:fldCharType="begin"/>
      </w:r>
      <w:r>
        <w:rPr>
          <w:noProof/>
        </w:rPr>
        <w:instrText xml:space="preserve"> PAGEREF _Toc234488981 \h </w:instrText>
      </w:r>
      <w:r>
        <w:rPr>
          <w:noProof/>
        </w:rPr>
      </w:r>
      <w:r>
        <w:rPr>
          <w:noProof/>
        </w:rPr>
        <w:fldChar w:fldCharType="separate"/>
      </w:r>
      <w:r>
        <w:rPr>
          <w:noProof/>
        </w:rPr>
        <w:t>16</w:t>
      </w:r>
      <w:r>
        <w:rPr>
          <w:noProof/>
        </w:rPr>
        <w:fldChar w:fldCharType="end"/>
      </w:r>
    </w:p>
    <w:p w14:paraId="353EBA81" w14:textId="48BCCB86" w:rsidR="009B5C28" w:rsidRDefault="009B5C28">
      <w:pPr>
        <w:pStyle w:val="TOC2"/>
        <w:tabs>
          <w:tab w:val="left" w:pos="960"/>
          <w:tab w:val="right" w:leader="dot" w:pos="9350"/>
        </w:tabs>
        <w:rPr>
          <w:rFonts w:eastAsiaTheme="minorEastAsia"/>
          <w:noProof/>
        </w:rPr>
      </w:pPr>
      <w:r w:rsidRPr="00D16B20">
        <w:rPr>
          <w:rFonts w:cs="Times New Roman"/>
          <w:bCs/>
          <w:noProof/>
          <w:color w:val="000000" w:themeColor="text1"/>
        </w:rPr>
        <w:t>1.16</w:t>
      </w:r>
      <w:r>
        <w:rPr>
          <w:rFonts w:eastAsiaTheme="minorEastAsia"/>
          <w:noProof/>
        </w:rPr>
        <w:tab/>
      </w:r>
      <w:r w:rsidRPr="00D16B20">
        <w:rPr>
          <w:rFonts w:cs="Times New Roman"/>
          <w:bCs/>
          <w:noProof/>
          <w:color w:val="000000" w:themeColor="text1"/>
        </w:rPr>
        <w:t>Definition of Key Terms and Operational Clarification</w:t>
      </w:r>
      <w:r>
        <w:rPr>
          <w:noProof/>
        </w:rPr>
        <w:tab/>
      </w:r>
      <w:r>
        <w:rPr>
          <w:noProof/>
        </w:rPr>
        <w:fldChar w:fldCharType="begin"/>
      </w:r>
      <w:r>
        <w:rPr>
          <w:noProof/>
        </w:rPr>
        <w:instrText xml:space="preserve"> PAGEREF _Toc234488982 \h </w:instrText>
      </w:r>
      <w:r>
        <w:rPr>
          <w:noProof/>
        </w:rPr>
      </w:r>
      <w:r>
        <w:rPr>
          <w:noProof/>
        </w:rPr>
        <w:fldChar w:fldCharType="separate"/>
      </w:r>
      <w:r>
        <w:rPr>
          <w:noProof/>
        </w:rPr>
        <w:t>16</w:t>
      </w:r>
      <w:r>
        <w:rPr>
          <w:noProof/>
        </w:rPr>
        <w:fldChar w:fldCharType="end"/>
      </w:r>
    </w:p>
    <w:p w14:paraId="4285B311" w14:textId="4F7996FA" w:rsidR="009B5C28" w:rsidRDefault="009B5C28">
      <w:pPr>
        <w:pStyle w:val="TOC2"/>
        <w:tabs>
          <w:tab w:val="left" w:pos="960"/>
          <w:tab w:val="right" w:leader="dot" w:pos="9350"/>
        </w:tabs>
        <w:rPr>
          <w:rFonts w:eastAsiaTheme="minorEastAsia"/>
          <w:noProof/>
        </w:rPr>
      </w:pPr>
      <w:r w:rsidRPr="00D16B20">
        <w:rPr>
          <w:rFonts w:cs="Times New Roman"/>
          <w:bCs/>
          <w:noProof/>
          <w:color w:val="000000" w:themeColor="text1"/>
        </w:rPr>
        <w:t>1.17</w:t>
      </w:r>
      <w:r>
        <w:rPr>
          <w:rFonts w:eastAsiaTheme="minorEastAsia"/>
          <w:noProof/>
        </w:rPr>
        <w:tab/>
      </w:r>
      <w:r w:rsidRPr="00D16B20">
        <w:rPr>
          <w:rFonts w:cs="Times New Roman"/>
          <w:bCs/>
          <w:noProof/>
          <w:color w:val="000000" w:themeColor="text1"/>
        </w:rPr>
        <w:t>Conceptual Framework</w:t>
      </w:r>
      <w:r>
        <w:rPr>
          <w:noProof/>
        </w:rPr>
        <w:tab/>
      </w:r>
      <w:r>
        <w:rPr>
          <w:noProof/>
        </w:rPr>
        <w:fldChar w:fldCharType="begin"/>
      </w:r>
      <w:r>
        <w:rPr>
          <w:noProof/>
        </w:rPr>
        <w:instrText xml:space="preserve"> PAGEREF _Toc234488983 \h </w:instrText>
      </w:r>
      <w:r>
        <w:rPr>
          <w:noProof/>
        </w:rPr>
      </w:r>
      <w:r>
        <w:rPr>
          <w:noProof/>
        </w:rPr>
        <w:fldChar w:fldCharType="separate"/>
      </w:r>
      <w:r>
        <w:rPr>
          <w:noProof/>
        </w:rPr>
        <w:t>21</w:t>
      </w:r>
      <w:r>
        <w:rPr>
          <w:noProof/>
        </w:rPr>
        <w:fldChar w:fldCharType="end"/>
      </w:r>
    </w:p>
    <w:p w14:paraId="1E33629A" w14:textId="06FDEC87" w:rsidR="009B5C28" w:rsidRDefault="009B5C28">
      <w:pPr>
        <w:pStyle w:val="TOC2"/>
        <w:tabs>
          <w:tab w:val="left" w:pos="960"/>
          <w:tab w:val="right" w:leader="dot" w:pos="9350"/>
        </w:tabs>
        <w:rPr>
          <w:rFonts w:eastAsiaTheme="minorEastAsia"/>
          <w:noProof/>
        </w:rPr>
      </w:pPr>
      <w:r w:rsidRPr="00D16B20">
        <w:rPr>
          <w:rFonts w:cs="Times New Roman"/>
          <w:bCs/>
          <w:noProof/>
          <w:color w:val="000000" w:themeColor="text1"/>
        </w:rPr>
        <w:t>1.18</w:t>
      </w:r>
      <w:r>
        <w:rPr>
          <w:rFonts w:eastAsiaTheme="minorEastAsia"/>
          <w:noProof/>
        </w:rPr>
        <w:tab/>
      </w:r>
      <w:r w:rsidRPr="00D16B20">
        <w:rPr>
          <w:rFonts w:cs="Times New Roman"/>
          <w:bCs/>
          <w:noProof/>
          <w:color w:val="000000" w:themeColor="text1"/>
        </w:rPr>
        <w:t>Operationalization of Key Concepts</w:t>
      </w:r>
      <w:r>
        <w:rPr>
          <w:noProof/>
        </w:rPr>
        <w:tab/>
      </w:r>
      <w:r>
        <w:rPr>
          <w:noProof/>
        </w:rPr>
        <w:fldChar w:fldCharType="begin"/>
      </w:r>
      <w:r>
        <w:rPr>
          <w:noProof/>
        </w:rPr>
        <w:instrText xml:space="preserve"> PAGEREF _Toc234488984 \h </w:instrText>
      </w:r>
      <w:r>
        <w:rPr>
          <w:noProof/>
        </w:rPr>
      </w:r>
      <w:r>
        <w:rPr>
          <w:noProof/>
        </w:rPr>
        <w:fldChar w:fldCharType="separate"/>
      </w:r>
      <w:r>
        <w:rPr>
          <w:noProof/>
        </w:rPr>
        <w:t>22</w:t>
      </w:r>
      <w:r>
        <w:rPr>
          <w:noProof/>
        </w:rPr>
        <w:fldChar w:fldCharType="end"/>
      </w:r>
    </w:p>
    <w:p w14:paraId="345A761A" w14:textId="64D70187" w:rsidR="009B5C28" w:rsidRDefault="009B5C28">
      <w:pPr>
        <w:pStyle w:val="TOC2"/>
        <w:tabs>
          <w:tab w:val="left" w:pos="960"/>
          <w:tab w:val="right" w:leader="dot" w:pos="9350"/>
        </w:tabs>
        <w:rPr>
          <w:rFonts w:eastAsiaTheme="minorEastAsia"/>
          <w:noProof/>
        </w:rPr>
      </w:pPr>
      <w:r w:rsidRPr="00D16B20">
        <w:rPr>
          <w:rFonts w:cs="Times New Roman"/>
          <w:bCs/>
          <w:noProof/>
          <w:color w:val="000000" w:themeColor="text1"/>
        </w:rPr>
        <w:t>1.19</w:t>
      </w:r>
      <w:r>
        <w:rPr>
          <w:rFonts w:eastAsiaTheme="minorEastAsia"/>
          <w:noProof/>
        </w:rPr>
        <w:tab/>
      </w:r>
      <w:r w:rsidRPr="00D16B20">
        <w:rPr>
          <w:rFonts w:cs="Times New Roman"/>
          <w:bCs/>
          <w:noProof/>
          <w:color w:val="000000" w:themeColor="text1"/>
        </w:rPr>
        <w:t>Structure of the Dissertation</w:t>
      </w:r>
      <w:r>
        <w:rPr>
          <w:noProof/>
        </w:rPr>
        <w:tab/>
      </w:r>
      <w:r>
        <w:rPr>
          <w:noProof/>
        </w:rPr>
        <w:fldChar w:fldCharType="begin"/>
      </w:r>
      <w:r>
        <w:rPr>
          <w:noProof/>
        </w:rPr>
        <w:instrText xml:space="preserve"> PAGEREF _Toc234488985 \h </w:instrText>
      </w:r>
      <w:r>
        <w:rPr>
          <w:noProof/>
        </w:rPr>
      </w:r>
      <w:r>
        <w:rPr>
          <w:noProof/>
        </w:rPr>
        <w:fldChar w:fldCharType="separate"/>
      </w:r>
      <w:r>
        <w:rPr>
          <w:noProof/>
        </w:rPr>
        <w:t>23</w:t>
      </w:r>
      <w:r>
        <w:rPr>
          <w:noProof/>
        </w:rPr>
        <w:fldChar w:fldCharType="end"/>
      </w:r>
    </w:p>
    <w:p w14:paraId="0D719A37" w14:textId="06DD1B19" w:rsidR="009B5C28" w:rsidRDefault="009B5C28">
      <w:pPr>
        <w:pStyle w:val="TOC2"/>
        <w:tabs>
          <w:tab w:val="left" w:pos="960"/>
          <w:tab w:val="right" w:leader="dot" w:pos="9350"/>
        </w:tabs>
        <w:rPr>
          <w:rFonts w:eastAsiaTheme="minorEastAsia"/>
          <w:noProof/>
        </w:rPr>
      </w:pPr>
      <w:r w:rsidRPr="00D16B20">
        <w:rPr>
          <w:rFonts w:cs="Times New Roman"/>
          <w:bCs/>
          <w:noProof/>
          <w:color w:val="000000" w:themeColor="text1"/>
        </w:rPr>
        <w:t>1.20</w:t>
      </w:r>
      <w:r>
        <w:rPr>
          <w:rFonts w:eastAsiaTheme="minorEastAsia"/>
          <w:noProof/>
        </w:rPr>
        <w:tab/>
      </w:r>
      <w:r w:rsidRPr="00D16B20">
        <w:rPr>
          <w:rFonts w:cs="Times New Roman"/>
          <w:bCs/>
          <w:noProof/>
          <w:color w:val="000000" w:themeColor="text1"/>
        </w:rPr>
        <w:t>Researcher Positionality</w:t>
      </w:r>
      <w:r>
        <w:rPr>
          <w:noProof/>
        </w:rPr>
        <w:tab/>
      </w:r>
      <w:r>
        <w:rPr>
          <w:noProof/>
        </w:rPr>
        <w:fldChar w:fldCharType="begin"/>
      </w:r>
      <w:r>
        <w:rPr>
          <w:noProof/>
        </w:rPr>
        <w:instrText xml:space="preserve"> PAGEREF _Toc234488986 \h </w:instrText>
      </w:r>
      <w:r>
        <w:rPr>
          <w:noProof/>
        </w:rPr>
      </w:r>
      <w:r>
        <w:rPr>
          <w:noProof/>
        </w:rPr>
        <w:fldChar w:fldCharType="separate"/>
      </w:r>
      <w:r>
        <w:rPr>
          <w:noProof/>
        </w:rPr>
        <w:t>23</w:t>
      </w:r>
      <w:r>
        <w:rPr>
          <w:noProof/>
        </w:rPr>
        <w:fldChar w:fldCharType="end"/>
      </w:r>
    </w:p>
    <w:p w14:paraId="5A35F07E" w14:textId="243817A7" w:rsidR="009B5C28" w:rsidRDefault="009B5C28">
      <w:pPr>
        <w:pStyle w:val="TOC2"/>
        <w:tabs>
          <w:tab w:val="left" w:pos="960"/>
          <w:tab w:val="right" w:leader="dot" w:pos="9350"/>
        </w:tabs>
        <w:rPr>
          <w:rFonts w:eastAsiaTheme="minorEastAsia"/>
          <w:noProof/>
        </w:rPr>
      </w:pPr>
      <w:r w:rsidRPr="00D16B20">
        <w:rPr>
          <w:rFonts w:cs="Times New Roman"/>
          <w:bCs/>
          <w:noProof/>
          <w:color w:val="000000" w:themeColor="text1"/>
        </w:rPr>
        <w:t>1.21</w:t>
      </w:r>
      <w:r>
        <w:rPr>
          <w:rFonts w:eastAsiaTheme="minorEastAsia"/>
          <w:noProof/>
        </w:rPr>
        <w:tab/>
      </w:r>
      <w:r w:rsidRPr="00D16B20">
        <w:rPr>
          <w:rFonts w:cs="Times New Roman"/>
          <w:bCs/>
          <w:noProof/>
          <w:color w:val="000000" w:themeColor="text1"/>
        </w:rPr>
        <w:t>Chapter Summary</w:t>
      </w:r>
      <w:r>
        <w:rPr>
          <w:noProof/>
        </w:rPr>
        <w:tab/>
      </w:r>
      <w:r>
        <w:rPr>
          <w:noProof/>
        </w:rPr>
        <w:fldChar w:fldCharType="begin"/>
      </w:r>
      <w:r>
        <w:rPr>
          <w:noProof/>
        </w:rPr>
        <w:instrText xml:space="preserve"> PAGEREF _Toc234488987 \h </w:instrText>
      </w:r>
      <w:r>
        <w:rPr>
          <w:noProof/>
        </w:rPr>
      </w:r>
      <w:r>
        <w:rPr>
          <w:noProof/>
        </w:rPr>
        <w:fldChar w:fldCharType="separate"/>
      </w:r>
      <w:r>
        <w:rPr>
          <w:noProof/>
        </w:rPr>
        <w:t>24</w:t>
      </w:r>
      <w:r>
        <w:rPr>
          <w:noProof/>
        </w:rPr>
        <w:fldChar w:fldCharType="end"/>
      </w:r>
    </w:p>
    <w:p w14:paraId="6257FAAC" w14:textId="15F1A0E3" w:rsidR="009B5C28" w:rsidRDefault="009B5C28">
      <w:pPr>
        <w:pStyle w:val="TOC1"/>
        <w:tabs>
          <w:tab w:val="left" w:pos="1680"/>
          <w:tab w:val="right" w:leader="dot" w:pos="9350"/>
        </w:tabs>
        <w:rPr>
          <w:rFonts w:eastAsiaTheme="minorEastAsia"/>
          <w:noProof/>
        </w:rPr>
      </w:pPr>
      <w:r w:rsidRPr="00D16B20">
        <w:rPr>
          <w:rFonts w:cs="Times New Roman"/>
          <w:noProof/>
          <w:color w:val="000000" w:themeColor="text1"/>
        </w:rPr>
        <w:t>CHAPTER 2 :</w:t>
      </w:r>
      <w:r>
        <w:rPr>
          <w:rFonts w:eastAsiaTheme="minorEastAsia"/>
          <w:noProof/>
        </w:rPr>
        <w:tab/>
      </w:r>
      <w:r w:rsidRPr="00D16B20">
        <w:rPr>
          <w:rFonts w:cs="Times New Roman"/>
          <w:noProof/>
          <w:color w:val="000000" w:themeColor="text1"/>
        </w:rPr>
        <w:t>LITERATURE REVIEW</w:t>
      </w:r>
      <w:r>
        <w:rPr>
          <w:noProof/>
        </w:rPr>
        <w:tab/>
      </w:r>
      <w:r>
        <w:rPr>
          <w:noProof/>
        </w:rPr>
        <w:fldChar w:fldCharType="begin"/>
      </w:r>
      <w:r>
        <w:rPr>
          <w:noProof/>
        </w:rPr>
        <w:instrText xml:space="preserve"> PAGEREF _Toc234488988 \h </w:instrText>
      </w:r>
      <w:r>
        <w:rPr>
          <w:noProof/>
        </w:rPr>
      </w:r>
      <w:r>
        <w:rPr>
          <w:noProof/>
        </w:rPr>
        <w:fldChar w:fldCharType="separate"/>
      </w:r>
      <w:r>
        <w:rPr>
          <w:noProof/>
        </w:rPr>
        <w:t>25</w:t>
      </w:r>
      <w:r>
        <w:rPr>
          <w:noProof/>
        </w:rPr>
        <w:fldChar w:fldCharType="end"/>
      </w:r>
    </w:p>
    <w:p w14:paraId="64387DB6" w14:textId="6C405B25" w:rsidR="009B5C28" w:rsidRDefault="009B5C28">
      <w:pPr>
        <w:pStyle w:val="TOC2"/>
        <w:tabs>
          <w:tab w:val="left" w:pos="960"/>
          <w:tab w:val="right" w:leader="dot" w:pos="9350"/>
        </w:tabs>
        <w:rPr>
          <w:rFonts w:eastAsiaTheme="minorEastAsia"/>
          <w:noProof/>
        </w:rPr>
      </w:pPr>
      <w:r w:rsidRPr="00D16B20">
        <w:rPr>
          <w:rFonts w:cs="Times New Roman"/>
          <w:bCs/>
          <w:noProof/>
          <w:color w:val="000000" w:themeColor="text1"/>
        </w:rPr>
        <w:t>2.1</w:t>
      </w:r>
      <w:r>
        <w:rPr>
          <w:rFonts w:eastAsiaTheme="minorEastAsia"/>
          <w:noProof/>
        </w:rPr>
        <w:tab/>
      </w:r>
      <w:r w:rsidRPr="00D16B20">
        <w:rPr>
          <w:rFonts w:cs="Times New Roman"/>
          <w:bCs/>
          <w:noProof/>
          <w:color w:val="000000" w:themeColor="text1"/>
        </w:rPr>
        <w:t>Introduction</w:t>
      </w:r>
      <w:r>
        <w:rPr>
          <w:noProof/>
        </w:rPr>
        <w:tab/>
      </w:r>
      <w:r>
        <w:rPr>
          <w:noProof/>
        </w:rPr>
        <w:fldChar w:fldCharType="begin"/>
      </w:r>
      <w:r>
        <w:rPr>
          <w:noProof/>
        </w:rPr>
        <w:instrText xml:space="preserve"> PAGEREF _Toc234488989 \h </w:instrText>
      </w:r>
      <w:r>
        <w:rPr>
          <w:noProof/>
        </w:rPr>
      </w:r>
      <w:r>
        <w:rPr>
          <w:noProof/>
        </w:rPr>
        <w:fldChar w:fldCharType="separate"/>
      </w:r>
      <w:r>
        <w:rPr>
          <w:noProof/>
        </w:rPr>
        <w:t>25</w:t>
      </w:r>
      <w:r>
        <w:rPr>
          <w:noProof/>
        </w:rPr>
        <w:fldChar w:fldCharType="end"/>
      </w:r>
    </w:p>
    <w:p w14:paraId="663B982A" w14:textId="179984EF" w:rsidR="009B5C28" w:rsidRDefault="009B5C28">
      <w:pPr>
        <w:pStyle w:val="TOC2"/>
        <w:tabs>
          <w:tab w:val="left" w:pos="960"/>
          <w:tab w:val="right" w:leader="dot" w:pos="9350"/>
        </w:tabs>
        <w:rPr>
          <w:rFonts w:eastAsiaTheme="minorEastAsia"/>
          <w:noProof/>
        </w:rPr>
      </w:pPr>
      <w:r w:rsidRPr="00D16B20">
        <w:rPr>
          <w:rFonts w:cs="Times New Roman"/>
          <w:noProof/>
          <w:color w:val="000000" w:themeColor="text1"/>
        </w:rPr>
        <w:t>2.2</w:t>
      </w:r>
      <w:r>
        <w:rPr>
          <w:rFonts w:eastAsiaTheme="minorEastAsia"/>
          <w:noProof/>
        </w:rPr>
        <w:tab/>
      </w:r>
      <w:r w:rsidRPr="00D16B20">
        <w:rPr>
          <w:rFonts w:cs="Times New Roman"/>
          <w:noProof/>
          <w:color w:val="000000" w:themeColor="text1"/>
        </w:rPr>
        <w:t>Theoretical Foundations of Infrastructure Governance</w:t>
      </w:r>
      <w:r>
        <w:rPr>
          <w:noProof/>
        </w:rPr>
        <w:tab/>
      </w:r>
      <w:r>
        <w:rPr>
          <w:noProof/>
        </w:rPr>
        <w:fldChar w:fldCharType="begin"/>
      </w:r>
      <w:r>
        <w:rPr>
          <w:noProof/>
        </w:rPr>
        <w:instrText xml:space="preserve"> PAGEREF _Toc234488990 \h </w:instrText>
      </w:r>
      <w:r>
        <w:rPr>
          <w:noProof/>
        </w:rPr>
      </w:r>
      <w:r>
        <w:rPr>
          <w:noProof/>
        </w:rPr>
        <w:fldChar w:fldCharType="separate"/>
      </w:r>
      <w:r>
        <w:rPr>
          <w:noProof/>
        </w:rPr>
        <w:t>26</w:t>
      </w:r>
      <w:r>
        <w:rPr>
          <w:noProof/>
        </w:rPr>
        <w:fldChar w:fldCharType="end"/>
      </w:r>
    </w:p>
    <w:p w14:paraId="1749766D" w14:textId="0A60E73C" w:rsidR="009B5C28" w:rsidRDefault="009B5C28">
      <w:pPr>
        <w:pStyle w:val="TOC3"/>
        <w:tabs>
          <w:tab w:val="left" w:pos="1440"/>
          <w:tab w:val="right" w:leader="dot" w:pos="9350"/>
        </w:tabs>
        <w:rPr>
          <w:rFonts w:eastAsiaTheme="minorEastAsia"/>
          <w:noProof/>
        </w:rPr>
      </w:pPr>
      <w:r w:rsidRPr="00D16B20">
        <w:rPr>
          <w:rFonts w:cs="Times New Roman"/>
          <w:noProof/>
          <w:color w:val="000000" w:themeColor="text1"/>
        </w:rPr>
        <w:t>2.2.1</w:t>
      </w:r>
      <w:r>
        <w:rPr>
          <w:rFonts w:eastAsiaTheme="minorEastAsia"/>
          <w:noProof/>
        </w:rPr>
        <w:tab/>
      </w:r>
      <w:r w:rsidRPr="00D16B20">
        <w:rPr>
          <w:rFonts w:cs="Times New Roman"/>
          <w:noProof/>
          <w:color w:val="000000" w:themeColor="text1"/>
        </w:rPr>
        <w:t>Institutional Theory and Infrastructure Outcomes</w:t>
      </w:r>
      <w:r>
        <w:rPr>
          <w:noProof/>
        </w:rPr>
        <w:tab/>
      </w:r>
      <w:r>
        <w:rPr>
          <w:noProof/>
        </w:rPr>
        <w:fldChar w:fldCharType="begin"/>
      </w:r>
      <w:r>
        <w:rPr>
          <w:noProof/>
        </w:rPr>
        <w:instrText xml:space="preserve"> PAGEREF _Toc234488991 \h </w:instrText>
      </w:r>
      <w:r>
        <w:rPr>
          <w:noProof/>
        </w:rPr>
      </w:r>
      <w:r>
        <w:rPr>
          <w:noProof/>
        </w:rPr>
        <w:fldChar w:fldCharType="separate"/>
      </w:r>
      <w:r>
        <w:rPr>
          <w:noProof/>
        </w:rPr>
        <w:t>26</w:t>
      </w:r>
      <w:r>
        <w:rPr>
          <w:noProof/>
        </w:rPr>
        <w:fldChar w:fldCharType="end"/>
      </w:r>
    </w:p>
    <w:p w14:paraId="7850EE0A" w14:textId="32079050" w:rsidR="009B5C28" w:rsidRDefault="009B5C28">
      <w:pPr>
        <w:pStyle w:val="TOC3"/>
        <w:tabs>
          <w:tab w:val="left" w:pos="1440"/>
          <w:tab w:val="right" w:leader="dot" w:pos="9350"/>
        </w:tabs>
        <w:rPr>
          <w:rFonts w:eastAsiaTheme="minorEastAsia"/>
          <w:noProof/>
        </w:rPr>
      </w:pPr>
      <w:r w:rsidRPr="00D16B20">
        <w:rPr>
          <w:rFonts w:cs="Times New Roman"/>
          <w:noProof/>
          <w:color w:val="000000" w:themeColor="text1"/>
        </w:rPr>
        <w:t>2.2.2</w:t>
      </w:r>
      <w:r>
        <w:rPr>
          <w:rFonts w:eastAsiaTheme="minorEastAsia"/>
          <w:noProof/>
        </w:rPr>
        <w:tab/>
      </w:r>
      <w:r w:rsidRPr="00D16B20">
        <w:rPr>
          <w:rFonts w:cs="Times New Roman"/>
          <w:noProof/>
          <w:color w:val="000000" w:themeColor="text1"/>
        </w:rPr>
        <w:t>Principal–Agent Theory and Delegation in Infrastructure Projects</w:t>
      </w:r>
      <w:r>
        <w:rPr>
          <w:noProof/>
        </w:rPr>
        <w:tab/>
      </w:r>
      <w:r>
        <w:rPr>
          <w:noProof/>
        </w:rPr>
        <w:fldChar w:fldCharType="begin"/>
      </w:r>
      <w:r>
        <w:rPr>
          <w:noProof/>
        </w:rPr>
        <w:instrText xml:space="preserve"> PAGEREF _Toc234488992 \h </w:instrText>
      </w:r>
      <w:r>
        <w:rPr>
          <w:noProof/>
        </w:rPr>
      </w:r>
      <w:r>
        <w:rPr>
          <w:noProof/>
        </w:rPr>
        <w:fldChar w:fldCharType="separate"/>
      </w:r>
      <w:r>
        <w:rPr>
          <w:noProof/>
        </w:rPr>
        <w:t>28</w:t>
      </w:r>
      <w:r>
        <w:rPr>
          <w:noProof/>
        </w:rPr>
        <w:fldChar w:fldCharType="end"/>
      </w:r>
    </w:p>
    <w:p w14:paraId="53C8E98C" w14:textId="6DF497B6" w:rsidR="009B5C28" w:rsidRDefault="009B5C28">
      <w:pPr>
        <w:pStyle w:val="TOC3"/>
        <w:tabs>
          <w:tab w:val="left" w:pos="1440"/>
          <w:tab w:val="right" w:leader="dot" w:pos="9350"/>
        </w:tabs>
        <w:rPr>
          <w:rFonts w:eastAsiaTheme="minorEastAsia"/>
          <w:noProof/>
        </w:rPr>
      </w:pPr>
      <w:r w:rsidRPr="00D16B20">
        <w:rPr>
          <w:rFonts w:cs="Times New Roman"/>
          <w:noProof/>
          <w:color w:val="000000" w:themeColor="text1"/>
        </w:rPr>
        <w:t>2.2.3</w:t>
      </w:r>
      <w:r>
        <w:rPr>
          <w:rFonts w:eastAsiaTheme="minorEastAsia"/>
          <w:noProof/>
        </w:rPr>
        <w:tab/>
      </w:r>
      <w:r w:rsidRPr="00D16B20">
        <w:rPr>
          <w:rFonts w:cs="Times New Roman"/>
          <w:noProof/>
          <w:color w:val="000000" w:themeColor="text1"/>
        </w:rPr>
        <w:t>Transaction Cost Economics and Long-Term Infrastructure Contracts</w:t>
      </w:r>
      <w:r>
        <w:rPr>
          <w:noProof/>
        </w:rPr>
        <w:tab/>
      </w:r>
      <w:r>
        <w:rPr>
          <w:noProof/>
        </w:rPr>
        <w:fldChar w:fldCharType="begin"/>
      </w:r>
      <w:r>
        <w:rPr>
          <w:noProof/>
        </w:rPr>
        <w:instrText xml:space="preserve"> PAGEREF _Toc234488993 \h </w:instrText>
      </w:r>
      <w:r>
        <w:rPr>
          <w:noProof/>
        </w:rPr>
      </w:r>
      <w:r>
        <w:rPr>
          <w:noProof/>
        </w:rPr>
        <w:fldChar w:fldCharType="separate"/>
      </w:r>
      <w:r>
        <w:rPr>
          <w:noProof/>
        </w:rPr>
        <w:t>29</w:t>
      </w:r>
      <w:r>
        <w:rPr>
          <w:noProof/>
        </w:rPr>
        <w:fldChar w:fldCharType="end"/>
      </w:r>
    </w:p>
    <w:p w14:paraId="5DB479B2" w14:textId="02D82D3B" w:rsidR="009B5C28" w:rsidRDefault="009B5C28">
      <w:pPr>
        <w:pStyle w:val="TOC3"/>
        <w:tabs>
          <w:tab w:val="left" w:pos="1440"/>
          <w:tab w:val="right" w:leader="dot" w:pos="9350"/>
        </w:tabs>
        <w:rPr>
          <w:rFonts w:eastAsiaTheme="minorEastAsia"/>
          <w:noProof/>
        </w:rPr>
      </w:pPr>
      <w:r w:rsidRPr="00D16B20">
        <w:rPr>
          <w:rFonts w:cs="Times New Roman"/>
          <w:noProof/>
          <w:color w:val="000000" w:themeColor="text1"/>
        </w:rPr>
        <w:t>2.2.4</w:t>
      </w:r>
      <w:r>
        <w:rPr>
          <w:rFonts w:eastAsiaTheme="minorEastAsia"/>
          <w:noProof/>
        </w:rPr>
        <w:tab/>
      </w:r>
      <w:r w:rsidRPr="00D16B20">
        <w:rPr>
          <w:rFonts w:cs="Times New Roman"/>
          <w:noProof/>
          <w:color w:val="000000" w:themeColor="text1"/>
        </w:rPr>
        <w:t>Adaptive Governance and Infrastructure under Uncertainty</w:t>
      </w:r>
      <w:r>
        <w:rPr>
          <w:noProof/>
        </w:rPr>
        <w:tab/>
      </w:r>
      <w:r>
        <w:rPr>
          <w:noProof/>
        </w:rPr>
        <w:fldChar w:fldCharType="begin"/>
      </w:r>
      <w:r>
        <w:rPr>
          <w:noProof/>
        </w:rPr>
        <w:instrText xml:space="preserve"> PAGEREF _Toc234488994 \h </w:instrText>
      </w:r>
      <w:r>
        <w:rPr>
          <w:noProof/>
        </w:rPr>
      </w:r>
      <w:r>
        <w:rPr>
          <w:noProof/>
        </w:rPr>
        <w:fldChar w:fldCharType="separate"/>
      </w:r>
      <w:r>
        <w:rPr>
          <w:noProof/>
        </w:rPr>
        <w:t>30</w:t>
      </w:r>
      <w:r>
        <w:rPr>
          <w:noProof/>
        </w:rPr>
        <w:fldChar w:fldCharType="end"/>
      </w:r>
    </w:p>
    <w:p w14:paraId="6FAD99B2" w14:textId="0E813BA8" w:rsidR="009B5C28" w:rsidRDefault="009B5C28">
      <w:pPr>
        <w:pStyle w:val="TOC2"/>
        <w:tabs>
          <w:tab w:val="left" w:pos="960"/>
          <w:tab w:val="right" w:leader="dot" w:pos="9350"/>
        </w:tabs>
        <w:rPr>
          <w:rFonts w:eastAsiaTheme="minorEastAsia"/>
          <w:noProof/>
        </w:rPr>
      </w:pPr>
      <w:r w:rsidRPr="00D16B20">
        <w:rPr>
          <w:rFonts w:cs="Times New Roman"/>
          <w:noProof/>
          <w:color w:val="000000" w:themeColor="text1"/>
        </w:rPr>
        <w:t>2.3</w:t>
      </w:r>
      <w:r>
        <w:rPr>
          <w:rFonts w:eastAsiaTheme="minorEastAsia"/>
          <w:noProof/>
        </w:rPr>
        <w:tab/>
      </w:r>
      <w:r w:rsidRPr="00D16B20">
        <w:rPr>
          <w:rFonts w:cs="Times New Roman"/>
          <w:noProof/>
          <w:color w:val="000000" w:themeColor="text1"/>
        </w:rPr>
        <w:t>Global Evidence on Infrastructure Performance and Systematic Failure</w:t>
      </w:r>
      <w:r>
        <w:rPr>
          <w:noProof/>
        </w:rPr>
        <w:tab/>
      </w:r>
      <w:r>
        <w:rPr>
          <w:noProof/>
        </w:rPr>
        <w:fldChar w:fldCharType="begin"/>
      </w:r>
      <w:r>
        <w:rPr>
          <w:noProof/>
        </w:rPr>
        <w:instrText xml:space="preserve"> PAGEREF _Toc234488995 \h </w:instrText>
      </w:r>
      <w:r>
        <w:rPr>
          <w:noProof/>
        </w:rPr>
      </w:r>
      <w:r>
        <w:rPr>
          <w:noProof/>
        </w:rPr>
        <w:fldChar w:fldCharType="separate"/>
      </w:r>
      <w:r>
        <w:rPr>
          <w:noProof/>
        </w:rPr>
        <w:t>33</w:t>
      </w:r>
      <w:r>
        <w:rPr>
          <w:noProof/>
        </w:rPr>
        <w:fldChar w:fldCharType="end"/>
      </w:r>
    </w:p>
    <w:p w14:paraId="71EE416A" w14:textId="67C1848D" w:rsidR="009B5C28" w:rsidRDefault="009B5C28">
      <w:pPr>
        <w:pStyle w:val="TOC2"/>
        <w:tabs>
          <w:tab w:val="left" w:pos="960"/>
          <w:tab w:val="right" w:leader="dot" w:pos="9350"/>
        </w:tabs>
        <w:rPr>
          <w:rFonts w:eastAsiaTheme="minorEastAsia"/>
          <w:noProof/>
        </w:rPr>
      </w:pPr>
      <w:r w:rsidRPr="00D16B20">
        <w:rPr>
          <w:rFonts w:cs="Times New Roman"/>
          <w:noProof/>
          <w:color w:val="000000" w:themeColor="text1"/>
        </w:rPr>
        <w:t>2.4</w:t>
      </w:r>
      <w:r>
        <w:rPr>
          <w:rFonts w:eastAsiaTheme="minorEastAsia"/>
          <w:noProof/>
        </w:rPr>
        <w:tab/>
      </w:r>
      <w:r w:rsidRPr="00D16B20">
        <w:rPr>
          <w:rFonts w:cs="Times New Roman"/>
          <w:noProof/>
          <w:color w:val="000000" w:themeColor="text1"/>
        </w:rPr>
        <w:t>Infrastructure Governance in Developing Country Contexts</w:t>
      </w:r>
      <w:r>
        <w:rPr>
          <w:noProof/>
        </w:rPr>
        <w:tab/>
      </w:r>
      <w:r>
        <w:rPr>
          <w:noProof/>
        </w:rPr>
        <w:fldChar w:fldCharType="begin"/>
      </w:r>
      <w:r>
        <w:rPr>
          <w:noProof/>
        </w:rPr>
        <w:instrText xml:space="preserve"> PAGEREF _Toc234488996 \h </w:instrText>
      </w:r>
      <w:r>
        <w:rPr>
          <w:noProof/>
        </w:rPr>
      </w:r>
      <w:r>
        <w:rPr>
          <w:noProof/>
        </w:rPr>
        <w:fldChar w:fldCharType="separate"/>
      </w:r>
      <w:r>
        <w:rPr>
          <w:noProof/>
        </w:rPr>
        <w:t>35</w:t>
      </w:r>
      <w:r>
        <w:rPr>
          <w:noProof/>
        </w:rPr>
        <w:fldChar w:fldCharType="end"/>
      </w:r>
    </w:p>
    <w:p w14:paraId="5C50742B" w14:textId="57F911D7" w:rsidR="009B5C28" w:rsidRDefault="009B5C28">
      <w:pPr>
        <w:pStyle w:val="TOC2"/>
        <w:tabs>
          <w:tab w:val="left" w:pos="960"/>
          <w:tab w:val="right" w:leader="dot" w:pos="9350"/>
        </w:tabs>
        <w:rPr>
          <w:rFonts w:eastAsiaTheme="minorEastAsia"/>
          <w:noProof/>
        </w:rPr>
      </w:pPr>
      <w:r w:rsidRPr="00D16B20">
        <w:rPr>
          <w:rFonts w:cs="Times New Roman"/>
          <w:noProof/>
          <w:color w:val="000000" w:themeColor="text1"/>
        </w:rPr>
        <w:t>2.5</w:t>
      </w:r>
      <w:r>
        <w:rPr>
          <w:rFonts w:eastAsiaTheme="minorEastAsia"/>
          <w:noProof/>
        </w:rPr>
        <w:tab/>
      </w:r>
      <w:r w:rsidRPr="00D16B20">
        <w:rPr>
          <w:rFonts w:cs="Times New Roman"/>
          <w:noProof/>
          <w:color w:val="000000" w:themeColor="text1"/>
        </w:rPr>
        <w:t>Water Infrastructure as a Distinct Governance Challenge</w:t>
      </w:r>
      <w:r>
        <w:rPr>
          <w:noProof/>
        </w:rPr>
        <w:tab/>
      </w:r>
      <w:r>
        <w:rPr>
          <w:noProof/>
        </w:rPr>
        <w:fldChar w:fldCharType="begin"/>
      </w:r>
      <w:r>
        <w:rPr>
          <w:noProof/>
        </w:rPr>
        <w:instrText xml:space="preserve"> PAGEREF _Toc234488997 \h </w:instrText>
      </w:r>
      <w:r>
        <w:rPr>
          <w:noProof/>
        </w:rPr>
      </w:r>
      <w:r>
        <w:rPr>
          <w:noProof/>
        </w:rPr>
        <w:fldChar w:fldCharType="separate"/>
      </w:r>
      <w:r>
        <w:rPr>
          <w:noProof/>
        </w:rPr>
        <w:t>37</w:t>
      </w:r>
      <w:r>
        <w:rPr>
          <w:noProof/>
        </w:rPr>
        <w:fldChar w:fldCharType="end"/>
      </w:r>
    </w:p>
    <w:p w14:paraId="15858EC8" w14:textId="4DD59FB9" w:rsidR="009B5C28" w:rsidRDefault="009B5C28">
      <w:pPr>
        <w:pStyle w:val="TOC2"/>
        <w:tabs>
          <w:tab w:val="left" w:pos="960"/>
          <w:tab w:val="right" w:leader="dot" w:pos="9350"/>
        </w:tabs>
        <w:rPr>
          <w:rFonts w:eastAsiaTheme="minorEastAsia"/>
          <w:noProof/>
        </w:rPr>
      </w:pPr>
      <w:r w:rsidRPr="00D16B20">
        <w:rPr>
          <w:rFonts w:cs="Times New Roman"/>
          <w:noProof/>
          <w:color w:val="000000" w:themeColor="text1"/>
        </w:rPr>
        <w:t>2.6</w:t>
      </w:r>
      <w:r>
        <w:rPr>
          <w:rFonts w:eastAsiaTheme="minorEastAsia"/>
          <w:noProof/>
        </w:rPr>
        <w:tab/>
      </w:r>
      <w:r w:rsidRPr="00D16B20">
        <w:rPr>
          <w:rFonts w:cs="Times New Roman"/>
          <w:noProof/>
          <w:color w:val="000000" w:themeColor="text1"/>
        </w:rPr>
        <w:t>Governance Across the Water Infrastructure Project Lifecycle</w:t>
      </w:r>
      <w:r>
        <w:rPr>
          <w:noProof/>
        </w:rPr>
        <w:tab/>
      </w:r>
      <w:r>
        <w:rPr>
          <w:noProof/>
        </w:rPr>
        <w:fldChar w:fldCharType="begin"/>
      </w:r>
      <w:r>
        <w:rPr>
          <w:noProof/>
        </w:rPr>
        <w:instrText xml:space="preserve"> PAGEREF _Toc234488998 \h </w:instrText>
      </w:r>
      <w:r>
        <w:rPr>
          <w:noProof/>
        </w:rPr>
      </w:r>
      <w:r>
        <w:rPr>
          <w:noProof/>
        </w:rPr>
        <w:fldChar w:fldCharType="separate"/>
      </w:r>
      <w:r>
        <w:rPr>
          <w:noProof/>
        </w:rPr>
        <w:t>38</w:t>
      </w:r>
      <w:r>
        <w:rPr>
          <w:noProof/>
        </w:rPr>
        <w:fldChar w:fldCharType="end"/>
      </w:r>
    </w:p>
    <w:p w14:paraId="3FC35D7B" w14:textId="752D7FD6" w:rsidR="009B5C28" w:rsidRDefault="009B5C28">
      <w:pPr>
        <w:pStyle w:val="TOC3"/>
        <w:tabs>
          <w:tab w:val="left" w:pos="1440"/>
          <w:tab w:val="right" w:leader="dot" w:pos="9350"/>
        </w:tabs>
        <w:rPr>
          <w:rFonts w:eastAsiaTheme="minorEastAsia"/>
          <w:noProof/>
        </w:rPr>
      </w:pPr>
      <w:r w:rsidRPr="00D16B20">
        <w:rPr>
          <w:rFonts w:cs="Times New Roman"/>
          <w:noProof/>
          <w:color w:val="000000" w:themeColor="text1"/>
        </w:rPr>
        <w:t>2.6.1</w:t>
      </w:r>
      <w:r>
        <w:rPr>
          <w:rFonts w:eastAsiaTheme="minorEastAsia"/>
          <w:noProof/>
        </w:rPr>
        <w:tab/>
      </w:r>
      <w:r w:rsidRPr="00D16B20">
        <w:rPr>
          <w:rFonts w:cs="Times New Roman"/>
          <w:noProof/>
          <w:color w:val="000000" w:themeColor="text1"/>
        </w:rPr>
        <w:t>Project Preparation and Appraisal</w:t>
      </w:r>
      <w:r>
        <w:rPr>
          <w:noProof/>
        </w:rPr>
        <w:tab/>
      </w:r>
      <w:r>
        <w:rPr>
          <w:noProof/>
        </w:rPr>
        <w:fldChar w:fldCharType="begin"/>
      </w:r>
      <w:r>
        <w:rPr>
          <w:noProof/>
        </w:rPr>
        <w:instrText xml:space="preserve"> PAGEREF _Toc234488999 \h </w:instrText>
      </w:r>
      <w:r>
        <w:rPr>
          <w:noProof/>
        </w:rPr>
      </w:r>
      <w:r>
        <w:rPr>
          <w:noProof/>
        </w:rPr>
        <w:fldChar w:fldCharType="separate"/>
      </w:r>
      <w:r>
        <w:rPr>
          <w:noProof/>
        </w:rPr>
        <w:t>39</w:t>
      </w:r>
      <w:r>
        <w:rPr>
          <w:noProof/>
        </w:rPr>
        <w:fldChar w:fldCharType="end"/>
      </w:r>
    </w:p>
    <w:p w14:paraId="44E614D2" w14:textId="0119961E" w:rsidR="009B5C28" w:rsidRDefault="009B5C28">
      <w:pPr>
        <w:pStyle w:val="TOC3"/>
        <w:tabs>
          <w:tab w:val="left" w:pos="1440"/>
          <w:tab w:val="right" w:leader="dot" w:pos="9350"/>
        </w:tabs>
        <w:rPr>
          <w:rFonts w:eastAsiaTheme="minorEastAsia"/>
          <w:noProof/>
        </w:rPr>
      </w:pPr>
      <w:r w:rsidRPr="00D16B20">
        <w:rPr>
          <w:rFonts w:cs="Times New Roman"/>
          <w:noProof/>
          <w:color w:val="000000" w:themeColor="text1"/>
        </w:rPr>
        <w:t>2.6.2</w:t>
      </w:r>
      <w:r>
        <w:rPr>
          <w:rFonts w:eastAsiaTheme="minorEastAsia"/>
          <w:noProof/>
        </w:rPr>
        <w:tab/>
      </w:r>
      <w:r w:rsidRPr="00D16B20">
        <w:rPr>
          <w:rFonts w:cs="Times New Roman"/>
          <w:noProof/>
          <w:color w:val="000000" w:themeColor="text1"/>
        </w:rPr>
        <w:t>Procurement and Contracting</w:t>
      </w:r>
      <w:r>
        <w:rPr>
          <w:noProof/>
        </w:rPr>
        <w:tab/>
      </w:r>
      <w:r>
        <w:rPr>
          <w:noProof/>
        </w:rPr>
        <w:fldChar w:fldCharType="begin"/>
      </w:r>
      <w:r>
        <w:rPr>
          <w:noProof/>
        </w:rPr>
        <w:instrText xml:space="preserve"> PAGEREF _Toc234489000 \h </w:instrText>
      </w:r>
      <w:r>
        <w:rPr>
          <w:noProof/>
        </w:rPr>
      </w:r>
      <w:r>
        <w:rPr>
          <w:noProof/>
        </w:rPr>
        <w:fldChar w:fldCharType="separate"/>
      </w:r>
      <w:r>
        <w:rPr>
          <w:noProof/>
        </w:rPr>
        <w:t>39</w:t>
      </w:r>
      <w:r>
        <w:rPr>
          <w:noProof/>
        </w:rPr>
        <w:fldChar w:fldCharType="end"/>
      </w:r>
    </w:p>
    <w:p w14:paraId="49B98DA9" w14:textId="277BB17B" w:rsidR="009B5C28" w:rsidRDefault="009B5C28">
      <w:pPr>
        <w:pStyle w:val="TOC3"/>
        <w:tabs>
          <w:tab w:val="left" w:pos="1440"/>
          <w:tab w:val="right" w:leader="dot" w:pos="9350"/>
        </w:tabs>
        <w:rPr>
          <w:rFonts w:eastAsiaTheme="minorEastAsia"/>
          <w:noProof/>
        </w:rPr>
      </w:pPr>
      <w:r w:rsidRPr="00D16B20">
        <w:rPr>
          <w:rFonts w:cs="Times New Roman"/>
          <w:noProof/>
          <w:color w:val="000000" w:themeColor="text1"/>
        </w:rPr>
        <w:t>2.6.3</w:t>
      </w:r>
      <w:r>
        <w:rPr>
          <w:rFonts w:eastAsiaTheme="minorEastAsia"/>
          <w:noProof/>
        </w:rPr>
        <w:tab/>
      </w:r>
      <w:r w:rsidRPr="00D16B20">
        <w:rPr>
          <w:rFonts w:cs="Times New Roman"/>
          <w:noProof/>
          <w:color w:val="000000" w:themeColor="text1"/>
        </w:rPr>
        <w:t>Implementation, Contract Management, and Oversight</w:t>
      </w:r>
      <w:r>
        <w:rPr>
          <w:noProof/>
        </w:rPr>
        <w:tab/>
      </w:r>
      <w:r>
        <w:rPr>
          <w:noProof/>
        </w:rPr>
        <w:fldChar w:fldCharType="begin"/>
      </w:r>
      <w:r>
        <w:rPr>
          <w:noProof/>
        </w:rPr>
        <w:instrText xml:space="preserve"> PAGEREF _Toc234489001 \h </w:instrText>
      </w:r>
      <w:r>
        <w:rPr>
          <w:noProof/>
        </w:rPr>
      </w:r>
      <w:r>
        <w:rPr>
          <w:noProof/>
        </w:rPr>
        <w:fldChar w:fldCharType="separate"/>
      </w:r>
      <w:r>
        <w:rPr>
          <w:noProof/>
        </w:rPr>
        <w:t>40</w:t>
      </w:r>
      <w:r>
        <w:rPr>
          <w:noProof/>
        </w:rPr>
        <w:fldChar w:fldCharType="end"/>
      </w:r>
    </w:p>
    <w:p w14:paraId="6E7C7045" w14:textId="7B242569" w:rsidR="009B5C28" w:rsidRDefault="009B5C28">
      <w:pPr>
        <w:pStyle w:val="TOC3"/>
        <w:tabs>
          <w:tab w:val="left" w:pos="1440"/>
          <w:tab w:val="right" w:leader="dot" w:pos="9350"/>
        </w:tabs>
        <w:rPr>
          <w:rFonts w:eastAsiaTheme="minorEastAsia"/>
          <w:noProof/>
        </w:rPr>
      </w:pPr>
      <w:r w:rsidRPr="00D16B20">
        <w:rPr>
          <w:rFonts w:cs="Times New Roman"/>
          <w:noProof/>
          <w:color w:val="000000" w:themeColor="text1"/>
        </w:rPr>
        <w:t>2.6.4</w:t>
      </w:r>
      <w:r>
        <w:rPr>
          <w:rFonts w:eastAsiaTheme="minorEastAsia"/>
          <w:noProof/>
        </w:rPr>
        <w:tab/>
      </w:r>
      <w:r w:rsidRPr="00D16B20">
        <w:rPr>
          <w:rFonts w:cs="Times New Roman"/>
          <w:noProof/>
          <w:color w:val="000000" w:themeColor="text1"/>
        </w:rPr>
        <w:t>Lifecycle Synthesis</w:t>
      </w:r>
      <w:r>
        <w:rPr>
          <w:noProof/>
        </w:rPr>
        <w:tab/>
      </w:r>
      <w:r>
        <w:rPr>
          <w:noProof/>
        </w:rPr>
        <w:fldChar w:fldCharType="begin"/>
      </w:r>
      <w:r>
        <w:rPr>
          <w:noProof/>
        </w:rPr>
        <w:instrText xml:space="preserve"> PAGEREF _Toc234489002 \h </w:instrText>
      </w:r>
      <w:r>
        <w:rPr>
          <w:noProof/>
        </w:rPr>
      </w:r>
      <w:r>
        <w:rPr>
          <w:noProof/>
        </w:rPr>
        <w:fldChar w:fldCharType="separate"/>
      </w:r>
      <w:r>
        <w:rPr>
          <w:noProof/>
        </w:rPr>
        <w:t>41</w:t>
      </w:r>
      <w:r>
        <w:rPr>
          <w:noProof/>
        </w:rPr>
        <w:fldChar w:fldCharType="end"/>
      </w:r>
    </w:p>
    <w:p w14:paraId="36EC0C24" w14:textId="2E8F8A43" w:rsidR="009B5C28" w:rsidRDefault="009B5C28">
      <w:pPr>
        <w:pStyle w:val="TOC3"/>
        <w:tabs>
          <w:tab w:val="left" w:pos="1440"/>
          <w:tab w:val="right" w:leader="dot" w:pos="9350"/>
        </w:tabs>
        <w:rPr>
          <w:rFonts w:eastAsiaTheme="minorEastAsia"/>
          <w:noProof/>
        </w:rPr>
      </w:pPr>
      <w:r w:rsidRPr="00D16B20">
        <w:rPr>
          <w:rFonts w:cs="Times New Roman"/>
          <w:bCs/>
          <w:noProof/>
          <w:color w:val="000000" w:themeColor="text1"/>
        </w:rPr>
        <w:t>2.6.5</w:t>
      </w:r>
      <w:r>
        <w:rPr>
          <w:rFonts w:eastAsiaTheme="minorEastAsia"/>
          <w:noProof/>
        </w:rPr>
        <w:tab/>
      </w:r>
      <w:r w:rsidRPr="00D16B20">
        <w:rPr>
          <w:rFonts w:cs="Times New Roman"/>
          <w:bCs/>
          <w:noProof/>
          <w:color w:val="000000" w:themeColor="text1"/>
        </w:rPr>
        <w:t>Governance Failure as a Dynamic Institutional Process</w:t>
      </w:r>
      <w:r>
        <w:rPr>
          <w:noProof/>
        </w:rPr>
        <w:tab/>
      </w:r>
      <w:r>
        <w:rPr>
          <w:noProof/>
        </w:rPr>
        <w:fldChar w:fldCharType="begin"/>
      </w:r>
      <w:r>
        <w:rPr>
          <w:noProof/>
        </w:rPr>
        <w:instrText xml:space="preserve"> PAGEREF _Toc234489003 \h </w:instrText>
      </w:r>
      <w:r>
        <w:rPr>
          <w:noProof/>
        </w:rPr>
      </w:r>
      <w:r>
        <w:rPr>
          <w:noProof/>
        </w:rPr>
        <w:fldChar w:fldCharType="separate"/>
      </w:r>
      <w:r>
        <w:rPr>
          <w:noProof/>
        </w:rPr>
        <w:t>43</w:t>
      </w:r>
      <w:r>
        <w:rPr>
          <w:noProof/>
        </w:rPr>
        <w:fldChar w:fldCharType="end"/>
      </w:r>
    </w:p>
    <w:p w14:paraId="189A8B56" w14:textId="518AB5A8" w:rsidR="009B5C28" w:rsidRDefault="009B5C28">
      <w:pPr>
        <w:pStyle w:val="TOC2"/>
        <w:tabs>
          <w:tab w:val="left" w:pos="960"/>
          <w:tab w:val="right" w:leader="dot" w:pos="9350"/>
        </w:tabs>
        <w:rPr>
          <w:rFonts w:eastAsiaTheme="minorEastAsia"/>
          <w:noProof/>
        </w:rPr>
      </w:pPr>
      <w:r w:rsidRPr="00D16B20">
        <w:rPr>
          <w:rFonts w:cs="Times New Roman"/>
          <w:bCs/>
          <w:noProof/>
          <w:color w:val="000000" w:themeColor="text1"/>
        </w:rPr>
        <w:t>2.7</w:t>
      </w:r>
      <w:r>
        <w:rPr>
          <w:rFonts w:eastAsiaTheme="minorEastAsia"/>
          <w:noProof/>
        </w:rPr>
        <w:tab/>
      </w:r>
      <w:r w:rsidRPr="00D16B20">
        <w:rPr>
          <w:rFonts w:cs="Times New Roman"/>
          <w:noProof/>
          <w:color w:val="000000" w:themeColor="text1"/>
        </w:rPr>
        <w:t>Public–Private Partnerships and the Financialization of Water Infrastructure</w:t>
      </w:r>
      <w:r>
        <w:rPr>
          <w:noProof/>
        </w:rPr>
        <w:tab/>
      </w:r>
      <w:r>
        <w:rPr>
          <w:noProof/>
        </w:rPr>
        <w:fldChar w:fldCharType="begin"/>
      </w:r>
      <w:r>
        <w:rPr>
          <w:noProof/>
        </w:rPr>
        <w:instrText xml:space="preserve"> PAGEREF _Toc234489004 \h </w:instrText>
      </w:r>
      <w:r>
        <w:rPr>
          <w:noProof/>
        </w:rPr>
      </w:r>
      <w:r>
        <w:rPr>
          <w:noProof/>
        </w:rPr>
        <w:fldChar w:fldCharType="separate"/>
      </w:r>
      <w:r>
        <w:rPr>
          <w:noProof/>
        </w:rPr>
        <w:t>45</w:t>
      </w:r>
      <w:r>
        <w:rPr>
          <w:noProof/>
        </w:rPr>
        <w:fldChar w:fldCharType="end"/>
      </w:r>
    </w:p>
    <w:p w14:paraId="7BE015F0" w14:textId="14EFED3F" w:rsidR="009B5C28" w:rsidRDefault="009B5C28">
      <w:pPr>
        <w:pStyle w:val="TOC3"/>
        <w:tabs>
          <w:tab w:val="left" w:pos="1440"/>
          <w:tab w:val="right" w:leader="dot" w:pos="9350"/>
        </w:tabs>
        <w:rPr>
          <w:rFonts w:eastAsiaTheme="minorEastAsia"/>
          <w:noProof/>
        </w:rPr>
      </w:pPr>
      <w:r w:rsidRPr="00D16B20">
        <w:rPr>
          <w:rFonts w:cs="Times New Roman"/>
          <w:bCs/>
          <w:noProof/>
          <w:color w:val="000000" w:themeColor="text1"/>
        </w:rPr>
        <w:t>2.7.1</w:t>
      </w:r>
      <w:r>
        <w:rPr>
          <w:rFonts w:eastAsiaTheme="minorEastAsia"/>
          <w:noProof/>
        </w:rPr>
        <w:tab/>
      </w:r>
      <w:r w:rsidRPr="00D16B20">
        <w:rPr>
          <w:rFonts w:cs="Times New Roman"/>
          <w:noProof/>
          <w:color w:val="000000" w:themeColor="text1"/>
        </w:rPr>
        <w:t>Public-Private Partnerships as Governance Frameworks, Not Just Financing Tools</w:t>
      </w:r>
      <w:r>
        <w:rPr>
          <w:noProof/>
        </w:rPr>
        <w:tab/>
      </w:r>
      <w:r>
        <w:rPr>
          <w:noProof/>
        </w:rPr>
        <w:fldChar w:fldCharType="begin"/>
      </w:r>
      <w:r>
        <w:rPr>
          <w:noProof/>
        </w:rPr>
        <w:instrText xml:space="preserve"> PAGEREF _Toc234489005 \h </w:instrText>
      </w:r>
      <w:r>
        <w:rPr>
          <w:noProof/>
        </w:rPr>
      </w:r>
      <w:r>
        <w:rPr>
          <w:noProof/>
        </w:rPr>
        <w:fldChar w:fldCharType="separate"/>
      </w:r>
      <w:r>
        <w:rPr>
          <w:noProof/>
        </w:rPr>
        <w:t>45</w:t>
      </w:r>
      <w:r>
        <w:rPr>
          <w:noProof/>
        </w:rPr>
        <w:fldChar w:fldCharType="end"/>
      </w:r>
    </w:p>
    <w:p w14:paraId="5EB6A520" w14:textId="2455E23D" w:rsidR="009B5C28" w:rsidRDefault="009B5C28">
      <w:pPr>
        <w:pStyle w:val="TOC3"/>
        <w:tabs>
          <w:tab w:val="left" w:pos="1440"/>
          <w:tab w:val="right" w:leader="dot" w:pos="9350"/>
        </w:tabs>
        <w:rPr>
          <w:rFonts w:eastAsiaTheme="minorEastAsia"/>
          <w:noProof/>
        </w:rPr>
      </w:pPr>
      <w:r w:rsidRPr="00D16B20">
        <w:rPr>
          <w:rFonts w:cs="Times New Roman"/>
          <w:noProof/>
          <w:color w:val="000000" w:themeColor="text1"/>
        </w:rPr>
        <w:t>2.7.2</w:t>
      </w:r>
      <w:r>
        <w:rPr>
          <w:rFonts w:eastAsiaTheme="minorEastAsia"/>
          <w:noProof/>
        </w:rPr>
        <w:tab/>
      </w:r>
      <w:r w:rsidRPr="00D16B20">
        <w:rPr>
          <w:rFonts w:cs="Times New Roman"/>
          <w:noProof/>
          <w:color w:val="000000" w:themeColor="text1"/>
        </w:rPr>
        <w:t>Risk Allocation, Renegotiation, and Project Stalling</w:t>
      </w:r>
      <w:r>
        <w:rPr>
          <w:noProof/>
        </w:rPr>
        <w:tab/>
      </w:r>
      <w:r>
        <w:rPr>
          <w:noProof/>
        </w:rPr>
        <w:fldChar w:fldCharType="begin"/>
      </w:r>
      <w:r>
        <w:rPr>
          <w:noProof/>
        </w:rPr>
        <w:instrText xml:space="preserve"> PAGEREF _Toc234489006 \h </w:instrText>
      </w:r>
      <w:r>
        <w:rPr>
          <w:noProof/>
        </w:rPr>
      </w:r>
      <w:r>
        <w:rPr>
          <w:noProof/>
        </w:rPr>
        <w:fldChar w:fldCharType="separate"/>
      </w:r>
      <w:r>
        <w:rPr>
          <w:noProof/>
        </w:rPr>
        <w:t>46</w:t>
      </w:r>
      <w:r>
        <w:rPr>
          <w:noProof/>
        </w:rPr>
        <w:fldChar w:fldCharType="end"/>
      </w:r>
    </w:p>
    <w:p w14:paraId="1FE9B017" w14:textId="409C857A" w:rsidR="009B5C28" w:rsidRDefault="009B5C28">
      <w:pPr>
        <w:pStyle w:val="TOC3"/>
        <w:tabs>
          <w:tab w:val="left" w:pos="1440"/>
          <w:tab w:val="right" w:leader="dot" w:pos="9350"/>
        </w:tabs>
        <w:rPr>
          <w:rFonts w:eastAsiaTheme="minorEastAsia"/>
          <w:noProof/>
        </w:rPr>
      </w:pPr>
      <w:r w:rsidRPr="00D16B20">
        <w:rPr>
          <w:rFonts w:cs="Times New Roman"/>
          <w:noProof/>
          <w:color w:val="000000" w:themeColor="text1"/>
        </w:rPr>
        <w:t>2.7.3</w:t>
      </w:r>
      <w:r>
        <w:rPr>
          <w:rFonts w:eastAsiaTheme="minorEastAsia"/>
          <w:noProof/>
        </w:rPr>
        <w:tab/>
      </w:r>
      <w:r w:rsidRPr="00D16B20">
        <w:rPr>
          <w:rFonts w:cs="Times New Roman"/>
          <w:noProof/>
          <w:color w:val="000000" w:themeColor="text1"/>
        </w:rPr>
        <w:t>Financialization and Its Implications for Water Infrastructure</w:t>
      </w:r>
      <w:r>
        <w:rPr>
          <w:noProof/>
        </w:rPr>
        <w:tab/>
      </w:r>
      <w:r>
        <w:rPr>
          <w:noProof/>
        </w:rPr>
        <w:fldChar w:fldCharType="begin"/>
      </w:r>
      <w:r>
        <w:rPr>
          <w:noProof/>
        </w:rPr>
        <w:instrText xml:space="preserve"> PAGEREF _Toc234489007 \h </w:instrText>
      </w:r>
      <w:r>
        <w:rPr>
          <w:noProof/>
        </w:rPr>
      </w:r>
      <w:r>
        <w:rPr>
          <w:noProof/>
        </w:rPr>
        <w:fldChar w:fldCharType="separate"/>
      </w:r>
      <w:r>
        <w:rPr>
          <w:noProof/>
        </w:rPr>
        <w:t>47</w:t>
      </w:r>
      <w:r>
        <w:rPr>
          <w:noProof/>
        </w:rPr>
        <w:fldChar w:fldCharType="end"/>
      </w:r>
    </w:p>
    <w:p w14:paraId="631538AC" w14:textId="18FF5802" w:rsidR="009B5C28" w:rsidRDefault="009B5C28">
      <w:pPr>
        <w:pStyle w:val="TOC3"/>
        <w:tabs>
          <w:tab w:val="left" w:pos="1440"/>
          <w:tab w:val="right" w:leader="dot" w:pos="9350"/>
        </w:tabs>
        <w:rPr>
          <w:rFonts w:eastAsiaTheme="minorEastAsia"/>
          <w:noProof/>
        </w:rPr>
      </w:pPr>
      <w:r w:rsidRPr="00D16B20">
        <w:rPr>
          <w:rFonts w:cs="Times New Roman"/>
          <w:noProof/>
          <w:color w:val="000000" w:themeColor="text1"/>
        </w:rPr>
        <w:lastRenderedPageBreak/>
        <w:t>2.7.4</w:t>
      </w:r>
      <w:r>
        <w:rPr>
          <w:rFonts w:eastAsiaTheme="minorEastAsia"/>
          <w:noProof/>
        </w:rPr>
        <w:tab/>
      </w:r>
      <w:r w:rsidRPr="00D16B20">
        <w:rPr>
          <w:rFonts w:cs="Times New Roman"/>
          <w:noProof/>
          <w:color w:val="000000" w:themeColor="text1"/>
        </w:rPr>
        <w:t>PPPs, Governance Quality, and Empirical Blind Spots</w:t>
      </w:r>
      <w:r>
        <w:rPr>
          <w:noProof/>
        </w:rPr>
        <w:tab/>
      </w:r>
      <w:r>
        <w:rPr>
          <w:noProof/>
        </w:rPr>
        <w:fldChar w:fldCharType="begin"/>
      </w:r>
      <w:r>
        <w:rPr>
          <w:noProof/>
        </w:rPr>
        <w:instrText xml:space="preserve"> PAGEREF _Toc234489008 \h </w:instrText>
      </w:r>
      <w:r>
        <w:rPr>
          <w:noProof/>
        </w:rPr>
      </w:r>
      <w:r>
        <w:rPr>
          <w:noProof/>
        </w:rPr>
        <w:fldChar w:fldCharType="separate"/>
      </w:r>
      <w:r>
        <w:rPr>
          <w:noProof/>
        </w:rPr>
        <w:t>48</w:t>
      </w:r>
      <w:r>
        <w:rPr>
          <w:noProof/>
        </w:rPr>
        <w:fldChar w:fldCharType="end"/>
      </w:r>
    </w:p>
    <w:p w14:paraId="402C01EA" w14:textId="2B60FC1F" w:rsidR="009B5C28" w:rsidRDefault="009B5C28">
      <w:pPr>
        <w:pStyle w:val="TOC2"/>
        <w:tabs>
          <w:tab w:val="left" w:pos="960"/>
          <w:tab w:val="right" w:leader="dot" w:pos="9350"/>
        </w:tabs>
        <w:rPr>
          <w:rFonts w:eastAsiaTheme="minorEastAsia"/>
          <w:noProof/>
        </w:rPr>
      </w:pPr>
      <w:r w:rsidRPr="00D16B20">
        <w:rPr>
          <w:rFonts w:cs="Times New Roman"/>
          <w:bCs/>
          <w:noProof/>
          <w:color w:val="000000" w:themeColor="text1"/>
        </w:rPr>
        <w:t>2.8</w:t>
      </w:r>
      <w:r>
        <w:rPr>
          <w:rFonts w:eastAsiaTheme="minorEastAsia"/>
          <w:noProof/>
        </w:rPr>
        <w:tab/>
      </w:r>
      <w:r w:rsidRPr="00D16B20">
        <w:rPr>
          <w:rFonts w:cs="Times New Roman"/>
          <w:noProof/>
          <w:color w:val="000000" w:themeColor="text1"/>
        </w:rPr>
        <w:t>Climate Risk, Adaptation, and Infrastructure Governance</w:t>
      </w:r>
      <w:r>
        <w:rPr>
          <w:noProof/>
        </w:rPr>
        <w:tab/>
      </w:r>
      <w:r>
        <w:rPr>
          <w:noProof/>
        </w:rPr>
        <w:fldChar w:fldCharType="begin"/>
      </w:r>
      <w:r>
        <w:rPr>
          <w:noProof/>
        </w:rPr>
        <w:instrText xml:space="preserve"> PAGEREF _Toc234489009 \h </w:instrText>
      </w:r>
      <w:r>
        <w:rPr>
          <w:noProof/>
        </w:rPr>
      </w:r>
      <w:r>
        <w:rPr>
          <w:noProof/>
        </w:rPr>
        <w:fldChar w:fldCharType="separate"/>
      </w:r>
      <w:r>
        <w:rPr>
          <w:noProof/>
        </w:rPr>
        <w:t>51</w:t>
      </w:r>
      <w:r>
        <w:rPr>
          <w:noProof/>
        </w:rPr>
        <w:fldChar w:fldCharType="end"/>
      </w:r>
    </w:p>
    <w:p w14:paraId="73524945" w14:textId="34A8EAF1" w:rsidR="009B5C28" w:rsidRDefault="009B5C28">
      <w:pPr>
        <w:pStyle w:val="TOC3"/>
        <w:tabs>
          <w:tab w:val="left" w:pos="1440"/>
          <w:tab w:val="right" w:leader="dot" w:pos="9350"/>
        </w:tabs>
        <w:rPr>
          <w:rFonts w:eastAsiaTheme="minorEastAsia"/>
          <w:noProof/>
        </w:rPr>
      </w:pPr>
      <w:r w:rsidRPr="00D16B20">
        <w:rPr>
          <w:rFonts w:cs="Times New Roman"/>
          <w:bCs/>
          <w:noProof/>
          <w:color w:val="000000" w:themeColor="text1"/>
        </w:rPr>
        <w:t>2.8.1</w:t>
      </w:r>
      <w:r>
        <w:rPr>
          <w:rFonts w:eastAsiaTheme="minorEastAsia"/>
          <w:noProof/>
        </w:rPr>
        <w:tab/>
      </w:r>
      <w:r w:rsidRPr="00D16B20">
        <w:rPr>
          <w:rFonts w:cs="Times New Roman"/>
          <w:noProof/>
          <w:color w:val="000000" w:themeColor="text1"/>
        </w:rPr>
        <w:t>Climate Change and Water Infrastructure Exposure</w:t>
      </w:r>
      <w:r>
        <w:rPr>
          <w:noProof/>
        </w:rPr>
        <w:tab/>
      </w:r>
      <w:r>
        <w:rPr>
          <w:noProof/>
        </w:rPr>
        <w:fldChar w:fldCharType="begin"/>
      </w:r>
      <w:r>
        <w:rPr>
          <w:noProof/>
        </w:rPr>
        <w:instrText xml:space="preserve"> PAGEREF _Toc234489010 \h </w:instrText>
      </w:r>
      <w:r>
        <w:rPr>
          <w:noProof/>
        </w:rPr>
      </w:r>
      <w:r>
        <w:rPr>
          <w:noProof/>
        </w:rPr>
        <w:fldChar w:fldCharType="separate"/>
      </w:r>
      <w:r>
        <w:rPr>
          <w:noProof/>
        </w:rPr>
        <w:t>51</w:t>
      </w:r>
      <w:r>
        <w:rPr>
          <w:noProof/>
        </w:rPr>
        <w:fldChar w:fldCharType="end"/>
      </w:r>
    </w:p>
    <w:p w14:paraId="36D1BF0C" w14:textId="5FD25276" w:rsidR="009B5C28" w:rsidRDefault="009B5C28">
      <w:pPr>
        <w:pStyle w:val="TOC3"/>
        <w:tabs>
          <w:tab w:val="left" w:pos="1440"/>
          <w:tab w:val="right" w:leader="dot" w:pos="9350"/>
        </w:tabs>
        <w:rPr>
          <w:rFonts w:eastAsiaTheme="minorEastAsia"/>
          <w:noProof/>
        </w:rPr>
      </w:pPr>
      <w:r w:rsidRPr="00D16B20">
        <w:rPr>
          <w:rFonts w:cs="Times New Roman"/>
          <w:bCs/>
          <w:noProof/>
          <w:color w:val="000000" w:themeColor="text1"/>
        </w:rPr>
        <w:t>2.8.2</w:t>
      </w:r>
      <w:r>
        <w:rPr>
          <w:rFonts w:eastAsiaTheme="minorEastAsia"/>
          <w:noProof/>
        </w:rPr>
        <w:tab/>
      </w:r>
      <w:r w:rsidRPr="00D16B20">
        <w:rPr>
          <w:rFonts w:cs="Times New Roman"/>
          <w:noProof/>
          <w:color w:val="000000" w:themeColor="text1"/>
        </w:rPr>
        <w:t>Governance as a Mediator of Climate Risk</w:t>
      </w:r>
      <w:r>
        <w:rPr>
          <w:noProof/>
        </w:rPr>
        <w:tab/>
      </w:r>
      <w:r>
        <w:rPr>
          <w:noProof/>
        </w:rPr>
        <w:fldChar w:fldCharType="begin"/>
      </w:r>
      <w:r>
        <w:rPr>
          <w:noProof/>
        </w:rPr>
        <w:instrText xml:space="preserve"> PAGEREF _Toc234489011 \h </w:instrText>
      </w:r>
      <w:r>
        <w:rPr>
          <w:noProof/>
        </w:rPr>
      </w:r>
      <w:r>
        <w:rPr>
          <w:noProof/>
        </w:rPr>
        <w:fldChar w:fldCharType="separate"/>
      </w:r>
      <w:r>
        <w:rPr>
          <w:noProof/>
        </w:rPr>
        <w:t>52</w:t>
      </w:r>
      <w:r>
        <w:rPr>
          <w:noProof/>
        </w:rPr>
        <w:fldChar w:fldCharType="end"/>
      </w:r>
    </w:p>
    <w:p w14:paraId="279B0741" w14:textId="307A4024" w:rsidR="009B5C28" w:rsidRDefault="009B5C28">
      <w:pPr>
        <w:pStyle w:val="TOC3"/>
        <w:tabs>
          <w:tab w:val="left" w:pos="1440"/>
          <w:tab w:val="right" w:leader="dot" w:pos="9350"/>
        </w:tabs>
        <w:rPr>
          <w:rFonts w:eastAsiaTheme="minorEastAsia"/>
          <w:noProof/>
        </w:rPr>
      </w:pPr>
      <w:r w:rsidRPr="00D16B20">
        <w:rPr>
          <w:rFonts w:cs="Times New Roman"/>
          <w:bCs/>
          <w:noProof/>
          <w:color w:val="000000" w:themeColor="text1"/>
        </w:rPr>
        <w:t>2.8.3</w:t>
      </w:r>
      <w:r>
        <w:rPr>
          <w:rFonts w:eastAsiaTheme="minorEastAsia"/>
          <w:noProof/>
        </w:rPr>
        <w:tab/>
      </w:r>
      <w:r w:rsidRPr="00D16B20">
        <w:rPr>
          <w:rFonts w:cs="Times New Roman"/>
          <w:bCs/>
          <w:noProof/>
          <w:color w:val="000000" w:themeColor="text1"/>
        </w:rPr>
        <w:t>Climate Governance and Institutional Resilience</w:t>
      </w:r>
      <w:r>
        <w:rPr>
          <w:noProof/>
        </w:rPr>
        <w:tab/>
      </w:r>
      <w:r>
        <w:rPr>
          <w:noProof/>
        </w:rPr>
        <w:fldChar w:fldCharType="begin"/>
      </w:r>
      <w:r>
        <w:rPr>
          <w:noProof/>
        </w:rPr>
        <w:instrText xml:space="preserve"> PAGEREF _Toc234489012 \h </w:instrText>
      </w:r>
      <w:r>
        <w:rPr>
          <w:noProof/>
        </w:rPr>
      </w:r>
      <w:r>
        <w:rPr>
          <w:noProof/>
        </w:rPr>
        <w:fldChar w:fldCharType="separate"/>
      </w:r>
      <w:r>
        <w:rPr>
          <w:noProof/>
        </w:rPr>
        <w:t>52</w:t>
      </w:r>
      <w:r>
        <w:rPr>
          <w:noProof/>
        </w:rPr>
        <w:fldChar w:fldCharType="end"/>
      </w:r>
    </w:p>
    <w:p w14:paraId="0171FE91" w14:textId="335B5BEC" w:rsidR="009B5C28" w:rsidRDefault="009B5C28">
      <w:pPr>
        <w:pStyle w:val="TOC3"/>
        <w:tabs>
          <w:tab w:val="left" w:pos="1440"/>
          <w:tab w:val="right" w:leader="dot" w:pos="9350"/>
        </w:tabs>
        <w:rPr>
          <w:rFonts w:eastAsiaTheme="minorEastAsia"/>
          <w:noProof/>
        </w:rPr>
      </w:pPr>
      <w:r w:rsidRPr="00D16B20">
        <w:rPr>
          <w:rFonts w:cs="Times New Roman"/>
          <w:bCs/>
          <w:noProof/>
          <w:color w:val="000000" w:themeColor="text1"/>
        </w:rPr>
        <w:t>2.8.4</w:t>
      </w:r>
      <w:r>
        <w:rPr>
          <w:rFonts w:eastAsiaTheme="minorEastAsia"/>
          <w:noProof/>
        </w:rPr>
        <w:tab/>
      </w:r>
      <w:r w:rsidRPr="00D16B20">
        <w:rPr>
          <w:rFonts w:cs="Times New Roman"/>
          <w:noProof/>
          <w:color w:val="000000" w:themeColor="text1"/>
        </w:rPr>
        <w:t>Adaptation, Learning, and Institutional Constraints</w:t>
      </w:r>
      <w:r>
        <w:rPr>
          <w:noProof/>
        </w:rPr>
        <w:tab/>
      </w:r>
      <w:r>
        <w:rPr>
          <w:noProof/>
        </w:rPr>
        <w:fldChar w:fldCharType="begin"/>
      </w:r>
      <w:r>
        <w:rPr>
          <w:noProof/>
        </w:rPr>
        <w:instrText xml:space="preserve"> PAGEREF _Toc234489013 \h </w:instrText>
      </w:r>
      <w:r>
        <w:rPr>
          <w:noProof/>
        </w:rPr>
      </w:r>
      <w:r>
        <w:rPr>
          <w:noProof/>
        </w:rPr>
        <w:fldChar w:fldCharType="separate"/>
      </w:r>
      <w:r>
        <w:rPr>
          <w:noProof/>
        </w:rPr>
        <w:t>54</w:t>
      </w:r>
      <w:r>
        <w:rPr>
          <w:noProof/>
        </w:rPr>
        <w:fldChar w:fldCharType="end"/>
      </w:r>
    </w:p>
    <w:p w14:paraId="0D3FABC3" w14:textId="497E97D4" w:rsidR="009B5C28" w:rsidRDefault="009B5C28">
      <w:pPr>
        <w:pStyle w:val="TOC3"/>
        <w:tabs>
          <w:tab w:val="left" w:pos="1440"/>
          <w:tab w:val="right" w:leader="dot" w:pos="9350"/>
        </w:tabs>
        <w:rPr>
          <w:rFonts w:eastAsiaTheme="minorEastAsia"/>
          <w:noProof/>
        </w:rPr>
      </w:pPr>
      <w:r w:rsidRPr="00D16B20">
        <w:rPr>
          <w:rFonts w:cs="Times New Roman"/>
          <w:bCs/>
          <w:noProof/>
          <w:color w:val="000000" w:themeColor="text1"/>
        </w:rPr>
        <w:t>2.8.5</w:t>
      </w:r>
      <w:r>
        <w:rPr>
          <w:rFonts w:eastAsiaTheme="minorEastAsia"/>
          <w:noProof/>
        </w:rPr>
        <w:tab/>
      </w:r>
      <w:r w:rsidRPr="00D16B20">
        <w:rPr>
          <w:rFonts w:cs="Times New Roman"/>
          <w:noProof/>
          <w:color w:val="000000" w:themeColor="text1"/>
        </w:rPr>
        <w:t>Climate Risk and Project Stalling</w:t>
      </w:r>
      <w:r>
        <w:rPr>
          <w:noProof/>
        </w:rPr>
        <w:tab/>
      </w:r>
      <w:r>
        <w:rPr>
          <w:noProof/>
        </w:rPr>
        <w:fldChar w:fldCharType="begin"/>
      </w:r>
      <w:r>
        <w:rPr>
          <w:noProof/>
        </w:rPr>
        <w:instrText xml:space="preserve"> PAGEREF _Toc234489014 \h </w:instrText>
      </w:r>
      <w:r>
        <w:rPr>
          <w:noProof/>
        </w:rPr>
      </w:r>
      <w:r>
        <w:rPr>
          <w:noProof/>
        </w:rPr>
        <w:fldChar w:fldCharType="separate"/>
      </w:r>
      <w:r>
        <w:rPr>
          <w:noProof/>
        </w:rPr>
        <w:t>55</w:t>
      </w:r>
      <w:r>
        <w:rPr>
          <w:noProof/>
        </w:rPr>
        <w:fldChar w:fldCharType="end"/>
      </w:r>
    </w:p>
    <w:p w14:paraId="5EAD1C53" w14:textId="6F825807" w:rsidR="009B5C28" w:rsidRDefault="009B5C28">
      <w:pPr>
        <w:pStyle w:val="TOC3"/>
        <w:tabs>
          <w:tab w:val="left" w:pos="1440"/>
          <w:tab w:val="right" w:leader="dot" w:pos="9350"/>
        </w:tabs>
        <w:rPr>
          <w:rFonts w:eastAsiaTheme="minorEastAsia"/>
          <w:noProof/>
        </w:rPr>
      </w:pPr>
      <w:r w:rsidRPr="00D16B20">
        <w:rPr>
          <w:rFonts w:cs="Times New Roman"/>
          <w:bCs/>
          <w:noProof/>
          <w:color w:val="000000" w:themeColor="text1"/>
        </w:rPr>
        <w:t>2.8.6</w:t>
      </w:r>
      <w:r>
        <w:rPr>
          <w:rFonts w:eastAsiaTheme="minorEastAsia"/>
          <w:noProof/>
        </w:rPr>
        <w:tab/>
      </w:r>
      <w:r w:rsidRPr="00D16B20">
        <w:rPr>
          <w:rFonts w:cs="Times New Roman"/>
          <w:noProof/>
          <w:color w:val="000000" w:themeColor="text1"/>
        </w:rPr>
        <w:t>Implications for Infrastructure Analysis</w:t>
      </w:r>
      <w:r>
        <w:rPr>
          <w:noProof/>
        </w:rPr>
        <w:tab/>
      </w:r>
      <w:r>
        <w:rPr>
          <w:noProof/>
        </w:rPr>
        <w:fldChar w:fldCharType="begin"/>
      </w:r>
      <w:r>
        <w:rPr>
          <w:noProof/>
        </w:rPr>
        <w:instrText xml:space="preserve"> PAGEREF _Toc234489015 \h </w:instrText>
      </w:r>
      <w:r>
        <w:rPr>
          <w:noProof/>
        </w:rPr>
      </w:r>
      <w:r>
        <w:rPr>
          <w:noProof/>
        </w:rPr>
        <w:fldChar w:fldCharType="separate"/>
      </w:r>
      <w:r>
        <w:rPr>
          <w:noProof/>
        </w:rPr>
        <w:t>55</w:t>
      </w:r>
      <w:r>
        <w:rPr>
          <w:noProof/>
        </w:rPr>
        <w:fldChar w:fldCharType="end"/>
      </w:r>
    </w:p>
    <w:p w14:paraId="3224823E" w14:textId="70FCB783" w:rsidR="009B5C28" w:rsidRDefault="009B5C28">
      <w:pPr>
        <w:pStyle w:val="TOC2"/>
        <w:tabs>
          <w:tab w:val="left" w:pos="960"/>
          <w:tab w:val="right" w:leader="dot" w:pos="9350"/>
        </w:tabs>
        <w:rPr>
          <w:rFonts w:eastAsiaTheme="minorEastAsia"/>
          <w:noProof/>
        </w:rPr>
      </w:pPr>
      <w:r w:rsidRPr="00D16B20">
        <w:rPr>
          <w:rFonts w:cs="Times New Roman"/>
          <w:noProof/>
          <w:color w:val="000000" w:themeColor="text1"/>
        </w:rPr>
        <w:t>2.9</w:t>
      </w:r>
      <w:r>
        <w:rPr>
          <w:rFonts w:eastAsiaTheme="minorEastAsia"/>
          <w:noProof/>
        </w:rPr>
        <w:tab/>
      </w:r>
      <w:r w:rsidRPr="00D16B20">
        <w:rPr>
          <w:rFonts w:cs="Times New Roman"/>
          <w:noProof/>
          <w:color w:val="000000" w:themeColor="text1"/>
        </w:rPr>
        <w:t>Regional and Kenyan Evidence on Water Infrastructure Governance and Performance</w:t>
      </w:r>
      <w:r>
        <w:rPr>
          <w:noProof/>
        </w:rPr>
        <w:tab/>
      </w:r>
      <w:r>
        <w:rPr>
          <w:noProof/>
        </w:rPr>
        <w:fldChar w:fldCharType="begin"/>
      </w:r>
      <w:r>
        <w:rPr>
          <w:noProof/>
        </w:rPr>
        <w:instrText xml:space="preserve"> PAGEREF _Toc234489016 \h </w:instrText>
      </w:r>
      <w:r>
        <w:rPr>
          <w:noProof/>
        </w:rPr>
      </w:r>
      <w:r>
        <w:rPr>
          <w:noProof/>
        </w:rPr>
        <w:fldChar w:fldCharType="separate"/>
      </w:r>
      <w:r>
        <w:rPr>
          <w:noProof/>
        </w:rPr>
        <w:t>58</w:t>
      </w:r>
      <w:r>
        <w:rPr>
          <w:noProof/>
        </w:rPr>
        <w:fldChar w:fldCharType="end"/>
      </w:r>
    </w:p>
    <w:p w14:paraId="3DA55DD7" w14:textId="2141602F" w:rsidR="009B5C28" w:rsidRDefault="009B5C28">
      <w:pPr>
        <w:pStyle w:val="TOC3"/>
        <w:tabs>
          <w:tab w:val="left" w:pos="1440"/>
          <w:tab w:val="right" w:leader="dot" w:pos="9350"/>
        </w:tabs>
        <w:rPr>
          <w:rFonts w:eastAsiaTheme="minorEastAsia"/>
          <w:noProof/>
        </w:rPr>
      </w:pPr>
      <w:r w:rsidRPr="00D16B20">
        <w:rPr>
          <w:rFonts w:cs="Times New Roman"/>
          <w:noProof/>
          <w:color w:val="000000" w:themeColor="text1"/>
        </w:rPr>
        <w:t>2.9.1</w:t>
      </w:r>
      <w:r>
        <w:rPr>
          <w:rFonts w:eastAsiaTheme="minorEastAsia"/>
          <w:noProof/>
        </w:rPr>
        <w:tab/>
      </w:r>
      <w:r w:rsidRPr="00D16B20">
        <w:rPr>
          <w:rFonts w:cs="Times New Roman"/>
          <w:noProof/>
          <w:color w:val="000000" w:themeColor="text1"/>
        </w:rPr>
        <w:t>Infrastructure Governance in Sub-Saharan Africa</w:t>
      </w:r>
      <w:r>
        <w:rPr>
          <w:noProof/>
        </w:rPr>
        <w:tab/>
      </w:r>
      <w:r>
        <w:rPr>
          <w:noProof/>
        </w:rPr>
        <w:fldChar w:fldCharType="begin"/>
      </w:r>
      <w:r>
        <w:rPr>
          <w:noProof/>
        </w:rPr>
        <w:instrText xml:space="preserve"> PAGEREF _Toc234489017 \h </w:instrText>
      </w:r>
      <w:r>
        <w:rPr>
          <w:noProof/>
        </w:rPr>
      </w:r>
      <w:r>
        <w:rPr>
          <w:noProof/>
        </w:rPr>
        <w:fldChar w:fldCharType="separate"/>
      </w:r>
      <w:r>
        <w:rPr>
          <w:noProof/>
        </w:rPr>
        <w:t>58</w:t>
      </w:r>
      <w:r>
        <w:rPr>
          <w:noProof/>
        </w:rPr>
        <w:fldChar w:fldCharType="end"/>
      </w:r>
    </w:p>
    <w:p w14:paraId="0C0DC85E" w14:textId="62375C0E" w:rsidR="009B5C28" w:rsidRDefault="009B5C28">
      <w:pPr>
        <w:pStyle w:val="TOC3"/>
        <w:tabs>
          <w:tab w:val="left" w:pos="1440"/>
          <w:tab w:val="right" w:leader="dot" w:pos="9350"/>
        </w:tabs>
        <w:rPr>
          <w:rFonts w:eastAsiaTheme="minorEastAsia"/>
          <w:noProof/>
        </w:rPr>
      </w:pPr>
      <w:r w:rsidRPr="00D16B20">
        <w:rPr>
          <w:rFonts w:cs="Times New Roman"/>
          <w:bCs/>
          <w:noProof/>
          <w:color w:val="000000" w:themeColor="text1"/>
        </w:rPr>
        <w:t>2.9.2</w:t>
      </w:r>
      <w:r>
        <w:rPr>
          <w:rFonts w:eastAsiaTheme="minorEastAsia"/>
          <w:noProof/>
        </w:rPr>
        <w:tab/>
      </w:r>
      <w:r w:rsidRPr="00D16B20">
        <w:rPr>
          <w:rFonts w:cs="Times New Roman"/>
          <w:noProof/>
          <w:color w:val="000000" w:themeColor="text1"/>
        </w:rPr>
        <w:t>Decentralization and Institutional Fragmentation in Kenya</w:t>
      </w:r>
      <w:r>
        <w:rPr>
          <w:noProof/>
        </w:rPr>
        <w:tab/>
      </w:r>
      <w:r>
        <w:rPr>
          <w:noProof/>
        </w:rPr>
        <w:fldChar w:fldCharType="begin"/>
      </w:r>
      <w:r>
        <w:rPr>
          <w:noProof/>
        </w:rPr>
        <w:instrText xml:space="preserve"> PAGEREF _Toc234489018 \h </w:instrText>
      </w:r>
      <w:r>
        <w:rPr>
          <w:noProof/>
        </w:rPr>
      </w:r>
      <w:r>
        <w:rPr>
          <w:noProof/>
        </w:rPr>
        <w:fldChar w:fldCharType="separate"/>
      </w:r>
      <w:r>
        <w:rPr>
          <w:noProof/>
        </w:rPr>
        <w:t>59</w:t>
      </w:r>
      <w:r>
        <w:rPr>
          <w:noProof/>
        </w:rPr>
        <w:fldChar w:fldCharType="end"/>
      </w:r>
    </w:p>
    <w:p w14:paraId="07CC67AA" w14:textId="481E5992" w:rsidR="009B5C28" w:rsidRDefault="009B5C28">
      <w:pPr>
        <w:pStyle w:val="TOC3"/>
        <w:tabs>
          <w:tab w:val="left" w:pos="1440"/>
          <w:tab w:val="right" w:leader="dot" w:pos="9350"/>
        </w:tabs>
        <w:rPr>
          <w:rFonts w:eastAsiaTheme="minorEastAsia"/>
          <w:noProof/>
        </w:rPr>
      </w:pPr>
      <w:r w:rsidRPr="00D16B20">
        <w:rPr>
          <w:rFonts w:cs="Times New Roman"/>
          <w:noProof/>
          <w:color w:val="000000" w:themeColor="text1"/>
        </w:rPr>
        <w:t>2.9.3</w:t>
      </w:r>
      <w:r>
        <w:rPr>
          <w:rFonts w:eastAsiaTheme="minorEastAsia"/>
          <w:noProof/>
        </w:rPr>
        <w:tab/>
      </w:r>
      <w:r w:rsidRPr="00D16B20">
        <w:rPr>
          <w:rFonts w:cs="Times New Roman"/>
          <w:noProof/>
          <w:color w:val="000000" w:themeColor="text1"/>
        </w:rPr>
        <w:t>Political Transition, Veto Players, and Infrastructure Continuity</w:t>
      </w:r>
      <w:r>
        <w:rPr>
          <w:noProof/>
        </w:rPr>
        <w:tab/>
      </w:r>
      <w:r>
        <w:rPr>
          <w:noProof/>
        </w:rPr>
        <w:fldChar w:fldCharType="begin"/>
      </w:r>
      <w:r>
        <w:rPr>
          <w:noProof/>
        </w:rPr>
        <w:instrText xml:space="preserve"> PAGEREF _Toc234489019 \h </w:instrText>
      </w:r>
      <w:r>
        <w:rPr>
          <w:noProof/>
        </w:rPr>
      </w:r>
      <w:r>
        <w:rPr>
          <w:noProof/>
        </w:rPr>
        <w:fldChar w:fldCharType="separate"/>
      </w:r>
      <w:r>
        <w:rPr>
          <w:noProof/>
        </w:rPr>
        <w:t>60</w:t>
      </w:r>
      <w:r>
        <w:rPr>
          <w:noProof/>
        </w:rPr>
        <w:fldChar w:fldCharType="end"/>
      </w:r>
    </w:p>
    <w:p w14:paraId="47B189FF" w14:textId="0DDF9D25" w:rsidR="009B5C28" w:rsidRDefault="009B5C28">
      <w:pPr>
        <w:pStyle w:val="TOC3"/>
        <w:tabs>
          <w:tab w:val="left" w:pos="1440"/>
          <w:tab w:val="right" w:leader="dot" w:pos="9350"/>
        </w:tabs>
        <w:rPr>
          <w:rFonts w:eastAsiaTheme="minorEastAsia"/>
          <w:noProof/>
        </w:rPr>
      </w:pPr>
      <w:r w:rsidRPr="00D16B20">
        <w:rPr>
          <w:rFonts w:cs="Times New Roman"/>
          <w:bCs/>
          <w:noProof/>
          <w:color w:val="000000" w:themeColor="text1"/>
        </w:rPr>
        <w:t>2.9.4</w:t>
      </w:r>
      <w:r>
        <w:rPr>
          <w:rFonts w:eastAsiaTheme="minorEastAsia"/>
          <w:noProof/>
        </w:rPr>
        <w:tab/>
      </w:r>
      <w:r w:rsidRPr="00D16B20">
        <w:rPr>
          <w:rFonts w:cs="Times New Roman"/>
          <w:noProof/>
          <w:color w:val="000000" w:themeColor="text1"/>
        </w:rPr>
        <w:t>Governance Failures in Kenya’s Water Sector</w:t>
      </w:r>
      <w:r>
        <w:rPr>
          <w:noProof/>
        </w:rPr>
        <w:tab/>
      </w:r>
      <w:r>
        <w:rPr>
          <w:noProof/>
        </w:rPr>
        <w:fldChar w:fldCharType="begin"/>
      </w:r>
      <w:r>
        <w:rPr>
          <w:noProof/>
        </w:rPr>
        <w:instrText xml:space="preserve"> PAGEREF _Toc234489020 \h </w:instrText>
      </w:r>
      <w:r>
        <w:rPr>
          <w:noProof/>
        </w:rPr>
      </w:r>
      <w:r>
        <w:rPr>
          <w:noProof/>
        </w:rPr>
        <w:fldChar w:fldCharType="separate"/>
      </w:r>
      <w:r>
        <w:rPr>
          <w:noProof/>
        </w:rPr>
        <w:t>61</w:t>
      </w:r>
      <w:r>
        <w:rPr>
          <w:noProof/>
        </w:rPr>
        <w:fldChar w:fldCharType="end"/>
      </w:r>
    </w:p>
    <w:p w14:paraId="0107E00B" w14:textId="43B69D19" w:rsidR="009B5C28" w:rsidRDefault="009B5C28">
      <w:pPr>
        <w:pStyle w:val="TOC3"/>
        <w:tabs>
          <w:tab w:val="left" w:pos="1440"/>
          <w:tab w:val="right" w:leader="dot" w:pos="9350"/>
        </w:tabs>
        <w:rPr>
          <w:rFonts w:eastAsiaTheme="minorEastAsia"/>
          <w:noProof/>
        </w:rPr>
      </w:pPr>
      <w:r w:rsidRPr="00D16B20">
        <w:rPr>
          <w:rFonts w:cs="Times New Roman"/>
          <w:noProof/>
          <w:color w:val="000000" w:themeColor="text1"/>
        </w:rPr>
        <w:t>2.9.5</w:t>
      </w:r>
      <w:r>
        <w:rPr>
          <w:rFonts w:eastAsiaTheme="minorEastAsia"/>
          <w:noProof/>
        </w:rPr>
        <w:tab/>
      </w:r>
      <w:r w:rsidRPr="00D16B20">
        <w:rPr>
          <w:rFonts w:cs="Times New Roman"/>
          <w:noProof/>
          <w:color w:val="000000" w:themeColor="text1"/>
        </w:rPr>
        <w:t>Climate Stress and Institutional Response in Kenya</w:t>
      </w:r>
      <w:r>
        <w:rPr>
          <w:noProof/>
        </w:rPr>
        <w:tab/>
      </w:r>
      <w:r>
        <w:rPr>
          <w:noProof/>
        </w:rPr>
        <w:fldChar w:fldCharType="begin"/>
      </w:r>
      <w:r>
        <w:rPr>
          <w:noProof/>
        </w:rPr>
        <w:instrText xml:space="preserve"> PAGEREF _Toc234489021 \h </w:instrText>
      </w:r>
      <w:r>
        <w:rPr>
          <w:noProof/>
        </w:rPr>
      </w:r>
      <w:r>
        <w:rPr>
          <w:noProof/>
        </w:rPr>
        <w:fldChar w:fldCharType="separate"/>
      </w:r>
      <w:r>
        <w:rPr>
          <w:noProof/>
        </w:rPr>
        <w:t>61</w:t>
      </w:r>
      <w:r>
        <w:rPr>
          <w:noProof/>
        </w:rPr>
        <w:fldChar w:fldCharType="end"/>
      </w:r>
    </w:p>
    <w:p w14:paraId="262AC8C2" w14:textId="033D4D00" w:rsidR="009B5C28" w:rsidRDefault="009B5C28">
      <w:pPr>
        <w:pStyle w:val="TOC3"/>
        <w:tabs>
          <w:tab w:val="left" w:pos="1440"/>
          <w:tab w:val="right" w:leader="dot" w:pos="9350"/>
        </w:tabs>
        <w:rPr>
          <w:rFonts w:eastAsiaTheme="minorEastAsia"/>
          <w:noProof/>
        </w:rPr>
      </w:pPr>
      <w:r w:rsidRPr="00D16B20">
        <w:rPr>
          <w:rFonts w:cs="Times New Roman"/>
          <w:bCs/>
          <w:noProof/>
          <w:color w:val="000000" w:themeColor="text1"/>
        </w:rPr>
        <w:t>2.9.6</w:t>
      </w:r>
      <w:r>
        <w:rPr>
          <w:rFonts w:eastAsiaTheme="minorEastAsia"/>
          <w:noProof/>
        </w:rPr>
        <w:tab/>
      </w:r>
      <w:r w:rsidRPr="00D16B20">
        <w:rPr>
          <w:rFonts w:cs="Times New Roman"/>
          <w:noProof/>
          <w:color w:val="000000" w:themeColor="text1"/>
        </w:rPr>
        <w:t>Implications for This Study</w:t>
      </w:r>
      <w:r>
        <w:rPr>
          <w:noProof/>
        </w:rPr>
        <w:tab/>
      </w:r>
      <w:r>
        <w:rPr>
          <w:noProof/>
        </w:rPr>
        <w:fldChar w:fldCharType="begin"/>
      </w:r>
      <w:r>
        <w:rPr>
          <w:noProof/>
        </w:rPr>
        <w:instrText xml:space="preserve"> PAGEREF _Toc234489022 \h </w:instrText>
      </w:r>
      <w:r>
        <w:rPr>
          <w:noProof/>
        </w:rPr>
      </w:r>
      <w:r>
        <w:rPr>
          <w:noProof/>
        </w:rPr>
        <w:fldChar w:fldCharType="separate"/>
      </w:r>
      <w:r>
        <w:rPr>
          <w:noProof/>
        </w:rPr>
        <w:t>62</w:t>
      </w:r>
      <w:r>
        <w:rPr>
          <w:noProof/>
        </w:rPr>
        <w:fldChar w:fldCharType="end"/>
      </w:r>
    </w:p>
    <w:p w14:paraId="52648E3F" w14:textId="119ED21E" w:rsidR="009B5C28" w:rsidRDefault="009B5C28">
      <w:pPr>
        <w:pStyle w:val="TOC3"/>
        <w:tabs>
          <w:tab w:val="left" w:pos="1440"/>
          <w:tab w:val="right" w:leader="dot" w:pos="9350"/>
        </w:tabs>
        <w:rPr>
          <w:rFonts w:eastAsiaTheme="minorEastAsia"/>
          <w:noProof/>
        </w:rPr>
      </w:pPr>
      <w:r w:rsidRPr="00D16B20">
        <w:rPr>
          <w:rFonts w:cs="Times New Roman"/>
          <w:noProof/>
          <w:color w:val="000000" w:themeColor="text1"/>
        </w:rPr>
        <w:t>2.9.7</w:t>
      </w:r>
      <w:r>
        <w:rPr>
          <w:rFonts w:eastAsiaTheme="minorEastAsia"/>
          <w:noProof/>
        </w:rPr>
        <w:tab/>
      </w:r>
      <w:r w:rsidRPr="00D16B20">
        <w:rPr>
          <w:rFonts w:cs="Times New Roman"/>
          <w:noProof/>
          <w:color w:val="000000" w:themeColor="text1"/>
        </w:rPr>
        <w:t>Critical Evaluation of Existing Infrastructure Governance Literature</w:t>
      </w:r>
      <w:r>
        <w:rPr>
          <w:noProof/>
        </w:rPr>
        <w:tab/>
      </w:r>
      <w:r>
        <w:rPr>
          <w:noProof/>
        </w:rPr>
        <w:fldChar w:fldCharType="begin"/>
      </w:r>
      <w:r>
        <w:rPr>
          <w:noProof/>
        </w:rPr>
        <w:instrText xml:space="preserve"> PAGEREF _Toc234489023 \h </w:instrText>
      </w:r>
      <w:r>
        <w:rPr>
          <w:noProof/>
        </w:rPr>
      </w:r>
      <w:r>
        <w:rPr>
          <w:noProof/>
        </w:rPr>
        <w:fldChar w:fldCharType="separate"/>
      </w:r>
      <w:r>
        <w:rPr>
          <w:noProof/>
        </w:rPr>
        <w:t>64</w:t>
      </w:r>
      <w:r>
        <w:rPr>
          <w:noProof/>
        </w:rPr>
        <w:fldChar w:fldCharType="end"/>
      </w:r>
    </w:p>
    <w:p w14:paraId="76B1EF12" w14:textId="449CC85D" w:rsidR="009B5C28" w:rsidRDefault="009B5C28">
      <w:pPr>
        <w:pStyle w:val="TOC2"/>
        <w:tabs>
          <w:tab w:val="left" w:pos="960"/>
          <w:tab w:val="right" w:leader="dot" w:pos="9350"/>
        </w:tabs>
        <w:rPr>
          <w:rFonts w:eastAsiaTheme="minorEastAsia"/>
          <w:noProof/>
        </w:rPr>
      </w:pPr>
      <w:r w:rsidRPr="00D16B20">
        <w:rPr>
          <w:rFonts w:cs="Times New Roman"/>
          <w:noProof/>
          <w:color w:val="000000" w:themeColor="text1"/>
        </w:rPr>
        <w:t>2.10</w:t>
      </w:r>
      <w:r>
        <w:rPr>
          <w:rFonts w:eastAsiaTheme="minorEastAsia"/>
          <w:noProof/>
        </w:rPr>
        <w:tab/>
      </w:r>
      <w:r w:rsidRPr="00D16B20">
        <w:rPr>
          <w:rFonts w:cs="Times New Roman"/>
          <w:noProof/>
          <w:color w:val="000000" w:themeColor="text1"/>
        </w:rPr>
        <w:t>Synthesis of Literature Gaps</w:t>
      </w:r>
      <w:r>
        <w:rPr>
          <w:noProof/>
        </w:rPr>
        <w:tab/>
      </w:r>
      <w:r>
        <w:rPr>
          <w:noProof/>
        </w:rPr>
        <w:fldChar w:fldCharType="begin"/>
      </w:r>
      <w:r>
        <w:rPr>
          <w:noProof/>
        </w:rPr>
        <w:instrText xml:space="preserve"> PAGEREF _Toc234489024 \h </w:instrText>
      </w:r>
      <w:r>
        <w:rPr>
          <w:noProof/>
        </w:rPr>
      </w:r>
      <w:r>
        <w:rPr>
          <w:noProof/>
        </w:rPr>
        <w:fldChar w:fldCharType="separate"/>
      </w:r>
      <w:r>
        <w:rPr>
          <w:noProof/>
        </w:rPr>
        <w:t>66</w:t>
      </w:r>
      <w:r>
        <w:rPr>
          <w:noProof/>
        </w:rPr>
        <w:fldChar w:fldCharType="end"/>
      </w:r>
    </w:p>
    <w:p w14:paraId="232D8884" w14:textId="43E43F64" w:rsidR="009B5C28" w:rsidRDefault="009B5C28">
      <w:pPr>
        <w:pStyle w:val="TOC3"/>
        <w:tabs>
          <w:tab w:val="left" w:pos="1440"/>
          <w:tab w:val="right" w:leader="dot" w:pos="9350"/>
        </w:tabs>
        <w:rPr>
          <w:rFonts w:eastAsiaTheme="minorEastAsia"/>
          <w:noProof/>
        </w:rPr>
      </w:pPr>
      <w:r w:rsidRPr="00D16B20">
        <w:rPr>
          <w:rFonts w:cs="Times New Roman"/>
          <w:noProof/>
          <w:color w:val="000000" w:themeColor="text1"/>
        </w:rPr>
        <w:t>2.10.1</w:t>
      </w:r>
      <w:r>
        <w:rPr>
          <w:rFonts w:eastAsiaTheme="minorEastAsia"/>
          <w:noProof/>
        </w:rPr>
        <w:tab/>
      </w:r>
      <w:r w:rsidRPr="00D16B20">
        <w:rPr>
          <w:rFonts w:cs="Times New Roman"/>
          <w:noProof/>
          <w:color w:val="000000" w:themeColor="text1"/>
        </w:rPr>
        <w:t>Limited Attention to Project Stalling as a Distinct Outcome</w:t>
      </w:r>
      <w:r>
        <w:rPr>
          <w:noProof/>
        </w:rPr>
        <w:tab/>
      </w:r>
      <w:r>
        <w:rPr>
          <w:noProof/>
        </w:rPr>
        <w:fldChar w:fldCharType="begin"/>
      </w:r>
      <w:r>
        <w:rPr>
          <w:noProof/>
        </w:rPr>
        <w:instrText xml:space="preserve"> PAGEREF _Toc234489025 \h </w:instrText>
      </w:r>
      <w:r>
        <w:rPr>
          <w:noProof/>
        </w:rPr>
      </w:r>
      <w:r>
        <w:rPr>
          <w:noProof/>
        </w:rPr>
        <w:fldChar w:fldCharType="separate"/>
      </w:r>
      <w:r>
        <w:rPr>
          <w:noProof/>
        </w:rPr>
        <w:t>66</w:t>
      </w:r>
      <w:r>
        <w:rPr>
          <w:noProof/>
        </w:rPr>
        <w:fldChar w:fldCharType="end"/>
      </w:r>
    </w:p>
    <w:p w14:paraId="24DAF6EA" w14:textId="6A5B7962" w:rsidR="009B5C28" w:rsidRDefault="009B5C28">
      <w:pPr>
        <w:pStyle w:val="TOC3"/>
        <w:tabs>
          <w:tab w:val="left" w:pos="1440"/>
          <w:tab w:val="right" w:leader="dot" w:pos="9350"/>
        </w:tabs>
        <w:rPr>
          <w:rFonts w:eastAsiaTheme="minorEastAsia"/>
          <w:noProof/>
        </w:rPr>
      </w:pPr>
      <w:r w:rsidRPr="00D16B20">
        <w:rPr>
          <w:rFonts w:cs="Times New Roman"/>
          <w:bCs/>
          <w:noProof/>
          <w:color w:val="000000" w:themeColor="text1"/>
        </w:rPr>
        <w:t>2.10.2</w:t>
      </w:r>
      <w:r>
        <w:rPr>
          <w:rFonts w:eastAsiaTheme="minorEastAsia"/>
          <w:noProof/>
        </w:rPr>
        <w:tab/>
      </w:r>
      <w:r w:rsidRPr="00D16B20">
        <w:rPr>
          <w:rFonts w:cs="Times New Roman"/>
          <w:noProof/>
          <w:color w:val="000000" w:themeColor="text1"/>
        </w:rPr>
        <w:t>Weak Operationalization of Governance Quality at the Project Level</w:t>
      </w:r>
      <w:r>
        <w:rPr>
          <w:noProof/>
        </w:rPr>
        <w:tab/>
      </w:r>
      <w:r>
        <w:rPr>
          <w:noProof/>
        </w:rPr>
        <w:fldChar w:fldCharType="begin"/>
      </w:r>
      <w:r>
        <w:rPr>
          <w:noProof/>
        </w:rPr>
        <w:instrText xml:space="preserve"> PAGEREF _Toc234489026 \h </w:instrText>
      </w:r>
      <w:r>
        <w:rPr>
          <w:noProof/>
        </w:rPr>
      </w:r>
      <w:r>
        <w:rPr>
          <w:noProof/>
        </w:rPr>
        <w:fldChar w:fldCharType="separate"/>
      </w:r>
      <w:r>
        <w:rPr>
          <w:noProof/>
        </w:rPr>
        <w:t>67</w:t>
      </w:r>
      <w:r>
        <w:rPr>
          <w:noProof/>
        </w:rPr>
        <w:fldChar w:fldCharType="end"/>
      </w:r>
    </w:p>
    <w:p w14:paraId="7F3F2301" w14:textId="5D6A51E6" w:rsidR="009B5C28" w:rsidRDefault="009B5C28">
      <w:pPr>
        <w:pStyle w:val="TOC3"/>
        <w:tabs>
          <w:tab w:val="left" w:pos="1440"/>
          <w:tab w:val="right" w:leader="dot" w:pos="9350"/>
        </w:tabs>
        <w:rPr>
          <w:rFonts w:eastAsiaTheme="minorEastAsia"/>
          <w:noProof/>
        </w:rPr>
      </w:pPr>
      <w:r w:rsidRPr="00D16B20">
        <w:rPr>
          <w:rFonts w:cs="Times New Roman"/>
          <w:noProof/>
          <w:color w:val="000000" w:themeColor="text1"/>
        </w:rPr>
        <w:t>2.10.3</w:t>
      </w:r>
      <w:r>
        <w:rPr>
          <w:rFonts w:eastAsiaTheme="minorEastAsia"/>
          <w:noProof/>
        </w:rPr>
        <w:tab/>
      </w:r>
      <w:r w:rsidRPr="00D16B20">
        <w:rPr>
          <w:rFonts w:cs="Times New Roman"/>
          <w:noProof/>
          <w:color w:val="000000" w:themeColor="text1"/>
        </w:rPr>
        <w:t>Fragmented Treatment of the Infrastructure Lifecycle</w:t>
      </w:r>
      <w:r>
        <w:rPr>
          <w:noProof/>
        </w:rPr>
        <w:tab/>
      </w:r>
      <w:r>
        <w:rPr>
          <w:noProof/>
        </w:rPr>
        <w:fldChar w:fldCharType="begin"/>
      </w:r>
      <w:r>
        <w:rPr>
          <w:noProof/>
        </w:rPr>
        <w:instrText xml:space="preserve"> PAGEREF _Toc234489027 \h </w:instrText>
      </w:r>
      <w:r>
        <w:rPr>
          <w:noProof/>
        </w:rPr>
      </w:r>
      <w:r>
        <w:rPr>
          <w:noProof/>
        </w:rPr>
        <w:fldChar w:fldCharType="separate"/>
      </w:r>
      <w:r>
        <w:rPr>
          <w:noProof/>
        </w:rPr>
        <w:t>67</w:t>
      </w:r>
      <w:r>
        <w:rPr>
          <w:noProof/>
        </w:rPr>
        <w:fldChar w:fldCharType="end"/>
      </w:r>
    </w:p>
    <w:p w14:paraId="342EDFD1" w14:textId="4A956C74" w:rsidR="009B5C28" w:rsidRDefault="009B5C28">
      <w:pPr>
        <w:pStyle w:val="TOC3"/>
        <w:tabs>
          <w:tab w:val="left" w:pos="1440"/>
          <w:tab w:val="right" w:leader="dot" w:pos="9350"/>
        </w:tabs>
        <w:rPr>
          <w:rFonts w:eastAsiaTheme="minorEastAsia"/>
          <w:noProof/>
        </w:rPr>
      </w:pPr>
      <w:r w:rsidRPr="00D16B20">
        <w:rPr>
          <w:rFonts w:cs="Times New Roman"/>
          <w:noProof/>
          <w:color w:val="000000" w:themeColor="text1"/>
        </w:rPr>
        <w:t>2.10.4</w:t>
      </w:r>
      <w:r>
        <w:rPr>
          <w:rFonts w:eastAsiaTheme="minorEastAsia"/>
          <w:noProof/>
        </w:rPr>
        <w:tab/>
      </w:r>
      <w:r w:rsidRPr="00D16B20">
        <w:rPr>
          <w:rFonts w:cs="Times New Roman"/>
          <w:noProof/>
          <w:color w:val="000000" w:themeColor="text1"/>
        </w:rPr>
        <w:t>Inadequate Integration of Water Governance and Infrastructure Project Literature</w:t>
      </w:r>
      <w:r>
        <w:rPr>
          <w:noProof/>
        </w:rPr>
        <w:tab/>
      </w:r>
      <w:r>
        <w:rPr>
          <w:noProof/>
        </w:rPr>
        <w:fldChar w:fldCharType="begin"/>
      </w:r>
      <w:r>
        <w:rPr>
          <w:noProof/>
        </w:rPr>
        <w:instrText xml:space="preserve"> PAGEREF _Toc234489028 \h </w:instrText>
      </w:r>
      <w:r>
        <w:rPr>
          <w:noProof/>
        </w:rPr>
      </w:r>
      <w:r>
        <w:rPr>
          <w:noProof/>
        </w:rPr>
        <w:fldChar w:fldCharType="separate"/>
      </w:r>
      <w:r>
        <w:rPr>
          <w:noProof/>
        </w:rPr>
        <w:t>68</w:t>
      </w:r>
      <w:r>
        <w:rPr>
          <w:noProof/>
        </w:rPr>
        <w:fldChar w:fldCharType="end"/>
      </w:r>
    </w:p>
    <w:p w14:paraId="054D118C" w14:textId="6526138E" w:rsidR="009B5C28" w:rsidRDefault="009B5C28">
      <w:pPr>
        <w:pStyle w:val="TOC3"/>
        <w:tabs>
          <w:tab w:val="left" w:pos="1440"/>
          <w:tab w:val="right" w:leader="dot" w:pos="9350"/>
        </w:tabs>
        <w:rPr>
          <w:rFonts w:eastAsiaTheme="minorEastAsia"/>
          <w:noProof/>
        </w:rPr>
      </w:pPr>
      <w:r w:rsidRPr="00D16B20">
        <w:rPr>
          <w:rFonts w:cs="Times New Roman"/>
          <w:noProof/>
          <w:color w:val="000000" w:themeColor="text1"/>
        </w:rPr>
        <w:t>2.10.5</w:t>
      </w:r>
      <w:r>
        <w:rPr>
          <w:rFonts w:eastAsiaTheme="minorEastAsia"/>
          <w:noProof/>
        </w:rPr>
        <w:tab/>
      </w:r>
      <w:r w:rsidRPr="00D16B20">
        <w:rPr>
          <w:rFonts w:cs="Times New Roman"/>
          <w:noProof/>
          <w:color w:val="000000" w:themeColor="text1"/>
        </w:rPr>
        <w:t>Climate Risk Treated as Exogenous Rather Than Governance-Mediated</w:t>
      </w:r>
      <w:r>
        <w:rPr>
          <w:noProof/>
        </w:rPr>
        <w:tab/>
      </w:r>
      <w:r>
        <w:rPr>
          <w:noProof/>
        </w:rPr>
        <w:fldChar w:fldCharType="begin"/>
      </w:r>
      <w:r>
        <w:rPr>
          <w:noProof/>
        </w:rPr>
        <w:instrText xml:space="preserve"> PAGEREF _Toc234489029 \h </w:instrText>
      </w:r>
      <w:r>
        <w:rPr>
          <w:noProof/>
        </w:rPr>
      </w:r>
      <w:r>
        <w:rPr>
          <w:noProof/>
        </w:rPr>
        <w:fldChar w:fldCharType="separate"/>
      </w:r>
      <w:r>
        <w:rPr>
          <w:noProof/>
        </w:rPr>
        <w:t>68</w:t>
      </w:r>
      <w:r>
        <w:rPr>
          <w:noProof/>
        </w:rPr>
        <w:fldChar w:fldCharType="end"/>
      </w:r>
    </w:p>
    <w:p w14:paraId="78A6D94F" w14:textId="3B972C4C" w:rsidR="009B5C28" w:rsidRDefault="009B5C28">
      <w:pPr>
        <w:pStyle w:val="TOC2"/>
        <w:tabs>
          <w:tab w:val="left" w:pos="960"/>
          <w:tab w:val="right" w:leader="dot" w:pos="9350"/>
        </w:tabs>
        <w:rPr>
          <w:rFonts w:eastAsiaTheme="minorEastAsia"/>
          <w:noProof/>
        </w:rPr>
      </w:pPr>
      <w:r w:rsidRPr="00D16B20">
        <w:rPr>
          <w:rFonts w:cs="Times New Roman"/>
          <w:noProof/>
          <w:color w:val="000000" w:themeColor="text1"/>
        </w:rPr>
        <w:t>2.11</w:t>
      </w:r>
      <w:r>
        <w:rPr>
          <w:rFonts w:eastAsiaTheme="minorEastAsia"/>
          <w:noProof/>
        </w:rPr>
        <w:tab/>
      </w:r>
      <w:r w:rsidRPr="00D16B20">
        <w:rPr>
          <w:rFonts w:cs="Times New Roman"/>
          <w:noProof/>
          <w:color w:val="000000" w:themeColor="text1"/>
        </w:rPr>
        <w:t>How This Study Addresses the Literature Gaps</w:t>
      </w:r>
      <w:r>
        <w:rPr>
          <w:noProof/>
        </w:rPr>
        <w:tab/>
      </w:r>
      <w:r>
        <w:rPr>
          <w:noProof/>
        </w:rPr>
        <w:fldChar w:fldCharType="begin"/>
      </w:r>
      <w:r>
        <w:rPr>
          <w:noProof/>
        </w:rPr>
        <w:instrText xml:space="preserve"> PAGEREF _Toc234489030 \h </w:instrText>
      </w:r>
      <w:r>
        <w:rPr>
          <w:noProof/>
        </w:rPr>
      </w:r>
      <w:r>
        <w:rPr>
          <w:noProof/>
        </w:rPr>
        <w:fldChar w:fldCharType="separate"/>
      </w:r>
      <w:r>
        <w:rPr>
          <w:noProof/>
        </w:rPr>
        <w:t>73</w:t>
      </w:r>
      <w:r>
        <w:rPr>
          <w:noProof/>
        </w:rPr>
        <w:fldChar w:fldCharType="end"/>
      </w:r>
    </w:p>
    <w:p w14:paraId="33EBA768" w14:textId="4261CDDB" w:rsidR="009B5C28" w:rsidRDefault="009B5C28">
      <w:pPr>
        <w:pStyle w:val="TOC3"/>
        <w:tabs>
          <w:tab w:val="left" w:pos="1440"/>
          <w:tab w:val="right" w:leader="dot" w:pos="9350"/>
        </w:tabs>
        <w:rPr>
          <w:rFonts w:eastAsiaTheme="minorEastAsia"/>
          <w:noProof/>
        </w:rPr>
      </w:pPr>
      <w:r w:rsidRPr="00D16B20">
        <w:rPr>
          <w:rFonts w:cs="Times New Roman"/>
          <w:noProof/>
          <w:color w:val="000000" w:themeColor="text1"/>
        </w:rPr>
        <w:t>2.11.1</w:t>
      </w:r>
      <w:r>
        <w:rPr>
          <w:rFonts w:eastAsiaTheme="minorEastAsia"/>
          <w:noProof/>
        </w:rPr>
        <w:tab/>
      </w:r>
      <w:r w:rsidRPr="00D16B20">
        <w:rPr>
          <w:rFonts w:cs="Times New Roman"/>
          <w:noProof/>
          <w:color w:val="000000" w:themeColor="text1"/>
        </w:rPr>
        <w:t>Reframing Project Stalling as a Core Analytical Outcome</w:t>
      </w:r>
      <w:r>
        <w:rPr>
          <w:noProof/>
        </w:rPr>
        <w:tab/>
      </w:r>
      <w:r>
        <w:rPr>
          <w:noProof/>
        </w:rPr>
        <w:fldChar w:fldCharType="begin"/>
      </w:r>
      <w:r>
        <w:rPr>
          <w:noProof/>
        </w:rPr>
        <w:instrText xml:space="preserve"> PAGEREF _Toc234489031 \h </w:instrText>
      </w:r>
      <w:r>
        <w:rPr>
          <w:noProof/>
        </w:rPr>
      </w:r>
      <w:r>
        <w:rPr>
          <w:noProof/>
        </w:rPr>
        <w:fldChar w:fldCharType="separate"/>
      </w:r>
      <w:r>
        <w:rPr>
          <w:noProof/>
        </w:rPr>
        <w:t>73</w:t>
      </w:r>
      <w:r>
        <w:rPr>
          <w:noProof/>
        </w:rPr>
        <w:fldChar w:fldCharType="end"/>
      </w:r>
    </w:p>
    <w:p w14:paraId="7282166C" w14:textId="0A041A0A" w:rsidR="009B5C28" w:rsidRDefault="009B5C28">
      <w:pPr>
        <w:pStyle w:val="TOC3"/>
        <w:tabs>
          <w:tab w:val="left" w:pos="1440"/>
          <w:tab w:val="right" w:leader="dot" w:pos="9350"/>
        </w:tabs>
        <w:rPr>
          <w:rFonts w:eastAsiaTheme="minorEastAsia"/>
          <w:noProof/>
        </w:rPr>
      </w:pPr>
      <w:r w:rsidRPr="00D16B20">
        <w:rPr>
          <w:rFonts w:cs="Times New Roman"/>
          <w:noProof/>
          <w:color w:val="000000" w:themeColor="text1"/>
        </w:rPr>
        <w:t>2.11.2</w:t>
      </w:r>
      <w:r>
        <w:rPr>
          <w:rFonts w:eastAsiaTheme="minorEastAsia"/>
          <w:noProof/>
        </w:rPr>
        <w:tab/>
      </w:r>
      <w:r w:rsidRPr="00D16B20">
        <w:rPr>
          <w:rFonts w:cs="Times New Roman"/>
          <w:noProof/>
          <w:color w:val="000000" w:themeColor="text1"/>
        </w:rPr>
        <w:t>Operationalizing Governance Quality at the Project Level</w:t>
      </w:r>
      <w:r>
        <w:rPr>
          <w:noProof/>
        </w:rPr>
        <w:tab/>
      </w:r>
      <w:r>
        <w:rPr>
          <w:noProof/>
        </w:rPr>
        <w:fldChar w:fldCharType="begin"/>
      </w:r>
      <w:r>
        <w:rPr>
          <w:noProof/>
        </w:rPr>
        <w:instrText xml:space="preserve"> PAGEREF _Toc234489032 \h </w:instrText>
      </w:r>
      <w:r>
        <w:rPr>
          <w:noProof/>
        </w:rPr>
      </w:r>
      <w:r>
        <w:rPr>
          <w:noProof/>
        </w:rPr>
        <w:fldChar w:fldCharType="separate"/>
      </w:r>
      <w:r>
        <w:rPr>
          <w:noProof/>
        </w:rPr>
        <w:t>73</w:t>
      </w:r>
      <w:r>
        <w:rPr>
          <w:noProof/>
        </w:rPr>
        <w:fldChar w:fldCharType="end"/>
      </w:r>
    </w:p>
    <w:p w14:paraId="03A31EAE" w14:textId="5410C209" w:rsidR="009B5C28" w:rsidRDefault="009B5C28">
      <w:pPr>
        <w:pStyle w:val="TOC3"/>
        <w:tabs>
          <w:tab w:val="left" w:pos="1440"/>
          <w:tab w:val="right" w:leader="dot" w:pos="9350"/>
        </w:tabs>
        <w:rPr>
          <w:rFonts w:eastAsiaTheme="minorEastAsia"/>
          <w:noProof/>
        </w:rPr>
      </w:pPr>
      <w:r w:rsidRPr="00D16B20">
        <w:rPr>
          <w:rFonts w:cs="Times New Roman"/>
          <w:noProof/>
          <w:color w:val="000000" w:themeColor="text1"/>
        </w:rPr>
        <w:t>2.11.3</w:t>
      </w:r>
      <w:r>
        <w:rPr>
          <w:rFonts w:eastAsiaTheme="minorEastAsia"/>
          <w:noProof/>
        </w:rPr>
        <w:tab/>
      </w:r>
      <w:r w:rsidRPr="00D16B20">
        <w:rPr>
          <w:rFonts w:cs="Times New Roman"/>
          <w:noProof/>
          <w:color w:val="000000" w:themeColor="text1"/>
        </w:rPr>
        <w:t>Adopting a Lifecycle Perspective on Infrastructure Governance</w:t>
      </w:r>
      <w:r>
        <w:rPr>
          <w:noProof/>
        </w:rPr>
        <w:tab/>
      </w:r>
      <w:r>
        <w:rPr>
          <w:noProof/>
        </w:rPr>
        <w:fldChar w:fldCharType="begin"/>
      </w:r>
      <w:r>
        <w:rPr>
          <w:noProof/>
        </w:rPr>
        <w:instrText xml:space="preserve"> PAGEREF _Toc234489033 \h </w:instrText>
      </w:r>
      <w:r>
        <w:rPr>
          <w:noProof/>
        </w:rPr>
      </w:r>
      <w:r>
        <w:rPr>
          <w:noProof/>
        </w:rPr>
        <w:fldChar w:fldCharType="separate"/>
      </w:r>
      <w:r>
        <w:rPr>
          <w:noProof/>
        </w:rPr>
        <w:t>74</w:t>
      </w:r>
      <w:r>
        <w:rPr>
          <w:noProof/>
        </w:rPr>
        <w:fldChar w:fldCharType="end"/>
      </w:r>
    </w:p>
    <w:p w14:paraId="23DCACFD" w14:textId="28DD6077" w:rsidR="009B5C28" w:rsidRDefault="009B5C28">
      <w:pPr>
        <w:pStyle w:val="TOC3"/>
        <w:tabs>
          <w:tab w:val="left" w:pos="1440"/>
          <w:tab w:val="right" w:leader="dot" w:pos="9350"/>
        </w:tabs>
        <w:rPr>
          <w:rFonts w:eastAsiaTheme="minorEastAsia"/>
          <w:noProof/>
        </w:rPr>
      </w:pPr>
      <w:r w:rsidRPr="00D16B20">
        <w:rPr>
          <w:rFonts w:cs="Times New Roman"/>
          <w:noProof/>
          <w:color w:val="000000" w:themeColor="text1"/>
        </w:rPr>
        <w:t>2.11.4</w:t>
      </w:r>
      <w:r>
        <w:rPr>
          <w:rFonts w:eastAsiaTheme="minorEastAsia"/>
          <w:noProof/>
        </w:rPr>
        <w:tab/>
      </w:r>
      <w:r w:rsidRPr="00D16B20">
        <w:rPr>
          <w:rFonts w:cs="Times New Roman"/>
          <w:noProof/>
          <w:color w:val="000000" w:themeColor="text1"/>
        </w:rPr>
        <w:t>Integrating Water Governance Insights into Infrastructure Analysis</w:t>
      </w:r>
      <w:r>
        <w:rPr>
          <w:noProof/>
        </w:rPr>
        <w:tab/>
      </w:r>
      <w:r>
        <w:rPr>
          <w:noProof/>
        </w:rPr>
        <w:fldChar w:fldCharType="begin"/>
      </w:r>
      <w:r>
        <w:rPr>
          <w:noProof/>
        </w:rPr>
        <w:instrText xml:space="preserve"> PAGEREF _Toc234489034 \h </w:instrText>
      </w:r>
      <w:r>
        <w:rPr>
          <w:noProof/>
        </w:rPr>
      </w:r>
      <w:r>
        <w:rPr>
          <w:noProof/>
        </w:rPr>
        <w:fldChar w:fldCharType="separate"/>
      </w:r>
      <w:r>
        <w:rPr>
          <w:noProof/>
        </w:rPr>
        <w:t>74</w:t>
      </w:r>
      <w:r>
        <w:rPr>
          <w:noProof/>
        </w:rPr>
        <w:fldChar w:fldCharType="end"/>
      </w:r>
    </w:p>
    <w:p w14:paraId="63E52D17" w14:textId="28D9B779" w:rsidR="009B5C28" w:rsidRDefault="009B5C28">
      <w:pPr>
        <w:pStyle w:val="TOC3"/>
        <w:tabs>
          <w:tab w:val="left" w:pos="1440"/>
          <w:tab w:val="right" w:leader="dot" w:pos="9350"/>
        </w:tabs>
        <w:rPr>
          <w:rFonts w:eastAsiaTheme="minorEastAsia"/>
          <w:noProof/>
        </w:rPr>
      </w:pPr>
      <w:r w:rsidRPr="00D16B20">
        <w:rPr>
          <w:rFonts w:cs="Times New Roman"/>
          <w:noProof/>
          <w:color w:val="000000" w:themeColor="text1"/>
        </w:rPr>
        <w:t>2.11.5</w:t>
      </w:r>
      <w:r>
        <w:rPr>
          <w:rFonts w:eastAsiaTheme="minorEastAsia"/>
          <w:noProof/>
        </w:rPr>
        <w:tab/>
      </w:r>
      <w:r w:rsidRPr="00D16B20">
        <w:rPr>
          <w:rFonts w:cs="Times New Roman"/>
          <w:noProof/>
          <w:color w:val="000000" w:themeColor="text1"/>
        </w:rPr>
        <w:t>Treating Climate Risk as a Governance-Mediated Factor</w:t>
      </w:r>
      <w:r>
        <w:rPr>
          <w:noProof/>
        </w:rPr>
        <w:tab/>
      </w:r>
      <w:r>
        <w:rPr>
          <w:noProof/>
        </w:rPr>
        <w:fldChar w:fldCharType="begin"/>
      </w:r>
      <w:r>
        <w:rPr>
          <w:noProof/>
        </w:rPr>
        <w:instrText xml:space="preserve"> PAGEREF _Toc234489035 \h </w:instrText>
      </w:r>
      <w:r>
        <w:rPr>
          <w:noProof/>
        </w:rPr>
      </w:r>
      <w:r>
        <w:rPr>
          <w:noProof/>
        </w:rPr>
        <w:fldChar w:fldCharType="separate"/>
      </w:r>
      <w:r>
        <w:rPr>
          <w:noProof/>
        </w:rPr>
        <w:t>75</w:t>
      </w:r>
      <w:r>
        <w:rPr>
          <w:noProof/>
        </w:rPr>
        <w:fldChar w:fldCharType="end"/>
      </w:r>
    </w:p>
    <w:p w14:paraId="69FFBA9F" w14:textId="6225768B" w:rsidR="009B5C28" w:rsidRDefault="009B5C28">
      <w:pPr>
        <w:pStyle w:val="TOC2"/>
        <w:tabs>
          <w:tab w:val="left" w:pos="960"/>
          <w:tab w:val="right" w:leader="dot" w:pos="9350"/>
        </w:tabs>
        <w:rPr>
          <w:rFonts w:eastAsiaTheme="minorEastAsia"/>
          <w:noProof/>
        </w:rPr>
      </w:pPr>
      <w:r w:rsidRPr="00D16B20">
        <w:rPr>
          <w:rFonts w:cs="Times New Roman"/>
          <w:bCs/>
          <w:noProof/>
          <w:color w:val="000000" w:themeColor="text1"/>
        </w:rPr>
        <w:lastRenderedPageBreak/>
        <w:t>2.12</w:t>
      </w:r>
      <w:r>
        <w:rPr>
          <w:rFonts w:eastAsiaTheme="minorEastAsia"/>
          <w:noProof/>
        </w:rPr>
        <w:tab/>
      </w:r>
      <w:r w:rsidRPr="00D16B20">
        <w:rPr>
          <w:rFonts w:cs="Times New Roman"/>
          <w:bCs/>
          <w:noProof/>
          <w:color w:val="000000" w:themeColor="text1"/>
        </w:rPr>
        <w:t>Public Participation and Governance Quality</w:t>
      </w:r>
      <w:r>
        <w:rPr>
          <w:noProof/>
        </w:rPr>
        <w:tab/>
      </w:r>
      <w:r>
        <w:rPr>
          <w:noProof/>
        </w:rPr>
        <w:fldChar w:fldCharType="begin"/>
      </w:r>
      <w:r>
        <w:rPr>
          <w:noProof/>
        </w:rPr>
        <w:instrText xml:space="preserve"> PAGEREF _Toc234489036 \h </w:instrText>
      </w:r>
      <w:r>
        <w:rPr>
          <w:noProof/>
        </w:rPr>
      </w:r>
      <w:r>
        <w:rPr>
          <w:noProof/>
        </w:rPr>
        <w:fldChar w:fldCharType="separate"/>
      </w:r>
      <w:r>
        <w:rPr>
          <w:noProof/>
        </w:rPr>
        <w:t>76</w:t>
      </w:r>
      <w:r>
        <w:rPr>
          <w:noProof/>
        </w:rPr>
        <w:fldChar w:fldCharType="end"/>
      </w:r>
    </w:p>
    <w:p w14:paraId="12A75BDA" w14:textId="3C631ADB" w:rsidR="009B5C28" w:rsidRDefault="009B5C28">
      <w:pPr>
        <w:pStyle w:val="TOC2"/>
        <w:tabs>
          <w:tab w:val="left" w:pos="960"/>
          <w:tab w:val="right" w:leader="dot" w:pos="9350"/>
        </w:tabs>
        <w:rPr>
          <w:rFonts w:eastAsiaTheme="minorEastAsia"/>
          <w:noProof/>
        </w:rPr>
      </w:pPr>
      <w:r w:rsidRPr="00D16B20">
        <w:rPr>
          <w:rFonts w:cs="Times New Roman"/>
          <w:bCs/>
          <w:noProof/>
          <w:color w:val="000000" w:themeColor="text1"/>
        </w:rPr>
        <w:t>2.13</w:t>
      </w:r>
      <w:r>
        <w:rPr>
          <w:rFonts w:eastAsiaTheme="minorEastAsia"/>
          <w:noProof/>
        </w:rPr>
        <w:tab/>
      </w:r>
      <w:r w:rsidRPr="00D16B20">
        <w:rPr>
          <w:rFonts w:cs="Times New Roman"/>
          <w:bCs/>
          <w:noProof/>
          <w:color w:val="000000" w:themeColor="text1"/>
        </w:rPr>
        <w:t>Infrastructure Performance Beyond Project Completion</w:t>
      </w:r>
      <w:r>
        <w:rPr>
          <w:noProof/>
        </w:rPr>
        <w:tab/>
      </w:r>
      <w:r>
        <w:rPr>
          <w:noProof/>
        </w:rPr>
        <w:fldChar w:fldCharType="begin"/>
      </w:r>
      <w:r>
        <w:rPr>
          <w:noProof/>
        </w:rPr>
        <w:instrText xml:space="preserve"> PAGEREF _Toc234489037 \h </w:instrText>
      </w:r>
      <w:r>
        <w:rPr>
          <w:noProof/>
        </w:rPr>
      </w:r>
      <w:r>
        <w:rPr>
          <w:noProof/>
        </w:rPr>
        <w:fldChar w:fldCharType="separate"/>
      </w:r>
      <w:r>
        <w:rPr>
          <w:noProof/>
        </w:rPr>
        <w:t>77</w:t>
      </w:r>
      <w:r>
        <w:rPr>
          <w:noProof/>
        </w:rPr>
        <w:fldChar w:fldCharType="end"/>
      </w:r>
    </w:p>
    <w:p w14:paraId="397B77DD" w14:textId="3C951E09" w:rsidR="009B5C28" w:rsidRDefault="009B5C28">
      <w:pPr>
        <w:pStyle w:val="TOC2"/>
        <w:tabs>
          <w:tab w:val="left" w:pos="960"/>
          <w:tab w:val="right" w:leader="dot" w:pos="9350"/>
        </w:tabs>
        <w:rPr>
          <w:rFonts w:eastAsiaTheme="minorEastAsia"/>
          <w:noProof/>
        </w:rPr>
      </w:pPr>
      <w:r w:rsidRPr="00D16B20">
        <w:rPr>
          <w:rFonts w:cs="Times New Roman"/>
          <w:bCs/>
          <w:noProof/>
          <w:color w:val="000000" w:themeColor="text1"/>
        </w:rPr>
        <w:t>2.14</w:t>
      </w:r>
      <w:r>
        <w:rPr>
          <w:rFonts w:eastAsiaTheme="minorEastAsia"/>
          <w:noProof/>
        </w:rPr>
        <w:tab/>
      </w:r>
      <w:r w:rsidRPr="00D16B20">
        <w:rPr>
          <w:rFonts w:cs="Times New Roman"/>
          <w:noProof/>
          <w:color w:val="000000" w:themeColor="text1"/>
        </w:rPr>
        <w:t>Chapter Summary</w:t>
      </w:r>
      <w:r>
        <w:rPr>
          <w:noProof/>
        </w:rPr>
        <w:tab/>
      </w:r>
      <w:r>
        <w:rPr>
          <w:noProof/>
        </w:rPr>
        <w:fldChar w:fldCharType="begin"/>
      </w:r>
      <w:r>
        <w:rPr>
          <w:noProof/>
        </w:rPr>
        <w:instrText xml:space="preserve"> PAGEREF _Toc234489038 \h </w:instrText>
      </w:r>
      <w:r>
        <w:rPr>
          <w:noProof/>
        </w:rPr>
      </w:r>
      <w:r>
        <w:rPr>
          <w:noProof/>
        </w:rPr>
        <w:fldChar w:fldCharType="separate"/>
      </w:r>
      <w:r>
        <w:rPr>
          <w:noProof/>
        </w:rPr>
        <w:t>79</w:t>
      </w:r>
      <w:r>
        <w:rPr>
          <w:noProof/>
        </w:rPr>
        <w:fldChar w:fldCharType="end"/>
      </w:r>
    </w:p>
    <w:p w14:paraId="50B21F91" w14:textId="16874784" w:rsidR="009B5C28" w:rsidRDefault="009B5C28">
      <w:pPr>
        <w:pStyle w:val="TOC1"/>
        <w:tabs>
          <w:tab w:val="left" w:pos="1680"/>
          <w:tab w:val="right" w:leader="dot" w:pos="9350"/>
        </w:tabs>
        <w:rPr>
          <w:rFonts w:eastAsiaTheme="minorEastAsia"/>
          <w:noProof/>
        </w:rPr>
      </w:pPr>
      <w:r w:rsidRPr="00D16B20">
        <w:rPr>
          <w:rFonts w:cs="Times New Roman"/>
          <w:bCs/>
          <w:noProof/>
          <w:color w:val="000000" w:themeColor="text1"/>
        </w:rPr>
        <w:t>CHAPTER 3 :</w:t>
      </w:r>
      <w:r>
        <w:rPr>
          <w:rFonts w:eastAsiaTheme="minorEastAsia"/>
          <w:noProof/>
        </w:rPr>
        <w:tab/>
      </w:r>
      <w:r w:rsidRPr="00D16B20">
        <w:rPr>
          <w:rFonts w:cs="Times New Roman"/>
          <w:bCs/>
          <w:noProof/>
          <w:color w:val="000000" w:themeColor="text1"/>
        </w:rPr>
        <w:t>RESEARCH METHODOLOGY</w:t>
      </w:r>
      <w:r>
        <w:rPr>
          <w:noProof/>
        </w:rPr>
        <w:tab/>
      </w:r>
      <w:r>
        <w:rPr>
          <w:noProof/>
        </w:rPr>
        <w:fldChar w:fldCharType="begin"/>
      </w:r>
      <w:r>
        <w:rPr>
          <w:noProof/>
        </w:rPr>
        <w:instrText xml:space="preserve"> PAGEREF _Toc234489039 \h </w:instrText>
      </w:r>
      <w:r>
        <w:rPr>
          <w:noProof/>
        </w:rPr>
      </w:r>
      <w:r>
        <w:rPr>
          <w:noProof/>
        </w:rPr>
        <w:fldChar w:fldCharType="separate"/>
      </w:r>
      <w:r>
        <w:rPr>
          <w:noProof/>
        </w:rPr>
        <w:t>81</w:t>
      </w:r>
      <w:r>
        <w:rPr>
          <w:noProof/>
        </w:rPr>
        <w:fldChar w:fldCharType="end"/>
      </w:r>
    </w:p>
    <w:p w14:paraId="5C71E60D" w14:textId="54379451" w:rsidR="009B5C28" w:rsidRDefault="009B5C28">
      <w:pPr>
        <w:pStyle w:val="TOC2"/>
        <w:tabs>
          <w:tab w:val="left" w:pos="960"/>
          <w:tab w:val="right" w:leader="dot" w:pos="9350"/>
        </w:tabs>
        <w:rPr>
          <w:rFonts w:eastAsiaTheme="minorEastAsia"/>
          <w:noProof/>
        </w:rPr>
      </w:pPr>
      <w:r w:rsidRPr="00D16B20">
        <w:rPr>
          <w:rFonts w:cs="Times New Roman"/>
          <w:bCs/>
          <w:noProof/>
          <w:color w:val="000000" w:themeColor="text1"/>
        </w:rPr>
        <w:t>3.1</w:t>
      </w:r>
      <w:r>
        <w:rPr>
          <w:rFonts w:eastAsiaTheme="minorEastAsia"/>
          <w:noProof/>
        </w:rPr>
        <w:tab/>
      </w:r>
      <w:r w:rsidRPr="00D16B20">
        <w:rPr>
          <w:rFonts w:cs="Times New Roman"/>
          <w:bCs/>
          <w:noProof/>
          <w:color w:val="000000" w:themeColor="text1"/>
        </w:rPr>
        <w:t>Introduction</w:t>
      </w:r>
      <w:r>
        <w:rPr>
          <w:noProof/>
        </w:rPr>
        <w:tab/>
      </w:r>
      <w:r>
        <w:rPr>
          <w:noProof/>
        </w:rPr>
        <w:fldChar w:fldCharType="begin"/>
      </w:r>
      <w:r>
        <w:rPr>
          <w:noProof/>
        </w:rPr>
        <w:instrText xml:space="preserve"> PAGEREF _Toc234489040 \h </w:instrText>
      </w:r>
      <w:r>
        <w:rPr>
          <w:noProof/>
        </w:rPr>
      </w:r>
      <w:r>
        <w:rPr>
          <w:noProof/>
        </w:rPr>
        <w:fldChar w:fldCharType="separate"/>
      </w:r>
      <w:r>
        <w:rPr>
          <w:noProof/>
        </w:rPr>
        <w:t>81</w:t>
      </w:r>
      <w:r>
        <w:rPr>
          <w:noProof/>
        </w:rPr>
        <w:fldChar w:fldCharType="end"/>
      </w:r>
    </w:p>
    <w:p w14:paraId="18935B8A" w14:textId="3E88C964" w:rsidR="009B5C28" w:rsidRDefault="009B5C28">
      <w:pPr>
        <w:pStyle w:val="TOC2"/>
        <w:tabs>
          <w:tab w:val="left" w:pos="960"/>
          <w:tab w:val="right" w:leader="dot" w:pos="9350"/>
        </w:tabs>
        <w:rPr>
          <w:rFonts w:eastAsiaTheme="minorEastAsia"/>
          <w:noProof/>
        </w:rPr>
      </w:pPr>
      <w:r w:rsidRPr="00D16B20">
        <w:rPr>
          <w:rFonts w:cs="Times New Roman"/>
          <w:noProof/>
          <w:color w:val="000000" w:themeColor="text1"/>
        </w:rPr>
        <w:t>3.2</w:t>
      </w:r>
      <w:r>
        <w:rPr>
          <w:rFonts w:eastAsiaTheme="minorEastAsia"/>
          <w:noProof/>
        </w:rPr>
        <w:tab/>
      </w:r>
      <w:r w:rsidRPr="00D16B20">
        <w:rPr>
          <w:rFonts w:cs="Times New Roman"/>
          <w:noProof/>
          <w:color w:val="000000" w:themeColor="text1"/>
        </w:rPr>
        <w:t>Research Philosophy</w:t>
      </w:r>
      <w:r>
        <w:rPr>
          <w:noProof/>
        </w:rPr>
        <w:tab/>
      </w:r>
      <w:r>
        <w:rPr>
          <w:noProof/>
        </w:rPr>
        <w:fldChar w:fldCharType="begin"/>
      </w:r>
      <w:r>
        <w:rPr>
          <w:noProof/>
        </w:rPr>
        <w:instrText xml:space="preserve"> PAGEREF _Toc234489041 \h </w:instrText>
      </w:r>
      <w:r>
        <w:rPr>
          <w:noProof/>
        </w:rPr>
      </w:r>
      <w:r>
        <w:rPr>
          <w:noProof/>
        </w:rPr>
        <w:fldChar w:fldCharType="separate"/>
      </w:r>
      <w:r>
        <w:rPr>
          <w:noProof/>
        </w:rPr>
        <w:t>83</w:t>
      </w:r>
      <w:r>
        <w:rPr>
          <w:noProof/>
        </w:rPr>
        <w:fldChar w:fldCharType="end"/>
      </w:r>
    </w:p>
    <w:p w14:paraId="682B764D" w14:textId="212C6467" w:rsidR="009B5C28" w:rsidRDefault="009B5C28">
      <w:pPr>
        <w:pStyle w:val="TOC2"/>
        <w:tabs>
          <w:tab w:val="left" w:pos="960"/>
          <w:tab w:val="right" w:leader="dot" w:pos="9350"/>
        </w:tabs>
        <w:rPr>
          <w:rFonts w:eastAsiaTheme="minorEastAsia"/>
          <w:noProof/>
        </w:rPr>
      </w:pPr>
      <w:r w:rsidRPr="00D16B20">
        <w:rPr>
          <w:rFonts w:cs="Times New Roman"/>
          <w:noProof/>
          <w:color w:val="000000" w:themeColor="text1"/>
        </w:rPr>
        <w:t>3.3</w:t>
      </w:r>
      <w:r>
        <w:rPr>
          <w:rFonts w:eastAsiaTheme="minorEastAsia"/>
          <w:noProof/>
        </w:rPr>
        <w:tab/>
      </w:r>
      <w:r w:rsidRPr="00D16B20">
        <w:rPr>
          <w:rFonts w:cs="Times New Roman"/>
          <w:noProof/>
          <w:color w:val="000000" w:themeColor="text1"/>
        </w:rPr>
        <w:t>Research Design</w:t>
      </w:r>
      <w:r>
        <w:rPr>
          <w:noProof/>
        </w:rPr>
        <w:tab/>
      </w:r>
      <w:r>
        <w:rPr>
          <w:noProof/>
        </w:rPr>
        <w:fldChar w:fldCharType="begin"/>
      </w:r>
      <w:r>
        <w:rPr>
          <w:noProof/>
        </w:rPr>
        <w:instrText xml:space="preserve"> PAGEREF _Toc234489042 \h </w:instrText>
      </w:r>
      <w:r>
        <w:rPr>
          <w:noProof/>
        </w:rPr>
      </w:r>
      <w:r>
        <w:rPr>
          <w:noProof/>
        </w:rPr>
        <w:fldChar w:fldCharType="separate"/>
      </w:r>
      <w:r>
        <w:rPr>
          <w:noProof/>
        </w:rPr>
        <w:t>84</w:t>
      </w:r>
      <w:r>
        <w:rPr>
          <w:noProof/>
        </w:rPr>
        <w:fldChar w:fldCharType="end"/>
      </w:r>
    </w:p>
    <w:p w14:paraId="66665883" w14:textId="0F4A3F0E" w:rsidR="009B5C28" w:rsidRDefault="009B5C28">
      <w:pPr>
        <w:pStyle w:val="TOC3"/>
        <w:tabs>
          <w:tab w:val="left" w:pos="1440"/>
          <w:tab w:val="right" w:leader="dot" w:pos="9350"/>
        </w:tabs>
        <w:rPr>
          <w:rFonts w:eastAsiaTheme="minorEastAsia"/>
          <w:noProof/>
        </w:rPr>
      </w:pPr>
      <w:r w:rsidRPr="00D16B20">
        <w:rPr>
          <w:rFonts w:cs="Times New Roman"/>
          <w:noProof/>
          <w:color w:val="000000" w:themeColor="text1"/>
        </w:rPr>
        <w:t>3.3.1</w:t>
      </w:r>
      <w:r>
        <w:rPr>
          <w:rFonts w:eastAsiaTheme="minorEastAsia"/>
          <w:noProof/>
        </w:rPr>
        <w:tab/>
      </w:r>
      <w:r w:rsidRPr="00D16B20">
        <w:rPr>
          <w:rFonts w:cs="Times New Roman"/>
          <w:noProof/>
          <w:color w:val="000000" w:themeColor="text1"/>
        </w:rPr>
        <w:t>Study Context and Project Dataset</w:t>
      </w:r>
      <w:r>
        <w:rPr>
          <w:noProof/>
        </w:rPr>
        <w:tab/>
      </w:r>
      <w:r>
        <w:rPr>
          <w:noProof/>
        </w:rPr>
        <w:fldChar w:fldCharType="begin"/>
      </w:r>
      <w:r>
        <w:rPr>
          <w:noProof/>
        </w:rPr>
        <w:instrText xml:space="preserve"> PAGEREF _Toc234489043 \h </w:instrText>
      </w:r>
      <w:r>
        <w:rPr>
          <w:noProof/>
        </w:rPr>
      </w:r>
      <w:r>
        <w:rPr>
          <w:noProof/>
        </w:rPr>
        <w:fldChar w:fldCharType="separate"/>
      </w:r>
      <w:r>
        <w:rPr>
          <w:noProof/>
        </w:rPr>
        <w:t>85</w:t>
      </w:r>
      <w:r>
        <w:rPr>
          <w:noProof/>
        </w:rPr>
        <w:fldChar w:fldCharType="end"/>
      </w:r>
    </w:p>
    <w:p w14:paraId="7F5E930C" w14:textId="7761D8E9" w:rsidR="009B5C28" w:rsidRDefault="009B5C28">
      <w:pPr>
        <w:pStyle w:val="TOC2"/>
        <w:tabs>
          <w:tab w:val="left" w:pos="960"/>
          <w:tab w:val="right" w:leader="dot" w:pos="9350"/>
        </w:tabs>
        <w:rPr>
          <w:rFonts w:eastAsiaTheme="minorEastAsia"/>
          <w:noProof/>
        </w:rPr>
      </w:pPr>
      <w:r w:rsidRPr="00D16B20">
        <w:rPr>
          <w:rFonts w:cs="Times New Roman"/>
          <w:noProof/>
          <w:color w:val="000000" w:themeColor="text1"/>
        </w:rPr>
        <w:t>3.4</w:t>
      </w:r>
      <w:r>
        <w:rPr>
          <w:rFonts w:eastAsiaTheme="minorEastAsia"/>
          <w:noProof/>
        </w:rPr>
        <w:tab/>
      </w:r>
      <w:r w:rsidRPr="00D16B20">
        <w:rPr>
          <w:rFonts w:cs="Times New Roman"/>
          <w:noProof/>
          <w:color w:val="000000" w:themeColor="text1"/>
        </w:rPr>
        <w:t>Operationalization of Variables</w:t>
      </w:r>
      <w:r>
        <w:rPr>
          <w:noProof/>
        </w:rPr>
        <w:tab/>
      </w:r>
      <w:r>
        <w:rPr>
          <w:noProof/>
        </w:rPr>
        <w:fldChar w:fldCharType="begin"/>
      </w:r>
      <w:r>
        <w:rPr>
          <w:noProof/>
        </w:rPr>
        <w:instrText xml:space="preserve"> PAGEREF _Toc234489044 \h </w:instrText>
      </w:r>
      <w:r>
        <w:rPr>
          <w:noProof/>
        </w:rPr>
      </w:r>
      <w:r>
        <w:rPr>
          <w:noProof/>
        </w:rPr>
        <w:fldChar w:fldCharType="separate"/>
      </w:r>
      <w:r>
        <w:rPr>
          <w:noProof/>
        </w:rPr>
        <w:t>88</w:t>
      </w:r>
      <w:r>
        <w:rPr>
          <w:noProof/>
        </w:rPr>
        <w:fldChar w:fldCharType="end"/>
      </w:r>
    </w:p>
    <w:p w14:paraId="6A3C1E0E" w14:textId="34DBDBC6" w:rsidR="009B5C28" w:rsidRDefault="009B5C28">
      <w:pPr>
        <w:pStyle w:val="TOC3"/>
        <w:tabs>
          <w:tab w:val="left" w:pos="1440"/>
          <w:tab w:val="right" w:leader="dot" w:pos="9350"/>
        </w:tabs>
        <w:rPr>
          <w:rFonts w:eastAsiaTheme="minorEastAsia"/>
          <w:noProof/>
        </w:rPr>
      </w:pPr>
      <w:r w:rsidRPr="00D16B20">
        <w:rPr>
          <w:rFonts w:cs="Times New Roman"/>
          <w:noProof/>
          <w:color w:val="000000" w:themeColor="text1"/>
        </w:rPr>
        <w:t>3.4.1</w:t>
      </w:r>
      <w:r>
        <w:rPr>
          <w:rFonts w:eastAsiaTheme="minorEastAsia"/>
          <w:noProof/>
        </w:rPr>
        <w:tab/>
      </w:r>
      <w:r w:rsidRPr="00D16B20">
        <w:rPr>
          <w:rFonts w:cs="Times New Roman"/>
          <w:noProof/>
          <w:color w:val="000000" w:themeColor="text1"/>
        </w:rPr>
        <w:t>Dependent Variables</w:t>
      </w:r>
      <w:r>
        <w:rPr>
          <w:noProof/>
        </w:rPr>
        <w:tab/>
      </w:r>
      <w:r>
        <w:rPr>
          <w:noProof/>
        </w:rPr>
        <w:fldChar w:fldCharType="begin"/>
      </w:r>
      <w:r>
        <w:rPr>
          <w:noProof/>
        </w:rPr>
        <w:instrText xml:space="preserve"> PAGEREF _Toc234489045 \h </w:instrText>
      </w:r>
      <w:r>
        <w:rPr>
          <w:noProof/>
        </w:rPr>
      </w:r>
      <w:r>
        <w:rPr>
          <w:noProof/>
        </w:rPr>
        <w:fldChar w:fldCharType="separate"/>
      </w:r>
      <w:r>
        <w:rPr>
          <w:noProof/>
        </w:rPr>
        <w:t>88</w:t>
      </w:r>
      <w:r>
        <w:rPr>
          <w:noProof/>
        </w:rPr>
        <w:fldChar w:fldCharType="end"/>
      </w:r>
    </w:p>
    <w:p w14:paraId="1F59F21A" w14:textId="7FF357DF" w:rsidR="009B5C28" w:rsidRDefault="009B5C28">
      <w:pPr>
        <w:pStyle w:val="TOC3"/>
        <w:tabs>
          <w:tab w:val="left" w:pos="1440"/>
          <w:tab w:val="right" w:leader="dot" w:pos="9350"/>
        </w:tabs>
        <w:rPr>
          <w:rFonts w:eastAsiaTheme="minorEastAsia"/>
          <w:noProof/>
        </w:rPr>
      </w:pPr>
      <w:r w:rsidRPr="00D16B20">
        <w:rPr>
          <w:rFonts w:cs="Times New Roman"/>
          <w:noProof/>
          <w:color w:val="000000" w:themeColor="text1"/>
        </w:rPr>
        <w:t>3.4.2</w:t>
      </w:r>
      <w:r>
        <w:rPr>
          <w:rFonts w:eastAsiaTheme="minorEastAsia"/>
          <w:noProof/>
        </w:rPr>
        <w:tab/>
      </w:r>
      <w:r w:rsidRPr="00D16B20">
        <w:rPr>
          <w:rFonts w:cs="Times New Roman"/>
          <w:noProof/>
          <w:color w:val="000000" w:themeColor="text1"/>
        </w:rPr>
        <w:t>Independent Variable: Governance Quality Index</w:t>
      </w:r>
      <w:r>
        <w:rPr>
          <w:noProof/>
        </w:rPr>
        <w:tab/>
      </w:r>
      <w:r>
        <w:rPr>
          <w:noProof/>
        </w:rPr>
        <w:fldChar w:fldCharType="begin"/>
      </w:r>
      <w:r>
        <w:rPr>
          <w:noProof/>
        </w:rPr>
        <w:instrText xml:space="preserve"> PAGEREF _Toc234489046 \h </w:instrText>
      </w:r>
      <w:r>
        <w:rPr>
          <w:noProof/>
        </w:rPr>
      </w:r>
      <w:r>
        <w:rPr>
          <w:noProof/>
        </w:rPr>
        <w:fldChar w:fldCharType="separate"/>
      </w:r>
      <w:r>
        <w:rPr>
          <w:noProof/>
        </w:rPr>
        <w:t>90</w:t>
      </w:r>
      <w:r>
        <w:rPr>
          <w:noProof/>
        </w:rPr>
        <w:fldChar w:fldCharType="end"/>
      </w:r>
    </w:p>
    <w:p w14:paraId="58A9A251" w14:textId="663DB0CB" w:rsidR="009B5C28" w:rsidRDefault="009B5C28">
      <w:pPr>
        <w:pStyle w:val="TOC3"/>
        <w:tabs>
          <w:tab w:val="left" w:pos="1440"/>
          <w:tab w:val="right" w:leader="dot" w:pos="9350"/>
        </w:tabs>
        <w:rPr>
          <w:rFonts w:eastAsiaTheme="minorEastAsia"/>
          <w:noProof/>
        </w:rPr>
      </w:pPr>
      <w:r w:rsidRPr="00D16B20">
        <w:rPr>
          <w:rFonts w:cs="Times New Roman"/>
          <w:noProof/>
          <w:color w:val="000000" w:themeColor="text1"/>
        </w:rPr>
        <w:t>3.4.3</w:t>
      </w:r>
      <w:r>
        <w:rPr>
          <w:rFonts w:eastAsiaTheme="minorEastAsia"/>
          <w:noProof/>
        </w:rPr>
        <w:tab/>
      </w:r>
      <w:r w:rsidRPr="00D16B20">
        <w:rPr>
          <w:rFonts w:cs="Times New Roman"/>
          <w:noProof/>
          <w:color w:val="000000" w:themeColor="text1"/>
        </w:rPr>
        <w:t>Control Variables</w:t>
      </w:r>
      <w:r>
        <w:rPr>
          <w:noProof/>
        </w:rPr>
        <w:tab/>
      </w:r>
      <w:r>
        <w:rPr>
          <w:noProof/>
        </w:rPr>
        <w:fldChar w:fldCharType="begin"/>
      </w:r>
      <w:r>
        <w:rPr>
          <w:noProof/>
        </w:rPr>
        <w:instrText xml:space="preserve"> PAGEREF _Toc234489047 \h </w:instrText>
      </w:r>
      <w:r>
        <w:rPr>
          <w:noProof/>
        </w:rPr>
      </w:r>
      <w:r>
        <w:rPr>
          <w:noProof/>
        </w:rPr>
        <w:fldChar w:fldCharType="separate"/>
      </w:r>
      <w:r>
        <w:rPr>
          <w:noProof/>
        </w:rPr>
        <w:t>97</w:t>
      </w:r>
      <w:r>
        <w:rPr>
          <w:noProof/>
        </w:rPr>
        <w:fldChar w:fldCharType="end"/>
      </w:r>
    </w:p>
    <w:p w14:paraId="7EC4D337" w14:textId="09EE10D8" w:rsidR="009B5C28" w:rsidRDefault="009B5C28">
      <w:pPr>
        <w:pStyle w:val="TOC2"/>
        <w:tabs>
          <w:tab w:val="left" w:pos="960"/>
          <w:tab w:val="right" w:leader="dot" w:pos="9350"/>
        </w:tabs>
        <w:rPr>
          <w:rFonts w:eastAsiaTheme="minorEastAsia"/>
          <w:noProof/>
        </w:rPr>
      </w:pPr>
      <w:r w:rsidRPr="00D16B20">
        <w:rPr>
          <w:rFonts w:cs="Times New Roman"/>
          <w:noProof/>
          <w:color w:val="000000" w:themeColor="text1"/>
        </w:rPr>
        <w:t>3.5</w:t>
      </w:r>
      <w:r>
        <w:rPr>
          <w:rFonts w:eastAsiaTheme="minorEastAsia"/>
          <w:noProof/>
        </w:rPr>
        <w:tab/>
      </w:r>
      <w:r w:rsidRPr="00D16B20">
        <w:rPr>
          <w:rFonts w:cs="Times New Roman"/>
          <w:noProof/>
          <w:color w:val="000000" w:themeColor="text1"/>
        </w:rPr>
        <w:t>Conceptual Framework and Hypotheses</w:t>
      </w:r>
      <w:r>
        <w:rPr>
          <w:noProof/>
        </w:rPr>
        <w:tab/>
      </w:r>
      <w:r>
        <w:rPr>
          <w:noProof/>
        </w:rPr>
        <w:fldChar w:fldCharType="begin"/>
      </w:r>
      <w:r>
        <w:rPr>
          <w:noProof/>
        </w:rPr>
        <w:instrText xml:space="preserve"> PAGEREF _Toc234489048 \h </w:instrText>
      </w:r>
      <w:r>
        <w:rPr>
          <w:noProof/>
        </w:rPr>
      </w:r>
      <w:r>
        <w:rPr>
          <w:noProof/>
        </w:rPr>
        <w:fldChar w:fldCharType="separate"/>
      </w:r>
      <w:r>
        <w:rPr>
          <w:noProof/>
        </w:rPr>
        <w:t>98</w:t>
      </w:r>
      <w:r>
        <w:rPr>
          <w:noProof/>
        </w:rPr>
        <w:fldChar w:fldCharType="end"/>
      </w:r>
    </w:p>
    <w:p w14:paraId="5FE7E45B" w14:textId="2B7A13F0" w:rsidR="009B5C28" w:rsidRDefault="009B5C28">
      <w:pPr>
        <w:pStyle w:val="TOC3"/>
        <w:tabs>
          <w:tab w:val="left" w:pos="1440"/>
          <w:tab w:val="right" w:leader="dot" w:pos="9350"/>
        </w:tabs>
        <w:rPr>
          <w:rFonts w:eastAsiaTheme="minorEastAsia"/>
          <w:noProof/>
        </w:rPr>
      </w:pPr>
      <w:r w:rsidRPr="00D16B20">
        <w:rPr>
          <w:rFonts w:cs="Times New Roman"/>
          <w:noProof/>
          <w:color w:val="000000" w:themeColor="text1"/>
        </w:rPr>
        <w:t>3.5.1</w:t>
      </w:r>
      <w:r>
        <w:rPr>
          <w:rFonts w:eastAsiaTheme="minorEastAsia"/>
          <w:noProof/>
        </w:rPr>
        <w:tab/>
      </w:r>
      <w:r w:rsidRPr="00D16B20">
        <w:rPr>
          <w:rFonts w:cs="Times New Roman"/>
          <w:noProof/>
          <w:color w:val="000000" w:themeColor="text1"/>
        </w:rPr>
        <w:t>Research Hypotheses</w:t>
      </w:r>
      <w:r>
        <w:rPr>
          <w:noProof/>
        </w:rPr>
        <w:tab/>
      </w:r>
      <w:r>
        <w:rPr>
          <w:noProof/>
        </w:rPr>
        <w:fldChar w:fldCharType="begin"/>
      </w:r>
      <w:r>
        <w:rPr>
          <w:noProof/>
        </w:rPr>
        <w:instrText xml:space="preserve"> PAGEREF _Toc234489049 \h </w:instrText>
      </w:r>
      <w:r>
        <w:rPr>
          <w:noProof/>
        </w:rPr>
      </w:r>
      <w:r>
        <w:rPr>
          <w:noProof/>
        </w:rPr>
        <w:fldChar w:fldCharType="separate"/>
      </w:r>
      <w:r>
        <w:rPr>
          <w:noProof/>
        </w:rPr>
        <w:t>101</w:t>
      </w:r>
      <w:r>
        <w:rPr>
          <w:noProof/>
        </w:rPr>
        <w:fldChar w:fldCharType="end"/>
      </w:r>
    </w:p>
    <w:p w14:paraId="5E306F2B" w14:textId="27FAF562" w:rsidR="009B5C28" w:rsidRDefault="009B5C28">
      <w:pPr>
        <w:pStyle w:val="TOC2"/>
        <w:tabs>
          <w:tab w:val="left" w:pos="960"/>
          <w:tab w:val="right" w:leader="dot" w:pos="9350"/>
        </w:tabs>
        <w:rPr>
          <w:rFonts w:eastAsiaTheme="minorEastAsia"/>
          <w:noProof/>
        </w:rPr>
      </w:pPr>
      <w:r w:rsidRPr="00D16B20">
        <w:rPr>
          <w:rFonts w:cs="Times New Roman"/>
          <w:noProof/>
          <w:color w:val="000000" w:themeColor="text1"/>
        </w:rPr>
        <w:t>3.6</w:t>
      </w:r>
      <w:r>
        <w:rPr>
          <w:rFonts w:eastAsiaTheme="minorEastAsia"/>
          <w:noProof/>
        </w:rPr>
        <w:tab/>
      </w:r>
      <w:r w:rsidRPr="00D16B20">
        <w:rPr>
          <w:rFonts w:cs="Times New Roman"/>
          <w:noProof/>
          <w:color w:val="000000" w:themeColor="text1"/>
        </w:rPr>
        <w:t>Study Population</w:t>
      </w:r>
      <w:r>
        <w:rPr>
          <w:noProof/>
        </w:rPr>
        <w:tab/>
      </w:r>
      <w:r>
        <w:rPr>
          <w:noProof/>
        </w:rPr>
        <w:fldChar w:fldCharType="begin"/>
      </w:r>
      <w:r>
        <w:rPr>
          <w:noProof/>
        </w:rPr>
        <w:instrText xml:space="preserve"> PAGEREF _Toc234489050 \h </w:instrText>
      </w:r>
      <w:r>
        <w:rPr>
          <w:noProof/>
        </w:rPr>
      </w:r>
      <w:r>
        <w:rPr>
          <w:noProof/>
        </w:rPr>
        <w:fldChar w:fldCharType="separate"/>
      </w:r>
      <w:r>
        <w:rPr>
          <w:noProof/>
        </w:rPr>
        <w:t>102</w:t>
      </w:r>
      <w:r>
        <w:rPr>
          <w:noProof/>
        </w:rPr>
        <w:fldChar w:fldCharType="end"/>
      </w:r>
    </w:p>
    <w:p w14:paraId="0325A4FC" w14:textId="7FAACADE" w:rsidR="009B5C28" w:rsidRDefault="009B5C28">
      <w:pPr>
        <w:pStyle w:val="TOC2"/>
        <w:tabs>
          <w:tab w:val="left" w:pos="960"/>
          <w:tab w:val="right" w:leader="dot" w:pos="9350"/>
        </w:tabs>
        <w:rPr>
          <w:rFonts w:eastAsiaTheme="minorEastAsia"/>
          <w:noProof/>
        </w:rPr>
      </w:pPr>
      <w:r w:rsidRPr="00D16B20">
        <w:rPr>
          <w:rFonts w:cs="Times New Roman"/>
          <w:noProof/>
          <w:color w:val="000000" w:themeColor="text1"/>
        </w:rPr>
        <w:t>3.7</w:t>
      </w:r>
      <w:r>
        <w:rPr>
          <w:rFonts w:eastAsiaTheme="minorEastAsia"/>
          <w:noProof/>
        </w:rPr>
        <w:tab/>
      </w:r>
      <w:r w:rsidRPr="00D16B20">
        <w:rPr>
          <w:rFonts w:cs="Times New Roman"/>
          <w:noProof/>
          <w:color w:val="000000" w:themeColor="text1"/>
        </w:rPr>
        <w:t>Sampling Strategy</w:t>
      </w:r>
      <w:r>
        <w:rPr>
          <w:noProof/>
        </w:rPr>
        <w:tab/>
      </w:r>
      <w:r>
        <w:rPr>
          <w:noProof/>
        </w:rPr>
        <w:fldChar w:fldCharType="begin"/>
      </w:r>
      <w:r>
        <w:rPr>
          <w:noProof/>
        </w:rPr>
        <w:instrText xml:space="preserve"> PAGEREF _Toc234489051 \h </w:instrText>
      </w:r>
      <w:r>
        <w:rPr>
          <w:noProof/>
        </w:rPr>
      </w:r>
      <w:r>
        <w:rPr>
          <w:noProof/>
        </w:rPr>
        <w:fldChar w:fldCharType="separate"/>
      </w:r>
      <w:r>
        <w:rPr>
          <w:noProof/>
        </w:rPr>
        <w:t>103</w:t>
      </w:r>
      <w:r>
        <w:rPr>
          <w:noProof/>
        </w:rPr>
        <w:fldChar w:fldCharType="end"/>
      </w:r>
    </w:p>
    <w:p w14:paraId="5636FB49" w14:textId="61E77B2E" w:rsidR="009B5C28" w:rsidRDefault="009B5C28">
      <w:pPr>
        <w:pStyle w:val="TOC2"/>
        <w:tabs>
          <w:tab w:val="left" w:pos="960"/>
          <w:tab w:val="right" w:leader="dot" w:pos="9350"/>
        </w:tabs>
        <w:rPr>
          <w:rFonts w:eastAsiaTheme="minorEastAsia"/>
          <w:noProof/>
        </w:rPr>
      </w:pPr>
      <w:r w:rsidRPr="00D16B20">
        <w:rPr>
          <w:rFonts w:cs="Times New Roman"/>
          <w:noProof/>
          <w:color w:val="000000" w:themeColor="text1"/>
        </w:rPr>
        <w:t>3.8</w:t>
      </w:r>
      <w:r>
        <w:rPr>
          <w:rFonts w:eastAsiaTheme="minorEastAsia"/>
          <w:noProof/>
        </w:rPr>
        <w:tab/>
      </w:r>
      <w:r w:rsidRPr="00D16B20">
        <w:rPr>
          <w:rFonts w:cs="Times New Roman"/>
          <w:noProof/>
          <w:color w:val="000000" w:themeColor="text1"/>
        </w:rPr>
        <w:t>Justification for Documentary Research</w:t>
      </w:r>
      <w:r>
        <w:rPr>
          <w:noProof/>
        </w:rPr>
        <w:tab/>
      </w:r>
      <w:r>
        <w:rPr>
          <w:noProof/>
        </w:rPr>
        <w:fldChar w:fldCharType="begin"/>
      </w:r>
      <w:r>
        <w:rPr>
          <w:noProof/>
        </w:rPr>
        <w:instrText xml:space="preserve"> PAGEREF _Toc234489052 \h </w:instrText>
      </w:r>
      <w:r>
        <w:rPr>
          <w:noProof/>
        </w:rPr>
      </w:r>
      <w:r>
        <w:rPr>
          <w:noProof/>
        </w:rPr>
        <w:fldChar w:fldCharType="separate"/>
      </w:r>
      <w:r>
        <w:rPr>
          <w:noProof/>
        </w:rPr>
        <w:t>105</w:t>
      </w:r>
      <w:r>
        <w:rPr>
          <w:noProof/>
        </w:rPr>
        <w:fldChar w:fldCharType="end"/>
      </w:r>
    </w:p>
    <w:p w14:paraId="16531204" w14:textId="6D8B784B" w:rsidR="009B5C28" w:rsidRDefault="009B5C28">
      <w:pPr>
        <w:pStyle w:val="TOC2"/>
        <w:tabs>
          <w:tab w:val="left" w:pos="960"/>
          <w:tab w:val="right" w:leader="dot" w:pos="9350"/>
        </w:tabs>
        <w:rPr>
          <w:rFonts w:eastAsiaTheme="minorEastAsia"/>
          <w:noProof/>
        </w:rPr>
      </w:pPr>
      <w:r w:rsidRPr="00D16B20">
        <w:rPr>
          <w:rFonts w:cs="Times New Roman"/>
          <w:noProof/>
          <w:color w:val="000000" w:themeColor="text1"/>
        </w:rPr>
        <w:t>3.9</w:t>
      </w:r>
      <w:r>
        <w:rPr>
          <w:rFonts w:eastAsiaTheme="minorEastAsia"/>
          <w:noProof/>
        </w:rPr>
        <w:tab/>
      </w:r>
      <w:r w:rsidRPr="00D16B20">
        <w:rPr>
          <w:rFonts w:cs="Times New Roman"/>
          <w:noProof/>
          <w:color w:val="000000" w:themeColor="text1"/>
        </w:rPr>
        <w:t>Data Sources</w:t>
      </w:r>
      <w:r>
        <w:rPr>
          <w:noProof/>
        </w:rPr>
        <w:tab/>
      </w:r>
      <w:r>
        <w:rPr>
          <w:noProof/>
        </w:rPr>
        <w:fldChar w:fldCharType="begin"/>
      </w:r>
      <w:r>
        <w:rPr>
          <w:noProof/>
        </w:rPr>
        <w:instrText xml:space="preserve"> PAGEREF _Toc234489053 \h </w:instrText>
      </w:r>
      <w:r>
        <w:rPr>
          <w:noProof/>
        </w:rPr>
      </w:r>
      <w:r>
        <w:rPr>
          <w:noProof/>
        </w:rPr>
        <w:fldChar w:fldCharType="separate"/>
      </w:r>
      <w:r>
        <w:rPr>
          <w:noProof/>
        </w:rPr>
        <w:t>107</w:t>
      </w:r>
      <w:r>
        <w:rPr>
          <w:noProof/>
        </w:rPr>
        <w:fldChar w:fldCharType="end"/>
      </w:r>
    </w:p>
    <w:p w14:paraId="0BE6DC8D" w14:textId="090E8843" w:rsidR="009B5C28" w:rsidRDefault="009B5C28">
      <w:pPr>
        <w:pStyle w:val="TOC3"/>
        <w:tabs>
          <w:tab w:val="left" w:pos="1440"/>
          <w:tab w:val="right" w:leader="dot" w:pos="9350"/>
        </w:tabs>
        <w:rPr>
          <w:rFonts w:eastAsiaTheme="minorEastAsia"/>
          <w:noProof/>
        </w:rPr>
      </w:pPr>
      <w:r w:rsidRPr="00D16B20">
        <w:rPr>
          <w:rFonts w:cs="Times New Roman"/>
          <w:noProof/>
          <w:color w:val="000000" w:themeColor="text1"/>
        </w:rPr>
        <w:t>3.9.1</w:t>
      </w:r>
      <w:r>
        <w:rPr>
          <w:rFonts w:eastAsiaTheme="minorEastAsia"/>
          <w:noProof/>
        </w:rPr>
        <w:tab/>
      </w:r>
      <w:r w:rsidRPr="00D16B20">
        <w:rPr>
          <w:rFonts w:cs="Times New Roman"/>
          <w:noProof/>
          <w:color w:val="000000" w:themeColor="text1"/>
        </w:rPr>
        <w:t>Data coding procedures</w:t>
      </w:r>
      <w:r>
        <w:rPr>
          <w:noProof/>
        </w:rPr>
        <w:tab/>
      </w:r>
      <w:r>
        <w:rPr>
          <w:noProof/>
        </w:rPr>
        <w:fldChar w:fldCharType="begin"/>
      </w:r>
      <w:r>
        <w:rPr>
          <w:noProof/>
        </w:rPr>
        <w:instrText xml:space="preserve"> PAGEREF _Toc234489054 \h </w:instrText>
      </w:r>
      <w:r>
        <w:rPr>
          <w:noProof/>
        </w:rPr>
      </w:r>
      <w:r>
        <w:rPr>
          <w:noProof/>
        </w:rPr>
        <w:fldChar w:fldCharType="separate"/>
      </w:r>
      <w:r>
        <w:rPr>
          <w:noProof/>
        </w:rPr>
        <w:t>111</w:t>
      </w:r>
      <w:r>
        <w:rPr>
          <w:noProof/>
        </w:rPr>
        <w:fldChar w:fldCharType="end"/>
      </w:r>
    </w:p>
    <w:p w14:paraId="32A7D06F" w14:textId="21563436" w:rsidR="009B5C28" w:rsidRDefault="009B5C28">
      <w:pPr>
        <w:pStyle w:val="TOC2"/>
        <w:tabs>
          <w:tab w:val="left" w:pos="960"/>
          <w:tab w:val="right" w:leader="dot" w:pos="9350"/>
        </w:tabs>
        <w:rPr>
          <w:rFonts w:eastAsiaTheme="minorEastAsia"/>
          <w:noProof/>
        </w:rPr>
      </w:pPr>
      <w:r w:rsidRPr="00D16B20">
        <w:rPr>
          <w:rFonts w:cs="Times New Roman"/>
          <w:noProof/>
          <w:color w:val="000000" w:themeColor="text1"/>
        </w:rPr>
        <w:t>3.10</w:t>
      </w:r>
      <w:r>
        <w:rPr>
          <w:rFonts w:eastAsiaTheme="minorEastAsia"/>
          <w:noProof/>
        </w:rPr>
        <w:tab/>
      </w:r>
      <w:r w:rsidRPr="00D16B20">
        <w:rPr>
          <w:rFonts w:cs="Times New Roman"/>
          <w:noProof/>
          <w:color w:val="000000" w:themeColor="text1"/>
        </w:rPr>
        <w:t>Data Structure and Estimation Strategy</w:t>
      </w:r>
      <w:r>
        <w:rPr>
          <w:noProof/>
        </w:rPr>
        <w:tab/>
      </w:r>
      <w:r>
        <w:rPr>
          <w:noProof/>
        </w:rPr>
        <w:fldChar w:fldCharType="begin"/>
      </w:r>
      <w:r>
        <w:rPr>
          <w:noProof/>
        </w:rPr>
        <w:instrText xml:space="preserve"> PAGEREF _Toc234489055 \h </w:instrText>
      </w:r>
      <w:r>
        <w:rPr>
          <w:noProof/>
        </w:rPr>
      </w:r>
      <w:r>
        <w:rPr>
          <w:noProof/>
        </w:rPr>
        <w:fldChar w:fldCharType="separate"/>
      </w:r>
      <w:r>
        <w:rPr>
          <w:noProof/>
        </w:rPr>
        <w:t>114</w:t>
      </w:r>
      <w:r>
        <w:rPr>
          <w:noProof/>
        </w:rPr>
        <w:fldChar w:fldCharType="end"/>
      </w:r>
    </w:p>
    <w:p w14:paraId="6AF4098A" w14:textId="28A7314B" w:rsidR="009B5C28" w:rsidRDefault="009B5C28">
      <w:pPr>
        <w:pStyle w:val="TOC2"/>
        <w:tabs>
          <w:tab w:val="left" w:pos="960"/>
          <w:tab w:val="right" w:leader="dot" w:pos="9350"/>
        </w:tabs>
        <w:rPr>
          <w:rFonts w:eastAsiaTheme="minorEastAsia"/>
          <w:noProof/>
        </w:rPr>
      </w:pPr>
      <w:r w:rsidRPr="00D16B20">
        <w:rPr>
          <w:rFonts w:cs="Times New Roman"/>
          <w:noProof/>
          <w:color w:val="000000" w:themeColor="text1"/>
        </w:rPr>
        <w:t>3.11</w:t>
      </w:r>
      <w:r>
        <w:rPr>
          <w:rFonts w:eastAsiaTheme="minorEastAsia"/>
          <w:noProof/>
        </w:rPr>
        <w:tab/>
      </w:r>
      <w:r w:rsidRPr="00D16B20">
        <w:rPr>
          <w:rFonts w:cs="Times New Roman"/>
          <w:noProof/>
          <w:color w:val="000000" w:themeColor="text1"/>
        </w:rPr>
        <w:t>Econometric Model Specification</w:t>
      </w:r>
      <w:r>
        <w:rPr>
          <w:noProof/>
        </w:rPr>
        <w:tab/>
      </w:r>
      <w:r>
        <w:rPr>
          <w:noProof/>
        </w:rPr>
        <w:fldChar w:fldCharType="begin"/>
      </w:r>
      <w:r>
        <w:rPr>
          <w:noProof/>
        </w:rPr>
        <w:instrText xml:space="preserve"> PAGEREF _Toc234489056 \h </w:instrText>
      </w:r>
      <w:r>
        <w:rPr>
          <w:noProof/>
        </w:rPr>
      </w:r>
      <w:r>
        <w:rPr>
          <w:noProof/>
        </w:rPr>
        <w:fldChar w:fldCharType="separate"/>
      </w:r>
      <w:r>
        <w:rPr>
          <w:noProof/>
        </w:rPr>
        <w:t>116</w:t>
      </w:r>
      <w:r>
        <w:rPr>
          <w:noProof/>
        </w:rPr>
        <w:fldChar w:fldCharType="end"/>
      </w:r>
    </w:p>
    <w:p w14:paraId="2F1EDD75" w14:textId="6BFB5336" w:rsidR="009B5C28" w:rsidRDefault="009B5C28">
      <w:pPr>
        <w:pStyle w:val="TOC3"/>
        <w:tabs>
          <w:tab w:val="left" w:pos="1440"/>
          <w:tab w:val="right" w:leader="dot" w:pos="9350"/>
        </w:tabs>
        <w:rPr>
          <w:rFonts w:eastAsiaTheme="minorEastAsia"/>
          <w:noProof/>
        </w:rPr>
      </w:pPr>
      <w:r w:rsidRPr="00D16B20">
        <w:rPr>
          <w:rFonts w:cs="Times New Roman"/>
          <w:noProof/>
          <w:color w:val="000000" w:themeColor="text1"/>
        </w:rPr>
        <w:t>3.11.1</w:t>
      </w:r>
      <w:r>
        <w:rPr>
          <w:rFonts w:eastAsiaTheme="minorEastAsia"/>
          <w:noProof/>
        </w:rPr>
        <w:tab/>
      </w:r>
      <w:r w:rsidRPr="00D16B20">
        <w:rPr>
          <w:rFonts w:cs="Times New Roman"/>
          <w:noProof/>
          <w:color w:val="000000" w:themeColor="text1"/>
        </w:rPr>
        <w:t>Model Identification and Causal Interpretation</w:t>
      </w:r>
      <w:r>
        <w:rPr>
          <w:noProof/>
        </w:rPr>
        <w:tab/>
      </w:r>
      <w:r>
        <w:rPr>
          <w:noProof/>
        </w:rPr>
        <w:fldChar w:fldCharType="begin"/>
      </w:r>
      <w:r>
        <w:rPr>
          <w:noProof/>
        </w:rPr>
        <w:instrText xml:space="preserve"> PAGEREF _Toc234489057 \h </w:instrText>
      </w:r>
      <w:r>
        <w:rPr>
          <w:noProof/>
        </w:rPr>
      </w:r>
      <w:r>
        <w:rPr>
          <w:noProof/>
        </w:rPr>
        <w:fldChar w:fldCharType="separate"/>
      </w:r>
      <w:r>
        <w:rPr>
          <w:noProof/>
        </w:rPr>
        <w:t>117</w:t>
      </w:r>
      <w:r>
        <w:rPr>
          <w:noProof/>
        </w:rPr>
        <w:fldChar w:fldCharType="end"/>
      </w:r>
    </w:p>
    <w:p w14:paraId="4E22A1C0" w14:textId="5564C9D4" w:rsidR="009B5C28" w:rsidRDefault="009B5C28">
      <w:pPr>
        <w:pStyle w:val="TOC3"/>
        <w:tabs>
          <w:tab w:val="left" w:pos="1440"/>
          <w:tab w:val="right" w:leader="dot" w:pos="9350"/>
        </w:tabs>
        <w:rPr>
          <w:rFonts w:eastAsiaTheme="minorEastAsia"/>
          <w:noProof/>
        </w:rPr>
      </w:pPr>
      <w:r w:rsidRPr="00D16B20">
        <w:rPr>
          <w:rFonts w:cs="Times New Roman"/>
          <w:noProof/>
          <w:color w:val="000000" w:themeColor="text1"/>
        </w:rPr>
        <w:t>3.11.2</w:t>
      </w:r>
      <w:r>
        <w:rPr>
          <w:rFonts w:eastAsiaTheme="minorEastAsia"/>
          <w:noProof/>
        </w:rPr>
        <w:tab/>
      </w:r>
      <w:r w:rsidRPr="00D16B20">
        <w:rPr>
          <w:rFonts w:cs="Times New Roman"/>
          <w:noProof/>
          <w:color w:val="000000" w:themeColor="text1"/>
        </w:rPr>
        <w:t>Econometric Assumptions and Diagnostic Procedures</w:t>
      </w:r>
      <w:r>
        <w:rPr>
          <w:noProof/>
        </w:rPr>
        <w:tab/>
      </w:r>
      <w:r>
        <w:rPr>
          <w:noProof/>
        </w:rPr>
        <w:fldChar w:fldCharType="begin"/>
      </w:r>
      <w:r>
        <w:rPr>
          <w:noProof/>
        </w:rPr>
        <w:instrText xml:space="preserve"> PAGEREF _Toc234489058 \h </w:instrText>
      </w:r>
      <w:r>
        <w:rPr>
          <w:noProof/>
        </w:rPr>
      </w:r>
      <w:r>
        <w:rPr>
          <w:noProof/>
        </w:rPr>
        <w:fldChar w:fldCharType="separate"/>
      </w:r>
      <w:r>
        <w:rPr>
          <w:noProof/>
        </w:rPr>
        <w:t>117</w:t>
      </w:r>
      <w:r>
        <w:rPr>
          <w:noProof/>
        </w:rPr>
        <w:fldChar w:fldCharType="end"/>
      </w:r>
    </w:p>
    <w:p w14:paraId="21A43132" w14:textId="0571F954" w:rsidR="009B5C28" w:rsidRDefault="009B5C28">
      <w:pPr>
        <w:pStyle w:val="TOC2"/>
        <w:tabs>
          <w:tab w:val="left" w:pos="960"/>
          <w:tab w:val="right" w:leader="dot" w:pos="9350"/>
        </w:tabs>
        <w:rPr>
          <w:rFonts w:eastAsiaTheme="minorEastAsia"/>
          <w:noProof/>
        </w:rPr>
      </w:pPr>
      <w:r w:rsidRPr="00D16B20">
        <w:rPr>
          <w:rFonts w:cs="Times New Roman"/>
          <w:noProof/>
          <w:color w:val="000000" w:themeColor="text1"/>
        </w:rPr>
        <w:t>3.12</w:t>
      </w:r>
      <w:r>
        <w:rPr>
          <w:rFonts w:eastAsiaTheme="minorEastAsia"/>
          <w:noProof/>
        </w:rPr>
        <w:tab/>
      </w:r>
      <w:r w:rsidRPr="00D16B20">
        <w:rPr>
          <w:rFonts w:cs="Times New Roman"/>
          <w:noProof/>
          <w:color w:val="000000" w:themeColor="text1"/>
        </w:rPr>
        <w:t>Institutional Resilience Modeling: Climate and Political Transitions</w:t>
      </w:r>
      <w:r>
        <w:rPr>
          <w:noProof/>
        </w:rPr>
        <w:tab/>
      </w:r>
      <w:r>
        <w:rPr>
          <w:noProof/>
        </w:rPr>
        <w:fldChar w:fldCharType="begin"/>
      </w:r>
      <w:r>
        <w:rPr>
          <w:noProof/>
        </w:rPr>
        <w:instrText xml:space="preserve"> PAGEREF _Toc234489059 \h </w:instrText>
      </w:r>
      <w:r>
        <w:rPr>
          <w:noProof/>
        </w:rPr>
      </w:r>
      <w:r>
        <w:rPr>
          <w:noProof/>
        </w:rPr>
        <w:fldChar w:fldCharType="separate"/>
      </w:r>
      <w:r>
        <w:rPr>
          <w:noProof/>
        </w:rPr>
        <w:t>118</w:t>
      </w:r>
      <w:r>
        <w:rPr>
          <w:noProof/>
        </w:rPr>
        <w:fldChar w:fldCharType="end"/>
      </w:r>
    </w:p>
    <w:p w14:paraId="33001AF7" w14:textId="67E5B84B" w:rsidR="009B5C28" w:rsidRDefault="009B5C28">
      <w:pPr>
        <w:pStyle w:val="TOC2"/>
        <w:tabs>
          <w:tab w:val="left" w:pos="960"/>
          <w:tab w:val="right" w:leader="dot" w:pos="9350"/>
        </w:tabs>
        <w:rPr>
          <w:rFonts w:eastAsiaTheme="minorEastAsia"/>
          <w:noProof/>
        </w:rPr>
      </w:pPr>
      <w:r w:rsidRPr="00D16B20">
        <w:rPr>
          <w:rFonts w:cs="Times New Roman"/>
          <w:noProof/>
          <w:color w:val="000000" w:themeColor="text1"/>
        </w:rPr>
        <w:t>3.13</w:t>
      </w:r>
      <w:r>
        <w:rPr>
          <w:rFonts w:eastAsiaTheme="minorEastAsia"/>
          <w:noProof/>
        </w:rPr>
        <w:tab/>
      </w:r>
      <w:r w:rsidRPr="00D16B20">
        <w:rPr>
          <w:rFonts w:cs="Times New Roman"/>
          <w:noProof/>
          <w:color w:val="000000" w:themeColor="text1"/>
        </w:rPr>
        <w:t>Robustness Checks and Sensitivity Analysis</w:t>
      </w:r>
      <w:r>
        <w:rPr>
          <w:noProof/>
        </w:rPr>
        <w:tab/>
      </w:r>
      <w:r>
        <w:rPr>
          <w:noProof/>
        </w:rPr>
        <w:fldChar w:fldCharType="begin"/>
      </w:r>
      <w:r>
        <w:rPr>
          <w:noProof/>
        </w:rPr>
        <w:instrText xml:space="preserve"> PAGEREF _Toc234489060 \h </w:instrText>
      </w:r>
      <w:r>
        <w:rPr>
          <w:noProof/>
        </w:rPr>
      </w:r>
      <w:r>
        <w:rPr>
          <w:noProof/>
        </w:rPr>
        <w:fldChar w:fldCharType="separate"/>
      </w:r>
      <w:r>
        <w:rPr>
          <w:noProof/>
        </w:rPr>
        <w:t>120</w:t>
      </w:r>
      <w:r>
        <w:rPr>
          <w:noProof/>
        </w:rPr>
        <w:fldChar w:fldCharType="end"/>
      </w:r>
    </w:p>
    <w:p w14:paraId="26173A5E" w14:textId="00215A90" w:rsidR="009B5C28" w:rsidRDefault="009B5C28">
      <w:pPr>
        <w:pStyle w:val="TOC3"/>
        <w:tabs>
          <w:tab w:val="left" w:pos="1440"/>
          <w:tab w:val="right" w:leader="dot" w:pos="9350"/>
        </w:tabs>
        <w:rPr>
          <w:rFonts w:eastAsiaTheme="minorEastAsia"/>
          <w:noProof/>
        </w:rPr>
      </w:pPr>
      <w:r w:rsidRPr="00D16B20">
        <w:rPr>
          <w:rFonts w:cs="Times New Roman"/>
          <w:noProof/>
          <w:color w:val="000000" w:themeColor="text1"/>
        </w:rPr>
        <w:t>3.13.1</w:t>
      </w:r>
      <w:r>
        <w:rPr>
          <w:rFonts w:eastAsiaTheme="minorEastAsia"/>
          <w:noProof/>
        </w:rPr>
        <w:tab/>
      </w:r>
      <w:r w:rsidRPr="00D16B20">
        <w:rPr>
          <w:rFonts w:cs="Times New Roman"/>
          <w:noProof/>
          <w:color w:val="000000" w:themeColor="text1"/>
        </w:rPr>
        <w:t>Measurement Validation of the Governance Quality Index</w:t>
      </w:r>
      <w:r>
        <w:rPr>
          <w:noProof/>
        </w:rPr>
        <w:tab/>
      </w:r>
      <w:r>
        <w:rPr>
          <w:noProof/>
        </w:rPr>
        <w:fldChar w:fldCharType="begin"/>
      </w:r>
      <w:r>
        <w:rPr>
          <w:noProof/>
        </w:rPr>
        <w:instrText xml:space="preserve"> PAGEREF _Toc234489061 \h </w:instrText>
      </w:r>
      <w:r>
        <w:rPr>
          <w:noProof/>
        </w:rPr>
      </w:r>
      <w:r>
        <w:rPr>
          <w:noProof/>
        </w:rPr>
        <w:fldChar w:fldCharType="separate"/>
      </w:r>
      <w:r>
        <w:rPr>
          <w:noProof/>
        </w:rPr>
        <w:t>121</w:t>
      </w:r>
      <w:r>
        <w:rPr>
          <w:noProof/>
        </w:rPr>
        <w:fldChar w:fldCharType="end"/>
      </w:r>
    </w:p>
    <w:p w14:paraId="6426EA4F" w14:textId="6EA1F6D8" w:rsidR="009B5C28" w:rsidRDefault="009B5C28">
      <w:pPr>
        <w:pStyle w:val="TOC2"/>
        <w:tabs>
          <w:tab w:val="left" w:pos="960"/>
          <w:tab w:val="right" w:leader="dot" w:pos="9350"/>
        </w:tabs>
        <w:rPr>
          <w:rFonts w:eastAsiaTheme="minorEastAsia"/>
          <w:noProof/>
        </w:rPr>
      </w:pPr>
      <w:r w:rsidRPr="00D16B20">
        <w:rPr>
          <w:rFonts w:cs="Times New Roman"/>
          <w:noProof/>
          <w:color w:val="000000" w:themeColor="text1"/>
        </w:rPr>
        <w:t>3.14</w:t>
      </w:r>
      <w:r>
        <w:rPr>
          <w:rFonts w:eastAsiaTheme="minorEastAsia"/>
          <w:noProof/>
        </w:rPr>
        <w:tab/>
      </w:r>
      <w:r w:rsidRPr="00D16B20">
        <w:rPr>
          <w:rFonts w:cs="Times New Roman"/>
          <w:noProof/>
          <w:color w:val="000000" w:themeColor="text1"/>
        </w:rPr>
        <w:t>Data Limitations and Mitigation Strategies</w:t>
      </w:r>
      <w:r>
        <w:rPr>
          <w:noProof/>
        </w:rPr>
        <w:tab/>
      </w:r>
      <w:r>
        <w:rPr>
          <w:noProof/>
        </w:rPr>
        <w:fldChar w:fldCharType="begin"/>
      </w:r>
      <w:r>
        <w:rPr>
          <w:noProof/>
        </w:rPr>
        <w:instrText xml:space="preserve"> PAGEREF _Toc234489062 \h </w:instrText>
      </w:r>
      <w:r>
        <w:rPr>
          <w:noProof/>
        </w:rPr>
      </w:r>
      <w:r>
        <w:rPr>
          <w:noProof/>
        </w:rPr>
        <w:fldChar w:fldCharType="separate"/>
      </w:r>
      <w:r>
        <w:rPr>
          <w:noProof/>
        </w:rPr>
        <w:t>123</w:t>
      </w:r>
      <w:r>
        <w:rPr>
          <w:noProof/>
        </w:rPr>
        <w:fldChar w:fldCharType="end"/>
      </w:r>
    </w:p>
    <w:p w14:paraId="43F7C173" w14:textId="2EE77D05" w:rsidR="009B5C28" w:rsidRDefault="009B5C28">
      <w:pPr>
        <w:pStyle w:val="TOC2"/>
        <w:tabs>
          <w:tab w:val="left" w:pos="960"/>
          <w:tab w:val="right" w:leader="dot" w:pos="9350"/>
        </w:tabs>
        <w:rPr>
          <w:rFonts w:eastAsiaTheme="minorEastAsia"/>
          <w:noProof/>
        </w:rPr>
      </w:pPr>
      <w:r w:rsidRPr="00D16B20">
        <w:rPr>
          <w:rFonts w:cs="Times New Roman"/>
          <w:noProof/>
          <w:color w:val="000000" w:themeColor="text1"/>
        </w:rPr>
        <w:t>3.15</w:t>
      </w:r>
      <w:r>
        <w:rPr>
          <w:rFonts w:eastAsiaTheme="minorEastAsia"/>
          <w:noProof/>
        </w:rPr>
        <w:tab/>
      </w:r>
      <w:r w:rsidRPr="00D16B20">
        <w:rPr>
          <w:rFonts w:cs="Times New Roman"/>
          <w:noProof/>
          <w:color w:val="000000" w:themeColor="text1"/>
        </w:rPr>
        <w:t>Ethical Considerations</w:t>
      </w:r>
      <w:r>
        <w:rPr>
          <w:noProof/>
        </w:rPr>
        <w:tab/>
      </w:r>
      <w:r>
        <w:rPr>
          <w:noProof/>
        </w:rPr>
        <w:fldChar w:fldCharType="begin"/>
      </w:r>
      <w:r>
        <w:rPr>
          <w:noProof/>
        </w:rPr>
        <w:instrText xml:space="preserve"> PAGEREF _Toc234489063 \h </w:instrText>
      </w:r>
      <w:r>
        <w:rPr>
          <w:noProof/>
        </w:rPr>
      </w:r>
      <w:r>
        <w:rPr>
          <w:noProof/>
        </w:rPr>
        <w:fldChar w:fldCharType="separate"/>
      </w:r>
      <w:r>
        <w:rPr>
          <w:noProof/>
        </w:rPr>
        <w:t>124</w:t>
      </w:r>
      <w:r>
        <w:rPr>
          <w:noProof/>
        </w:rPr>
        <w:fldChar w:fldCharType="end"/>
      </w:r>
    </w:p>
    <w:p w14:paraId="12C53012" w14:textId="71FC1705" w:rsidR="009B5C28" w:rsidRDefault="009B5C28">
      <w:pPr>
        <w:pStyle w:val="TOC2"/>
        <w:tabs>
          <w:tab w:val="left" w:pos="960"/>
          <w:tab w:val="right" w:leader="dot" w:pos="9350"/>
        </w:tabs>
        <w:rPr>
          <w:rFonts w:eastAsiaTheme="minorEastAsia"/>
          <w:noProof/>
        </w:rPr>
      </w:pPr>
      <w:r w:rsidRPr="00D16B20">
        <w:rPr>
          <w:rFonts w:cs="Times New Roman"/>
          <w:noProof/>
          <w:color w:val="000000" w:themeColor="text1"/>
        </w:rPr>
        <w:t>3.16</w:t>
      </w:r>
      <w:r>
        <w:rPr>
          <w:rFonts w:eastAsiaTheme="minorEastAsia"/>
          <w:noProof/>
        </w:rPr>
        <w:tab/>
      </w:r>
      <w:r w:rsidRPr="00D16B20">
        <w:rPr>
          <w:rFonts w:cs="Times New Roman"/>
          <w:noProof/>
          <w:color w:val="000000" w:themeColor="text1"/>
        </w:rPr>
        <w:t>Identification Strategy and Endogeneity Considerations</w:t>
      </w:r>
      <w:r>
        <w:rPr>
          <w:noProof/>
        </w:rPr>
        <w:tab/>
      </w:r>
      <w:r>
        <w:rPr>
          <w:noProof/>
        </w:rPr>
        <w:fldChar w:fldCharType="begin"/>
      </w:r>
      <w:r>
        <w:rPr>
          <w:noProof/>
        </w:rPr>
        <w:instrText xml:space="preserve"> PAGEREF _Toc234489064 \h </w:instrText>
      </w:r>
      <w:r>
        <w:rPr>
          <w:noProof/>
        </w:rPr>
      </w:r>
      <w:r>
        <w:rPr>
          <w:noProof/>
        </w:rPr>
        <w:fldChar w:fldCharType="separate"/>
      </w:r>
      <w:r>
        <w:rPr>
          <w:noProof/>
        </w:rPr>
        <w:t>126</w:t>
      </w:r>
      <w:r>
        <w:rPr>
          <w:noProof/>
        </w:rPr>
        <w:fldChar w:fldCharType="end"/>
      </w:r>
    </w:p>
    <w:p w14:paraId="31D1ED78" w14:textId="3C1CB299" w:rsidR="009B5C28" w:rsidRDefault="009B5C28">
      <w:pPr>
        <w:pStyle w:val="TOC2"/>
        <w:tabs>
          <w:tab w:val="left" w:pos="960"/>
          <w:tab w:val="right" w:leader="dot" w:pos="9350"/>
        </w:tabs>
        <w:rPr>
          <w:rFonts w:eastAsiaTheme="minorEastAsia"/>
          <w:noProof/>
        </w:rPr>
      </w:pPr>
      <w:r w:rsidRPr="00D16B20">
        <w:rPr>
          <w:rFonts w:cs="Times New Roman"/>
          <w:noProof/>
          <w:color w:val="000000" w:themeColor="text1"/>
        </w:rPr>
        <w:lastRenderedPageBreak/>
        <w:t>3.17</w:t>
      </w:r>
      <w:r>
        <w:rPr>
          <w:rFonts w:eastAsiaTheme="minorEastAsia"/>
          <w:noProof/>
        </w:rPr>
        <w:tab/>
      </w:r>
      <w:r w:rsidRPr="00D16B20">
        <w:rPr>
          <w:rFonts w:cs="Times New Roman"/>
          <w:noProof/>
          <w:color w:val="000000" w:themeColor="text1"/>
        </w:rPr>
        <w:t>Methodological Strengths of the Study</w:t>
      </w:r>
      <w:r>
        <w:rPr>
          <w:noProof/>
        </w:rPr>
        <w:tab/>
      </w:r>
      <w:r>
        <w:rPr>
          <w:noProof/>
        </w:rPr>
        <w:fldChar w:fldCharType="begin"/>
      </w:r>
      <w:r>
        <w:rPr>
          <w:noProof/>
        </w:rPr>
        <w:instrText xml:space="preserve"> PAGEREF _Toc234489065 \h </w:instrText>
      </w:r>
      <w:r>
        <w:rPr>
          <w:noProof/>
        </w:rPr>
      </w:r>
      <w:r>
        <w:rPr>
          <w:noProof/>
        </w:rPr>
        <w:fldChar w:fldCharType="separate"/>
      </w:r>
      <w:r>
        <w:rPr>
          <w:noProof/>
        </w:rPr>
        <w:t>127</w:t>
      </w:r>
      <w:r>
        <w:rPr>
          <w:noProof/>
        </w:rPr>
        <w:fldChar w:fldCharType="end"/>
      </w:r>
    </w:p>
    <w:p w14:paraId="5D8FE0A5" w14:textId="73117683" w:rsidR="009B5C28" w:rsidRDefault="009B5C28">
      <w:pPr>
        <w:pStyle w:val="TOC2"/>
        <w:tabs>
          <w:tab w:val="left" w:pos="960"/>
          <w:tab w:val="right" w:leader="dot" w:pos="9350"/>
        </w:tabs>
        <w:rPr>
          <w:rFonts w:eastAsiaTheme="minorEastAsia"/>
          <w:noProof/>
        </w:rPr>
      </w:pPr>
      <w:r w:rsidRPr="00D16B20">
        <w:rPr>
          <w:rFonts w:cs="Times New Roman"/>
          <w:noProof/>
          <w:color w:val="000000" w:themeColor="text1"/>
        </w:rPr>
        <w:t>3.18</w:t>
      </w:r>
      <w:r>
        <w:rPr>
          <w:rFonts w:eastAsiaTheme="minorEastAsia"/>
          <w:noProof/>
        </w:rPr>
        <w:tab/>
      </w:r>
      <w:r w:rsidRPr="00D16B20">
        <w:rPr>
          <w:rFonts w:cs="Times New Roman"/>
          <w:noProof/>
          <w:color w:val="000000" w:themeColor="text1"/>
        </w:rPr>
        <w:t>Chapter Summary</w:t>
      </w:r>
      <w:r>
        <w:rPr>
          <w:noProof/>
        </w:rPr>
        <w:tab/>
      </w:r>
      <w:r>
        <w:rPr>
          <w:noProof/>
        </w:rPr>
        <w:fldChar w:fldCharType="begin"/>
      </w:r>
      <w:r>
        <w:rPr>
          <w:noProof/>
        </w:rPr>
        <w:instrText xml:space="preserve"> PAGEREF _Toc234489066 \h </w:instrText>
      </w:r>
      <w:r>
        <w:rPr>
          <w:noProof/>
        </w:rPr>
      </w:r>
      <w:r>
        <w:rPr>
          <w:noProof/>
        </w:rPr>
        <w:fldChar w:fldCharType="separate"/>
      </w:r>
      <w:r>
        <w:rPr>
          <w:noProof/>
        </w:rPr>
        <w:t>128</w:t>
      </w:r>
      <w:r>
        <w:rPr>
          <w:noProof/>
        </w:rPr>
        <w:fldChar w:fldCharType="end"/>
      </w:r>
    </w:p>
    <w:p w14:paraId="73AA01CA" w14:textId="1321731E" w:rsidR="009B5C28" w:rsidRDefault="009B5C28">
      <w:pPr>
        <w:pStyle w:val="TOC1"/>
        <w:tabs>
          <w:tab w:val="left" w:pos="1680"/>
          <w:tab w:val="right" w:leader="dot" w:pos="9350"/>
        </w:tabs>
        <w:rPr>
          <w:rFonts w:eastAsiaTheme="minorEastAsia"/>
          <w:noProof/>
        </w:rPr>
      </w:pPr>
      <w:r w:rsidRPr="00D16B20">
        <w:rPr>
          <w:rFonts w:cs="Times New Roman"/>
          <w:bCs/>
          <w:noProof/>
          <w:color w:val="000000" w:themeColor="text1"/>
        </w:rPr>
        <w:t>CHAPTER 4 :</w:t>
      </w:r>
      <w:r>
        <w:rPr>
          <w:rFonts w:eastAsiaTheme="minorEastAsia"/>
          <w:noProof/>
        </w:rPr>
        <w:tab/>
      </w:r>
      <w:r w:rsidRPr="00D16B20">
        <w:rPr>
          <w:rFonts w:cs="Times New Roman"/>
          <w:bCs/>
          <w:noProof/>
          <w:color w:val="000000" w:themeColor="text1"/>
        </w:rPr>
        <w:t>RESULTS AND FINDINGS</w:t>
      </w:r>
      <w:r>
        <w:rPr>
          <w:noProof/>
        </w:rPr>
        <w:tab/>
      </w:r>
      <w:r>
        <w:rPr>
          <w:noProof/>
        </w:rPr>
        <w:fldChar w:fldCharType="begin"/>
      </w:r>
      <w:r>
        <w:rPr>
          <w:noProof/>
        </w:rPr>
        <w:instrText xml:space="preserve"> PAGEREF _Toc234489067 \h </w:instrText>
      </w:r>
      <w:r>
        <w:rPr>
          <w:noProof/>
        </w:rPr>
      </w:r>
      <w:r>
        <w:rPr>
          <w:noProof/>
        </w:rPr>
        <w:fldChar w:fldCharType="separate"/>
      </w:r>
      <w:r>
        <w:rPr>
          <w:noProof/>
        </w:rPr>
        <w:t>130</w:t>
      </w:r>
      <w:r>
        <w:rPr>
          <w:noProof/>
        </w:rPr>
        <w:fldChar w:fldCharType="end"/>
      </w:r>
    </w:p>
    <w:p w14:paraId="5C139925" w14:textId="059F7F22" w:rsidR="009B5C28" w:rsidRDefault="009B5C28">
      <w:pPr>
        <w:pStyle w:val="TOC2"/>
        <w:tabs>
          <w:tab w:val="left" w:pos="960"/>
          <w:tab w:val="right" w:leader="dot" w:pos="9350"/>
        </w:tabs>
        <w:rPr>
          <w:rFonts w:eastAsiaTheme="minorEastAsia"/>
          <w:noProof/>
        </w:rPr>
      </w:pPr>
      <w:r w:rsidRPr="00D16B20">
        <w:rPr>
          <w:rFonts w:cs="Times New Roman"/>
          <w:bCs/>
          <w:noProof/>
          <w:color w:val="000000" w:themeColor="text1"/>
        </w:rPr>
        <w:t>4.1</w:t>
      </w:r>
      <w:r>
        <w:rPr>
          <w:rFonts w:eastAsiaTheme="minorEastAsia"/>
          <w:noProof/>
        </w:rPr>
        <w:tab/>
      </w:r>
      <w:r w:rsidRPr="00D16B20">
        <w:rPr>
          <w:rFonts w:cs="Times New Roman"/>
          <w:bCs/>
          <w:noProof/>
          <w:color w:val="000000" w:themeColor="text1"/>
        </w:rPr>
        <w:t>Introduction</w:t>
      </w:r>
      <w:r>
        <w:rPr>
          <w:noProof/>
        </w:rPr>
        <w:tab/>
      </w:r>
      <w:r>
        <w:rPr>
          <w:noProof/>
        </w:rPr>
        <w:fldChar w:fldCharType="begin"/>
      </w:r>
      <w:r>
        <w:rPr>
          <w:noProof/>
        </w:rPr>
        <w:instrText xml:space="preserve"> PAGEREF _Toc234489068 \h </w:instrText>
      </w:r>
      <w:r>
        <w:rPr>
          <w:noProof/>
        </w:rPr>
      </w:r>
      <w:r>
        <w:rPr>
          <w:noProof/>
        </w:rPr>
        <w:fldChar w:fldCharType="separate"/>
      </w:r>
      <w:r>
        <w:rPr>
          <w:noProof/>
        </w:rPr>
        <w:t>130</w:t>
      </w:r>
      <w:r>
        <w:rPr>
          <w:noProof/>
        </w:rPr>
        <w:fldChar w:fldCharType="end"/>
      </w:r>
    </w:p>
    <w:p w14:paraId="76E6F688" w14:textId="7F58DCFB" w:rsidR="009B5C28" w:rsidRDefault="009B5C28">
      <w:pPr>
        <w:pStyle w:val="TOC2"/>
        <w:tabs>
          <w:tab w:val="left" w:pos="960"/>
          <w:tab w:val="right" w:leader="dot" w:pos="9350"/>
        </w:tabs>
        <w:rPr>
          <w:rFonts w:eastAsiaTheme="minorEastAsia"/>
          <w:noProof/>
        </w:rPr>
      </w:pPr>
      <w:r w:rsidRPr="00D16B20">
        <w:rPr>
          <w:rFonts w:cs="Times New Roman"/>
          <w:bCs/>
          <w:noProof/>
          <w:color w:val="000000" w:themeColor="text1"/>
        </w:rPr>
        <w:t>4.2</w:t>
      </w:r>
      <w:r>
        <w:rPr>
          <w:rFonts w:eastAsiaTheme="minorEastAsia"/>
          <w:noProof/>
        </w:rPr>
        <w:tab/>
      </w:r>
      <w:r w:rsidRPr="00D16B20">
        <w:rPr>
          <w:rFonts w:cs="Times New Roman"/>
          <w:bCs/>
          <w:noProof/>
          <w:color w:val="000000" w:themeColor="text1"/>
        </w:rPr>
        <w:t>Descriptive Statistics and Governance Quality Assessment</w:t>
      </w:r>
      <w:r>
        <w:rPr>
          <w:noProof/>
        </w:rPr>
        <w:tab/>
      </w:r>
      <w:r>
        <w:rPr>
          <w:noProof/>
        </w:rPr>
        <w:fldChar w:fldCharType="begin"/>
      </w:r>
      <w:r>
        <w:rPr>
          <w:noProof/>
        </w:rPr>
        <w:instrText xml:space="preserve"> PAGEREF _Toc234489069 \h </w:instrText>
      </w:r>
      <w:r>
        <w:rPr>
          <w:noProof/>
        </w:rPr>
      </w:r>
      <w:r>
        <w:rPr>
          <w:noProof/>
        </w:rPr>
        <w:fldChar w:fldCharType="separate"/>
      </w:r>
      <w:r>
        <w:rPr>
          <w:noProof/>
        </w:rPr>
        <w:t>131</w:t>
      </w:r>
      <w:r>
        <w:rPr>
          <w:noProof/>
        </w:rPr>
        <w:fldChar w:fldCharType="end"/>
      </w:r>
    </w:p>
    <w:p w14:paraId="158CB44C" w14:textId="38400C45" w:rsidR="009B5C28" w:rsidRDefault="009B5C28">
      <w:pPr>
        <w:pStyle w:val="TOC3"/>
        <w:tabs>
          <w:tab w:val="left" w:pos="1440"/>
          <w:tab w:val="right" w:leader="dot" w:pos="9350"/>
        </w:tabs>
        <w:rPr>
          <w:rFonts w:eastAsiaTheme="minorEastAsia"/>
          <w:noProof/>
        </w:rPr>
      </w:pPr>
      <w:r w:rsidRPr="00D16B20">
        <w:rPr>
          <w:rFonts w:cs="Times New Roman"/>
          <w:bCs/>
          <w:noProof/>
          <w:color w:val="000000" w:themeColor="text1"/>
        </w:rPr>
        <w:t>4.2.1</w:t>
      </w:r>
      <w:r>
        <w:rPr>
          <w:rFonts w:eastAsiaTheme="minorEastAsia"/>
          <w:noProof/>
        </w:rPr>
        <w:tab/>
      </w:r>
      <w:r w:rsidRPr="00D16B20">
        <w:rPr>
          <w:rFonts w:cs="Times New Roman"/>
          <w:bCs/>
          <w:noProof/>
          <w:color w:val="000000" w:themeColor="text1"/>
        </w:rPr>
        <w:t>Sample Characteristics</w:t>
      </w:r>
      <w:r>
        <w:rPr>
          <w:noProof/>
        </w:rPr>
        <w:tab/>
      </w:r>
      <w:r>
        <w:rPr>
          <w:noProof/>
        </w:rPr>
        <w:fldChar w:fldCharType="begin"/>
      </w:r>
      <w:r>
        <w:rPr>
          <w:noProof/>
        </w:rPr>
        <w:instrText xml:space="preserve"> PAGEREF _Toc234489070 \h </w:instrText>
      </w:r>
      <w:r>
        <w:rPr>
          <w:noProof/>
        </w:rPr>
      </w:r>
      <w:r>
        <w:rPr>
          <w:noProof/>
        </w:rPr>
        <w:fldChar w:fldCharType="separate"/>
      </w:r>
      <w:r>
        <w:rPr>
          <w:noProof/>
        </w:rPr>
        <w:t>131</w:t>
      </w:r>
      <w:r>
        <w:rPr>
          <w:noProof/>
        </w:rPr>
        <w:fldChar w:fldCharType="end"/>
      </w:r>
    </w:p>
    <w:p w14:paraId="51ED88DF" w14:textId="47523AF3" w:rsidR="009B5C28" w:rsidRDefault="009B5C28">
      <w:pPr>
        <w:pStyle w:val="TOC3"/>
        <w:tabs>
          <w:tab w:val="left" w:pos="1440"/>
          <w:tab w:val="right" w:leader="dot" w:pos="9350"/>
        </w:tabs>
        <w:rPr>
          <w:rFonts w:eastAsiaTheme="minorEastAsia"/>
          <w:noProof/>
        </w:rPr>
      </w:pPr>
      <w:r w:rsidRPr="00D16B20">
        <w:rPr>
          <w:rFonts w:cs="Times New Roman"/>
          <w:bCs/>
          <w:noProof/>
          <w:color w:val="000000" w:themeColor="text1"/>
        </w:rPr>
        <w:t>4.2.2</w:t>
      </w:r>
      <w:r>
        <w:rPr>
          <w:rFonts w:eastAsiaTheme="minorEastAsia"/>
          <w:noProof/>
        </w:rPr>
        <w:tab/>
      </w:r>
      <w:r w:rsidRPr="00D16B20">
        <w:rPr>
          <w:rFonts w:cs="Times New Roman"/>
          <w:bCs/>
          <w:noProof/>
          <w:color w:val="000000" w:themeColor="text1"/>
        </w:rPr>
        <w:t>Descriptive Statistics for Main Variables</w:t>
      </w:r>
      <w:r>
        <w:rPr>
          <w:noProof/>
        </w:rPr>
        <w:tab/>
      </w:r>
      <w:r>
        <w:rPr>
          <w:noProof/>
        </w:rPr>
        <w:fldChar w:fldCharType="begin"/>
      </w:r>
      <w:r>
        <w:rPr>
          <w:noProof/>
        </w:rPr>
        <w:instrText xml:space="preserve"> PAGEREF _Toc234489071 \h </w:instrText>
      </w:r>
      <w:r>
        <w:rPr>
          <w:noProof/>
        </w:rPr>
      </w:r>
      <w:r>
        <w:rPr>
          <w:noProof/>
        </w:rPr>
        <w:fldChar w:fldCharType="separate"/>
      </w:r>
      <w:r>
        <w:rPr>
          <w:noProof/>
        </w:rPr>
        <w:t>132</w:t>
      </w:r>
      <w:r>
        <w:rPr>
          <w:noProof/>
        </w:rPr>
        <w:fldChar w:fldCharType="end"/>
      </w:r>
    </w:p>
    <w:p w14:paraId="20A8B4DF" w14:textId="46ACEBDB" w:rsidR="009B5C28" w:rsidRDefault="009B5C28">
      <w:pPr>
        <w:pStyle w:val="TOC3"/>
        <w:tabs>
          <w:tab w:val="left" w:pos="1440"/>
          <w:tab w:val="right" w:leader="dot" w:pos="9350"/>
        </w:tabs>
        <w:rPr>
          <w:rFonts w:eastAsiaTheme="minorEastAsia"/>
          <w:noProof/>
        </w:rPr>
      </w:pPr>
      <w:r w:rsidRPr="00D16B20">
        <w:rPr>
          <w:rFonts w:cs="Times New Roman"/>
          <w:bCs/>
          <w:noProof/>
          <w:color w:val="000000" w:themeColor="text1"/>
        </w:rPr>
        <w:t>4.2.3</w:t>
      </w:r>
      <w:r>
        <w:rPr>
          <w:rFonts w:eastAsiaTheme="minorEastAsia"/>
          <w:noProof/>
        </w:rPr>
        <w:tab/>
      </w:r>
      <w:r w:rsidRPr="00D16B20">
        <w:rPr>
          <w:rFonts w:cs="Times New Roman"/>
          <w:bCs/>
          <w:noProof/>
          <w:color w:val="000000" w:themeColor="text1"/>
        </w:rPr>
        <w:t>Documentation Accessibility and Sample Reduction</w:t>
      </w:r>
      <w:r>
        <w:rPr>
          <w:noProof/>
        </w:rPr>
        <w:tab/>
      </w:r>
      <w:r>
        <w:rPr>
          <w:noProof/>
        </w:rPr>
        <w:fldChar w:fldCharType="begin"/>
      </w:r>
      <w:r>
        <w:rPr>
          <w:noProof/>
        </w:rPr>
        <w:instrText xml:space="preserve"> PAGEREF _Toc234489072 \h </w:instrText>
      </w:r>
      <w:r>
        <w:rPr>
          <w:noProof/>
        </w:rPr>
      </w:r>
      <w:r>
        <w:rPr>
          <w:noProof/>
        </w:rPr>
        <w:fldChar w:fldCharType="separate"/>
      </w:r>
      <w:r>
        <w:rPr>
          <w:noProof/>
        </w:rPr>
        <w:t>134</w:t>
      </w:r>
      <w:r>
        <w:rPr>
          <w:noProof/>
        </w:rPr>
        <w:fldChar w:fldCharType="end"/>
      </w:r>
    </w:p>
    <w:p w14:paraId="032F8B09" w14:textId="3CCEEE72" w:rsidR="009B5C28" w:rsidRDefault="009B5C28">
      <w:pPr>
        <w:pStyle w:val="TOC3"/>
        <w:tabs>
          <w:tab w:val="left" w:pos="1440"/>
          <w:tab w:val="right" w:leader="dot" w:pos="9350"/>
        </w:tabs>
        <w:rPr>
          <w:rFonts w:eastAsiaTheme="minorEastAsia"/>
          <w:noProof/>
        </w:rPr>
      </w:pPr>
      <w:r w:rsidRPr="00D16B20">
        <w:rPr>
          <w:rFonts w:cs="Times New Roman"/>
          <w:bCs/>
          <w:noProof/>
          <w:color w:val="000000" w:themeColor="text1"/>
        </w:rPr>
        <w:t>4.2.4</w:t>
      </w:r>
      <w:r>
        <w:rPr>
          <w:rFonts w:eastAsiaTheme="minorEastAsia"/>
          <w:noProof/>
        </w:rPr>
        <w:tab/>
      </w:r>
      <w:r w:rsidRPr="00D16B20">
        <w:rPr>
          <w:rFonts w:cs="Times New Roman"/>
          <w:bCs/>
          <w:noProof/>
          <w:color w:val="000000" w:themeColor="text1"/>
        </w:rPr>
        <w:t>Governance Quality Distribution</w:t>
      </w:r>
      <w:r>
        <w:rPr>
          <w:noProof/>
        </w:rPr>
        <w:tab/>
      </w:r>
      <w:r>
        <w:rPr>
          <w:noProof/>
        </w:rPr>
        <w:fldChar w:fldCharType="begin"/>
      </w:r>
      <w:r>
        <w:rPr>
          <w:noProof/>
        </w:rPr>
        <w:instrText xml:space="preserve"> PAGEREF _Toc234489073 \h </w:instrText>
      </w:r>
      <w:r>
        <w:rPr>
          <w:noProof/>
        </w:rPr>
      </w:r>
      <w:r>
        <w:rPr>
          <w:noProof/>
        </w:rPr>
        <w:fldChar w:fldCharType="separate"/>
      </w:r>
      <w:r>
        <w:rPr>
          <w:noProof/>
        </w:rPr>
        <w:t>135</w:t>
      </w:r>
      <w:r>
        <w:rPr>
          <w:noProof/>
        </w:rPr>
        <w:fldChar w:fldCharType="end"/>
      </w:r>
    </w:p>
    <w:p w14:paraId="51F57857" w14:textId="7AF013AE" w:rsidR="009B5C28" w:rsidRDefault="009B5C28">
      <w:pPr>
        <w:pStyle w:val="TOC3"/>
        <w:tabs>
          <w:tab w:val="left" w:pos="1440"/>
          <w:tab w:val="right" w:leader="dot" w:pos="9350"/>
        </w:tabs>
        <w:rPr>
          <w:rFonts w:eastAsiaTheme="minorEastAsia"/>
          <w:noProof/>
        </w:rPr>
      </w:pPr>
      <w:r w:rsidRPr="00D16B20">
        <w:rPr>
          <w:rFonts w:cs="Times New Roman"/>
          <w:bCs/>
          <w:noProof/>
          <w:color w:val="000000" w:themeColor="text1"/>
        </w:rPr>
        <w:t>4.2.5</w:t>
      </w:r>
      <w:r>
        <w:rPr>
          <w:rFonts w:eastAsiaTheme="minorEastAsia"/>
          <w:noProof/>
        </w:rPr>
        <w:tab/>
      </w:r>
      <w:r w:rsidRPr="00D16B20">
        <w:rPr>
          <w:rFonts w:cs="Times New Roman"/>
          <w:bCs/>
          <w:noProof/>
          <w:color w:val="000000" w:themeColor="text1"/>
        </w:rPr>
        <w:t>Governance Component Scores</w:t>
      </w:r>
      <w:r>
        <w:rPr>
          <w:noProof/>
        </w:rPr>
        <w:tab/>
      </w:r>
      <w:r>
        <w:rPr>
          <w:noProof/>
        </w:rPr>
        <w:fldChar w:fldCharType="begin"/>
      </w:r>
      <w:r>
        <w:rPr>
          <w:noProof/>
        </w:rPr>
        <w:instrText xml:space="preserve"> PAGEREF _Toc234489074 \h </w:instrText>
      </w:r>
      <w:r>
        <w:rPr>
          <w:noProof/>
        </w:rPr>
      </w:r>
      <w:r>
        <w:rPr>
          <w:noProof/>
        </w:rPr>
        <w:fldChar w:fldCharType="separate"/>
      </w:r>
      <w:r>
        <w:rPr>
          <w:noProof/>
        </w:rPr>
        <w:t>136</w:t>
      </w:r>
      <w:r>
        <w:rPr>
          <w:noProof/>
        </w:rPr>
        <w:fldChar w:fldCharType="end"/>
      </w:r>
    </w:p>
    <w:p w14:paraId="5116718E" w14:textId="373BFF88" w:rsidR="009B5C28" w:rsidRDefault="009B5C28">
      <w:pPr>
        <w:pStyle w:val="TOC2"/>
        <w:tabs>
          <w:tab w:val="left" w:pos="960"/>
          <w:tab w:val="right" w:leader="dot" w:pos="9350"/>
        </w:tabs>
        <w:rPr>
          <w:rFonts w:eastAsiaTheme="minorEastAsia"/>
          <w:noProof/>
        </w:rPr>
      </w:pPr>
      <w:r w:rsidRPr="00D16B20">
        <w:rPr>
          <w:rFonts w:cs="Times New Roman"/>
          <w:bCs/>
          <w:noProof/>
          <w:color w:val="000000" w:themeColor="text1"/>
        </w:rPr>
        <w:t>4.3</w:t>
      </w:r>
      <w:r>
        <w:rPr>
          <w:rFonts w:eastAsiaTheme="minorEastAsia"/>
          <w:noProof/>
        </w:rPr>
        <w:tab/>
      </w:r>
      <w:r w:rsidRPr="00D16B20">
        <w:rPr>
          <w:rFonts w:cs="Times New Roman"/>
          <w:bCs/>
          <w:noProof/>
          <w:color w:val="000000" w:themeColor="text1"/>
        </w:rPr>
        <w:t>Research Question One</w:t>
      </w:r>
      <w:r>
        <w:rPr>
          <w:noProof/>
        </w:rPr>
        <w:tab/>
      </w:r>
      <w:r>
        <w:rPr>
          <w:noProof/>
        </w:rPr>
        <w:fldChar w:fldCharType="begin"/>
      </w:r>
      <w:r>
        <w:rPr>
          <w:noProof/>
        </w:rPr>
        <w:instrText xml:space="preserve"> PAGEREF _Toc234489075 \h </w:instrText>
      </w:r>
      <w:r>
        <w:rPr>
          <w:noProof/>
        </w:rPr>
      </w:r>
      <w:r>
        <w:rPr>
          <w:noProof/>
        </w:rPr>
        <w:fldChar w:fldCharType="separate"/>
      </w:r>
      <w:r>
        <w:rPr>
          <w:noProof/>
        </w:rPr>
        <w:t>138</w:t>
      </w:r>
      <w:r>
        <w:rPr>
          <w:noProof/>
        </w:rPr>
        <w:fldChar w:fldCharType="end"/>
      </w:r>
    </w:p>
    <w:p w14:paraId="650F3E28" w14:textId="4CE4A41B" w:rsidR="009B5C28" w:rsidRDefault="009B5C28">
      <w:pPr>
        <w:pStyle w:val="TOC3"/>
        <w:tabs>
          <w:tab w:val="left" w:pos="1440"/>
          <w:tab w:val="right" w:leader="dot" w:pos="9350"/>
        </w:tabs>
        <w:rPr>
          <w:rFonts w:eastAsiaTheme="minorEastAsia"/>
          <w:noProof/>
        </w:rPr>
      </w:pPr>
      <w:r w:rsidRPr="00D16B20">
        <w:rPr>
          <w:rFonts w:cs="Times New Roman"/>
          <w:bCs/>
          <w:noProof/>
          <w:color w:val="000000" w:themeColor="text1"/>
        </w:rPr>
        <w:t>4.3.1</w:t>
      </w:r>
      <w:r>
        <w:rPr>
          <w:rFonts w:eastAsiaTheme="minorEastAsia"/>
          <w:noProof/>
        </w:rPr>
        <w:tab/>
      </w:r>
      <w:r w:rsidRPr="00D16B20">
        <w:rPr>
          <w:rFonts w:cs="Times New Roman"/>
          <w:bCs/>
          <w:noProof/>
          <w:color w:val="000000" w:themeColor="text1"/>
        </w:rPr>
        <w:t>Hypothesis One - Governance Quality and Project Stalling</w:t>
      </w:r>
      <w:r>
        <w:rPr>
          <w:noProof/>
        </w:rPr>
        <w:tab/>
      </w:r>
      <w:r>
        <w:rPr>
          <w:noProof/>
        </w:rPr>
        <w:fldChar w:fldCharType="begin"/>
      </w:r>
      <w:r>
        <w:rPr>
          <w:noProof/>
        </w:rPr>
        <w:instrText xml:space="preserve"> PAGEREF _Toc234489076 \h </w:instrText>
      </w:r>
      <w:r>
        <w:rPr>
          <w:noProof/>
        </w:rPr>
      </w:r>
      <w:r>
        <w:rPr>
          <w:noProof/>
        </w:rPr>
        <w:fldChar w:fldCharType="separate"/>
      </w:r>
      <w:r>
        <w:rPr>
          <w:noProof/>
        </w:rPr>
        <w:t>139</w:t>
      </w:r>
      <w:r>
        <w:rPr>
          <w:noProof/>
        </w:rPr>
        <w:fldChar w:fldCharType="end"/>
      </w:r>
    </w:p>
    <w:p w14:paraId="14D0821D" w14:textId="7A1F0FA3" w:rsidR="009B5C28" w:rsidRDefault="009B5C28">
      <w:pPr>
        <w:pStyle w:val="TOC3"/>
        <w:tabs>
          <w:tab w:val="left" w:pos="1440"/>
          <w:tab w:val="right" w:leader="dot" w:pos="9350"/>
        </w:tabs>
        <w:rPr>
          <w:rFonts w:eastAsiaTheme="minorEastAsia"/>
          <w:noProof/>
        </w:rPr>
      </w:pPr>
      <w:r w:rsidRPr="00D16B20">
        <w:rPr>
          <w:rFonts w:cs="Times New Roman"/>
          <w:bCs/>
          <w:noProof/>
          <w:color w:val="000000" w:themeColor="text1"/>
        </w:rPr>
        <w:t>4.3.2</w:t>
      </w:r>
      <w:r>
        <w:rPr>
          <w:rFonts w:eastAsiaTheme="minorEastAsia"/>
          <w:noProof/>
        </w:rPr>
        <w:tab/>
      </w:r>
      <w:r w:rsidRPr="00D16B20">
        <w:rPr>
          <w:rFonts w:cs="Times New Roman"/>
          <w:bCs/>
          <w:noProof/>
          <w:color w:val="000000" w:themeColor="text1"/>
        </w:rPr>
        <w:t>Comparative Analysis of Stalled and Non-Stalled Projects</w:t>
      </w:r>
      <w:r>
        <w:rPr>
          <w:noProof/>
        </w:rPr>
        <w:tab/>
      </w:r>
      <w:r>
        <w:rPr>
          <w:noProof/>
        </w:rPr>
        <w:fldChar w:fldCharType="begin"/>
      </w:r>
      <w:r>
        <w:rPr>
          <w:noProof/>
        </w:rPr>
        <w:instrText xml:space="preserve"> PAGEREF _Toc234489077 \h </w:instrText>
      </w:r>
      <w:r>
        <w:rPr>
          <w:noProof/>
        </w:rPr>
      </w:r>
      <w:r>
        <w:rPr>
          <w:noProof/>
        </w:rPr>
        <w:fldChar w:fldCharType="separate"/>
      </w:r>
      <w:r>
        <w:rPr>
          <w:noProof/>
        </w:rPr>
        <w:t>139</w:t>
      </w:r>
      <w:r>
        <w:rPr>
          <w:noProof/>
        </w:rPr>
        <w:fldChar w:fldCharType="end"/>
      </w:r>
    </w:p>
    <w:p w14:paraId="1E1C567F" w14:textId="086D2E35" w:rsidR="009B5C28" w:rsidRDefault="009B5C28">
      <w:pPr>
        <w:pStyle w:val="TOC3"/>
        <w:tabs>
          <w:tab w:val="left" w:pos="1440"/>
          <w:tab w:val="right" w:leader="dot" w:pos="9350"/>
        </w:tabs>
        <w:rPr>
          <w:rFonts w:eastAsiaTheme="minorEastAsia"/>
          <w:noProof/>
        </w:rPr>
      </w:pPr>
      <w:r w:rsidRPr="00D16B20">
        <w:rPr>
          <w:rFonts w:cs="Times New Roman"/>
          <w:bCs/>
          <w:noProof/>
          <w:color w:val="000000" w:themeColor="text1"/>
        </w:rPr>
        <w:t>4.3.3</w:t>
      </w:r>
      <w:r>
        <w:rPr>
          <w:rFonts w:eastAsiaTheme="minorEastAsia"/>
          <w:noProof/>
        </w:rPr>
        <w:tab/>
      </w:r>
      <w:r w:rsidRPr="00D16B20">
        <w:rPr>
          <w:rFonts w:cs="Times New Roman"/>
          <w:bCs/>
          <w:noProof/>
          <w:color w:val="000000" w:themeColor="text1"/>
        </w:rPr>
        <w:t>Governance Quality Distribution by Project Status</w:t>
      </w:r>
      <w:r>
        <w:rPr>
          <w:noProof/>
        </w:rPr>
        <w:tab/>
      </w:r>
      <w:r>
        <w:rPr>
          <w:noProof/>
        </w:rPr>
        <w:fldChar w:fldCharType="begin"/>
      </w:r>
      <w:r>
        <w:rPr>
          <w:noProof/>
        </w:rPr>
        <w:instrText xml:space="preserve"> PAGEREF _Toc234489078 \h </w:instrText>
      </w:r>
      <w:r>
        <w:rPr>
          <w:noProof/>
        </w:rPr>
      </w:r>
      <w:r>
        <w:rPr>
          <w:noProof/>
        </w:rPr>
        <w:fldChar w:fldCharType="separate"/>
      </w:r>
      <w:r>
        <w:rPr>
          <w:noProof/>
        </w:rPr>
        <w:t>140</w:t>
      </w:r>
      <w:r>
        <w:rPr>
          <w:noProof/>
        </w:rPr>
        <w:fldChar w:fldCharType="end"/>
      </w:r>
    </w:p>
    <w:p w14:paraId="402F164F" w14:textId="0BDDB30D" w:rsidR="009B5C28" w:rsidRDefault="009B5C28">
      <w:pPr>
        <w:pStyle w:val="TOC3"/>
        <w:tabs>
          <w:tab w:val="left" w:pos="1440"/>
          <w:tab w:val="right" w:leader="dot" w:pos="9350"/>
        </w:tabs>
        <w:rPr>
          <w:rFonts w:eastAsiaTheme="minorEastAsia"/>
          <w:noProof/>
        </w:rPr>
      </w:pPr>
      <w:r w:rsidRPr="00D16B20">
        <w:rPr>
          <w:rFonts w:cs="Times New Roman"/>
          <w:bCs/>
          <w:noProof/>
          <w:color w:val="000000" w:themeColor="text1"/>
        </w:rPr>
        <w:t>4.3.4</w:t>
      </w:r>
      <w:r>
        <w:rPr>
          <w:rFonts w:eastAsiaTheme="minorEastAsia"/>
          <w:noProof/>
        </w:rPr>
        <w:tab/>
      </w:r>
      <w:r w:rsidRPr="00D16B20">
        <w:rPr>
          <w:rFonts w:cs="Times New Roman"/>
          <w:bCs/>
          <w:noProof/>
          <w:color w:val="000000" w:themeColor="text1"/>
        </w:rPr>
        <w:t>Correlation Analysis</w:t>
      </w:r>
      <w:r>
        <w:rPr>
          <w:noProof/>
        </w:rPr>
        <w:tab/>
      </w:r>
      <w:r>
        <w:rPr>
          <w:noProof/>
        </w:rPr>
        <w:fldChar w:fldCharType="begin"/>
      </w:r>
      <w:r>
        <w:rPr>
          <w:noProof/>
        </w:rPr>
        <w:instrText xml:space="preserve"> PAGEREF _Toc234489079 \h </w:instrText>
      </w:r>
      <w:r>
        <w:rPr>
          <w:noProof/>
        </w:rPr>
      </w:r>
      <w:r>
        <w:rPr>
          <w:noProof/>
        </w:rPr>
        <w:fldChar w:fldCharType="separate"/>
      </w:r>
      <w:r>
        <w:rPr>
          <w:noProof/>
        </w:rPr>
        <w:t>141</w:t>
      </w:r>
      <w:r>
        <w:rPr>
          <w:noProof/>
        </w:rPr>
        <w:fldChar w:fldCharType="end"/>
      </w:r>
    </w:p>
    <w:p w14:paraId="6977BC2C" w14:textId="26493A74" w:rsidR="009B5C28" w:rsidRDefault="009B5C28">
      <w:pPr>
        <w:pStyle w:val="TOC3"/>
        <w:tabs>
          <w:tab w:val="left" w:pos="1440"/>
          <w:tab w:val="right" w:leader="dot" w:pos="9350"/>
        </w:tabs>
        <w:rPr>
          <w:rFonts w:eastAsiaTheme="minorEastAsia"/>
          <w:noProof/>
        </w:rPr>
      </w:pPr>
      <w:r w:rsidRPr="00D16B20">
        <w:rPr>
          <w:rFonts w:cs="Times New Roman"/>
          <w:bCs/>
          <w:noProof/>
          <w:color w:val="000000" w:themeColor="text1"/>
        </w:rPr>
        <w:t>4.3.5</w:t>
      </w:r>
      <w:r>
        <w:rPr>
          <w:rFonts w:eastAsiaTheme="minorEastAsia"/>
          <w:noProof/>
        </w:rPr>
        <w:tab/>
      </w:r>
      <w:r w:rsidRPr="00D16B20">
        <w:rPr>
          <w:rFonts w:cs="Times New Roman"/>
          <w:bCs/>
          <w:noProof/>
          <w:color w:val="000000" w:themeColor="text1"/>
        </w:rPr>
        <w:t>Logistic Regression Analysis</w:t>
      </w:r>
      <w:r>
        <w:rPr>
          <w:noProof/>
        </w:rPr>
        <w:tab/>
      </w:r>
      <w:r>
        <w:rPr>
          <w:noProof/>
        </w:rPr>
        <w:fldChar w:fldCharType="begin"/>
      </w:r>
      <w:r>
        <w:rPr>
          <w:noProof/>
        </w:rPr>
        <w:instrText xml:space="preserve"> PAGEREF _Toc234489080 \h </w:instrText>
      </w:r>
      <w:r>
        <w:rPr>
          <w:noProof/>
        </w:rPr>
      </w:r>
      <w:r>
        <w:rPr>
          <w:noProof/>
        </w:rPr>
        <w:fldChar w:fldCharType="separate"/>
      </w:r>
      <w:r>
        <w:rPr>
          <w:noProof/>
        </w:rPr>
        <w:t>141</w:t>
      </w:r>
      <w:r>
        <w:rPr>
          <w:noProof/>
        </w:rPr>
        <w:fldChar w:fldCharType="end"/>
      </w:r>
    </w:p>
    <w:p w14:paraId="317ADE45" w14:textId="536C33F4" w:rsidR="009B5C28" w:rsidRDefault="009B5C28">
      <w:pPr>
        <w:pStyle w:val="TOC3"/>
        <w:tabs>
          <w:tab w:val="left" w:pos="1440"/>
          <w:tab w:val="right" w:leader="dot" w:pos="9350"/>
        </w:tabs>
        <w:rPr>
          <w:rFonts w:eastAsiaTheme="minorEastAsia"/>
          <w:noProof/>
        </w:rPr>
      </w:pPr>
      <w:r w:rsidRPr="00D16B20">
        <w:rPr>
          <w:rFonts w:cs="Times New Roman"/>
          <w:bCs/>
          <w:noProof/>
          <w:color w:val="000000" w:themeColor="text1"/>
        </w:rPr>
        <w:t>4.3.6</w:t>
      </w:r>
      <w:r>
        <w:rPr>
          <w:rFonts w:eastAsiaTheme="minorEastAsia"/>
          <w:noProof/>
        </w:rPr>
        <w:tab/>
      </w:r>
      <w:r w:rsidRPr="00D16B20">
        <w:rPr>
          <w:rFonts w:cs="Times New Roman"/>
          <w:bCs/>
          <w:noProof/>
          <w:color w:val="000000" w:themeColor="text1"/>
        </w:rPr>
        <w:t>Predicted Probability of Project Stalling</w:t>
      </w:r>
      <w:r>
        <w:rPr>
          <w:noProof/>
        </w:rPr>
        <w:tab/>
      </w:r>
      <w:r>
        <w:rPr>
          <w:noProof/>
        </w:rPr>
        <w:fldChar w:fldCharType="begin"/>
      </w:r>
      <w:r>
        <w:rPr>
          <w:noProof/>
        </w:rPr>
        <w:instrText xml:space="preserve"> PAGEREF _Toc234489081 \h </w:instrText>
      </w:r>
      <w:r>
        <w:rPr>
          <w:noProof/>
        </w:rPr>
      </w:r>
      <w:r>
        <w:rPr>
          <w:noProof/>
        </w:rPr>
        <w:fldChar w:fldCharType="separate"/>
      </w:r>
      <w:r>
        <w:rPr>
          <w:noProof/>
        </w:rPr>
        <w:t>145</w:t>
      </w:r>
      <w:r>
        <w:rPr>
          <w:noProof/>
        </w:rPr>
        <w:fldChar w:fldCharType="end"/>
      </w:r>
    </w:p>
    <w:p w14:paraId="51ADC153" w14:textId="43F9045C" w:rsidR="009B5C28" w:rsidRDefault="009B5C28">
      <w:pPr>
        <w:pStyle w:val="TOC3"/>
        <w:tabs>
          <w:tab w:val="left" w:pos="1440"/>
          <w:tab w:val="right" w:leader="dot" w:pos="9350"/>
        </w:tabs>
        <w:rPr>
          <w:rFonts w:eastAsiaTheme="minorEastAsia"/>
          <w:noProof/>
        </w:rPr>
      </w:pPr>
      <w:r w:rsidRPr="00D16B20">
        <w:rPr>
          <w:rFonts w:cs="Times New Roman"/>
          <w:bCs/>
          <w:noProof/>
          <w:color w:val="000000" w:themeColor="text1"/>
        </w:rPr>
        <w:t>4.3.7</w:t>
      </w:r>
      <w:r>
        <w:rPr>
          <w:rFonts w:eastAsiaTheme="minorEastAsia"/>
          <w:noProof/>
        </w:rPr>
        <w:tab/>
      </w:r>
      <w:r w:rsidRPr="00D16B20">
        <w:rPr>
          <w:rFonts w:cs="Times New Roman"/>
          <w:bCs/>
          <w:noProof/>
          <w:color w:val="000000" w:themeColor="text1"/>
        </w:rPr>
        <w:t>Illustrative Low-Governance Cases</w:t>
      </w:r>
      <w:r>
        <w:rPr>
          <w:noProof/>
        </w:rPr>
        <w:tab/>
      </w:r>
      <w:r>
        <w:rPr>
          <w:noProof/>
        </w:rPr>
        <w:fldChar w:fldCharType="begin"/>
      </w:r>
      <w:r>
        <w:rPr>
          <w:noProof/>
        </w:rPr>
        <w:instrText xml:space="preserve"> PAGEREF _Toc234489082 \h </w:instrText>
      </w:r>
      <w:r>
        <w:rPr>
          <w:noProof/>
        </w:rPr>
      </w:r>
      <w:r>
        <w:rPr>
          <w:noProof/>
        </w:rPr>
        <w:fldChar w:fldCharType="separate"/>
      </w:r>
      <w:r>
        <w:rPr>
          <w:noProof/>
        </w:rPr>
        <w:t>146</w:t>
      </w:r>
      <w:r>
        <w:rPr>
          <w:noProof/>
        </w:rPr>
        <w:fldChar w:fldCharType="end"/>
      </w:r>
    </w:p>
    <w:p w14:paraId="11DE7934" w14:textId="1A123B27" w:rsidR="009B5C28" w:rsidRDefault="009B5C28">
      <w:pPr>
        <w:pStyle w:val="TOC3"/>
        <w:tabs>
          <w:tab w:val="left" w:pos="1440"/>
          <w:tab w:val="right" w:leader="dot" w:pos="9350"/>
        </w:tabs>
        <w:rPr>
          <w:rFonts w:eastAsiaTheme="minorEastAsia"/>
          <w:noProof/>
        </w:rPr>
      </w:pPr>
      <w:r w:rsidRPr="00D16B20">
        <w:rPr>
          <w:rFonts w:cs="Times New Roman"/>
          <w:bCs/>
          <w:noProof/>
          <w:color w:val="000000" w:themeColor="text1"/>
        </w:rPr>
        <w:t>4.3.8</w:t>
      </w:r>
      <w:r>
        <w:rPr>
          <w:rFonts w:eastAsiaTheme="minorEastAsia"/>
          <w:noProof/>
        </w:rPr>
        <w:tab/>
      </w:r>
      <w:r w:rsidRPr="00D16B20">
        <w:rPr>
          <w:rFonts w:cs="Times New Roman"/>
          <w:bCs/>
          <w:noProof/>
          <w:color w:val="000000" w:themeColor="text1"/>
        </w:rPr>
        <w:t>Hypothesis Outcome</w:t>
      </w:r>
      <w:r>
        <w:rPr>
          <w:noProof/>
        </w:rPr>
        <w:tab/>
      </w:r>
      <w:r>
        <w:rPr>
          <w:noProof/>
        </w:rPr>
        <w:fldChar w:fldCharType="begin"/>
      </w:r>
      <w:r>
        <w:rPr>
          <w:noProof/>
        </w:rPr>
        <w:instrText xml:space="preserve"> PAGEREF _Toc234489083 \h </w:instrText>
      </w:r>
      <w:r>
        <w:rPr>
          <w:noProof/>
        </w:rPr>
      </w:r>
      <w:r>
        <w:rPr>
          <w:noProof/>
        </w:rPr>
        <w:fldChar w:fldCharType="separate"/>
      </w:r>
      <w:r>
        <w:rPr>
          <w:noProof/>
        </w:rPr>
        <w:t>147</w:t>
      </w:r>
      <w:r>
        <w:rPr>
          <w:noProof/>
        </w:rPr>
        <w:fldChar w:fldCharType="end"/>
      </w:r>
    </w:p>
    <w:p w14:paraId="1EDC7085" w14:textId="26D6016C" w:rsidR="009B5C28" w:rsidRDefault="009B5C28">
      <w:pPr>
        <w:pStyle w:val="TOC3"/>
        <w:tabs>
          <w:tab w:val="left" w:pos="1440"/>
          <w:tab w:val="right" w:leader="dot" w:pos="9350"/>
        </w:tabs>
        <w:rPr>
          <w:rFonts w:eastAsiaTheme="minorEastAsia"/>
          <w:noProof/>
        </w:rPr>
      </w:pPr>
      <w:r w:rsidRPr="00D16B20">
        <w:rPr>
          <w:rFonts w:cs="Times New Roman"/>
          <w:bCs/>
          <w:noProof/>
          <w:color w:val="000000" w:themeColor="text1"/>
        </w:rPr>
        <w:t>4.3.9</w:t>
      </w:r>
      <w:r>
        <w:rPr>
          <w:rFonts w:eastAsiaTheme="minorEastAsia"/>
          <w:noProof/>
        </w:rPr>
        <w:tab/>
      </w:r>
      <w:r w:rsidRPr="00D16B20">
        <w:rPr>
          <w:rFonts w:cs="Times New Roman"/>
          <w:bCs/>
          <w:noProof/>
          <w:color w:val="000000" w:themeColor="text1"/>
        </w:rPr>
        <w:t>Practical Interpretation of Governance Quality</w:t>
      </w:r>
      <w:r>
        <w:rPr>
          <w:noProof/>
        </w:rPr>
        <w:tab/>
      </w:r>
      <w:r>
        <w:rPr>
          <w:noProof/>
        </w:rPr>
        <w:fldChar w:fldCharType="begin"/>
      </w:r>
      <w:r>
        <w:rPr>
          <w:noProof/>
        </w:rPr>
        <w:instrText xml:space="preserve"> PAGEREF _Toc234489084 \h </w:instrText>
      </w:r>
      <w:r>
        <w:rPr>
          <w:noProof/>
        </w:rPr>
      </w:r>
      <w:r>
        <w:rPr>
          <w:noProof/>
        </w:rPr>
        <w:fldChar w:fldCharType="separate"/>
      </w:r>
      <w:r>
        <w:rPr>
          <w:noProof/>
        </w:rPr>
        <w:t>147</w:t>
      </w:r>
      <w:r>
        <w:rPr>
          <w:noProof/>
        </w:rPr>
        <w:fldChar w:fldCharType="end"/>
      </w:r>
    </w:p>
    <w:p w14:paraId="09D573BD" w14:textId="7D3D5506" w:rsidR="009B5C28" w:rsidRDefault="009B5C28">
      <w:pPr>
        <w:pStyle w:val="TOC2"/>
        <w:tabs>
          <w:tab w:val="left" w:pos="960"/>
          <w:tab w:val="right" w:leader="dot" w:pos="9350"/>
        </w:tabs>
        <w:rPr>
          <w:rFonts w:eastAsiaTheme="minorEastAsia"/>
          <w:noProof/>
        </w:rPr>
      </w:pPr>
      <w:r w:rsidRPr="00D16B20">
        <w:rPr>
          <w:rFonts w:cs="Times New Roman"/>
          <w:bCs/>
          <w:noProof/>
          <w:color w:val="000000" w:themeColor="text1"/>
        </w:rPr>
        <w:t>4.4</w:t>
      </w:r>
      <w:r>
        <w:rPr>
          <w:rFonts w:eastAsiaTheme="minorEastAsia"/>
          <w:noProof/>
        </w:rPr>
        <w:tab/>
      </w:r>
      <w:r w:rsidRPr="00D16B20">
        <w:rPr>
          <w:rFonts w:cs="Times New Roman"/>
          <w:bCs/>
          <w:noProof/>
          <w:color w:val="000000" w:themeColor="text1"/>
        </w:rPr>
        <w:t>Research Question Two</w:t>
      </w:r>
      <w:r>
        <w:rPr>
          <w:noProof/>
        </w:rPr>
        <w:tab/>
      </w:r>
      <w:r>
        <w:rPr>
          <w:noProof/>
        </w:rPr>
        <w:fldChar w:fldCharType="begin"/>
      </w:r>
      <w:r>
        <w:rPr>
          <w:noProof/>
        </w:rPr>
        <w:instrText xml:space="preserve"> PAGEREF _Toc234489085 \h </w:instrText>
      </w:r>
      <w:r>
        <w:rPr>
          <w:noProof/>
        </w:rPr>
      </w:r>
      <w:r>
        <w:rPr>
          <w:noProof/>
        </w:rPr>
        <w:fldChar w:fldCharType="separate"/>
      </w:r>
      <w:r>
        <w:rPr>
          <w:noProof/>
        </w:rPr>
        <w:t>148</w:t>
      </w:r>
      <w:r>
        <w:rPr>
          <w:noProof/>
        </w:rPr>
        <w:fldChar w:fldCharType="end"/>
      </w:r>
    </w:p>
    <w:p w14:paraId="5CC5CFD5" w14:textId="050CE52F" w:rsidR="009B5C28" w:rsidRDefault="009B5C28">
      <w:pPr>
        <w:pStyle w:val="TOC3"/>
        <w:tabs>
          <w:tab w:val="left" w:pos="1440"/>
          <w:tab w:val="right" w:leader="dot" w:pos="9350"/>
        </w:tabs>
        <w:rPr>
          <w:rFonts w:eastAsiaTheme="minorEastAsia"/>
          <w:noProof/>
        </w:rPr>
      </w:pPr>
      <w:r w:rsidRPr="00D16B20">
        <w:rPr>
          <w:rFonts w:cs="Times New Roman"/>
          <w:bCs/>
          <w:noProof/>
          <w:color w:val="000000" w:themeColor="text1"/>
        </w:rPr>
        <w:t>4.4.1</w:t>
      </w:r>
      <w:r>
        <w:rPr>
          <w:rFonts w:eastAsiaTheme="minorEastAsia"/>
          <w:noProof/>
        </w:rPr>
        <w:tab/>
      </w:r>
      <w:r w:rsidRPr="00D16B20">
        <w:rPr>
          <w:rFonts w:cs="Times New Roman"/>
          <w:bCs/>
          <w:noProof/>
          <w:color w:val="000000" w:themeColor="text1"/>
        </w:rPr>
        <w:t>Hypothesis Two -Governance Quality and Time Overruns</w:t>
      </w:r>
      <w:r>
        <w:rPr>
          <w:noProof/>
        </w:rPr>
        <w:tab/>
      </w:r>
      <w:r>
        <w:rPr>
          <w:noProof/>
        </w:rPr>
        <w:fldChar w:fldCharType="begin"/>
      </w:r>
      <w:r>
        <w:rPr>
          <w:noProof/>
        </w:rPr>
        <w:instrText xml:space="preserve"> PAGEREF _Toc234489086 \h </w:instrText>
      </w:r>
      <w:r>
        <w:rPr>
          <w:noProof/>
        </w:rPr>
      </w:r>
      <w:r>
        <w:rPr>
          <w:noProof/>
        </w:rPr>
        <w:fldChar w:fldCharType="separate"/>
      </w:r>
      <w:r>
        <w:rPr>
          <w:noProof/>
        </w:rPr>
        <w:t>148</w:t>
      </w:r>
      <w:r>
        <w:rPr>
          <w:noProof/>
        </w:rPr>
        <w:fldChar w:fldCharType="end"/>
      </w:r>
    </w:p>
    <w:p w14:paraId="2BC304BC" w14:textId="3584F37A" w:rsidR="009B5C28" w:rsidRDefault="009B5C28">
      <w:pPr>
        <w:pStyle w:val="TOC3"/>
        <w:tabs>
          <w:tab w:val="left" w:pos="1440"/>
          <w:tab w:val="right" w:leader="dot" w:pos="9350"/>
        </w:tabs>
        <w:rPr>
          <w:rFonts w:eastAsiaTheme="minorEastAsia"/>
          <w:noProof/>
        </w:rPr>
      </w:pPr>
      <w:r w:rsidRPr="00D16B20">
        <w:rPr>
          <w:rFonts w:cs="Times New Roman"/>
          <w:bCs/>
          <w:noProof/>
          <w:color w:val="000000" w:themeColor="text1"/>
        </w:rPr>
        <w:t>4.4.2</w:t>
      </w:r>
      <w:r>
        <w:rPr>
          <w:rFonts w:eastAsiaTheme="minorEastAsia"/>
          <w:noProof/>
        </w:rPr>
        <w:tab/>
      </w:r>
      <w:r w:rsidRPr="00D16B20">
        <w:rPr>
          <w:rFonts w:cs="Times New Roman"/>
          <w:bCs/>
          <w:noProof/>
          <w:color w:val="000000" w:themeColor="text1"/>
        </w:rPr>
        <w:t>Time Overrun Analysis</w:t>
      </w:r>
      <w:r>
        <w:rPr>
          <w:noProof/>
        </w:rPr>
        <w:tab/>
      </w:r>
      <w:r>
        <w:rPr>
          <w:noProof/>
        </w:rPr>
        <w:fldChar w:fldCharType="begin"/>
      </w:r>
      <w:r>
        <w:rPr>
          <w:noProof/>
        </w:rPr>
        <w:instrText xml:space="preserve"> PAGEREF _Toc234489087 \h </w:instrText>
      </w:r>
      <w:r>
        <w:rPr>
          <w:noProof/>
        </w:rPr>
      </w:r>
      <w:r>
        <w:rPr>
          <w:noProof/>
        </w:rPr>
        <w:fldChar w:fldCharType="separate"/>
      </w:r>
      <w:r>
        <w:rPr>
          <w:noProof/>
        </w:rPr>
        <w:t>149</w:t>
      </w:r>
      <w:r>
        <w:rPr>
          <w:noProof/>
        </w:rPr>
        <w:fldChar w:fldCharType="end"/>
      </w:r>
    </w:p>
    <w:p w14:paraId="7399586A" w14:textId="0A022C11" w:rsidR="009B5C28" w:rsidRDefault="009B5C28">
      <w:pPr>
        <w:pStyle w:val="TOC3"/>
        <w:tabs>
          <w:tab w:val="left" w:pos="1440"/>
          <w:tab w:val="right" w:leader="dot" w:pos="9350"/>
        </w:tabs>
        <w:rPr>
          <w:rFonts w:eastAsiaTheme="minorEastAsia"/>
          <w:noProof/>
        </w:rPr>
      </w:pPr>
      <w:r w:rsidRPr="00D16B20">
        <w:rPr>
          <w:rFonts w:cs="Times New Roman"/>
          <w:bCs/>
          <w:noProof/>
          <w:color w:val="000000" w:themeColor="text1"/>
        </w:rPr>
        <w:t>4.4.3</w:t>
      </w:r>
      <w:r>
        <w:rPr>
          <w:rFonts w:eastAsiaTheme="minorEastAsia"/>
          <w:noProof/>
        </w:rPr>
        <w:tab/>
      </w:r>
      <w:r w:rsidRPr="00D16B20">
        <w:rPr>
          <w:rFonts w:cs="Times New Roman"/>
          <w:bCs/>
          <w:noProof/>
          <w:color w:val="000000" w:themeColor="text1"/>
        </w:rPr>
        <w:t>Quality and Implementation Delays</w:t>
      </w:r>
      <w:r>
        <w:rPr>
          <w:noProof/>
        </w:rPr>
        <w:tab/>
      </w:r>
      <w:r>
        <w:rPr>
          <w:noProof/>
        </w:rPr>
        <w:fldChar w:fldCharType="begin"/>
      </w:r>
      <w:r>
        <w:rPr>
          <w:noProof/>
        </w:rPr>
        <w:instrText xml:space="preserve"> PAGEREF _Toc234489088 \h </w:instrText>
      </w:r>
      <w:r>
        <w:rPr>
          <w:noProof/>
        </w:rPr>
      </w:r>
      <w:r>
        <w:rPr>
          <w:noProof/>
        </w:rPr>
        <w:fldChar w:fldCharType="separate"/>
      </w:r>
      <w:r>
        <w:rPr>
          <w:noProof/>
        </w:rPr>
        <w:t>150</w:t>
      </w:r>
      <w:r>
        <w:rPr>
          <w:noProof/>
        </w:rPr>
        <w:fldChar w:fldCharType="end"/>
      </w:r>
    </w:p>
    <w:p w14:paraId="5CE1DC95" w14:textId="7EC9D55C" w:rsidR="009B5C28" w:rsidRDefault="009B5C28">
      <w:pPr>
        <w:pStyle w:val="TOC3"/>
        <w:tabs>
          <w:tab w:val="left" w:pos="1440"/>
          <w:tab w:val="right" w:leader="dot" w:pos="9350"/>
        </w:tabs>
        <w:rPr>
          <w:rFonts w:eastAsiaTheme="minorEastAsia"/>
          <w:noProof/>
        </w:rPr>
      </w:pPr>
      <w:r w:rsidRPr="00D16B20">
        <w:rPr>
          <w:rFonts w:cs="Times New Roman"/>
          <w:bCs/>
          <w:noProof/>
          <w:color w:val="000000" w:themeColor="text1"/>
        </w:rPr>
        <w:t>4.4.4</w:t>
      </w:r>
      <w:r>
        <w:rPr>
          <w:rFonts w:eastAsiaTheme="minorEastAsia"/>
          <w:noProof/>
        </w:rPr>
        <w:tab/>
      </w:r>
      <w:r w:rsidRPr="00D16B20">
        <w:rPr>
          <w:rFonts w:cs="Times New Roman"/>
          <w:bCs/>
          <w:noProof/>
          <w:color w:val="000000" w:themeColor="text1"/>
        </w:rPr>
        <w:t>Sectoral Patterns of Implementation Delays</w:t>
      </w:r>
      <w:r>
        <w:rPr>
          <w:noProof/>
        </w:rPr>
        <w:tab/>
      </w:r>
      <w:r>
        <w:rPr>
          <w:noProof/>
        </w:rPr>
        <w:fldChar w:fldCharType="begin"/>
      </w:r>
      <w:r>
        <w:rPr>
          <w:noProof/>
        </w:rPr>
        <w:instrText xml:space="preserve"> PAGEREF _Toc234489089 \h </w:instrText>
      </w:r>
      <w:r>
        <w:rPr>
          <w:noProof/>
        </w:rPr>
      </w:r>
      <w:r>
        <w:rPr>
          <w:noProof/>
        </w:rPr>
        <w:fldChar w:fldCharType="separate"/>
      </w:r>
      <w:r>
        <w:rPr>
          <w:noProof/>
        </w:rPr>
        <w:t>152</w:t>
      </w:r>
      <w:r>
        <w:rPr>
          <w:noProof/>
        </w:rPr>
        <w:fldChar w:fldCharType="end"/>
      </w:r>
    </w:p>
    <w:p w14:paraId="5FD8268E" w14:textId="67C26A0B" w:rsidR="009B5C28" w:rsidRDefault="009B5C28">
      <w:pPr>
        <w:pStyle w:val="TOC3"/>
        <w:tabs>
          <w:tab w:val="left" w:pos="1440"/>
          <w:tab w:val="right" w:leader="dot" w:pos="9350"/>
        </w:tabs>
        <w:rPr>
          <w:rFonts w:eastAsiaTheme="minorEastAsia"/>
          <w:noProof/>
        </w:rPr>
      </w:pPr>
      <w:r w:rsidRPr="00D16B20">
        <w:rPr>
          <w:rFonts w:cs="Times New Roman"/>
          <w:bCs/>
          <w:noProof/>
          <w:color w:val="000000" w:themeColor="text1"/>
        </w:rPr>
        <w:t>4.4.5</w:t>
      </w:r>
      <w:r>
        <w:rPr>
          <w:rFonts w:eastAsiaTheme="minorEastAsia"/>
          <w:noProof/>
        </w:rPr>
        <w:tab/>
      </w:r>
      <w:r w:rsidRPr="00D16B20">
        <w:rPr>
          <w:rFonts w:cs="Times New Roman"/>
          <w:bCs/>
          <w:noProof/>
          <w:color w:val="000000" w:themeColor="text1"/>
        </w:rPr>
        <w:t>Climate and Political Influences on Implementation Delays</w:t>
      </w:r>
      <w:r>
        <w:rPr>
          <w:noProof/>
        </w:rPr>
        <w:tab/>
      </w:r>
      <w:r>
        <w:rPr>
          <w:noProof/>
        </w:rPr>
        <w:fldChar w:fldCharType="begin"/>
      </w:r>
      <w:r>
        <w:rPr>
          <w:noProof/>
        </w:rPr>
        <w:instrText xml:space="preserve"> PAGEREF _Toc234489090 \h </w:instrText>
      </w:r>
      <w:r>
        <w:rPr>
          <w:noProof/>
        </w:rPr>
      </w:r>
      <w:r>
        <w:rPr>
          <w:noProof/>
        </w:rPr>
        <w:fldChar w:fldCharType="separate"/>
      </w:r>
      <w:r>
        <w:rPr>
          <w:noProof/>
        </w:rPr>
        <w:t>152</w:t>
      </w:r>
      <w:r>
        <w:rPr>
          <w:noProof/>
        </w:rPr>
        <w:fldChar w:fldCharType="end"/>
      </w:r>
    </w:p>
    <w:p w14:paraId="024BFB0B" w14:textId="3137269B" w:rsidR="009B5C28" w:rsidRDefault="009B5C28">
      <w:pPr>
        <w:pStyle w:val="TOC3"/>
        <w:tabs>
          <w:tab w:val="left" w:pos="1440"/>
          <w:tab w:val="right" w:leader="dot" w:pos="9350"/>
        </w:tabs>
        <w:rPr>
          <w:rFonts w:eastAsiaTheme="minorEastAsia"/>
          <w:noProof/>
        </w:rPr>
      </w:pPr>
      <w:r w:rsidRPr="00D16B20">
        <w:rPr>
          <w:rFonts w:cs="Times New Roman"/>
          <w:bCs/>
          <w:noProof/>
          <w:color w:val="000000" w:themeColor="text1"/>
        </w:rPr>
        <w:t>4.4.6</w:t>
      </w:r>
      <w:r>
        <w:rPr>
          <w:rFonts w:eastAsiaTheme="minorEastAsia"/>
          <w:noProof/>
        </w:rPr>
        <w:tab/>
      </w:r>
      <w:r w:rsidRPr="00D16B20">
        <w:rPr>
          <w:rFonts w:cs="Times New Roman"/>
          <w:bCs/>
          <w:noProof/>
          <w:color w:val="000000" w:themeColor="text1"/>
        </w:rPr>
        <w:t>Implications of Time Overruns</w:t>
      </w:r>
      <w:r>
        <w:rPr>
          <w:noProof/>
        </w:rPr>
        <w:tab/>
      </w:r>
      <w:r>
        <w:rPr>
          <w:noProof/>
        </w:rPr>
        <w:fldChar w:fldCharType="begin"/>
      </w:r>
      <w:r>
        <w:rPr>
          <w:noProof/>
        </w:rPr>
        <w:instrText xml:space="preserve"> PAGEREF _Toc234489091 \h </w:instrText>
      </w:r>
      <w:r>
        <w:rPr>
          <w:noProof/>
        </w:rPr>
      </w:r>
      <w:r>
        <w:rPr>
          <w:noProof/>
        </w:rPr>
        <w:fldChar w:fldCharType="separate"/>
      </w:r>
      <w:r>
        <w:rPr>
          <w:noProof/>
        </w:rPr>
        <w:t>153</w:t>
      </w:r>
      <w:r>
        <w:rPr>
          <w:noProof/>
        </w:rPr>
        <w:fldChar w:fldCharType="end"/>
      </w:r>
    </w:p>
    <w:p w14:paraId="37EA863A" w14:textId="07557F6C" w:rsidR="009B5C28" w:rsidRDefault="009B5C28">
      <w:pPr>
        <w:pStyle w:val="TOC3"/>
        <w:tabs>
          <w:tab w:val="left" w:pos="1440"/>
          <w:tab w:val="right" w:leader="dot" w:pos="9350"/>
        </w:tabs>
        <w:rPr>
          <w:rFonts w:eastAsiaTheme="minorEastAsia"/>
          <w:noProof/>
        </w:rPr>
      </w:pPr>
      <w:r w:rsidRPr="00D16B20">
        <w:rPr>
          <w:rFonts w:cs="Times New Roman"/>
          <w:bCs/>
          <w:noProof/>
          <w:color w:val="000000" w:themeColor="text1"/>
        </w:rPr>
        <w:t>4.4.7</w:t>
      </w:r>
      <w:r>
        <w:rPr>
          <w:rFonts w:eastAsiaTheme="minorEastAsia"/>
          <w:noProof/>
        </w:rPr>
        <w:tab/>
      </w:r>
      <w:r w:rsidRPr="00D16B20">
        <w:rPr>
          <w:rFonts w:cs="Times New Roman"/>
          <w:bCs/>
          <w:noProof/>
          <w:color w:val="000000" w:themeColor="text1"/>
        </w:rPr>
        <w:t>Hypothesis Outcome</w:t>
      </w:r>
      <w:r>
        <w:rPr>
          <w:noProof/>
        </w:rPr>
        <w:tab/>
      </w:r>
      <w:r>
        <w:rPr>
          <w:noProof/>
        </w:rPr>
        <w:fldChar w:fldCharType="begin"/>
      </w:r>
      <w:r>
        <w:rPr>
          <w:noProof/>
        </w:rPr>
        <w:instrText xml:space="preserve"> PAGEREF _Toc234489092 \h </w:instrText>
      </w:r>
      <w:r>
        <w:rPr>
          <w:noProof/>
        </w:rPr>
      </w:r>
      <w:r>
        <w:rPr>
          <w:noProof/>
        </w:rPr>
        <w:fldChar w:fldCharType="separate"/>
      </w:r>
      <w:r>
        <w:rPr>
          <w:noProof/>
        </w:rPr>
        <w:t>154</w:t>
      </w:r>
      <w:r>
        <w:rPr>
          <w:noProof/>
        </w:rPr>
        <w:fldChar w:fldCharType="end"/>
      </w:r>
    </w:p>
    <w:p w14:paraId="3B2C1F83" w14:textId="5DC8A34D" w:rsidR="009B5C28" w:rsidRDefault="009B5C28">
      <w:pPr>
        <w:pStyle w:val="TOC2"/>
        <w:tabs>
          <w:tab w:val="left" w:pos="960"/>
          <w:tab w:val="right" w:leader="dot" w:pos="9350"/>
        </w:tabs>
        <w:rPr>
          <w:rFonts w:eastAsiaTheme="minorEastAsia"/>
          <w:noProof/>
        </w:rPr>
      </w:pPr>
      <w:r w:rsidRPr="00D16B20">
        <w:rPr>
          <w:rFonts w:cs="Times New Roman"/>
          <w:bCs/>
          <w:noProof/>
          <w:color w:val="000000" w:themeColor="text1"/>
        </w:rPr>
        <w:t>4.5</w:t>
      </w:r>
      <w:r>
        <w:rPr>
          <w:rFonts w:eastAsiaTheme="minorEastAsia"/>
          <w:noProof/>
        </w:rPr>
        <w:tab/>
      </w:r>
      <w:r w:rsidRPr="00D16B20">
        <w:rPr>
          <w:rFonts w:cs="Times New Roman"/>
          <w:bCs/>
          <w:noProof/>
          <w:color w:val="000000" w:themeColor="text1"/>
        </w:rPr>
        <w:t>Research Question Three</w:t>
      </w:r>
      <w:r>
        <w:rPr>
          <w:noProof/>
        </w:rPr>
        <w:tab/>
      </w:r>
      <w:r>
        <w:rPr>
          <w:noProof/>
        </w:rPr>
        <w:fldChar w:fldCharType="begin"/>
      </w:r>
      <w:r>
        <w:rPr>
          <w:noProof/>
        </w:rPr>
        <w:instrText xml:space="preserve"> PAGEREF _Toc234489093 \h </w:instrText>
      </w:r>
      <w:r>
        <w:rPr>
          <w:noProof/>
        </w:rPr>
      </w:r>
      <w:r>
        <w:rPr>
          <w:noProof/>
        </w:rPr>
        <w:fldChar w:fldCharType="separate"/>
      </w:r>
      <w:r>
        <w:rPr>
          <w:noProof/>
        </w:rPr>
        <w:t>154</w:t>
      </w:r>
      <w:r>
        <w:rPr>
          <w:noProof/>
        </w:rPr>
        <w:fldChar w:fldCharType="end"/>
      </w:r>
    </w:p>
    <w:p w14:paraId="26C1B72A" w14:textId="71AA2E75" w:rsidR="009B5C28" w:rsidRDefault="009B5C28">
      <w:pPr>
        <w:pStyle w:val="TOC3"/>
        <w:tabs>
          <w:tab w:val="left" w:pos="1440"/>
          <w:tab w:val="right" w:leader="dot" w:pos="9350"/>
        </w:tabs>
        <w:rPr>
          <w:rFonts w:eastAsiaTheme="minorEastAsia"/>
          <w:noProof/>
        </w:rPr>
      </w:pPr>
      <w:r w:rsidRPr="00D16B20">
        <w:rPr>
          <w:rFonts w:cs="Times New Roman"/>
          <w:bCs/>
          <w:noProof/>
          <w:color w:val="000000" w:themeColor="text1"/>
        </w:rPr>
        <w:lastRenderedPageBreak/>
        <w:t>4.5.1</w:t>
      </w:r>
      <w:r>
        <w:rPr>
          <w:rFonts w:eastAsiaTheme="minorEastAsia"/>
          <w:noProof/>
        </w:rPr>
        <w:tab/>
      </w:r>
      <w:r w:rsidRPr="00D16B20">
        <w:rPr>
          <w:rFonts w:cs="Times New Roman"/>
          <w:bCs/>
          <w:noProof/>
          <w:color w:val="000000" w:themeColor="text1"/>
        </w:rPr>
        <w:t>Hypothesis Three - Governance Quality and Cost Overruns</w:t>
      </w:r>
      <w:r>
        <w:rPr>
          <w:noProof/>
        </w:rPr>
        <w:tab/>
      </w:r>
      <w:r>
        <w:rPr>
          <w:noProof/>
        </w:rPr>
        <w:fldChar w:fldCharType="begin"/>
      </w:r>
      <w:r>
        <w:rPr>
          <w:noProof/>
        </w:rPr>
        <w:instrText xml:space="preserve"> PAGEREF _Toc234489094 \h </w:instrText>
      </w:r>
      <w:r>
        <w:rPr>
          <w:noProof/>
        </w:rPr>
      </w:r>
      <w:r>
        <w:rPr>
          <w:noProof/>
        </w:rPr>
        <w:fldChar w:fldCharType="separate"/>
      </w:r>
      <w:r>
        <w:rPr>
          <w:noProof/>
        </w:rPr>
        <w:t>155</w:t>
      </w:r>
      <w:r>
        <w:rPr>
          <w:noProof/>
        </w:rPr>
        <w:fldChar w:fldCharType="end"/>
      </w:r>
    </w:p>
    <w:p w14:paraId="709C802D" w14:textId="2E3DA2F5" w:rsidR="009B5C28" w:rsidRDefault="009B5C28">
      <w:pPr>
        <w:pStyle w:val="TOC3"/>
        <w:tabs>
          <w:tab w:val="left" w:pos="1440"/>
          <w:tab w:val="right" w:leader="dot" w:pos="9350"/>
        </w:tabs>
        <w:rPr>
          <w:rFonts w:eastAsiaTheme="minorEastAsia"/>
          <w:noProof/>
        </w:rPr>
      </w:pPr>
      <w:r w:rsidRPr="00D16B20">
        <w:rPr>
          <w:rFonts w:cs="Times New Roman"/>
          <w:bCs/>
          <w:noProof/>
          <w:color w:val="000000" w:themeColor="text1"/>
        </w:rPr>
        <w:t>4.5.2</w:t>
      </w:r>
      <w:r>
        <w:rPr>
          <w:rFonts w:eastAsiaTheme="minorEastAsia"/>
          <w:noProof/>
        </w:rPr>
        <w:tab/>
      </w:r>
      <w:r w:rsidRPr="00D16B20">
        <w:rPr>
          <w:rFonts w:cs="Times New Roman"/>
          <w:bCs/>
          <w:noProof/>
          <w:color w:val="000000" w:themeColor="text1"/>
        </w:rPr>
        <w:t>Cost Overrun Analysis</w:t>
      </w:r>
      <w:r>
        <w:rPr>
          <w:noProof/>
        </w:rPr>
        <w:tab/>
      </w:r>
      <w:r>
        <w:rPr>
          <w:noProof/>
        </w:rPr>
        <w:fldChar w:fldCharType="begin"/>
      </w:r>
      <w:r>
        <w:rPr>
          <w:noProof/>
        </w:rPr>
        <w:instrText xml:space="preserve"> PAGEREF _Toc234489095 \h </w:instrText>
      </w:r>
      <w:r>
        <w:rPr>
          <w:noProof/>
        </w:rPr>
      </w:r>
      <w:r>
        <w:rPr>
          <w:noProof/>
        </w:rPr>
        <w:fldChar w:fldCharType="separate"/>
      </w:r>
      <w:r>
        <w:rPr>
          <w:noProof/>
        </w:rPr>
        <w:t>155</w:t>
      </w:r>
      <w:r>
        <w:rPr>
          <w:noProof/>
        </w:rPr>
        <w:fldChar w:fldCharType="end"/>
      </w:r>
    </w:p>
    <w:p w14:paraId="3EEE27D9" w14:textId="005102E7" w:rsidR="009B5C28" w:rsidRDefault="009B5C28">
      <w:pPr>
        <w:pStyle w:val="TOC3"/>
        <w:tabs>
          <w:tab w:val="left" w:pos="1440"/>
          <w:tab w:val="right" w:leader="dot" w:pos="9350"/>
        </w:tabs>
        <w:rPr>
          <w:rFonts w:eastAsiaTheme="minorEastAsia"/>
          <w:noProof/>
        </w:rPr>
      </w:pPr>
      <w:r w:rsidRPr="00D16B20">
        <w:rPr>
          <w:rFonts w:cs="Times New Roman"/>
          <w:noProof/>
          <w:color w:val="000000" w:themeColor="text1"/>
        </w:rPr>
        <w:t>4.5.3</w:t>
      </w:r>
      <w:r>
        <w:rPr>
          <w:rFonts w:eastAsiaTheme="minorEastAsia"/>
          <w:noProof/>
        </w:rPr>
        <w:tab/>
      </w:r>
      <w:r w:rsidRPr="00D16B20">
        <w:rPr>
          <w:rFonts w:cs="Times New Roman"/>
          <w:noProof/>
          <w:color w:val="000000" w:themeColor="text1"/>
        </w:rPr>
        <w:t>Governance Quality and Financial Performance</w:t>
      </w:r>
      <w:r>
        <w:rPr>
          <w:noProof/>
        </w:rPr>
        <w:tab/>
      </w:r>
      <w:r>
        <w:rPr>
          <w:noProof/>
        </w:rPr>
        <w:fldChar w:fldCharType="begin"/>
      </w:r>
      <w:r>
        <w:rPr>
          <w:noProof/>
        </w:rPr>
        <w:instrText xml:space="preserve"> PAGEREF _Toc234489096 \h </w:instrText>
      </w:r>
      <w:r>
        <w:rPr>
          <w:noProof/>
        </w:rPr>
      </w:r>
      <w:r>
        <w:rPr>
          <w:noProof/>
        </w:rPr>
        <w:fldChar w:fldCharType="separate"/>
      </w:r>
      <w:r>
        <w:rPr>
          <w:noProof/>
        </w:rPr>
        <w:t>156</w:t>
      </w:r>
      <w:r>
        <w:rPr>
          <w:noProof/>
        </w:rPr>
        <w:fldChar w:fldCharType="end"/>
      </w:r>
    </w:p>
    <w:p w14:paraId="517B8014" w14:textId="0A72F562" w:rsidR="009B5C28" w:rsidRDefault="009B5C28">
      <w:pPr>
        <w:pStyle w:val="TOC3"/>
        <w:tabs>
          <w:tab w:val="left" w:pos="1440"/>
          <w:tab w:val="right" w:leader="dot" w:pos="9350"/>
        </w:tabs>
        <w:rPr>
          <w:rFonts w:eastAsiaTheme="minorEastAsia"/>
          <w:noProof/>
        </w:rPr>
      </w:pPr>
      <w:r w:rsidRPr="00D16B20">
        <w:rPr>
          <w:rFonts w:cs="Times New Roman"/>
          <w:noProof/>
          <w:color w:val="000000" w:themeColor="text1"/>
        </w:rPr>
        <w:t>4.5.4</w:t>
      </w:r>
      <w:r>
        <w:rPr>
          <w:rFonts w:eastAsiaTheme="minorEastAsia"/>
          <w:noProof/>
        </w:rPr>
        <w:tab/>
      </w:r>
      <w:r w:rsidRPr="00D16B20">
        <w:rPr>
          <w:rFonts w:cs="Times New Roman"/>
          <w:noProof/>
          <w:color w:val="000000" w:themeColor="text1"/>
        </w:rPr>
        <w:t>Financial Implications of Stalled Projects</w:t>
      </w:r>
      <w:r>
        <w:rPr>
          <w:noProof/>
        </w:rPr>
        <w:tab/>
      </w:r>
      <w:r>
        <w:rPr>
          <w:noProof/>
        </w:rPr>
        <w:fldChar w:fldCharType="begin"/>
      </w:r>
      <w:r>
        <w:rPr>
          <w:noProof/>
        </w:rPr>
        <w:instrText xml:space="preserve"> PAGEREF _Toc234489097 \h </w:instrText>
      </w:r>
      <w:r>
        <w:rPr>
          <w:noProof/>
        </w:rPr>
      </w:r>
      <w:r>
        <w:rPr>
          <w:noProof/>
        </w:rPr>
        <w:fldChar w:fldCharType="separate"/>
      </w:r>
      <w:r>
        <w:rPr>
          <w:noProof/>
        </w:rPr>
        <w:t>157</w:t>
      </w:r>
      <w:r>
        <w:rPr>
          <w:noProof/>
        </w:rPr>
        <w:fldChar w:fldCharType="end"/>
      </w:r>
    </w:p>
    <w:p w14:paraId="09ED6DB7" w14:textId="60A1DE6A" w:rsidR="009B5C28" w:rsidRDefault="009B5C28">
      <w:pPr>
        <w:pStyle w:val="TOC3"/>
        <w:tabs>
          <w:tab w:val="left" w:pos="1440"/>
          <w:tab w:val="right" w:leader="dot" w:pos="9350"/>
        </w:tabs>
        <w:rPr>
          <w:rFonts w:eastAsiaTheme="minorEastAsia"/>
          <w:noProof/>
        </w:rPr>
      </w:pPr>
      <w:r w:rsidRPr="00D16B20">
        <w:rPr>
          <w:rFonts w:cs="Times New Roman"/>
          <w:bCs/>
          <w:noProof/>
          <w:color w:val="000000" w:themeColor="text1"/>
        </w:rPr>
        <w:t>4.5.5</w:t>
      </w:r>
      <w:r>
        <w:rPr>
          <w:rFonts w:eastAsiaTheme="minorEastAsia"/>
          <w:noProof/>
        </w:rPr>
        <w:tab/>
      </w:r>
      <w:r w:rsidRPr="00D16B20">
        <w:rPr>
          <w:rFonts w:cs="Times New Roman"/>
          <w:bCs/>
          <w:noProof/>
          <w:color w:val="000000" w:themeColor="text1"/>
        </w:rPr>
        <w:t>Governance Weaknesses Associated with Financial Inefficiency</w:t>
      </w:r>
      <w:r>
        <w:rPr>
          <w:noProof/>
        </w:rPr>
        <w:tab/>
      </w:r>
      <w:r>
        <w:rPr>
          <w:noProof/>
        </w:rPr>
        <w:fldChar w:fldCharType="begin"/>
      </w:r>
      <w:r>
        <w:rPr>
          <w:noProof/>
        </w:rPr>
        <w:instrText xml:space="preserve"> PAGEREF _Toc234489098 \h </w:instrText>
      </w:r>
      <w:r>
        <w:rPr>
          <w:noProof/>
        </w:rPr>
      </w:r>
      <w:r>
        <w:rPr>
          <w:noProof/>
        </w:rPr>
        <w:fldChar w:fldCharType="separate"/>
      </w:r>
      <w:r>
        <w:rPr>
          <w:noProof/>
        </w:rPr>
        <w:t>158</w:t>
      </w:r>
      <w:r>
        <w:rPr>
          <w:noProof/>
        </w:rPr>
        <w:fldChar w:fldCharType="end"/>
      </w:r>
    </w:p>
    <w:p w14:paraId="7496AEEA" w14:textId="3B4FF7EB" w:rsidR="009B5C28" w:rsidRDefault="009B5C28">
      <w:pPr>
        <w:pStyle w:val="TOC3"/>
        <w:tabs>
          <w:tab w:val="left" w:pos="1440"/>
          <w:tab w:val="right" w:leader="dot" w:pos="9350"/>
        </w:tabs>
        <w:rPr>
          <w:rFonts w:eastAsiaTheme="minorEastAsia"/>
          <w:noProof/>
        </w:rPr>
      </w:pPr>
      <w:r w:rsidRPr="00D16B20">
        <w:rPr>
          <w:rFonts w:cs="Times New Roman"/>
          <w:bCs/>
          <w:noProof/>
          <w:color w:val="000000" w:themeColor="text1"/>
        </w:rPr>
        <w:t>4.5.6</w:t>
      </w:r>
      <w:r>
        <w:rPr>
          <w:rFonts w:eastAsiaTheme="minorEastAsia"/>
          <w:noProof/>
        </w:rPr>
        <w:tab/>
      </w:r>
      <w:r w:rsidRPr="00D16B20">
        <w:rPr>
          <w:rFonts w:cs="Times New Roman"/>
          <w:bCs/>
          <w:noProof/>
          <w:color w:val="000000" w:themeColor="text1"/>
        </w:rPr>
        <w:t>Limitations of Cost Overrun Analysis</w:t>
      </w:r>
      <w:r>
        <w:rPr>
          <w:noProof/>
        </w:rPr>
        <w:tab/>
      </w:r>
      <w:r>
        <w:rPr>
          <w:noProof/>
        </w:rPr>
        <w:fldChar w:fldCharType="begin"/>
      </w:r>
      <w:r>
        <w:rPr>
          <w:noProof/>
        </w:rPr>
        <w:instrText xml:space="preserve"> PAGEREF _Toc234489099 \h </w:instrText>
      </w:r>
      <w:r>
        <w:rPr>
          <w:noProof/>
        </w:rPr>
      </w:r>
      <w:r>
        <w:rPr>
          <w:noProof/>
        </w:rPr>
        <w:fldChar w:fldCharType="separate"/>
      </w:r>
      <w:r>
        <w:rPr>
          <w:noProof/>
        </w:rPr>
        <w:t>159</w:t>
      </w:r>
      <w:r>
        <w:rPr>
          <w:noProof/>
        </w:rPr>
        <w:fldChar w:fldCharType="end"/>
      </w:r>
    </w:p>
    <w:p w14:paraId="53C13201" w14:textId="7FF61F27" w:rsidR="009B5C28" w:rsidRDefault="009B5C28">
      <w:pPr>
        <w:pStyle w:val="TOC3"/>
        <w:tabs>
          <w:tab w:val="left" w:pos="1440"/>
          <w:tab w:val="right" w:leader="dot" w:pos="9350"/>
        </w:tabs>
        <w:rPr>
          <w:rFonts w:eastAsiaTheme="minorEastAsia"/>
          <w:noProof/>
        </w:rPr>
      </w:pPr>
      <w:r w:rsidRPr="00D16B20">
        <w:rPr>
          <w:rFonts w:cs="Times New Roman"/>
          <w:bCs/>
          <w:noProof/>
          <w:color w:val="000000" w:themeColor="text1"/>
        </w:rPr>
        <w:t>4.5.7</w:t>
      </w:r>
      <w:r>
        <w:rPr>
          <w:rFonts w:eastAsiaTheme="minorEastAsia"/>
          <w:noProof/>
        </w:rPr>
        <w:tab/>
      </w:r>
      <w:r w:rsidRPr="00D16B20">
        <w:rPr>
          <w:rFonts w:cs="Times New Roman"/>
          <w:bCs/>
          <w:noProof/>
          <w:color w:val="000000" w:themeColor="text1"/>
        </w:rPr>
        <w:t>Hypothesis Outcome</w:t>
      </w:r>
      <w:r>
        <w:rPr>
          <w:noProof/>
        </w:rPr>
        <w:tab/>
      </w:r>
      <w:r>
        <w:rPr>
          <w:noProof/>
        </w:rPr>
        <w:fldChar w:fldCharType="begin"/>
      </w:r>
      <w:r>
        <w:rPr>
          <w:noProof/>
        </w:rPr>
        <w:instrText xml:space="preserve"> PAGEREF _Toc234489100 \h </w:instrText>
      </w:r>
      <w:r>
        <w:rPr>
          <w:noProof/>
        </w:rPr>
      </w:r>
      <w:r>
        <w:rPr>
          <w:noProof/>
        </w:rPr>
        <w:fldChar w:fldCharType="separate"/>
      </w:r>
      <w:r>
        <w:rPr>
          <w:noProof/>
        </w:rPr>
        <w:t>160</w:t>
      </w:r>
      <w:r>
        <w:rPr>
          <w:noProof/>
        </w:rPr>
        <w:fldChar w:fldCharType="end"/>
      </w:r>
    </w:p>
    <w:p w14:paraId="35A838E4" w14:textId="081CC02E" w:rsidR="009B5C28" w:rsidRDefault="009B5C28">
      <w:pPr>
        <w:pStyle w:val="TOC2"/>
        <w:tabs>
          <w:tab w:val="left" w:pos="960"/>
          <w:tab w:val="right" w:leader="dot" w:pos="9350"/>
        </w:tabs>
        <w:rPr>
          <w:rFonts w:eastAsiaTheme="minorEastAsia"/>
          <w:noProof/>
        </w:rPr>
      </w:pPr>
      <w:r w:rsidRPr="00D16B20">
        <w:rPr>
          <w:rFonts w:cs="Times New Roman"/>
          <w:bCs/>
          <w:noProof/>
          <w:color w:val="000000" w:themeColor="text1"/>
        </w:rPr>
        <w:t>4.6</w:t>
      </w:r>
      <w:r>
        <w:rPr>
          <w:rFonts w:eastAsiaTheme="minorEastAsia"/>
          <w:noProof/>
        </w:rPr>
        <w:tab/>
      </w:r>
      <w:r w:rsidRPr="00D16B20">
        <w:rPr>
          <w:rFonts w:cs="Times New Roman"/>
          <w:bCs/>
          <w:noProof/>
          <w:color w:val="000000" w:themeColor="text1"/>
        </w:rPr>
        <w:t>Research Question Four</w:t>
      </w:r>
      <w:r>
        <w:rPr>
          <w:noProof/>
        </w:rPr>
        <w:tab/>
      </w:r>
      <w:r>
        <w:rPr>
          <w:noProof/>
        </w:rPr>
        <w:fldChar w:fldCharType="begin"/>
      </w:r>
      <w:r>
        <w:rPr>
          <w:noProof/>
        </w:rPr>
        <w:instrText xml:space="preserve"> PAGEREF _Toc234489101 \h </w:instrText>
      </w:r>
      <w:r>
        <w:rPr>
          <w:noProof/>
        </w:rPr>
      </w:r>
      <w:r>
        <w:rPr>
          <w:noProof/>
        </w:rPr>
        <w:fldChar w:fldCharType="separate"/>
      </w:r>
      <w:r>
        <w:rPr>
          <w:noProof/>
        </w:rPr>
        <w:t>160</w:t>
      </w:r>
      <w:r>
        <w:rPr>
          <w:noProof/>
        </w:rPr>
        <w:fldChar w:fldCharType="end"/>
      </w:r>
    </w:p>
    <w:p w14:paraId="119B4538" w14:textId="3314CF9A" w:rsidR="009B5C28" w:rsidRDefault="009B5C28">
      <w:pPr>
        <w:pStyle w:val="TOC3"/>
        <w:tabs>
          <w:tab w:val="left" w:pos="1440"/>
          <w:tab w:val="right" w:leader="dot" w:pos="9350"/>
        </w:tabs>
        <w:rPr>
          <w:rFonts w:eastAsiaTheme="minorEastAsia"/>
          <w:noProof/>
        </w:rPr>
      </w:pPr>
      <w:r w:rsidRPr="00D16B20">
        <w:rPr>
          <w:rFonts w:cs="Times New Roman"/>
          <w:bCs/>
          <w:noProof/>
          <w:color w:val="000000" w:themeColor="text1"/>
        </w:rPr>
        <w:t>4.6.1</w:t>
      </w:r>
      <w:r>
        <w:rPr>
          <w:rFonts w:eastAsiaTheme="minorEastAsia"/>
          <w:noProof/>
        </w:rPr>
        <w:tab/>
      </w:r>
      <w:r w:rsidRPr="00D16B20">
        <w:rPr>
          <w:rFonts w:cs="Times New Roman"/>
          <w:bCs/>
          <w:noProof/>
          <w:color w:val="000000" w:themeColor="text1"/>
        </w:rPr>
        <w:t>Hypothesis Four – Climate Interaction.</w:t>
      </w:r>
      <w:r>
        <w:rPr>
          <w:noProof/>
        </w:rPr>
        <w:tab/>
      </w:r>
      <w:r>
        <w:rPr>
          <w:noProof/>
        </w:rPr>
        <w:fldChar w:fldCharType="begin"/>
      </w:r>
      <w:r>
        <w:rPr>
          <w:noProof/>
        </w:rPr>
        <w:instrText xml:space="preserve"> PAGEREF _Toc234489102 \h </w:instrText>
      </w:r>
      <w:r>
        <w:rPr>
          <w:noProof/>
        </w:rPr>
      </w:r>
      <w:r>
        <w:rPr>
          <w:noProof/>
        </w:rPr>
        <w:fldChar w:fldCharType="separate"/>
      </w:r>
      <w:r>
        <w:rPr>
          <w:noProof/>
        </w:rPr>
        <w:t>161</w:t>
      </w:r>
      <w:r>
        <w:rPr>
          <w:noProof/>
        </w:rPr>
        <w:fldChar w:fldCharType="end"/>
      </w:r>
    </w:p>
    <w:p w14:paraId="0CBB2646" w14:textId="32455696" w:rsidR="009B5C28" w:rsidRDefault="009B5C28">
      <w:pPr>
        <w:pStyle w:val="TOC3"/>
        <w:tabs>
          <w:tab w:val="left" w:pos="1440"/>
          <w:tab w:val="right" w:leader="dot" w:pos="9350"/>
        </w:tabs>
        <w:rPr>
          <w:rFonts w:eastAsiaTheme="minorEastAsia"/>
          <w:noProof/>
        </w:rPr>
      </w:pPr>
      <w:r w:rsidRPr="00D16B20">
        <w:rPr>
          <w:rFonts w:cs="Times New Roman"/>
          <w:noProof/>
          <w:color w:val="000000" w:themeColor="text1"/>
        </w:rPr>
        <w:t>4.6.2</w:t>
      </w:r>
      <w:r>
        <w:rPr>
          <w:rFonts w:eastAsiaTheme="minorEastAsia"/>
          <w:noProof/>
        </w:rPr>
        <w:tab/>
      </w:r>
      <w:r w:rsidRPr="00D16B20">
        <w:rPr>
          <w:rFonts w:cs="Times New Roman"/>
          <w:noProof/>
          <w:color w:val="000000" w:themeColor="text1"/>
        </w:rPr>
        <w:t>Hypothesis Five -Political Transition.</w:t>
      </w:r>
      <w:r>
        <w:rPr>
          <w:noProof/>
        </w:rPr>
        <w:tab/>
      </w:r>
      <w:r>
        <w:rPr>
          <w:noProof/>
        </w:rPr>
        <w:fldChar w:fldCharType="begin"/>
      </w:r>
      <w:r>
        <w:rPr>
          <w:noProof/>
        </w:rPr>
        <w:instrText xml:space="preserve"> PAGEREF _Toc234489103 \h </w:instrText>
      </w:r>
      <w:r>
        <w:rPr>
          <w:noProof/>
        </w:rPr>
      </w:r>
      <w:r>
        <w:rPr>
          <w:noProof/>
        </w:rPr>
        <w:fldChar w:fldCharType="separate"/>
      </w:r>
      <w:r>
        <w:rPr>
          <w:noProof/>
        </w:rPr>
        <w:t>162</w:t>
      </w:r>
      <w:r>
        <w:rPr>
          <w:noProof/>
        </w:rPr>
        <w:fldChar w:fldCharType="end"/>
      </w:r>
    </w:p>
    <w:p w14:paraId="02B8165D" w14:textId="053F1C1F" w:rsidR="009B5C28" w:rsidRDefault="009B5C28">
      <w:pPr>
        <w:pStyle w:val="TOC3"/>
        <w:tabs>
          <w:tab w:val="left" w:pos="1440"/>
          <w:tab w:val="right" w:leader="dot" w:pos="9350"/>
        </w:tabs>
        <w:rPr>
          <w:rFonts w:eastAsiaTheme="minorEastAsia"/>
          <w:noProof/>
        </w:rPr>
      </w:pPr>
      <w:r w:rsidRPr="00D16B20">
        <w:rPr>
          <w:rFonts w:cs="Times New Roman"/>
          <w:bCs/>
          <w:noProof/>
          <w:color w:val="000000" w:themeColor="text1"/>
        </w:rPr>
        <w:t>4.6.3</w:t>
      </w:r>
      <w:r>
        <w:rPr>
          <w:rFonts w:eastAsiaTheme="minorEastAsia"/>
          <w:noProof/>
        </w:rPr>
        <w:tab/>
      </w:r>
      <w:r w:rsidRPr="00D16B20">
        <w:rPr>
          <w:rFonts w:cs="Times New Roman"/>
          <w:bCs/>
          <w:noProof/>
          <w:color w:val="000000" w:themeColor="text1"/>
        </w:rPr>
        <w:t>Climate Exposure and Infrastructure Delivery Outcomes</w:t>
      </w:r>
      <w:r>
        <w:rPr>
          <w:noProof/>
        </w:rPr>
        <w:tab/>
      </w:r>
      <w:r>
        <w:rPr>
          <w:noProof/>
        </w:rPr>
        <w:fldChar w:fldCharType="begin"/>
      </w:r>
      <w:r>
        <w:rPr>
          <w:noProof/>
        </w:rPr>
        <w:instrText xml:space="preserve"> PAGEREF _Toc234489104 \h </w:instrText>
      </w:r>
      <w:r>
        <w:rPr>
          <w:noProof/>
        </w:rPr>
      </w:r>
      <w:r>
        <w:rPr>
          <w:noProof/>
        </w:rPr>
        <w:fldChar w:fldCharType="separate"/>
      </w:r>
      <w:r>
        <w:rPr>
          <w:noProof/>
        </w:rPr>
        <w:t>163</w:t>
      </w:r>
      <w:r>
        <w:rPr>
          <w:noProof/>
        </w:rPr>
        <w:fldChar w:fldCharType="end"/>
      </w:r>
    </w:p>
    <w:p w14:paraId="6B3E9379" w14:textId="1B0A5781" w:rsidR="009B5C28" w:rsidRDefault="009B5C28">
      <w:pPr>
        <w:pStyle w:val="TOC3"/>
        <w:tabs>
          <w:tab w:val="left" w:pos="1440"/>
          <w:tab w:val="right" w:leader="dot" w:pos="9350"/>
        </w:tabs>
        <w:rPr>
          <w:rFonts w:eastAsiaTheme="minorEastAsia"/>
          <w:noProof/>
        </w:rPr>
      </w:pPr>
      <w:r w:rsidRPr="00D16B20">
        <w:rPr>
          <w:rFonts w:cs="Times New Roman"/>
          <w:bCs/>
          <w:noProof/>
          <w:color w:val="000000" w:themeColor="text1"/>
        </w:rPr>
        <w:t>4.6.4</w:t>
      </w:r>
      <w:r>
        <w:rPr>
          <w:rFonts w:eastAsiaTheme="minorEastAsia"/>
          <w:noProof/>
        </w:rPr>
        <w:tab/>
      </w:r>
      <w:r w:rsidRPr="00D16B20">
        <w:rPr>
          <w:rFonts w:cs="Times New Roman"/>
          <w:bCs/>
          <w:noProof/>
          <w:color w:val="000000" w:themeColor="text1"/>
        </w:rPr>
        <w:t>Political Transition Conditions and Infrastructure Delivery Outcomes</w:t>
      </w:r>
      <w:r>
        <w:rPr>
          <w:noProof/>
        </w:rPr>
        <w:tab/>
      </w:r>
      <w:r>
        <w:rPr>
          <w:noProof/>
        </w:rPr>
        <w:fldChar w:fldCharType="begin"/>
      </w:r>
      <w:r>
        <w:rPr>
          <w:noProof/>
        </w:rPr>
        <w:instrText xml:space="preserve"> PAGEREF _Toc234489105 \h </w:instrText>
      </w:r>
      <w:r>
        <w:rPr>
          <w:noProof/>
        </w:rPr>
      </w:r>
      <w:r>
        <w:rPr>
          <w:noProof/>
        </w:rPr>
        <w:fldChar w:fldCharType="separate"/>
      </w:r>
      <w:r>
        <w:rPr>
          <w:noProof/>
        </w:rPr>
        <w:t>164</w:t>
      </w:r>
      <w:r>
        <w:rPr>
          <w:noProof/>
        </w:rPr>
        <w:fldChar w:fldCharType="end"/>
      </w:r>
    </w:p>
    <w:p w14:paraId="5AAC70CF" w14:textId="7C90FA6C" w:rsidR="009B5C28" w:rsidRDefault="009B5C28">
      <w:pPr>
        <w:pStyle w:val="TOC3"/>
        <w:tabs>
          <w:tab w:val="left" w:pos="1440"/>
          <w:tab w:val="right" w:leader="dot" w:pos="9350"/>
        </w:tabs>
        <w:rPr>
          <w:rFonts w:eastAsiaTheme="minorEastAsia"/>
          <w:noProof/>
        </w:rPr>
      </w:pPr>
      <w:r w:rsidRPr="00D16B20">
        <w:rPr>
          <w:rFonts w:cs="Times New Roman"/>
          <w:bCs/>
          <w:noProof/>
          <w:color w:val="000000" w:themeColor="text1"/>
        </w:rPr>
        <w:t>4.6.5</w:t>
      </w:r>
      <w:r>
        <w:rPr>
          <w:rFonts w:eastAsiaTheme="minorEastAsia"/>
          <w:noProof/>
        </w:rPr>
        <w:tab/>
      </w:r>
      <w:r w:rsidRPr="00D16B20">
        <w:rPr>
          <w:rFonts w:cs="Times New Roman"/>
          <w:bCs/>
          <w:noProof/>
          <w:color w:val="000000" w:themeColor="text1"/>
        </w:rPr>
        <w:t>Governance Quality and Institutional Resilience</w:t>
      </w:r>
      <w:r>
        <w:rPr>
          <w:noProof/>
        </w:rPr>
        <w:tab/>
      </w:r>
      <w:r>
        <w:rPr>
          <w:noProof/>
        </w:rPr>
        <w:fldChar w:fldCharType="begin"/>
      </w:r>
      <w:r>
        <w:rPr>
          <w:noProof/>
        </w:rPr>
        <w:instrText xml:space="preserve"> PAGEREF _Toc234489106 \h </w:instrText>
      </w:r>
      <w:r>
        <w:rPr>
          <w:noProof/>
        </w:rPr>
      </w:r>
      <w:r>
        <w:rPr>
          <w:noProof/>
        </w:rPr>
        <w:fldChar w:fldCharType="separate"/>
      </w:r>
      <w:r>
        <w:rPr>
          <w:noProof/>
        </w:rPr>
        <w:t>165</w:t>
      </w:r>
      <w:r>
        <w:rPr>
          <w:noProof/>
        </w:rPr>
        <w:fldChar w:fldCharType="end"/>
      </w:r>
    </w:p>
    <w:p w14:paraId="24709CAD" w14:textId="24B38779" w:rsidR="009B5C28" w:rsidRDefault="009B5C28">
      <w:pPr>
        <w:pStyle w:val="TOC3"/>
        <w:tabs>
          <w:tab w:val="left" w:pos="1440"/>
          <w:tab w:val="right" w:leader="dot" w:pos="9350"/>
        </w:tabs>
        <w:rPr>
          <w:rFonts w:eastAsiaTheme="minorEastAsia"/>
          <w:noProof/>
        </w:rPr>
      </w:pPr>
      <w:r w:rsidRPr="00D16B20">
        <w:rPr>
          <w:rFonts w:cs="Times New Roman"/>
          <w:bCs/>
          <w:noProof/>
          <w:color w:val="000000" w:themeColor="text1"/>
        </w:rPr>
        <w:t>4.6.6</w:t>
      </w:r>
      <w:r>
        <w:rPr>
          <w:rFonts w:eastAsiaTheme="minorEastAsia"/>
          <w:noProof/>
        </w:rPr>
        <w:tab/>
      </w:r>
      <w:r w:rsidRPr="00D16B20">
        <w:rPr>
          <w:rFonts w:cs="Times New Roman"/>
          <w:bCs/>
          <w:noProof/>
          <w:color w:val="000000" w:themeColor="text1"/>
        </w:rPr>
        <w:t>Sectoral Vulnerability and Infrastructure Complexity</w:t>
      </w:r>
      <w:r>
        <w:rPr>
          <w:noProof/>
        </w:rPr>
        <w:tab/>
      </w:r>
      <w:r>
        <w:rPr>
          <w:noProof/>
        </w:rPr>
        <w:fldChar w:fldCharType="begin"/>
      </w:r>
      <w:r>
        <w:rPr>
          <w:noProof/>
        </w:rPr>
        <w:instrText xml:space="preserve"> PAGEREF _Toc234489107 \h </w:instrText>
      </w:r>
      <w:r>
        <w:rPr>
          <w:noProof/>
        </w:rPr>
      </w:r>
      <w:r>
        <w:rPr>
          <w:noProof/>
        </w:rPr>
        <w:fldChar w:fldCharType="separate"/>
      </w:r>
      <w:r>
        <w:rPr>
          <w:noProof/>
        </w:rPr>
        <w:t>166</w:t>
      </w:r>
      <w:r>
        <w:rPr>
          <w:noProof/>
        </w:rPr>
        <w:fldChar w:fldCharType="end"/>
      </w:r>
    </w:p>
    <w:p w14:paraId="0F376CC5" w14:textId="2060538A" w:rsidR="009B5C28" w:rsidRDefault="009B5C28">
      <w:pPr>
        <w:pStyle w:val="TOC3"/>
        <w:tabs>
          <w:tab w:val="left" w:pos="1440"/>
          <w:tab w:val="right" w:leader="dot" w:pos="9350"/>
        </w:tabs>
        <w:rPr>
          <w:rFonts w:eastAsiaTheme="minorEastAsia"/>
          <w:noProof/>
        </w:rPr>
      </w:pPr>
      <w:r w:rsidRPr="00D16B20">
        <w:rPr>
          <w:rFonts w:cs="Times New Roman"/>
          <w:bCs/>
          <w:noProof/>
          <w:color w:val="000000" w:themeColor="text1"/>
        </w:rPr>
        <w:t>4.6.7</w:t>
      </w:r>
      <w:r>
        <w:rPr>
          <w:rFonts w:eastAsiaTheme="minorEastAsia"/>
          <w:noProof/>
        </w:rPr>
        <w:tab/>
      </w:r>
      <w:r w:rsidRPr="00D16B20">
        <w:rPr>
          <w:rFonts w:cs="Times New Roman"/>
          <w:bCs/>
          <w:noProof/>
          <w:color w:val="000000" w:themeColor="text1"/>
        </w:rPr>
        <w:t>Implications of Climate and Political Moderation Effects</w:t>
      </w:r>
      <w:r>
        <w:rPr>
          <w:noProof/>
        </w:rPr>
        <w:tab/>
      </w:r>
      <w:r>
        <w:rPr>
          <w:noProof/>
        </w:rPr>
        <w:fldChar w:fldCharType="begin"/>
      </w:r>
      <w:r>
        <w:rPr>
          <w:noProof/>
        </w:rPr>
        <w:instrText xml:space="preserve"> PAGEREF _Toc234489108 \h </w:instrText>
      </w:r>
      <w:r>
        <w:rPr>
          <w:noProof/>
        </w:rPr>
      </w:r>
      <w:r>
        <w:rPr>
          <w:noProof/>
        </w:rPr>
        <w:fldChar w:fldCharType="separate"/>
      </w:r>
      <w:r>
        <w:rPr>
          <w:noProof/>
        </w:rPr>
        <w:t>167</w:t>
      </w:r>
      <w:r>
        <w:rPr>
          <w:noProof/>
        </w:rPr>
        <w:fldChar w:fldCharType="end"/>
      </w:r>
    </w:p>
    <w:p w14:paraId="5C5485D3" w14:textId="60B7F8A9" w:rsidR="009B5C28" w:rsidRDefault="009B5C28">
      <w:pPr>
        <w:pStyle w:val="TOC3"/>
        <w:tabs>
          <w:tab w:val="left" w:pos="1440"/>
          <w:tab w:val="right" w:leader="dot" w:pos="9350"/>
        </w:tabs>
        <w:rPr>
          <w:rFonts w:eastAsiaTheme="minorEastAsia"/>
          <w:noProof/>
        </w:rPr>
      </w:pPr>
      <w:r w:rsidRPr="00D16B20">
        <w:rPr>
          <w:rFonts w:cs="Times New Roman"/>
          <w:bCs/>
          <w:noProof/>
          <w:color w:val="000000" w:themeColor="text1"/>
        </w:rPr>
        <w:t>4.6.8</w:t>
      </w:r>
      <w:r>
        <w:rPr>
          <w:rFonts w:eastAsiaTheme="minorEastAsia"/>
          <w:noProof/>
        </w:rPr>
        <w:tab/>
      </w:r>
      <w:r w:rsidRPr="00D16B20">
        <w:rPr>
          <w:rFonts w:cs="Times New Roman"/>
          <w:bCs/>
          <w:noProof/>
          <w:color w:val="000000" w:themeColor="text1"/>
        </w:rPr>
        <w:t>Hypothesis Outcomes</w:t>
      </w:r>
      <w:r>
        <w:rPr>
          <w:noProof/>
        </w:rPr>
        <w:tab/>
      </w:r>
      <w:r>
        <w:rPr>
          <w:noProof/>
        </w:rPr>
        <w:fldChar w:fldCharType="begin"/>
      </w:r>
      <w:r>
        <w:rPr>
          <w:noProof/>
        </w:rPr>
        <w:instrText xml:space="preserve"> PAGEREF _Toc234489109 \h </w:instrText>
      </w:r>
      <w:r>
        <w:rPr>
          <w:noProof/>
        </w:rPr>
      </w:r>
      <w:r>
        <w:rPr>
          <w:noProof/>
        </w:rPr>
        <w:fldChar w:fldCharType="separate"/>
      </w:r>
      <w:r>
        <w:rPr>
          <w:noProof/>
        </w:rPr>
        <w:t>168</w:t>
      </w:r>
      <w:r>
        <w:rPr>
          <w:noProof/>
        </w:rPr>
        <w:fldChar w:fldCharType="end"/>
      </w:r>
    </w:p>
    <w:p w14:paraId="319EDBB3" w14:textId="7092D948" w:rsidR="009B5C28" w:rsidRDefault="009B5C28">
      <w:pPr>
        <w:pStyle w:val="TOC2"/>
        <w:tabs>
          <w:tab w:val="left" w:pos="960"/>
          <w:tab w:val="right" w:leader="dot" w:pos="9350"/>
        </w:tabs>
        <w:rPr>
          <w:rFonts w:eastAsiaTheme="minorEastAsia"/>
          <w:noProof/>
        </w:rPr>
      </w:pPr>
      <w:r w:rsidRPr="00D16B20">
        <w:rPr>
          <w:rFonts w:cs="Times New Roman"/>
          <w:bCs/>
          <w:noProof/>
          <w:color w:val="000000" w:themeColor="text1"/>
        </w:rPr>
        <w:t>4.7</w:t>
      </w:r>
      <w:r>
        <w:rPr>
          <w:rFonts w:eastAsiaTheme="minorEastAsia"/>
          <w:noProof/>
        </w:rPr>
        <w:tab/>
      </w:r>
      <w:r w:rsidRPr="00D16B20">
        <w:rPr>
          <w:rFonts w:cs="Times New Roman"/>
          <w:bCs/>
          <w:noProof/>
          <w:color w:val="000000" w:themeColor="text1"/>
        </w:rPr>
        <w:t>Documentation Accessibility and Decentralized Governance Capacity</w:t>
      </w:r>
      <w:r>
        <w:rPr>
          <w:noProof/>
        </w:rPr>
        <w:tab/>
      </w:r>
      <w:r>
        <w:rPr>
          <w:noProof/>
        </w:rPr>
        <w:fldChar w:fldCharType="begin"/>
      </w:r>
      <w:r>
        <w:rPr>
          <w:noProof/>
        </w:rPr>
        <w:instrText xml:space="preserve"> PAGEREF _Toc234489110 \h </w:instrText>
      </w:r>
      <w:r>
        <w:rPr>
          <w:noProof/>
        </w:rPr>
      </w:r>
      <w:r>
        <w:rPr>
          <w:noProof/>
        </w:rPr>
        <w:fldChar w:fldCharType="separate"/>
      </w:r>
      <w:r>
        <w:rPr>
          <w:noProof/>
        </w:rPr>
        <w:t>169</w:t>
      </w:r>
      <w:r>
        <w:rPr>
          <w:noProof/>
        </w:rPr>
        <w:fldChar w:fldCharType="end"/>
      </w:r>
    </w:p>
    <w:p w14:paraId="365F3905" w14:textId="2C036336" w:rsidR="009B5C28" w:rsidRDefault="009B5C28">
      <w:pPr>
        <w:pStyle w:val="TOC2"/>
        <w:tabs>
          <w:tab w:val="left" w:pos="960"/>
          <w:tab w:val="right" w:leader="dot" w:pos="9350"/>
        </w:tabs>
        <w:rPr>
          <w:rFonts w:eastAsiaTheme="minorEastAsia"/>
          <w:noProof/>
        </w:rPr>
      </w:pPr>
      <w:r w:rsidRPr="00D16B20">
        <w:rPr>
          <w:rFonts w:cs="Times New Roman"/>
          <w:bCs/>
          <w:noProof/>
          <w:color w:val="000000" w:themeColor="text1"/>
        </w:rPr>
        <w:t>4.8</w:t>
      </w:r>
      <w:r>
        <w:rPr>
          <w:rFonts w:eastAsiaTheme="minorEastAsia"/>
          <w:noProof/>
        </w:rPr>
        <w:tab/>
      </w:r>
      <w:r w:rsidRPr="00D16B20">
        <w:rPr>
          <w:rFonts w:cs="Times New Roman"/>
          <w:bCs/>
          <w:noProof/>
          <w:color w:val="000000" w:themeColor="text1"/>
        </w:rPr>
        <w:t>Summary of Hypothesis Testing</w:t>
      </w:r>
      <w:r>
        <w:rPr>
          <w:noProof/>
        </w:rPr>
        <w:tab/>
      </w:r>
      <w:r>
        <w:rPr>
          <w:noProof/>
        </w:rPr>
        <w:fldChar w:fldCharType="begin"/>
      </w:r>
      <w:r>
        <w:rPr>
          <w:noProof/>
        </w:rPr>
        <w:instrText xml:space="preserve"> PAGEREF _Toc234489111 \h </w:instrText>
      </w:r>
      <w:r>
        <w:rPr>
          <w:noProof/>
        </w:rPr>
      </w:r>
      <w:r>
        <w:rPr>
          <w:noProof/>
        </w:rPr>
        <w:fldChar w:fldCharType="separate"/>
      </w:r>
      <w:r>
        <w:rPr>
          <w:noProof/>
        </w:rPr>
        <w:t>171</w:t>
      </w:r>
      <w:r>
        <w:rPr>
          <w:noProof/>
        </w:rPr>
        <w:fldChar w:fldCharType="end"/>
      </w:r>
    </w:p>
    <w:p w14:paraId="7E1B4A3B" w14:textId="78344E33" w:rsidR="009B5C28" w:rsidRDefault="009B5C28">
      <w:pPr>
        <w:pStyle w:val="TOC2"/>
        <w:tabs>
          <w:tab w:val="left" w:pos="960"/>
          <w:tab w:val="right" w:leader="dot" w:pos="9350"/>
        </w:tabs>
        <w:rPr>
          <w:rFonts w:eastAsiaTheme="minorEastAsia"/>
          <w:noProof/>
        </w:rPr>
      </w:pPr>
      <w:r w:rsidRPr="00D16B20">
        <w:rPr>
          <w:rFonts w:cs="Times New Roman"/>
          <w:bCs/>
          <w:noProof/>
          <w:color w:val="000000" w:themeColor="text1"/>
        </w:rPr>
        <w:t>4.9</w:t>
      </w:r>
      <w:r>
        <w:rPr>
          <w:rFonts w:eastAsiaTheme="minorEastAsia"/>
          <w:noProof/>
        </w:rPr>
        <w:tab/>
      </w:r>
      <w:r w:rsidRPr="00D16B20">
        <w:rPr>
          <w:rFonts w:cs="Times New Roman"/>
          <w:bCs/>
          <w:noProof/>
          <w:color w:val="000000" w:themeColor="text1"/>
        </w:rPr>
        <w:t>Integrated Discussion of Findings</w:t>
      </w:r>
      <w:r>
        <w:rPr>
          <w:noProof/>
        </w:rPr>
        <w:tab/>
      </w:r>
      <w:r>
        <w:rPr>
          <w:noProof/>
        </w:rPr>
        <w:fldChar w:fldCharType="begin"/>
      </w:r>
      <w:r>
        <w:rPr>
          <w:noProof/>
        </w:rPr>
        <w:instrText xml:space="preserve"> PAGEREF _Toc234489112 \h </w:instrText>
      </w:r>
      <w:r>
        <w:rPr>
          <w:noProof/>
        </w:rPr>
      </w:r>
      <w:r>
        <w:rPr>
          <w:noProof/>
        </w:rPr>
        <w:fldChar w:fldCharType="separate"/>
      </w:r>
      <w:r>
        <w:rPr>
          <w:noProof/>
        </w:rPr>
        <w:t>173</w:t>
      </w:r>
      <w:r>
        <w:rPr>
          <w:noProof/>
        </w:rPr>
        <w:fldChar w:fldCharType="end"/>
      </w:r>
    </w:p>
    <w:p w14:paraId="77FBBC55" w14:textId="32880B07" w:rsidR="009B5C28" w:rsidRDefault="009B5C28">
      <w:pPr>
        <w:pStyle w:val="TOC3"/>
        <w:tabs>
          <w:tab w:val="left" w:pos="1440"/>
          <w:tab w:val="right" w:leader="dot" w:pos="9350"/>
        </w:tabs>
        <w:rPr>
          <w:rFonts w:eastAsiaTheme="minorEastAsia"/>
          <w:noProof/>
        </w:rPr>
      </w:pPr>
      <w:r w:rsidRPr="00D16B20">
        <w:rPr>
          <w:rFonts w:cs="Times New Roman"/>
          <w:bCs/>
          <w:noProof/>
          <w:color w:val="000000" w:themeColor="text1"/>
        </w:rPr>
        <w:t>4.9.1</w:t>
      </w:r>
      <w:r>
        <w:rPr>
          <w:rFonts w:eastAsiaTheme="minorEastAsia"/>
          <w:noProof/>
        </w:rPr>
        <w:tab/>
      </w:r>
      <w:r w:rsidRPr="00D16B20">
        <w:rPr>
          <w:rFonts w:cs="Times New Roman"/>
          <w:bCs/>
          <w:noProof/>
          <w:color w:val="000000" w:themeColor="text1"/>
        </w:rPr>
        <w:t>Governance Quality and Project Stalling</w:t>
      </w:r>
      <w:r>
        <w:rPr>
          <w:noProof/>
        </w:rPr>
        <w:tab/>
      </w:r>
      <w:r>
        <w:rPr>
          <w:noProof/>
        </w:rPr>
        <w:fldChar w:fldCharType="begin"/>
      </w:r>
      <w:r>
        <w:rPr>
          <w:noProof/>
        </w:rPr>
        <w:instrText xml:space="preserve"> PAGEREF _Toc234489113 \h </w:instrText>
      </w:r>
      <w:r>
        <w:rPr>
          <w:noProof/>
        </w:rPr>
      </w:r>
      <w:r>
        <w:rPr>
          <w:noProof/>
        </w:rPr>
        <w:fldChar w:fldCharType="separate"/>
      </w:r>
      <w:r>
        <w:rPr>
          <w:noProof/>
        </w:rPr>
        <w:t>175</w:t>
      </w:r>
      <w:r>
        <w:rPr>
          <w:noProof/>
        </w:rPr>
        <w:fldChar w:fldCharType="end"/>
      </w:r>
    </w:p>
    <w:p w14:paraId="0F74EF4F" w14:textId="5235C705" w:rsidR="009B5C28" w:rsidRDefault="009B5C28">
      <w:pPr>
        <w:pStyle w:val="TOC3"/>
        <w:tabs>
          <w:tab w:val="left" w:pos="1440"/>
          <w:tab w:val="right" w:leader="dot" w:pos="9350"/>
        </w:tabs>
        <w:rPr>
          <w:rFonts w:eastAsiaTheme="minorEastAsia"/>
          <w:noProof/>
        </w:rPr>
      </w:pPr>
      <w:r w:rsidRPr="00D16B20">
        <w:rPr>
          <w:rFonts w:cs="Times New Roman"/>
          <w:bCs/>
          <w:noProof/>
          <w:color w:val="000000" w:themeColor="text1"/>
        </w:rPr>
        <w:t>4.9.2</w:t>
      </w:r>
      <w:r>
        <w:rPr>
          <w:rFonts w:eastAsiaTheme="minorEastAsia"/>
          <w:noProof/>
        </w:rPr>
        <w:tab/>
      </w:r>
      <w:r w:rsidRPr="00D16B20">
        <w:rPr>
          <w:rFonts w:cs="Times New Roman"/>
          <w:bCs/>
          <w:noProof/>
          <w:color w:val="000000" w:themeColor="text1"/>
        </w:rPr>
        <w:t>Governance Quality and Implementation Delays</w:t>
      </w:r>
      <w:r>
        <w:rPr>
          <w:noProof/>
        </w:rPr>
        <w:tab/>
      </w:r>
      <w:r>
        <w:rPr>
          <w:noProof/>
        </w:rPr>
        <w:fldChar w:fldCharType="begin"/>
      </w:r>
      <w:r>
        <w:rPr>
          <w:noProof/>
        </w:rPr>
        <w:instrText xml:space="preserve"> PAGEREF _Toc234489114 \h </w:instrText>
      </w:r>
      <w:r>
        <w:rPr>
          <w:noProof/>
        </w:rPr>
      </w:r>
      <w:r>
        <w:rPr>
          <w:noProof/>
        </w:rPr>
        <w:fldChar w:fldCharType="separate"/>
      </w:r>
      <w:r>
        <w:rPr>
          <w:noProof/>
        </w:rPr>
        <w:t>176</w:t>
      </w:r>
      <w:r>
        <w:rPr>
          <w:noProof/>
        </w:rPr>
        <w:fldChar w:fldCharType="end"/>
      </w:r>
    </w:p>
    <w:p w14:paraId="140D68DE" w14:textId="30A28828" w:rsidR="009B5C28" w:rsidRDefault="009B5C28">
      <w:pPr>
        <w:pStyle w:val="TOC3"/>
        <w:tabs>
          <w:tab w:val="left" w:pos="1440"/>
          <w:tab w:val="right" w:leader="dot" w:pos="9350"/>
        </w:tabs>
        <w:rPr>
          <w:rFonts w:eastAsiaTheme="minorEastAsia"/>
          <w:noProof/>
        </w:rPr>
      </w:pPr>
      <w:r w:rsidRPr="00D16B20">
        <w:rPr>
          <w:rFonts w:cs="Times New Roman"/>
          <w:bCs/>
          <w:noProof/>
          <w:color w:val="000000" w:themeColor="text1"/>
        </w:rPr>
        <w:t>4.9.3</w:t>
      </w:r>
      <w:r>
        <w:rPr>
          <w:rFonts w:eastAsiaTheme="minorEastAsia"/>
          <w:noProof/>
        </w:rPr>
        <w:tab/>
      </w:r>
      <w:r w:rsidRPr="00D16B20">
        <w:rPr>
          <w:rFonts w:cs="Times New Roman"/>
          <w:bCs/>
          <w:noProof/>
          <w:color w:val="000000" w:themeColor="text1"/>
        </w:rPr>
        <w:t>Governance Quality and Financial Delivery Performance</w:t>
      </w:r>
      <w:r>
        <w:rPr>
          <w:noProof/>
        </w:rPr>
        <w:tab/>
      </w:r>
      <w:r>
        <w:rPr>
          <w:noProof/>
        </w:rPr>
        <w:fldChar w:fldCharType="begin"/>
      </w:r>
      <w:r>
        <w:rPr>
          <w:noProof/>
        </w:rPr>
        <w:instrText xml:space="preserve"> PAGEREF _Toc234489115 \h </w:instrText>
      </w:r>
      <w:r>
        <w:rPr>
          <w:noProof/>
        </w:rPr>
      </w:r>
      <w:r>
        <w:rPr>
          <w:noProof/>
        </w:rPr>
        <w:fldChar w:fldCharType="separate"/>
      </w:r>
      <w:r>
        <w:rPr>
          <w:noProof/>
        </w:rPr>
        <w:t>177</w:t>
      </w:r>
      <w:r>
        <w:rPr>
          <w:noProof/>
        </w:rPr>
        <w:fldChar w:fldCharType="end"/>
      </w:r>
    </w:p>
    <w:p w14:paraId="617CC4D8" w14:textId="6102E576" w:rsidR="009B5C28" w:rsidRDefault="009B5C28">
      <w:pPr>
        <w:pStyle w:val="TOC3"/>
        <w:tabs>
          <w:tab w:val="left" w:pos="1440"/>
          <w:tab w:val="right" w:leader="dot" w:pos="9350"/>
        </w:tabs>
        <w:rPr>
          <w:rFonts w:eastAsiaTheme="minorEastAsia"/>
          <w:noProof/>
        </w:rPr>
      </w:pPr>
      <w:r w:rsidRPr="00D16B20">
        <w:rPr>
          <w:rFonts w:cs="Times New Roman"/>
          <w:bCs/>
          <w:noProof/>
          <w:color w:val="000000" w:themeColor="text1"/>
        </w:rPr>
        <w:t>4.9.4</w:t>
      </w:r>
      <w:r>
        <w:rPr>
          <w:rFonts w:eastAsiaTheme="minorEastAsia"/>
          <w:noProof/>
        </w:rPr>
        <w:tab/>
      </w:r>
      <w:r w:rsidRPr="00D16B20">
        <w:rPr>
          <w:rFonts w:cs="Times New Roman"/>
          <w:bCs/>
          <w:noProof/>
          <w:color w:val="000000" w:themeColor="text1"/>
        </w:rPr>
        <w:t>Climate Exposure, Political Transition, and Institutional Resilience</w:t>
      </w:r>
      <w:r>
        <w:rPr>
          <w:noProof/>
        </w:rPr>
        <w:tab/>
      </w:r>
      <w:r>
        <w:rPr>
          <w:noProof/>
        </w:rPr>
        <w:fldChar w:fldCharType="begin"/>
      </w:r>
      <w:r>
        <w:rPr>
          <w:noProof/>
        </w:rPr>
        <w:instrText xml:space="preserve"> PAGEREF _Toc234489116 \h </w:instrText>
      </w:r>
      <w:r>
        <w:rPr>
          <w:noProof/>
        </w:rPr>
      </w:r>
      <w:r>
        <w:rPr>
          <w:noProof/>
        </w:rPr>
        <w:fldChar w:fldCharType="separate"/>
      </w:r>
      <w:r>
        <w:rPr>
          <w:noProof/>
        </w:rPr>
        <w:t>178</w:t>
      </w:r>
      <w:r>
        <w:rPr>
          <w:noProof/>
        </w:rPr>
        <w:fldChar w:fldCharType="end"/>
      </w:r>
    </w:p>
    <w:p w14:paraId="0A987527" w14:textId="28A350F6" w:rsidR="009B5C28" w:rsidRDefault="009B5C28">
      <w:pPr>
        <w:pStyle w:val="TOC3"/>
        <w:tabs>
          <w:tab w:val="left" w:pos="1440"/>
          <w:tab w:val="right" w:leader="dot" w:pos="9350"/>
        </w:tabs>
        <w:rPr>
          <w:rFonts w:eastAsiaTheme="minorEastAsia"/>
          <w:noProof/>
        </w:rPr>
      </w:pPr>
      <w:r w:rsidRPr="00D16B20">
        <w:rPr>
          <w:rFonts w:cs="Times New Roman"/>
          <w:bCs/>
          <w:noProof/>
          <w:color w:val="000000" w:themeColor="text1"/>
        </w:rPr>
        <w:t>4.9.5</w:t>
      </w:r>
      <w:r>
        <w:rPr>
          <w:rFonts w:eastAsiaTheme="minorEastAsia"/>
          <w:noProof/>
        </w:rPr>
        <w:tab/>
      </w:r>
      <w:r w:rsidRPr="00D16B20">
        <w:rPr>
          <w:rFonts w:cs="Times New Roman"/>
          <w:bCs/>
          <w:noProof/>
          <w:color w:val="000000" w:themeColor="text1"/>
        </w:rPr>
        <w:t>Documentation Accessibility and Decentralized Governance Capacity</w:t>
      </w:r>
      <w:r>
        <w:rPr>
          <w:noProof/>
        </w:rPr>
        <w:tab/>
      </w:r>
      <w:r>
        <w:rPr>
          <w:noProof/>
        </w:rPr>
        <w:fldChar w:fldCharType="begin"/>
      </w:r>
      <w:r>
        <w:rPr>
          <w:noProof/>
        </w:rPr>
        <w:instrText xml:space="preserve"> PAGEREF _Toc234489117 \h </w:instrText>
      </w:r>
      <w:r>
        <w:rPr>
          <w:noProof/>
        </w:rPr>
      </w:r>
      <w:r>
        <w:rPr>
          <w:noProof/>
        </w:rPr>
        <w:fldChar w:fldCharType="separate"/>
      </w:r>
      <w:r>
        <w:rPr>
          <w:noProof/>
        </w:rPr>
        <w:t>180</w:t>
      </w:r>
      <w:r>
        <w:rPr>
          <w:noProof/>
        </w:rPr>
        <w:fldChar w:fldCharType="end"/>
      </w:r>
    </w:p>
    <w:p w14:paraId="15D3151D" w14:textId="02BE45CC" w:rsidR="009B5C28" w:rsidRDefault="009B5C28">
      <w:pPr>
        <w:pStyle w:val="TOC2"/>
        <w:tabs>
          <w:tab w:val="left" w:pos="960"/>
          <w:tab w:val="right" w:leader="dot" w:pos="9350"/>
        </w:tabs>
        <w:rPr>
          <w:rFonts w:eastAsiaTheme="minorEastAsia"/>
          <w:noProof/>
        </w:rPr>
      </w:pPr>
      <w:r w:rsidRPr="00D16B20">
        <w:rPr>
          <w:rFonts w:cs="Times New Roman"/>
          <w:bCs/>
          <w:noProof/>
          <w:color w:val="000000" w:themeColor="text1"/>
        </w:rPr>
        <w:t>4.10</w:t>
      </w:r>
      <w:r>
        <w:rPr>
          <w:rFonts w:eastAsiaTheme="minorEastAsia"/>
          <w:noProof/>
        </w:rPr>
        <w:tab/>
      </w:r>
      <w:r w:rsidRPr="00D16B20">
        <w:rPr>
          <w:rFonts w:cs="Times New Roman"/>
          <w:bCs/>
          <w:noProof/>
          <w:color w:val="000000" w:themeColor="text1"/>
        </w:rPr>
        <w:t>Chapter Summary</w:t>
      </w:r>
      <w:r>
        <w:rPr>
          <w:noProof/>
        </w:rPr>
        <w:tab/>
      </w:r>
      <w:r>
        <w:rPr>
          <w:noProof/>
        </w:rPr>
        <w:fldChar w:fldCharType="begin"/>
      </w:r>
      <w:r>
        <w:rPr>
          <w:noProof/>
        </w:rPr>
        <w:instrText xml:space="preserve"> PAGEREF _Toc234489118 \h </w:instrText>
      </w:r>
      <w:r>
        <w:rPr>
          <w:noProof/>
        </w:rPr>
      </w:r>
      <w:r>
        <w:rPr>
          <w:noProof/>
        </w:rPr>
        <w:fldChar w:fldCharType="separate"/>
      </w:r>
      <w:r>
        <w:rPr>
          <w:noProof/>
        </w:rPr>
        <w:t>182</w:t>
      </w:r>
      <w:r>
        <w:rPr>
          <w:noProof/>
        </w:rPr>
        <w:fldChar w:fldCharType="end"/>
      </w:r>
    </w:p>
    <w:p w14:paraId="5DDDB8FF" w14:textId="03B3300C" w:rsidR="009B5C28" w:rsidRDefault="009B5C28">
      <w:pPr>
        <w:pStyle w:val="TOC1"/>
        <w:tabs>
          <w:tab w:val="left" w:pos="1680"/>
          <w:tab w:val="right" w:leader="dot" w:pos="9350"/>
        </w:tabs>
        <w:rPr>
          <w:rFonts w:eastAsiaTheme="minorEastAsia"/>
          <w:noProof/>
        </w:rPr>
      </w:pPr>
      <w:r w:rsidRPr="00D16B20">
        <w:rPr>
          <w:rFonts w:cs="Times New Roman"/>
          <w:noProof/>
          <w:color w:val="000000" w:themeColor="text1"/>
        </w:rPr>
        <w:t>CHAPTER 5 :</w:t>
      </w:r>
      <w:r>
        <w:rPr>
          <w:rFonts w:eastAsiaTheme="minorEastAsia"/>
          <w:noProof/>
        </w:rPr>
        <w:tab/>
      </w:r>
      <w:r w:rsidRPr="00D16B20">
        <w:rPr>
          <w:rFonts w:cs="Times New Roman"/>
          <w:noProof/>
          <w:color w:val="000000" w:themeColor="text1"/>
        </w:rPr>
        <w:t>DISCUSSION, CONCLUSIONS, POLICY IMPLICATIONS, AND RECOMMENDATIONS</w:t>
      </w:r>
      <w:r>
        <w:rPr>
          <w:noProof/>
        </w:rPr>
        <w:tab/>
      </w:r>
      <w:r>
        <w:rPr>
          <w:noProof/>
        </w:rPr>
        <w:fldChar w:fldCharType="begin"/>
      </w:r>
      <w:r>
        <w:rPr>
          <w:noProof/>
        </w:rPr>
        <w:instrText xml:space="preserve"> PAGEREF _Toc234489119 \h </w:instrText>
      </w:r>
      <w:r>
        <w:rPr>
          <w:noProof/>
        </w:rPr>
      </w:r>
      <w:r>
        <w:rPr>
          <w:noProof/>
        </w:rPr>
        <w:fldChar w:fldCharType="separate"/>
      </w:r>
      <w:r>
        <w:rPr>
          <w:noProof/>
        </w:rPr>
        <w:t>184</w:t>
      </w:r>
      <w:r>
        <w:rPr>
          <w:noProof/>
        </w:rPr>
        <w:fldChar w:fldCharType="end"/>
      </w:r>
    </w:p>
    <w:p w14:paraId="1E0F0912" w14:textId="17C7DDCA" w:rsidR="009B5C28" w:rsidRDefault="009B5C28">
      <w:pPr>
        <w:pStyle w:val="TOC2"/>
        <w:tabs>
          <w:tab w:val="left" w:pos="960"/>
          <w:tab w:val="right" w:leader="dot" w:pos="9350"/>
        </w:tabs>
        <w:rPr>
          <w:rFonts w:eastAsiaTheme="minorEastAsia"/>
          <w:noProof/>
        </w:rPr>
      </w:pPr>
      <w:r w:rsidRPr="00D16B20">
        <w:rPr>
          <w:rFonts w:cs="Times New Roman"/>
          <w:bCs/>
          <w:noProof/>
          <w:color w:val="000000" w:themeColor="text1"/>
        </w:rPr>
        <w:t>5.1</w:t>
      </w:r>
      <w:r>
        <w:rPr>
          <w:rFonts w:eastAsiaTheme="minorEastAsia"/>
          <w:noProof/>
        </w:rPr>
        <w:tab/>
      </w:r>
      <w:r w:rsidRPr="00D16B20">
        <w:rPr>
          <w:rFonts w:cs="Times New Roman"/>
          <w:bCs/>
          <w:noProof/>
          <w:color w:val="000000" w:themeColor="text1"/>
        </w:rPr>
        <w:t>Introduction</w:t>
      </w:r>
      <w:r>
        <w:rPr>
          <w:noProof/>
        </w:rPr>
        <w:tab/>
      </w:r>
      <w:r>
        <w:rPr>
          <w:noProof/>
        </w:rPr>
        <w:fldChar w:fldCharType="begin"/>
      </w:r>
      <w:r>
        <w:rPr>
          <w:noProof/>
        </w:rPr>
        <w:instrText xml:space="preserve"> PAGEREF _Toc234489120 \h </w:instrText>
      </w:r>
      <w:r>
        <w:rPr>
          <w:noProof/>
        </w:rPr>
      </w:r>
      <w:r>
        <w:rPr>
          <w:noProof/>
        </w:rPr>
        <w:fldChar w:fldCharType="separate"/>
      </w:r>
      <w:r>
        <w:rPr>
          <w:noProof/>
        </w:rPr>
        <w:t>184</w:t>
      </w:r>
      <w:r>
        <w:rPr>
          <w:noProof/>
        </w:rPr>
        <w:fldChar w:fldCharType="end"/>
      </w:r>
    </w:p>
    <w:p w14:paraId="41DBC9BC" w14:textId="78533F38" w:rsidR="009B5C28" w:rsidRDefault="009B5C28">
      <w:pPr>
        <w:pStyle w:val="TOC2"/>
        <w:tabs>
          <w:tab w:val="left" w:pos="960"/>
          <w:tab w:val="right" w:leader="dot" w:pos="9350"/>
        </w:tabs>
        <w:rPr>
          <w:rFonts w:eastAsiaTheme="minorEastAsia"/>
          <w:noProof/>
        </w:rPr>
      </w:pPr>
      <w:r w:rsidRPr="00D16B20">
        <w:rPr>
          <w:rFonts w:cs="Times New Roman"/>
          <w:bCs/>
          <w:noProof/>
          <w:color w:val="000000" w:themeColor="text1"/>
        </w:rPr>
        <w:t>5.2</w:t>
      </w:r>
      <w:r>
        <w:rPr>
          <w:rFonts w:eastAsiaTheme="minorEastAsia"/>
          <w:noProof/>
        </w:rPr>
        <w:tab/>
      </w:r>
      <w:r w:rsidRPr="00D16B20">
        <w:rPr>
          <w:rFonts w:cs="Times New Roman"/>
          <w:bCs/>
          <w:noProof/>
          <w:color w:val="000000" w:themeColor="text1"/>
        </w:rPr>
        <w:t>Summary of the Study</w:t>
      </w:r>
      <w:r>
        <w:rPr>
          <w:noProof/>
        </w:rPr>
        <w:tab/>
      </w:r>
      <w:r>
        <w:rPr>
          <w:noProof/>
        </w:rPr>
        <w:fldChar w:fldCharType="begin"/>
      </w:r>
      <w:r>
        <w:rPr>
          <w:noProof/>
        </w:rPr>
        <w:instrText xml:space="preserve"> PAGEREF _Toc234489121 \h </w:instrText>
      </w:r>
      <w:r>
        <w:rPr>
          <w:noProof/>
        </w:rPr>
      </w:r>
      <w:r>
        <w:rPr>
          <w:noProof/>
        </w:rPr>
        <w:fldChar w:fldCharType="separate"/>
      </w:r>
      <w:r>
        <w:rPr>
          <w:noProof/>
        </w:rPr>
        <w:t>187</w:t>
      </w:r>
      <w:r>
        <w:rPr>
          <w:noProof/>
        </w:rPr>
        <w:fldChar w:fldCharType="end"/>
      </w:r>
    </w:p>
    <w:p w14:paraId="27D7151A" w14:textId="0DD8409C" w:rsidR="009B5C28" w:rsidRDefault="009B5C28">
      <w:pPr>
        <w:pStyle w:val="TOC3"/>
        <w:tabs>
          <w:tab w:val="left" w:pos="1440"/>
          <w:tab w:val="right" w:leader="dot" w:pos="9350"/>
        </w:tabs>
        <w:rPr>
          <w:rFonts w:eastAsiaTheme="minorEastAsia"/>
          <w:noProof/>
        </w:rPr>
      </w:pPr>
      <w:r w:rsidRPr="00D16B20">
        <w:rPr>
          <w:rFonts w:cs="Times New Roman"/>
          <w:bCs/>
          <w:noProof/>
          <w:color w:val="000000" w:themeColor="text1"/>
        </w:rPr>
        <w:t>5.2.1</w:t>
      </w:r>
      <w:r>
        <w:rPr>
          <w:rFonts w:eastAsiaTheme="minorEastAsia"/>
          <w:noProof/>
        </w:rPr>
        <w:tab/>
      </w:r>
      <w:r w:rsidRPr="00D16B20">
        <w:rPr>
          <w:rFonts w:cs="Times New Roman"/>
          <w:bCs/>
          <w:noProof/>
          <w:color w:val="000000" w:themeColor="text1"/>
        </w:rPr>
        <w:t>Research Problem</w:t>
      </w:r>
      <w:r>
        <w:rPr>
          <w:noProof/>
        </w:rPr>
        <w:tab/>
      </w:r>
      <w:r>
        <w:rPr>
          <w:noProof/>
        </w:rPr>
        <w:fldChar w:fldCharType="begin"/>
      </w:r>
      <w:r>
        <w:rPr>
          <w:noProof/>
        </w:rPr>
        <w:instrText xml:space="preserve"> PAGEREF _Toc234489122 \h </w:instrText>
      </w:r>
      <w:r>
        <w:rPr>
          <w:noProof/>
        </w:rPr>
      </w:r>
      <w:r>
        <w:rPr>
          <w:noProof/>
        </w:rPr>
        <w:fldChar w:fldCharType="separate"/>
      </w:r>
      <w:r>
        <w:rPr>
          <w:noProof/>
        </w:rPr>
        <w:t>187</w:t>
      </w:r>
      <w:r>
        <w:rPr>
          <w:noProof/>
        </w:rPr>
        <w:fldChar w:fldCharType="end"/>
      </w:r>
    </w:p>
    <w:p w14:paraId="01515E31" w14:textId="16D43721" w:rsidR="009B5C28" w:rsidRDefault="009B5C28">
      <w:pPr>
        <w:pStyle w:val="TOC3"/>
        <w:tabs>
          <w:tab w:val="left" w:pos="1440"/>
          <w:tab w:val="right" w:leader="dot" w:pos="9350"/>
        </w:tabs>
        <w:rPr>
          <w:rFonts w:eastAsiaTheme="minorEastAsia"/>
          <w:noProof/>
        </w:rPr>
      </w:pPr>
      <w:r w:rsidRPr="00D16B20">
        <w:rPr>
          <w:rFonts w:cs="Times New Roman"/>
          <w:bCs/>
          <w:noProof/>
          <w:color w:val="000000" w:themeColor="text1"/>
        </w:rPr>
        <w:lastRenderedPageBreak/>
        <w:t>5.2.2</w:t>
      </w:r>
      <w:r>
        <w:rPr>
          <w:rFonts w:eastAsiaTheme="minorEastAsia"/>
          <w:noProof/>
        </w:rPr>
        <w:tab/>
      </w:r>
      <w:r w:rsidRPr="00D16B20">
        <w:rPr>
          <w:rFonts w:cs="Times New Roman"/>
          <w:bCs/>
          <w:noProof/>
          <w:color w:val="000000" w:themeColor="text1"/>
        </w:rPr>
        <w:t>Research Objectives and Questions</w:t>
      </w:r>
      <w:r>
        <w:rPr>
          <w:noProof/>
        </w:rPr>
        <w:tab/>
      </w:r>
      <w:r>
        <w:rPr>
          <w:noProof/>
        </w:rPr>
        <w:fldChar w:fldCharType="begin"/>
      </w:r>
      <w:r>
        <w:rPr>
          <w:noProof/>
        </w:rPr>
        <w:instrText xml:space="preserve"> PAGEREF _Toc234489123 \h </w:instrText>
      </w:r>
      <w:r>
        <w:rPr>
          <w:noProof/>
        </w:rPr>
      </w:r>
      <w:r>
        <w:rPr>
          <w:noProof/>
        </w:rPr>
        <w:fldChar w:fldCharType="separate"/>
      </w:r>
      <w:r>
        <w:rPr>
          <w:noProof/>
        </w:rPr>
        <w:t>188</w:t>
      </w:r>
      <w:r>
        <w:rPr>
          <w:noProof/>
        </w:rPr>
        <w:fldChar w:fldCharType="end"/>
      </w:r>
    </w:p>
    <w:p w14:paraId="299725D0" w14:textId="312BA7CF" w:rsidR="009B5C28" w:rsidRDefault="009B5C28">
      <w:pPr>
        <w:pStyle w:val="TOC3"/>
        <w:tabs>
          <w:tab w:val="left" w:pos="1440"/>
          <w:tab w:val="right" w:leader="dot" w:pos="9350"/>
        </w:tabs>
        <w:rPr>
          <w:rFonts w:eastAsiaTheme="minorEastAsia"/>
          <w:noProof/>
        </w:rPr>
      </w:pPr>
      <w:r w:rsidRPr="00D16B20">
        <w:rPr>
          <w:rFonts w:cs="Times New Roman"/>
          <w:bCs/>
          <w:noProof/>
          <w:color w:val="000000" w:themeColor="text1"/>
        </w:rPr>
        <w:t>5.2.3</w:t>
      </w:r>
      <w:r>
        <w:rPr>
          <w:rFonts w:eastAsiaTheme="minorEastAsia"/>
          <w:noProof/>
        </w:rPr>
        <w:tab/>
      </w:r>
      <w:r w:rsidRPr="00D16B20">
        <w:rPr>
          <w:rFonts w:cs="Times New Roman"/>
          <w:bCs/>
          <w:noProof/>
          <w:color w:val="000000" w:themeColor="text1"/>
        </w:rPr>
        <w:t>Study Context and Scope</w:t>
      </w:r>
      <w:r>
        <w:rPr>
          <w:noProof/>
        </w:rPr>
        <w:tab/>
      </w:r>
      <w:r>
        <w:rPr>
          <w:noProof/>
        </w:rPr>
        <w:fldChar w:fldCharType="begin"/>
      </w:r>
      <w:r>
        <w:rPr>
          <w:noProof/>
        </w:rPr>
        <w:instrText xml:space="preserve"> PAGEREF _Toc234489124 \h </w:instrText>
      </w:r>
      <w:r>
        <w:rPr>
          <w:noProof/>
        </w:rPr>
      </w:r>
      <w:r>
        <w:rPr>
          <w:noProof/>
        </w:rPr>
        <w:fldChar w:fldCharType="separate"/>
      </w:r>
      <w:r>
        <w:rPr>
          <w:noProof/>
        </w:rPr>
        <w:t>189</w:t>
      </w:r>
      <w:r>
        <w:rPr>
          <w:noProof/>
        </w:rPr>
        <w:fldChar w:fldCharType="end"/>
      </w:r>
    </w:p>
    <w:p w14:paraId="26927641" w14:textId="6A2B2481" w:rsidR="009B5C28" w:rsidRDefault="009B5C28">
      <w:pPr>
        <w:pStyle w:val="TOC3"/>
        <w:tabs>
          <w:tab w:val="left" w:pos="1440"/>
          <w:tab w:val="right" w:leader="dot" w:pos="9350"/>
        </w:tabs>
        <w:rPr>
          <w:rFonts w:eastAsiaTheme="minorEastAsia"/>
          <w:noProof/>
        </w:rPr>
      </w:pPr>
      <w:r w:rsidRPr="00D16B20">
        <w:rPr>
          <w:rFonts w:cs="Times New Roman"/>
          <w:bCs/>
          <w:noProof/>
          <w:color w:val="000000" w:themeColor="text1"/>
        </w:rPr>
        <w:t>5.2.4</w:t>
      </w:r>
      <w:r>
        <w:rPr>
          <w:rFonts w:eastAsiaTheme="minorEastAsia"/>
          <w:noProof/>
        </w:rPr>
        <w:tab/>
      </w:r>
      <w:r w:rsidRPr="00D16B20">
        <w:rPr>
          <w:rFonts w:cs="Times New Roman"/>
          <w:bCs/>
          <w:noProof/>
          <w:color w:val="000000" w:themeColor="text1"/>
        </w:rPr>
        <w:t>Methodological Approach</w:t>
      </w:r>
      <w:r>
        <w:rPr>
          <w:noProof/>
        </w:rPr>
        <w:tab/>
      </w:r>
      <w:r>
        <w:rPr>
          <w:noProof/>
        </w:rPr>
        <w:fldChar w:fldCharType="begin"/>
      </w:r>
      <w:r>
        <w:rPr>
          <w:noProof/>
        </w:rPr>
        <w:instrText xml:space="preserve"> PAGEREF _Toc234489125 \h </w:instrText>
      </w:r>
      <w:r>
        <w:rPr>
          <w:noProof/>
        </w:rPr>
      </w:r>
      <w:r>
        <w:rPr>
          <w:noProof/>
        </w:rPr>
        <w:fldChar w:fldCharType="separate"/>
      </w:r>
      <w:r>
        <w:rPr>
          <w:noProof/>
        </w:rPr>
        <w:t>190</w:t>
      </w:r>
      <w:r>
        <w:rPr>
          <w:noProof/>
        </w:rPr>
        <w:fldChar w:fldCharType="end"/>
      </w:r>
    </w:p>
    <w:p w14:paraId="5BCF6AD9" w14:textId="4FB7F2B3" w:rsidR="009B5C28" w:rsidRDefault="009B5C28">
      <w:pPr>
        <w:pStyle w:val="TOC3"/>
        <w:tabs>
          <w:tab w:val="left" w:pos="1440"/>
          <w:tab w:val="right" w:leader="dot" w:pos="9350"/>
        </w:tabs>
        <w:rPr>
          <w:rFonts w:eastAsiaTheme="minorEastAsia"/>
          <w:noProof/>
        </w:rPr>
      </w:pPr>
      <w:r w:rsidRPr="00D16B20">
        <w:rPr>
          <w:rFonts w:cs="Times New Roman"/>
          <w:bCs/>
          <w:noProof/>
          <w:color w:val="000000" w:themeColor="text1"/>
        </w:rPr>
        <w:t>5.2.5</w:t>
      </w:r>
      <w:r>
        <w:rPr>
          <w:rFonts w:eastAsiaTheme="minorEastAsia"/>
          <w:noProof/>
        </w:rPr>
        <w:tab/>
      </w:r>
      <w:r w:rsidRPr="00D16B20">
        <w:rPr>
          <w:rFonts w:cs="Times New Roman"/>
          <w:bCs/>
          <w:noProof/>
          <w:color w:val="000000" w:themeColor="text1"/>
        </w:rPr>
        <w:t>Summary of Principal Findings</w:t>
      </w:r>
      <w:r>
        <w:rPr>
          <w:noProof/>
        </w:rPr>
        <w:tab/>
      </w:r>
      <w:r>
        <w:rPr>
          <w:noProof/>
        </w:rPr>
        <w:fldChar w:fldCharType="begin"/>
      </w:r>
      <w:r>
        <w:rPr>
          <w:noProof/>
        </w:rPr>
        <w:instrText xml:space="preserve"> PAGEREF _Toc234489126 \h </w:instrText>
      </w:r>
      <w:r>
        <w:rPr>
          <w:noProof/>
        </w:rPr>
      </w:r>
      <w:r>
        <w:rPr>
          <w:noProof/>
        </w:rPr>
        <w:fldChar w:fldCharType="separate"/>
      </w:r>
      <w:r>
        <w:rPr>
          <w:noProof/>
        </w:rPr>
        <w:t>191</w:t>
      </w:r>
      <w:r>
        <w:rPr>
          <w:noProof/>
        </w:rPr>
        <w:fldChar w:fldCharType="end"/>
      </w:r>
    </w:p>
    <w:p w14:paraId="3F42F71D" w14:textId="4DAFA5E8" w:rsidR="009B5C28" w:rsidRDefault="009B5C28">
      <w:pPr>
        <w:pStyle w:val="TOC2"/>
        <w:tabs>
          <w:tab w:val="left" w:pos="960"/>
          <w:tab w:val="right" w:leader="dot" w:pos="9350"/>
        </w:tabs>
        <w:rPr>
          <w:rFonts w:eastAsiaTheme="minorEastAsia"/>
          <w:noProof/>
        </w:rPr>
      </w:pPr>
      <w:r w:rsidRPr="00D16B20">
        <w:rPr>
          <w:rFonts w:cs="Times New Roman"/>
          <w:bCs/>
          <w:noProof/>
          <w:color w:val="000000" w:themeColor="text1"/>
        </w:rPr>
        <w:t>5.3</w:t>
      </w:r>
      <w:r>
        <w:rPr>
          <w:rFonts w:eastAsiaTheme="minorEastAsia"/>
          <w:noProof/>
        </w:rPr>
        <w:tab/>
      </w:r>
      <w:r w:rsidRPr="00D16B20">
        <w:rPr>
          <w:rFonts w:cs="Times New Roman"/>
          <w:bCs/>
          <w:noProof/>
          <w:color w:val="000000" w:themeColor="text1"/>
        </w:rPr>
        <w:t>Discussion of Findings</w:t>
      </w:r>
      <w:r>
        <w:rPr>
          <w:noProof/>
        </w:rPr>
        <w:tab/>
      </w:r>
      <w:r>
        <w:rPr>
          <w:noProof/>
        </w:rPr>
        <w:fldChar w:fldCharType="begin"/>
      </w:r>
      <w:r>
        <w:rPr>
          <w:noProof/>
        </w:rPr>
        <w:instrText xml:space="preserve"> PAGEREF _Toc234489127 \h </w:instrText>
      </w:r>
      <w:r>
        <w:rPr>
          <w:noProof/>
        </w:rPr>
      </w:r>
      <w:r>
        <w:rPr>
          <w:noProof/>
        </w:rPr>
        <w:fldChar w:fldCharType="separate"/>
      </w:r>
      <w:r>
        <w:rPr>
          <w:noProof/>
        </w:rPr>
        <w:t>192</w:t>
      </w:r>
      <w:r>
        <w:rPr>
          <w:noProof/>
        </w:rPr>
        <w:fldChar w:fldCharType="end"/>
      </w:r>
    </w:p>
    <w:p w14:paraId="070EE177" w14:textId="56FB025C" w:rsidR="009B5C28" w:rsidRDefault="009B5C28">
      <w:pPr>
        <w:pStyle w:val="TOC3"/>
        <w:tabs>
          <w:tab w:val="left" w:pos="1440"/>
          <w:tab w:val="right" w:leader="dot" w:pos="9350"/>
        </w:tabs>
        <w:rPr>
          <w:rFonts w:eastAsiaTheme="minorEastAsia"/>
          <w:noProof/>
        </w:rPr>
      </w:pPr>
      <w:r w:rsidRPr="00D16B20">
        <w:rPr>
          <w:rFonts w:cs="Times New Roman"/>
          <w:bCs/>
          <w:noProof/>
          <w:color w:val="000000" w:themeColor="text1"/>
        </w:rPr>
        <w:t>5.3.1</w:t>
      </w:r>
      <w:r>
        <w:rPr>
          <w:rFonts w:eastAsiaTheme="minorEastAsia"/>
          <w:noProof/>
        </w:rPr>
        <w:tab/>
      </w:r>
      <w:r w:rsidRPr="00D16B20">
        <w:rPr>
          <w:rFonts w:cs="Times New Roman"/>
          <w:bCs/>
          <w:noProof/>
          <w:color w:val="000000" w:themeColor="text1"/>
        </w:rPr>
        <w:t>Governance Quality and Project Stalling</w:t>
      </w:r>
      <w:r>
        <w:rPr>
          <w:noProof/>
        </w:rPr>
        <w:tab/>
      </w:r>
      <w:r>
        <w:rPr>
          <w:noProof/>
        </w:rPr>
        <w:fldChar w:fldCharType="begin"/>
      </w:r>
      <w:r>
        <w:rPr>
          <w:noProof/>
        </w:rPr>
        <w:instrText xml:space="preserve"> PAGEREF _Toc234489128 \h </w:instrText>
      </w:r>
      <w:r>
        <w:rPr>
          <w:noProof/>
        </w:rPr>
      </w:r>
      <w:r>
        <w:rPr>
          <w:noProof/>
        </w:rPr>
        <w:fldChar w:fldCharType="separate"/>
      </w:r>
      <w:r>
        <w:rPr>
          <w:noProof/>
        </w:rPr>
        <w:t>192</w:t>
      </w:r>
      <w:r>
        <w:rPr>
          <w:noProof/>
        </w:rPr>
        <w:fldChar w:fldCharType="end"/>
      </w:r>
    </w:p>
    <w:p w14:paraId="60EC421C" w14:textId="02311D42" w:rsidR="009B5C28" w:rsidRDefault="009B5C28">
      <w:pPr>
        <w:pStyle w:val="TOC3"/>
        <w:tabs>
          <w:tab w:val="left" w:pos="1440"/>
          <w:tab w:val="right" w:leader="dot" w:pos="9350"/>
        </w:tabs>
        <w:rPr>
          <w:rFonts w:eastAsiaTheme="minorEastAsia"/>
          <w:noProof/>
        </w:rPr>
      </w:pPr>
      <w:r w:rsidRPr="00D16B20">
        <w:rPr>
          <w:rFonts w:cs="Times New Roman"/>
          <w:bCs/>
          <w:noProof/>
          <w:color w:val="000000" w:themeColor="text1"/>
        </w:rPr>
        <w:t>5.3.2</w:t>
      </w:r>
      <w:r>
        <w:rPr>
          <w:rFonts w:eastAsiaTheme="minorEastAsia"/>
          <w:noProof/>
        </w:rPr>
        <w:tab/>
      </w:r>
      <w:r w:rsidRPr="00D16B20">
        <w:rPr>
          <w:rFonts w:cs="Times New Roman"/>
          <w:bCs/>
          <w:noProof/>
          <w:color w:val="000000" w:themeColor="text1"/>
        </w:rPr>
        <w:t>Governance Quality and Time Overruns</w:t>
      </w:r>
      <w:r>
        <w:rPr>
          <w:noProof/>
        </w:rPr>
        <w:tab/>
      </w:r>
      <w:r>
        <w:rPr>
          <w:noProof/>
        </w:rPr>
        <w:fldChar w:fldCharType="begin"/>
      </w:r>
      <w:r>
        <w:rPr>
          <w:noProof/>
        </w:rPr>
        <w:instrText xml:space="preserve"> PAGEREF _Toc234489129 \h </w:instrText>
      </w:r>
      <w:r>
        <w:rPr>
          <w:noProof/>
        </w:rPr>
      </w:r>
      <w:r>
        <w:rPr>
          <w:noProof/>
        </w:rPr>
        <w:fldChar w:fldCharType="separate"/>
      </w:r>
      <w:r>
        <w:rPr>
          <w:noProof/>
        </w:rPr>
        <w:t>195</w:t>
      </w:r>
      <w:r>
        <w:rPr>
          <w:noProof/>
        </w:rPr>
        <w:fldChar w:fldCharType="end"/>
      </w:r>
    </w:p>
    <w:p w14:paraId="62B108A2" w14:textId="681AF1D1" w:rsidR="009B5C28" w:rsidRDefault="009B5C28">
      <w:pPr>
        <w:pStyle w:val="TOC3"/>
        <w:tabs>
          <w:tab w:val="left" w:pos="1440"/>
          <w:tab w:val="right" w:leader="dot" w:pos="9350"/>
        </w:tabs>
        <w:rPr>
          <w:rFonts w:eastAsiaTheme="minorEastAsia"/>
          <w:noProof/>
        </w:rPr>
      </w:pPr>
      <w:r w:rsidRPr="00D16B20">
        <w:rPr>
          <w:rFonts w:cs="Times New Roman"/>
          <w:bCs/>
          <w:noProof/>
          <w:color w:val="000000" w:themeColor="text1"/>
        </w:rPr>
        <w:t>5.3.3</w:t>
      </w:r>
      <w:r>
        <w:rPr>
          <w:rFonts w:eastAsiaTheme="minorEastAsia"/>
          <w:noProof/>
        </w:rPr>
        <w:tab/>
      </w:r>
      <w:r w:rsidRPr="00D16B20">
        <w:rPr>
          <w:rFonts w:cs="Times New Roman"/>
          <w:bCs/>
          <w:noProof/>
          <w:color w:val="000000" w:themeColor="text1"/>
        </w:rPr>
        <w:t>Governance Quality and Cost Overruns</w:t>
      </w:r>
      <w:r>
        <w:rPr>
          <w:noProof/>
        </w:rPr>
        <w:tab/>
      </w:r>
      <w:r>
        <w:rPr>
          <w:noProof/>
        </w:rPr>
        <w:fldChar w:fldCharType="begin"/>
      </w:r>
      <w:r>
        <w:rPr>
          <w:noProof/>
        </w:rPr>
        <w:instrText xml:space="preserve"> PAGEREF _Toc234489130 \h </w:instrText>
      </w:r>
      <w:r>
        <w:rPr>
          <w:noProof/>
        </w:rPr>
      </w:r>
      <w:r>
        <w:rPr>
          <w:noProof/>
        </w:rPr>
        <w:fldChar w:fldCharType="separate"/>
      </w:r>
      <w:r>
        <w:rPr>
          <w:noProof/>
        </w:rPr>
        <w:t>197</w:t>
      </w:r>
      <w:r>
        <w:rPr>
          <w:noProof/>
        </w:rPr>
        <w:fldChar w:fldCharType="end"/>
      </w:r>
    </w:p>
    <w:p w14:paraId="3CA50E3C" w14:textId="7B9A471E" w:rsidR="009B5C28" w:rsidRDefault="009B5C28">
      <w:pPr>
        <w:pStyle w:val="TOC3"/>
        <w:tabs>
          <w:tab w:val="left" w:pos="1440"/>
          <w:tab w:val="right" w:leader="dot" w:pos="9350"/>
        </w:tabs>
        <w:rPr>
          <w:rFonts w:eastAsiaTheme="minorEastAsia"/>
          <w:noProof/>
        </w:rPr>
      </w:pPr>
      <w:r w:rsidRPr="00D16B20">
        <w:rPr>
          <w:rFonts w:cs="Times New Roman"/>
          <w:bCs/>
          <w:noProof/>
          <w:color w:val="000000" w:themeColor="text1"/>
        </w:rPr>
        <w:t>5.3.4</w:t>
      </w:r>
      <w:r>
        <w:rPr>
          <w:rFonts w:eastAsiaTheme="minorEastAsia"/>
          <w:noProof/>
        </w:rPr>
        <w:tab/>
      </w:r>
      <w:r w:rsidRPr="00D16B20">
        <w:rPr>
          <w:rFonts w:cs="Times New Roman"/>
          <w:bCs/>
          <w:noProof/>
          <w:color w:val="000000" w:themeColor="text1"/>
        </w:rPr>
        <w:t>Governance Quality, Climate Risk, and Political Transition</w:t>
      </w:r>
      <w:r>
        <w:rPr>
          <w:noProof/>
        </w:rPr>
        <w:tab/>
      </w:r>
      <w:r>
        <w:rPr>
          <w:noProof/>
        </w:rPr>
        <w:fldChar w:fldCharType="begin"/>
      </w:r>
      <w:r>
        <w:rPr>
          <w:noProof/>
        </w:rPr>
        <w:instrText xml:space="preserve"> PAGEREF _Toc234489131 \h </w:instrText>
      </w:r>
      <w:r>
        <w:rPr>
          <w:noProof/>
        </w:rPr>
      </w:r>
      <w:r>
        <w:rPr>
          <w:noProof/>
        </w:rPr>
        <w:fldChar w:fldCharType="separate"/>
      </w:r>
      <w:r>
        <w:rPr>
          <w:noProof/>
        </w:rPr>
        <w:t>199</w:t>
      </w:r>
      <w:r>
        <w:rPr>
          <w:noProof/>
        </w:rPr>
        <w:fldChar w:fldCharType="end"/>
      </w:r>
    </w:p>
    <w:p w14:paraId="231FF668" w14:textId="748D9C4B" w:rsidR="009B5C28" w:rsidRDefault="009B5C28">
      <w:pPr>
        <w:pStyle w:val="TOC3"/>
        <w:tabs>
          <w:tab w:val="left" w:pos="1440"/>
          <w:tab w:val="right" w:leader="dot" w:pos="9350"/>
        </w:tabs>
        <w:rPr>
          <w:rFonts w:eastAsiaTheme="minorEastAsia"/>
          <w:noProof/>
        </w:rPr>
      </w:pPr>
      <w:r w:rsidRPr="00D16B20">
        <w:rPr>
          <w:rFonts w:cs="Times New Roman"/>
          <w:bCs/>
          <w:noProof/>
          <w:color w:val="000000" w:themeColor="text1"/>
        </w:rPr>
        <w:t>5.3.5</w:t>
      </w:r>
      <w:r>
        <w:rPr>
          <w:rFonts w:eastAsiaTheme="minorEastAsia"/>
          <w:noProof/>
        </w:rPr>
        <w:tab/>
      </w:r>
      <w:r w:rsidRPr="00D16B20">
        <w:rPr>
          <w:rFonts w:cs="Times New Roman"/>
          <w:bCs/>
          <w:noProof/>
          <w:color w:val="000000" w:themeColor="text1"/>
        </w:rPr>
        <w:t>Documentation Accessibility and Decentralized Governance Capacity</w:t>
      </w:r>
      <w:r>
        <w:rPr>
          <w:noProof/>
        </w:rPr>
        <w:tab/>
      </w:r>
      <w:r>
        <w:rPr>
          <w:noProof/>
        </w:rPr>
        <w:fldChar w:fldCharType="begin"/>
      </w:r>
      <w:r>
        <w:rPr>
          <w:noProof/>
        </w:rPr>
        <w:instrText xml:space="preserve"> PAGEREF _Toc234489132 \h </w:instrText>
      </w:r>
      <w:r>
        <w:rPr>
          <w:noProof/>
        </w:rPr>
      </w:r>
      <w:r>
        <w:rPr>
          <w:noProof/>
        </w:rPr>
        <w:fldChar w:fldCharType="separate"/>
      </w:r>
      <w:r>
        <w:rPr>
          <w:noProof/>
        </w:rPr>
        <w:t>202</w:t>
      </w:r>
      <w:r>
        <w:rPr>
          <w:noProof/>
        </w:rPr>
        <w:fldChar w:fldCharType="end"/>
      </w:r>
    </w:p>
    <w:p w14:paraId="1C3CA8C2" w14:textId="7DE2E347" w:rsidR="009B5C28" w:rsidRDefault="009B5C28">
      <w:pPr>
        <w:pStyle w:val="TOC2"/>
        <w:tabs>
          <w:tab w:val="left" w:pos="960"/>
          <w:tab w:val="right" w:leader="dot" w:pos="9350"/>
        </w:tabs>
        <w:rPr>
          <w:rFonts w:eastAsiaTheme="minorEastAsia"/>
          <w:noProof/>
        </w:rPr>
      </w:pPr>
      <w:r w:rsidRPr="00D16B20">
        <w:rPr>
          <w:rFonts w:cs="Times New Roman"/>
          <w:noProof/>
          <w:color w:val="000000" w:themeColor="text1"/>
        </w:rPr>
        <w:t>5.4</w:t>
      </w:r>
      <w:r>
        <w:rPr>
          <w:rFonts w:eastAsiaTheme="minorEastAsia"/>
          <w:noProof/>
        </w:rPr>
        <w:tab/>
      </w:r>
      <w:r w:rsidRPr="00D16B20">
        <w:rPr>
          <w:rFonts w:cs="Times New Roman"/>
          <w:noProof/>
          <w:color w:val="000000" w:themeColor="text1"/>
        </w:rPr>
        <w:t>Contribution to Knowledge</w:t>
      </w:r>
      <w:r>
        <w:rPr>
          <w:noProof/>
        </w:rPr>
        <w:tab/>
      </w:r>
      <w:r>
        <w:rPr>
          <w:noProof/>
        </w:rPr>
        <w:fldChar w:fldCharType="begin"/>
      </w:r>
      <w:r>
        <w:rPr>
          <w:noProof/>
        </w:rPr>
        <w:instrText xml:space="preserve"> PAGEREF _Toc234489133 \h </w:instrText>
      </w:r>
      <w:r>
        <w:rPr>
          <w:noProof/>
        </w:rPr>
      </w:r>
      <w:r>
        <w:rPr>
          <w:noProof/>
        </w:rPr>
        <w:fldChar w:fldCharType="separate"/>
      </w:r>
      <w:r>
        <w:rPr>
          <w:noProof/>
        </w:rPr>
        <w:t>203</w:t>
      </w:r>
      <w:r>
        <w:rPr>
          <w:noProof/>
        </w:rPr>
        <w:fldChar w:fldCharType="end"/>
      </w:r>
    </w:p>
    <w:p w14:paraId="5E22DE0F" w14:textId="2BECEC6B" w:rsidR="009B5C28" w:rsidRDefault="009B5C28">
      <w:pPr>
        <w:pStyle w:val="TOC3"/>
        <w:tabs>
          <w:tab w:val="left" w:pos="1440"/>
          <w:tab w:val="right" w:leader="dot" w:pos="9350"/>
        </w:tabs>
        <w:rPr>
          <w:rFonts w:eastAsiaTheme="minorEastAsia"/>
          <w:noProof/>
        </w:rPr>
      </w:pPr>
      <w:r w:rsidRPr="00D16B20">
        <w:rPr>
          <w:rFonts w:cs="Times New Roman"/>
          <w:bCs/>
          <w:noProof/>
          <w:color w:val="000000" w:themeColor="text1"/>
        </w:rPr>
        <w:t>5.4.1</w:t>
      </w:r>
      <w:r>
        <w:rPr>
          <w:rFonts w:eastAsiaTheme="minorEastAsia"/>
          <w:noProof/>
        </w:rPr>
        <w:tab/>
      </w:r>
      <w:r w:rsidRPr="00D16B20">
        <w:rPr>
          <w:rFonts w:cs="Times New Roman"/>
          <w:bCs/>
          <w:noProof/>
          <w:color w:val="000000" w:themeColor="text1"/>
        </w:rPr>
        <w:t>Theoretical Contribution</w:t>
      </w:r>
      <w:r>
        <w:rPr>
          <w:noProof/>
        </w:rPr>
        <w:tab/>
      </w:r>
      <w:r>
        <w:rPr>
          <w:noProof/>
        </w:rPr>
        <w:fldChar w:fldCharType="begin"/>
      </w:r>
      <w:r>
        <w:rPr>
          <w:noProof/>
        </w:rPr>
        <w:instrText xml:space="preserve"> PAGEREF _Toc234489134 \h </w:instrText>
      </w:r>
      <w:r>
        <w:rPr>
          <w:noProof/>
        </w:rPr>
      </w:r>
      <w:r>
        <w:rPr>
          <w:noProof/>
        </w:rPr>
        <w:fldChar w:fldCharType="separate"/>
      </w:r>
      <w:r>
        <w:rPr>
          <w:noProof/>
        </w:rPr>
        <w:t>204</w:t>
      </w:r>
      <w:r>
        <w:rPr>
          <w:noProof/>
        </w:rPr>
        <w:fldChar w:fldCharType="end"/>
      </w:r>
    </w:p>
    <w:p w14:paraId="7AADDF81" w14:textId="36F83A5F" w:rsidR="009B5C28" w:rsidRDefault="009B5C28">
      <w:pPr>
        <w:pStyle w:val="TOC3"/>
        <w:tabs>
          <w:tab w:val="left" w:pos="1440"/>
          <w:tab w:val="right" w:leader="dot" w:pos="9350"/>
        </w:tabs>
        <w:rPr>
          <w:rFonts w:eastAsiaTheme="minorEastAsia"/>
          <w:noProof/>
        </w:rPr>
      </w:pPr>
      <w:r w:rsidRPr="00D16B20">
        <w:rPr>
          <w:rFonts w:cs="Times New Roman"/>
          <w:bCs/>
          <w:noProof/>
          <w:color w:val="000000" w:themeColor="text1"/>
        </w:rPr>
        <w:t>5.4.2</w:t>
      </w:r>
      <w:r>
        <w:rPr>
          <w:rFonts w:eastAsiaTheme="minorEastAsia"/>
          <w:noProof/>
        </w:rPr>
        <w:tab/>
      </w:r>
      <w:r w:rsidRPr="00D16B20">
        <w:rPr>
          <w:rFonts w:cs="Times New Roman"/>
          <w:bCs/>
          <w:noProof/>
          <w:color w:val="000000" w:themeColor="text1"/>
        </w:rPr>
        <w:t>Methodological Contribution</w:t>
      </w:r>
      <w:r>
        <w:rPr>
          <w:noProof/>
        </w:rPr>
        <w:tab/>
      </w:r>
      <w:r>
        <w:rPr>
          <w:noProof/>
        </w:rPr>
        <w:fldChar w:fldCharType="begin"/>
      </w:r>
      <w:r>
        <w:rPr>
          <w:noProof/>
        </w:rPr>
        <w:instrText xml:space="preserve"> PAGEREF _Toc234489135 \h </w:instrText>
      </w:r>
      <w:r>
        <w:rPr>
          <w:noProof/>
        </w:rPr>
      </w:r>
      <w:r>
        <w:rPr>
          <w:noProof/>
        </w:rPr>
        <w:fldChar w:fldCharType="separate"/>
      </w:r>
      <w:r>
        <w:rPr>
          <w:noProof/>
        </w:rPr>
        <w:t>206</w:t>
      </w:r>
      <w:r>
        <w:rPr>
          <w:noProof/>
        </w:rPr>
        <w:fldChar w:fldCharType="end"/>
      </w:r>
    </w:p>
    <w:p w14:paraId="7B6453F1" w14:textId="295D4858" w:rsidR="009B5C28" w:rsidRDefault="009B5C28">
      <w:pPr>
        <w:pStyle w:val="TOC3"/>
        <w:tabs>
          <w:tab w:val="left" w:pos="1440"/>
          <w:tab w:val="right" w:leader="dot" w:pos="9350"/>
        </w:tabs>
        <w:rPr>
          <w:rFonts w:eastAsiaTheme="minorEastAsia"/>
          <w:noProof/>
        </w:rPr>
      </w:pPr>
      <w:r w:rsidRPr="00D16B20">
        <w:rPr>
          <w:rFonts w:cs="Times New Roman"/>
          <w:bCs/>
          <w:noProof/>
          <w:color w:val="000000" w:themeColor="text1"/>
        </w:rPr>
        <w:t>5.4.3</w:t>
      </w:r>
      <w:r>
        <w:rPr>
          <w:rFonts w:eastAsiaTheme="minorEastAsia"/>
          <w:noProof/>
        </w:rPr>
        <w:tab/>
      </w:r>
      <w:r w:rsidRPr="00D16B20">
        <w:rPr>
          <w:rFonts w:cs="Times New Roman"/>
          <w:bCs/>
          <w:noProof/>
          <w:color w:val="000000" w:themeColor="text1"/>
        </w:rPr>
        <w:t>Empirical Contribution</w:t>
      </w:r>
      <w:r>
        <w:rPr>
          <w:noProof/>
        </w:rPr>
        <w:tab/>
      </w:r>
      <w:r>
        <w:rPr>
          <w:noProof/>
        </w:rPr>
        <w:fldChar w:fldCharType="begin"/>
      </w:r>
      <w:r>
        <w:rPr>
          <w:noProof/>
        </w:rPr>
        <w:instrText xml:space="preserve"> PAGEREF _Toc234489136 \h </w:instrText>
      </w:r>
      <w:r>
        <w:rPr>
          <w:noProof/>
        </w:rPr>
      </w:r>
      <w:r>
        <w:rPr>
          <w:noProof/>
        </w:rPr>
        <w:fldChar w:fldCharType="separate"/>
      </w:r>
      <w:r>
        <w:rPr>
          <w:noProof/>
        </w:rPr>
        <w:t>207</w:t>
      </w:r>
      <w:r>
        <w:rPr>
          <w:noProof/>
        </w:rPr>
        <w:fldChar w:fldCharType="end"/>
      </w:r>
    </w:p>
    <w:p w14:paraId="52F53CF6" w14:textId="60E9A90B" w:rsidR="009B5C28" w:rsidRDefault="009B5C28">
      <w:pPr>
        <w:pStyle w:val="TOC3"/>
        <w:tabs>
          <w:tab w:val="left" w:pos="1440"/>
          <w:tab w:val="right" w:leader="dot" w:pos="9350"/>
        </w:tabs>
        <w:rPr>
          <w:rFonts w:eastAsiaTheme="minorEastAsia"/>
          <w:noProof/>
        </w:rPr>
      </w:pPr>
      <w:r w:rsidRPr="00D16B20">
        <w:rPr>
          <w:rFonts w:cs="Times New Roman"/>
          <w:bCs/>
          <w:noProof/>
          <w:color w:val="000000" w:themeColor="text1"/>
        </w:rPr>
        <w:t>5.4.4</w:t>
      </w:r>
      <w:r>
        <w:rPr>
          <w:rFonts w:eastAsiaTheme="minorEastAsia"/>
          <w:noProof/>
        </w:rPr>
        <w:tab/>
      </w:r>
      <w:r w:rsidRPr="00D16B20">
        <w:rPr>
          <w:rFonts w:cs="Times New Roman"/>
          <w:bCs/>
          <w:noProof/>
          <w:color w:val="000000" w:themeColor="text1"/>
        </w:rPr>
        <w:t>Practical Contribution</w:t>
      </w:r>
      <w:r>
        <w:rPr>
          <w:noProof/>
        </w:rPr>
        <w:tab/>
      </w:r>
      <w:r>
        <w:rPr>
          <w:noProof/>
        </w:rPr>
        <w:fldChar w:fldCharType="begin"/>
      </w:r>
      <w:r>
        <w:rPr>
          <w:noProof/>
        </w:rPr>
        <w:instrText xml:space="preserve"> PAGEREF _Toc234489137 \h </w:instrText>
      </w:r>
      <w:r>
        <w:rPr>
          <w:noProof/>
        </w:rPr>
      </w:r>
      <w:r>
        <w:rPr>
          <w:noProof/>
        </w:rPr>
        <w:fldChar w:fldCharType="separate"/>
      </w:r>
      <w:r>
        <w:rPr>
          <w:noProof/>
        </w:rPr>
        <w:t>208</w:t>
      </w:r>
      <w:r>
        <w:rPr>
          <w:noProof/>
        </w:rPr>
        <w:fldChar w:fldCharType="end"/>
      </w:r>
    </w:p>
    <w:p w14:paraId="25307F50" w14:textId="482F2446" w:rsidR="009B5C28" w:rsidRDefault="009B5C28">
      <w:pPr>
        <w:pStyle w:val="TOC3"/>
        <w:tabs>
          <w:tab w:val="left" w:pos="1440"/>
          <w:tab w:val="right" w:leader="dot" w:pos="9350"/>
        </w:tabs>
        <w:rPr>
          <w:rFonts w:eastAsiaTheme="minorEastAsia"/>
          <w:noProof/>
        </w:rPr>
      </w:pPr>
      <w:r w:rsidRPr="00D16B20">
        <w:rPr>
          <w:rFonts w:cs="Times New Roman"/>
          <w:bCs/>
          <w:noProof/>
          <w:color w:val="000000" w:themeColor="text1"/>
        </w:rPr>
        <w:t>5.4.5</w:t>
      </w:r>
      <w:r>
        <w:rPr>
          <w:rFonts w:eastAsiaTheme="minorEastAsia"/>
          <w:noProof/>
        </w:rPr>
        <w:tab/>
      </w:r>
      <w:r w:rsidRPr="00D16B20">
        <w:rPr>
          <w:rFonts w:cs="Times New Roman"/>
          <w:bCs/>
          <w:noProof/>
          <w:color w:val="000000" w:themeColor="text1"/>
        </w:rPr>
        <w:t>Integrated Contribution of the Study</w:t>
      </w:r>
      <w:r>
        <w:rPr>
          <w:noProof/>
        </w:rPr>
        <w:tab/>
      </w:r>
      <w:r>
        <w:rPr>
          <w:noProof/>
        </w:rPr>
        <w:fldChar w:fldCharType="begin"/>
      </w:r>
      <w:r>
        <w:rPr>
          <w:noProof/>
        </w:rPr>
        <w:instrText xml:space="preserve"> PAGEREF _Toc234489138 \h </w:instrText>
      </w:r>
      <w:r>
        <w:rPr>
          <w:noProof/>
        </w:rPr>
      </w:r>
      <w:r>
        <w:rPr>
          <w:noProof/>
        </w:rPr>
        <w:fldChar w:fldCharType="separate"/>
      </w:r>
      <w:r>
        <w:rPr>
          <w:noProof/>
        </w:rPr>
        <w:t>213</w:t>
      </w:r>
      <w:r>
        <w:rPr>
          <w:noProof/>
        </w:rPr>
        <w:fldChar w:fldCharType="end"/>
      </w:r>
    </w:p>
    <w:p w14:paraId="5090E0A6" w14:textId="409D0188" w:rsidR="009B5C28" w:rsidRDefault="009B5C28">
      <w:pPr>
        <w:pStyle w:val="TOC2"/>
        <w:tabs>
          <w:tab w:val="left" w:pos="960"/>
          <w:tab w:val="right" w:leader="dot" w:pos="9350"/>
        </w:tabs>
        <w:rPr>
          <w:rFonts w:eastAsiaTheme="minorEastAsia"/>
          <w:noProof/>
        </w:rPr>
      </w:pPr>
      <w:r w:rsidRPr="00D16B20">
        <w:rPr>
          <w:rFonts w:cs="Times New Roman"/>
          <w:bCs/>
          <w:noProof/>
          <w:color w:val="000000" w:themeColor="text1"/>
        </w:rPr>
        <w:t>5.5</w:t>
      </w:r>
      <w:r>
        <w:rPr>
          <w:rFonts w:eastAsiaTheme="minorEastAsia"/>
          <w:noProof/>
        </w:rPr>
        <w:tab/>
      </w:r>
      <w:r w:rsidRPr="00D16B20">
        <w:rPr>
          <w:rFonts w:cs="Times New Roman"/>
          <w:bCs/>
          <w:noProof/>
          <w:color w:val="000000" w:themeColor="text1"/>
        </w:rPr>
        <w:t>Policy Implications</w:t>
      </w:r>
      <w:r>
        <w:rPr>
          <w:noProof/>
        </w:rPr>
        <w:tab/>
      </w:r>
      <w:r>
        <w:rPr>
          <w:noProof/>
        </w:rPr>
        <w:fldChar w:fldCharType="begin"/>
      </w:r>
      <w:r>
        <w:rPr>
          <w:noProof/>
        </w:rPr>
        <w:instrText xml:space="preserve"> PAGEREF _Toc234489139 \h </w:instrText>
      </w:r>
      <w:r>
        <w:rPr>
          <w:noProof/>
        </w:rPr>
      </w:r>
      <w:r>
        <w:rPr>
          <w:noProof/>
        </w:rPr>
        <w:fldChar w:fldCharType="separate"/>
      </w:r>
      <w:r>
        <w:rPr>
          <w:noProof/>
        </w:rPr>
        <w:t>213</w:t>
      </w:r>
      <w:r>
        <w:rPr>
          <w:noProof/>
        </w:rPr>
        <w:fldChar w:fldCharType="end"/>
      </w:r>
    </w:p>
    <w:p w14:paraId="6107302C" w14:textId="47F645AE" w:rsidR="009B5C28" w:rsidRDefault="009B5C28">
      <w:pPr>
        <w:pStyle w:val="TOC3"/>
        <w:tabs>
          <w:tab w:val="left" w:pos="1440"/>
          <w:tab w:val="right" w:leader="dot" w:pos="9350"/>
        </w:tabs>
        <w:rPr>
          <w:rFonts w:eastAsiaTheme="minorEastAsia"/>
          <w:noProof/>
        </w:rPr>
      </w:pPr>
      <w:r w:rsidRPr="00D16B20">
        <w:rPr>
          <w:rFonts w:cs="Times New Roman"/>
          <w:bCs/>
          <w:noProof/>
          <w:color w:val="000000" w:themeColor="text1"/>
        </w:rPr>
        <w:t>5.5.1</w:t>
      </w:r>
      <w:r>
        <w:rPr>
          <w:rFonts w:eastAsiaTheme="minorEastAsia"/>
          <w:noProof/>
        </w:rPr>
        <w:tab/>
      </w:r>
      <w:r w:rsidRPr="00D16B20">
        <w:rPr>
          <w:rFonts w:cs="Times New Roman"/>
          <w:bCs/>
          <w:noProof/>
          <w:color w:val="000000" w:themeColor="text1"/>
        </w:rPr>
        <w:t>Governance Reform Priorities</w:t>
      </w:r>
      <w:r>
        <w:rPr>
          <w:noProof/>
        </w:rPr>
        <w:tab/>
      </w:r>
      <w:r>
        <w:rPr>
          <w:noProof/>
        </w:rPr>
        <w:fldChar w:fldCharType="begin"/>
      </w:r>
      <w:r>
        <w:rPr>
          <w:noProof/>
        </w:rPr>
        <w:instrText xml:space="preserve"> PAGEREF _Toc234489140 \h </w:instrText>
      </w:r>
      <w:r>
        <w:rPr>
          <w:noProof/>
        </w:rPr>
      </w:r>
      <w:r>
        <w:rPr>
          <w:noProof/>
        </w:rPr>
        <w:fldChar w:fldCharType="separate"/>
      </w:r>
      <w:r>
        <w:rPr>
          <w:noProof/>
        </w:rPr>
        <w:t>214</w:t>
      </w:r>
      <w:r>
        <w:rPr>
          <w:noProof/>
        </w:rPr>
        <w:fldChar w:fldCharType="end"/>
      </w:r>
    </w:p>
    <w:p w14:paraId="6BCFE917" w14:textId="0CFB7B65" w:rsidR="009B5C28" w:rsidRDefault="009B5C28">
      <w:pPr>
        <w:pStyle w:val="TOC3"/>
        <w:tabs>
          <w:tab w:val="left" w:pos="1440"/>
          <w:tab w:val="right" w:leader="dot" w:pos="9350"/>
        </w:tabs>
        <w:rPr>
          <w:rFonts w:eastAsiaTheme="minorEastAsia"/>
          <w:noProof/>
        </w:rPr>
      </w:pPr>
      <w:r w:rsidRPr="00D16B20">
        <w:rPr>
          <w:rFonts w:cs="Times New Roman"/>
          <w:bCs/>
          <w:noProof/>
          <w:color w:val="000000" w:themeColor="text1"/>
        </w:rPr>
        <w:t>5.5.2</w:t>
      </w:r>
      <w:r>
        <w:rPr>
          <w:rFonts w:eastAsiaTheme="minorEastAsia"/>
          <w:noProof/>
        </w:rPr>
        <w:tab/>
      </w:r>
      <w:r w:rsidRPr="00D16B20">
        <w:rPr>
          <w:rFonts w:cs="Times New Roman"/>
          <w:bCs/>
          <w:noProof/>
          <w:color w:val="000000" w:themeColor="text1"/>
        </w:rPr>
        <w:t>Documentation and Transparency Systems</w:t>
      </w:r>
      <w:r>
        <w:rPr>
          <w:noProof/>
        </w:rPr>
        <w:tab/>
      </w:r>
      <w:r>
        <w:rPr>
          <w:noProof/>
        </w:rPr>
        <w:fldChar w:fldCharType="begin"/>
      </w:r>
      <w:r>
        <w:rPr>
          <w:noProof/>
        </w:rPr>
        <w:instrText xml:space="preserve"> PAGEREF _Toc234489141 \h </w:instrText>
      </w:r>
      <w:r>
        <w:rPr>
          <w:noProof/>
        </w:rPr>
      </w:r>
      <w:r>
        <w:rPr>
          <w:noProof/>
        </w:rPr>
        <w:fldChar w:fldCharType="separate"/>
      </w:r>
      <w:r>
        <w:rPr>
          <w:noProof/>
        </w:rPr>
        <w:t>215</w:t>
      </w:r>
      <w:r>
        <w:rPr>
          <w:noProof/>
        </w:rPr>
        <w:fldChar w:fldCharType="end"/>
      </w:r>
    </w:p>
    <w:p w14:paraId="222E00C8" w14:textId="393EB160" w:rsidR="009B5C28" w:rsidRDefault="009B5C28">
      <w:pPr>
        <w:pStyle w:val="TOC3"/>
        <w:tabs>
          <w:tab w:val="left" w:pos="1440"/>
          <w:tab w:val="right" w:leader="dot" w:pos="9350"/>
        </w:tabs>
        <w:rPr>
          <w:rFonts w:eastAsiaTheme="minorEastAsia"/>
          <w:noProof/>
        </w:rPr>
      </w:pPr>
      <w:r w:rsidRPr="00D16B20">
        <w:rPr>
          <w:rFonts w:cs="Times New Roman"/>
          <w:bCs/>
          <w:noProof/>
          <w:color w:val="000000" w:themeColor="text1"/>
        </w:rPr>
        <w:t>5.5.3</w:t>
      </w:r>
      <w:r>
        <w:rPr>
          <w:rFonts w:eastAsiaTheme="minorEastAsia"/>
          <w:noProof/>
        </w:rPr>
        <w:tab/>
      </w:r>
      <w:r w:rsidRPr="00D16B20">
        <w:rPr>
          <w:rFonts w:cs="Times New Roman"/>
          <w:bCs/>
          <w:noProof/>
          <w:color w:val="000000" w:themeColor="text1"/>
        </w:rPr>
        <w:t>Financial Governance Reform</w:t>
      </w:r>
      <w:r>
        <w:rPr>
          <w:noProof/>
        </w:rPr>
        <w:tab/>
      </w:r>
      <w:r>
        <w:rPr>
          <w:noProof/>
        </w:rPr>
        <w:fldChar w:fldCharType="begin"/>
      </w:r>
      <w:r>
        <w:rPr>
          <w:noProof/>
        </w:rPr>
        <w:instrText xml:space="preserve"> PAGEREF _Toc234489142 \h </w:instrText>
      </w:r>
      <w:r>
        <w:rPr>
          <w:noProof/>
        </w:rPr>
      </w:r>
      <w:r>
        <w:rPr>
          <w:noProof/>
        </w:rPr>
        <w:fldChar w:fldCharType="separate"/>
      </w:r>
      <w:r>
        <w:rPr>
          <w:noProof/>
        </w:rPr>
        <w:t>216</w:t>
      </w:r>
      <w:r>
        <w:rPr>
          <w:noProof/>
        </w:rPr>
        <w:fldChar w:fldCharType="end"/>
      </w:r>
    </w:p>
    <w:p w14:paraId="59E0C203" w14:textId="48C40430" w:rsidR="009B5C28" w:rsidRDefault="009B5C28">
      <w:pPr>
        <w:pStyle w:val="TOC3"/>
        <w:tabs>
          <w:tab w:val="left" w:pos="1440"/>
          <w:tab w:val="right" w:leader="dot" w:pos="9350"/>
        </w:tabs>
        <w:rPr>
          <w:rFonts w:eastAsiaTheme="minorEastAsia"/>
          <w:noProof/>
        </w:rPr>
      </w:pPr>
      <w:r w:rsidRPr="00D16B20">
        <w:rPr>
          <w:rFonts w:cs="Times New Roman"/>
          <w:bCs/>
          <w:noProof/>
          <w:color w:val="000000" w:themeColor="text1"/>
        </w:rPr>
        <w:t>5.5.4</w:t>
      </w:r>
      <w:r>
        <w:rPr>
          <w:rFonts w:eastAsiaTheme="minorEastAsia"/>
          <w:noProof/>
        </w:rPr>
        <w:tab/>
      </w:r>
      <w:r w:rsidRPr="00D16B20">
        <w:rPr>
          <w:rFonts w:cs="Times New Roman"/>
          <w:bCs/>
          <w:noProof/>
          <w:color w:val="000000" w:themeColor="text1"/>
        </w:rPr>
        <w:t>Climate Governance Integration</w:t>
      </w:r>
      <w:r>
        <w:rPr>
          <w:noProof/>
        </w:rPr>
        <w:tab/>
      </w:r>
      <w:r>
        <w:rPr>
          <w:noProof/>
        </w:rPr>
        <w:fldChar w:fldCharType="begin"/>
      </w:r>
      <w:r>
        <w:rPr>
          <w:noProof/>
        </w:rPr>
        <w:instrText xml:space="preserve"> PAGEREF _Toc234489143 \h </w:instrText>
      </w:r>
      <w:r>
        <w:rPr>
          <w:noProof/>
        </w:rPr>
      </w:r>
      <w:r>
        <w:rPr>
          <w:noProof/>
        </w:rPr>
        <w:fldChar w:fldCharType="separate"/>
      </w:r>
      <w:r>
        <w:rPr>
          <w:noProof/>
        </w:rPr>
        <w:t>217</w:t>
      </w:r>
      <w:r>
        <w:rPr>
          <w:noProof/>
        </w:rPr>
        <w:fldChar w:fldCharType="end"/>
      </w:r>
    </w:p>
    <w:p w14:paraId="1E7FC043" w14:textId="3EFC628D" w:rsidR="009B5C28" w:rsidRDefault="009B5C28">
      <w:pPr>
        <w:pStyle w:val="TOC3"/>
        <w:tabs>
          <w:tab w:val="left" w:pos="1440"/>
          <w:tab w:val="right" w:leader="dot" w:pos="9350"/>
        </w:tabs>
        <w:rPr>
          <w:rFonts w:eastAsiaTheme="minorEastAsia"/>
          <w:noProof/>
        </w:rPr>
      </w:pPr>
      <w:r w:rsidRPr="00D16B20">
        <w:rPr>
          <w:rFonts w:cs="Times New Roman"/>
          <w:bCs/>
          <w:noProof/>
          <w:color w:val="000000" w:themeColor="text1"/>
        </w:rPr>
        <w:t>5.5.5</w:t>
      </w:r>
      <w:r>
        <w:rPr>
          <w:rFonts w:eastAsiaTheme="minorEastAsia"/>
          <w:noProof/>
        </w:rPr>
        <w:tab/>
      </w:r>
      <w:r w:rsidRPr="00D16B20">
        <w:rPr>
          <w:rFonts w:cs="Times New Roman"/>
          <w:bCs/>
          <w:noProof/>
          <w:color w:val="000000" w:themeColor="text1"/>
        </w:rPr>
        <w:t>County Government Capacity Strengthening</w:t>
      </w:r>
      <w:r>
        <w:rPr>
          <w:noProof/>
        </w:rPr>
        <w:tab/>
      </w:r>
      <w:r>
        <w:rPr>
          <w:noProof/>
        </w:rPr>
        <w:fldChar w:fldCharType="begin"/>
      </w:r>
      <w:r>
        <w:rPr>
          <w:noProof/>
        </w:rPr>
        <w:instrText xml:space="preserve"> PAGEREF _Toc234489144 \h </w:instrText>
      </w:r>
      <w:r>
        <w:rPr>
          <w:noProof/>
        </w:rPr>
      </w:r>
      <w:r>
        <w:rPr>
          <w:noProof/>
        </w:rPr>
        <w:fldChar w:fldCharType="separate"/>
      </w:r>
      <w:r>
        <w:rPr>
          <w:noProof/>
        </w:rPr>
        <w:t>222</w:t>
      </w:r>
      <w:r>
        <w:rPr>
          <w:noProof/>
        </w:rPr>
        <w:fldChar w:fldCharType="end"/>
      </w:r>
    </w:p>
    <w:p w14:paraId="25FF95A5" w14:textId="6A48C02B" w:rsidR="009B5C28" w:rsidRDefault="009B5C28">
      <w:pPr>
        <w:pStyle w:val="TOC2"/>
        <w:tabs>
          <w:tab w:val="left" w:pos="960"/>
          <w:tab w:val="right" w:leader="dot" w:pos="9350"/>
        </w:tabs>
        <w:rPr>
          <w:rFonts w:eastAsiaTheme="minorEastAsia"/>
          <w:noProof/>
        </w:rPr>
      </w:pPr>
      <w:r w:rsidRPr="00D16B20">
        <w:rPr>
          <w:rFonts w:cs="Times New Roman"/>
          <w:bCs/>
          <w:noProof/>
          <w:color w:val="000000" w:themeColor="text1"/>
        </w:rPr>
        <w:t>5.6</w:t>
      </w:r>
      <w:r>
        <w:rPr>
          <w:rFonts w:eastAsiaTheme="minorEastAsia"/>
          <w:noProof/>
        </w:rPr>
        <w:tab/>
      </w:r>
      <w:r w:rsidRPr="00D16B20">
        <w:rPr>
          <w:rFonts w:cs="Times New Roman"/>
          <w:bCs/>
          <w:noProof/>
          <w:color w:val="000000" w:themeColor="text1"/>
        </w:rPr>
        <w:t>Conclusions</w:t>
      </w:r>
      <w:r>
        <w:rPr>
          <w:noProof/>
        </w:rPr>
        <w:tab/>
      </w:r>
      <w:r>
        <w:rPr>
          <w:noProof/>
        </w:rPr>
        <w:fldChar w:fldCharType="begin"/>
      </w:r>
      <w:r>
        <w:rPr>
          <w:noProof/>
        </w:rPr>
        <w:instrText xml:space="preserve"> PAGEREF _Toc234489145 \h </w:instrText>
      </w:r>
      <w:r>
        <w:rPr>
          <w:noProof/>
        </w:rPr>
      </w:r>
      <w:r>
        <w:rPr>
          <w:noProof/>
        </w:rPr>
        <w:fldChar w:fldCharType="separate"/>
      </w:r>
      <w:r>
        <w:rPr>
          <w:noProof/>
        </w:rPr>
        <w:t>223</w:t>
      </w:r>
      <w:r>
        <w:rPr>
          <w:noProof/>
        </w:rPr>
        <w:fldChar w:fldCharType="end"/>
      </w:r>
    </w:p>
    <w:p w14:paraId="591CA379" w14:textId="3BB64AC6" w:rsidR="009B5C28" w:rsidRDefault="009B5C28">
      <w:pPr>
        <w:pStyle w:val="TOC3"/>
        <w:tabs>
          <w:tab w:val="left" w:pos="1440"/>
          <w:tab w:val="right" w:leader="dot" w:pos="9350"/>
        </w:tabs>
        <w:rPr>
          <w:rFonts w:eastAsiaTheme="minorEastAsia"/>
          <w:noProof/>
        </w:rPr>
      </w:pPr>
      <w:r w:rsidRPr="00D16B20">
        <w:rPr>
          <w:rFonts w:cs="Times New Roman"/>
          <w:bCs/>
          <w:noProof/>
          <w:color w:val="000000" w:themeColor="text1"/>
        </w:rPr>
        <w:t>5.6.1</w:t>
      </w:r>
      <w:r>
        <w:rPr>
          <w:rFonts w:eastAsiaTheme="minorEastAsia"/>
          <w:noProof/>
        </w:rPr>
        <w:tab/>
      </w:r>
      <w:r w:rsidRPr="00D16B20">
        <w:rPr>
          <w:rFonts w:cs="Times New Roman"/>
          <w:bCs/>
          <w:noProof/>
          <w:color w:val="000000" w:themeColor="text1"/>
        </w:rPr>
        <w:t>Conclusion to Research Question One: Governance Quality and Project Stalling</w:t>
      </w:r>
      <w:r>
        <w:rPr>
          <w:noProof/>
        </w:rPr>
        <w:tab/>
      </w:r>
      <w:r>
        <w:rPr>
          <w:noProof/>
        </w:rPr>
        <w:fldChar w:fldCharType="begin"/>
      </w:r>
      <w:r>
        <w:rPr>
          <w:noProof/>
        </w:rPr>
        <w:instrText xml:space="preserve"> PAGEREF _Toc234489146 \h </w:instrText>
      </w:r>
      <w:r>
        <w:rPr>
          <w:noProof/>
        </w:rPr>
      </w:r>
      <w:r>
        <w:rPr>
          <w:noProof/>
        </w:rPr>
        <w:fldChar w:fldCharType="separate"/>
      </w:r>
      <w:r>
        <w:rPr>
          <w:noProof/>
        </w:rPr>
        <w:t>223</w:t>
      </w:r>
      <w:r>
        <w:rPr>
          <w:noProof/>
        </w:rPr>
        <w:fldChar w:fldCharType="end"/>
      </w:r>
    </w:p>
    <w:p w14:paraId="3AB82C34" w14:textId="770877A1" w:rsidR="009B5C28" w:rsidRDefault="009B5C28">
      <w:pPr>
        <w:pStyle w:val="TOC3"/>
        <w:tabs>
          <w:tab w:val="left" w:pos="1440"/>
          <w:tab w:val="right" w:leader="dot" w:pos="9350"/>
        </w:tabs>
        <w:rPr>
          <w:rFonts w:eastAsiaTheme="minorEastAsia"/>
          <w:noProof/>
        </w:rPr>
      </w:pPr>
      <w:r w:rsidRPr="00D16B20">
        <w:rPr>
          <w:rFonts w:cs="Times New Roman"/>
          <w:bCs/>
          <w:noProof/>
          <w:color w:val="000000" w:themeColor="text1"/>
        </w:rPr>
        <w:t>5.6.2</w:t>
      </w:r>
      <w:r>
        <w:rPr>
          <w:rFonts w:eastAsiaTheme="minorEastAsia"/>
          <w:noProof/>
        </w:rPr>
        <w:tab/>
      </w:r>
      <w:r w:rsidRPr="00D16B20">
        <w:rPr>
          <w:rFonts w:cs="Times New Roman"/>
          <w:bCs/>
          <w:noProof/>
          <w:color w:val="000000" w:themeColor="text1"/>
        </w:rPr>
        <w:t>Conclusion to Research Question Two: Governance Quality and Time Overruns</w:t>
      </w:r>
      <w:r>
        <w:rPr>
          <w:noProof/>
        </w:rPr>
        <w:tab/>
      </w:r>
      <w:r>
        <w:rPr>
          <w:noProof/>
        </w:rPr>
        <w:fldChar w:fldCharType="begin"/>
      </w:r>
      <w:r>
        <w:rPr>
          <w:noProof/>
        </w:rPr>
        <w:instrText xml:space="preserve"> PAGEREF _Toc234489147 \h </w:instrText>
      </w:r>
      <w:r>
        <w:rPr>
          <w:noProof/>
        </w:rPr>
      </w:r>
      <w:r>
        <w:rPr>
          <w:noProof/>
        </w:rPr>
        <w:fldChar w:fldCharType="separate"/>
      </w:r>
      <w:r>
        <w:rPr>
          <w:noProof/>
        </w:rPr>
        <w:t>224</w:t>
      </w:r>
      <w:r>
        <w:rPr>
          <w:noProof/>
        </w:rPr>
        <w:fldChar w:fldCharType="end"/>
      </w:r>
    </w:p>
    <w:p w14:paraId="46849929" w14:textId="79ECDB25" w:rsidR="009B5C28" w:rsidRDefault="009B5C28">
      <w:pPr>
        <w:pStyle w:val="TOC3"/>
        <w:tabs>
          <w:tab w:val="left" w:pos="1440"/>
          <w:tab w:val="right" w:leader="dot" w:pos="9350"/>
        </w:tabs>
        <w:rPr>
          <w:rFonts w:eastAsiaTheme="minorEastAsia"/>
          <w:noProof/>
        </w:rPr>
      </w:pPr>
      <w:r w:rsidRPr="00D16B20">
        <w:rPr>
          <w:rFonts w:cs="Times New Roman"/>
          <w:bCs/>
          <w:noProof/>
          <w:color w:val="000000" w:themeColor="text1"/>
        </w:rPr>
        <w:t>5.6.3</w:t>
      </w:r>
      <w:r>
        <w:rPr>
          <w:rFonts w:eastAsiaTheme="minorEastAsia"/>
          <w:noProof/>
        </w:rPr>
        <w:tab/>
      </w:r>
      <w:r w:rsidRPr="00D16B20">
        <w:rPr>
          <w:rFonts w:cs="Times New Roman"/>
          <w:bCs/>
          <w:noProof/>
          <w:color w:val="000000" w:themeColor="text1"/>
        </w:rPr>
        <w:t>Conclusion to Research Question Three: Governance Quality and Cost Overruns</w:t>
      </w:r>
      <w:r>
        <w:rPr>
          <w:noProof/>
        </w:rPr>
        <w:tab/>
      </w:r>
      <w:r>
        <w:rPr>
          <w:noProof/>
        </w:rPr>
        <w:fldChar w:fldCharType="begin"/>
      </w:r>
      <w:r>
        <w:rPr>
          <w:noProof/>
        </w:rPr>
        <w:instrText xml:space="preserve"> PAGEREF _Toc234489148 \h </w:instrText>
      </w:r>
      <w:r>
        <w:rPr>
          <w:noProof/>
        </w:rPr>
      </w:r>
      <w:r>
        <w:rPr>
          <w:noProof/>
        </w:rPr>
        <w:fldChar w:fldCharType="separate"/>
      </w:r>
      <w:r>
        <w:rPr>
          <w:noProof/>
        </w:rPr>
        <w:t>224</w:t>
      </w:r>
      <w:r>
        <w:rPr>
          <w:noProof/>
        </w:rPr>
        <w:fldChar w:fldCharType="end"/>
      </w:r>
    </w:p>
    <w:p w14:paraId="67F4A4AA" w14:textId="30D18AC1" w:rsidR="009B5C28" w:rsidRDefault="009B5C28">
      <w:pPr>
        <w:pStyle w:val="TOC3"/>
        <w:tabs>
          <w:tab w:val="left" w:pos="1440"/>
          <w:tab w:val="right" w:leader="dot" w:pos="9350"/>
        </w:tabs>
        <w:rPr>
          <w:rFonts w:eastAsiaTheme="minorEastAsia"/>
          <w:noProof/>
        </w:rPr>
      </w:pPr>
      <w:r w:rsidRPr="00D16B20">
        <w:rPr>
          <w:rFonts w:cs="Times New Roman"/>
          <w:bCs/>
          <w:noProof/>
          <w:color w:val="000000" w:themeColor="text1"/>
        </w:rPr>
        <w:lastRenderedPageBreak/>
        <w:t>5.6.4</w:t>
      </w:r>
      <w:r>
        <w:rPr>
          <w:rFonts w:eastAsiaTheme="minorEastAsia"/>
          <w:noProof/>
        </w:rPr>
        <w:tab/>
      </w:r>
      <w:r w:rsidRPr="00D16B20">
        <w:rPr>
          <w:rFonts w:cs="Times New Roman"/>
          <w:bCs/>
          <w:noProof/>
          <w:color w:val="000000" w:themeColor="text1"/>
        </w:rPr>
        <w:t>Conclusion to Research Question Four: Governance Quality, Climate Risk, and Political Transition</w:t>
      </w:r>
      <w:r>
        <w:rPr>
          <w:noProof/>
        </w:rPr>
        <w:tab/>
      </w:r>
      <w:r>
        <w:rPr>
          <w:noProof/>
        </w:rPr>
        <w:fldChar w:fldCharType="begin"/>
      </w:r>
      <w:r>
        <w:rPr>
          <w:noProof/>
        </w:rPr>
        <w:instrText xml:space="preserve"> PAGEREF _Toc234489149 \h </w:instrText>
      </w:r>
      <w:r>
        <w:rPr>
          <w:noProof/>
        </w:rPr>
      </w:r>
      <w:r>
        <w:rPr>
          <w:noProof/>
        </w:rPr>
        <w:fldChar w:fldCharType="separate"/>
      </w:r>
      <w:r>
        <w:rPr>
          <w:noProof/>
        </w:rPr>
        <w:t>225</w:t>
      </w:r>
      <w:r>
        <w:rPr>
          <w:noProof/>
        </w:rPr>
        <w:fldChar w:fldCharType="end"/>
      </w:r>
    </w:p>
    <w:p w14:paraId="2F5E07BE" w14:textId="277C8A6A" w:rsidR="009B5C28" w:rsidRDefault="009B5C28">
      <w:pPr>
        <w:pStyle w:val="TOC3"/>
        <w:tabs>
          <w:tab w:val="left" w:pos="1440"/>
          <w:tab w:val="right" w:leader="dot" w:pos="9350"/>
        </w:tabs>
        <w:rPr>
          <w:rFonts w:eastAsiaTheme="minorEastAsia"/>
          <w:noProof/>
        </w:rPr>
      </w:pPr>
      <w:r w:rsidRPr="00D16B20">
        <w:rPr>
          <w:rFonts w:cs="Times New Roman"/>
          <w:bCs/>
          <w:noProof/>
          <w:color w:val="000000" w:themeColor="text1"/>
        </w:rPr>
        <w:t>5.6.5</w:t>
      </w:r>
      <w:r>
        <w:rPr>
          <w:rFonts w:eastAsiaTheme="minorEastAsia"/>
          <w:noProof/>
        </w:rPr>
        <w:tab/>
      </w:r>
      <w:r w:rsidRPr="00D16B20">
        <w:rPr>
          <w:rFonts w:cs="Times New Roman"/>
          <w:bCs/>
          <w:noProof/>
          <w:color w:val="000000" w:themeColor="text1"/>
        </w:rPr>
        <w:t>Integrated Conclusion</w:t>
      </w:r>
      <w:r>
        <w:rPr>
          <w:noProof/>
        </w:rPr>
        <w:tab/>
      </w:r>
      <w:r>
        <w:rPr>
          <w:noProof/>
        </w:rPr>
        <w:fldChar w:fldCharType="begin"/>
      </w:r>
      <w:r>
        <w:rPr>
          <w:noProof/>
        </w:rPr>
        <w:instrText xml:space="preserve"> PAGEREF _Toc234489150 \h </w:instrText>
      </w:r>
      <w:r>
        <w:rPr>
          <w:noProof/>
        </w:rPr>
      </w:r>
      <w:r>
        <w:rPr>
          <w:noProof/>
        </w:rPr>
        <w:fldChar w:fldCharType="separate"/>
      </w:r>
      <w:r>
        <w:rPr>
          <w:noProof/>
        </w:rPr>
        <w:t>226</w:t>
      </w:r>
      <w:r>
        <w:rPr>
          <w:noProof/>
        </w:rPr>
        <w:fldChar w:fldCharType="end"/>
      </w:r>
    </w:p>
    <w:p w14:paraId="455BD2C6" w14:textId="1C48C59E" w:rsidR="009B5C28" w:rsidRDefault="009B5C28">
      <w:pPr>
        <w:pStyle w:val="TOC2"/>
        <w:tabs>
          <w:tab w:val="left" w:pos="960"/>
          <w:tab w:val="right" w:leader="dot" w:pos="9350"/>
        </w:tabs>
        <w:rPr>
          <w:rFonts w:eastAsiaTheme="minorEastAsia"/>
          <w:noProof/>
        </w:rPr>
      </w:pPr>
      <w:r w:rsidRPr="00D16B20">
        <w:rPr>
          <w:rFonts w:cs="Times New Roman"/>
          <w:bCs/>
          <w:noProof/>
          <w:color w:val="000000" w:themeColor="text1"/>
        </w:rPr>
        <w:t>5.7</w:t>
      </w:r>
      <w:r>
        <w:rPr>
          <w:rFonts w:eastAsiaTheme="minorEastAsia"/>
          <w:noProof/>
        </w:rPr>
        <w:tab/>
      </w:r>
      <w:r w:rsidRPr="00D16B20">
        <w:rPr>
          <w:rFonts w:cs="Times New Roman"/>
          <w:bCs/>
          <w:noProof/>
          <w:color w:val="000000" w:themeColor="text1"/>
        </w:rPr>
        <w:t>Recommendations</w:t>
      </w:r>
      <w:r>
        <w:rPr>
          <w:noProof/>
        </w:rPr>
        <w:tab/>
      </w:r>
      <w:r>
        <w:rPr>
          <w:noProof/>
        </w:rPr>
        <w:fldChar w:fldCharType="begin"/>
      </w:r>
      <w:r>
        <w:rPr>
          <w:noProof/>
        </w:rPr>
        <w:instrText xml:space="preserve"> PAGEREF _Toc234489151 \h </w:instrText>
      </w:r>
      <w:r>
        <w:rPr>
          <w:noProof/>
        </w:rPr>
      </w:r>
      <w:r>
        <w:rPr>
          <w:noProof/>
        </w:rPr>
        <w:fldChar w:fldCharType="separate"/>
      </w:r>
      <w:r>
        <w:rPr>
          <w:noProof/>
        </w:rPr>
        <w:t>227</w:t>
      </w:r>
      <w:r>
        <w:rPr>
          <w:noProof/>
        </w:rPr>
        <w:fldChar w:fldCharType="end"/>
      </w:r>
    </w:p>
    <w:p w14:paraId="6EB1CC18" w14:textId="48416426" w:rsidR="009B5C28" w:rsidRDefault="009B5C28">
      <w:pPr>
        <w:pStyle w:val="TOC3"/>
        <w:tabs>
          <w:tab w:val="left" w:pos="1440"/>
          <w:tab w:val="right" w:leader="dot" w:pos="9350"/>
        </w:tabs>
        <w:rPr>
          <w:rFonts w:eastAsiaTheme="minorEastAsia"/>
          <w:noProof/>
        </w:rPr>
      </w:pPr>
      <w:r w:rsidRPr="00D16B20">
        <w:rPr>
          <w:rFonts w:cs="Times New Roman"/>
          <w:bCs/>
          <w:noProof/>
          <w:color w:val="000000" w:themeColor="text1"/>
        </w:rPr>
        <w:t>5.7.1</w:t>
      </w:r>
      <w:r>
        <w:rPr>
          <w:rFonts w:eastAsiaTheme="minorEastAsia"/>
          <w:noProof/>
        </w:rPr>
        <w:tab/>
      </w:r>
      <w:r w:rsidRPr="00D16B20">
        <w:rPr>
          <w:rFonts w:cs="Times New Roman"/>
          <w:bCs/>
          <w:noProof/>
          <w:color w:val="000000" w:themeColor="text1"/>
        </w:rPr>
        <w:t>Policy Recommendations</w:t>
      </w:r>
      <w:r>
        <w:rPr>
          <w:noProof/>
        </w:rPr>
        <w:tab/>
      </w:r>
      <w:r>
        <w:rPr>
          <w:noProof/>
        </w:rPr>
        <w:fldChar w:fldCharType="begin"/>
      </w:r>
      <w:r>
        <w:rPr>
          <w:noProof/>
        </w:rPr>
        <w:instrText xml:space="preserve"> PAGEREF _Toc234489152 \h </w:instrText>
      </w:r>
      <w:r>
        <w:rPr>
          <w:noProof/>
        </w:rPr>
      </w:r>
      <w:r>
        <w:rPr>
          <w:noProof/>
        </w:rPr>
        <w:fldChar w:fldCharType="separate"/>
      </w:r>
      <w:r>
        <w:rPr>
          <w:noProof/>
        </w:rPr>
        <w:t>228</w:t>
      </w:r>
      <w:r>
        <w:rPr>
          <w:noProof/>
        </w:rPr>
        <w:fldChar w:fldCharType="end"/>
      </w:r>
    </w:p>
    <w:p w14:paraId="35EFB093" w14:textId="504AC7A1" w:rsidR="009B5C28" w:rsidRDefault="009B5C28">
      <w:pPr>
        <w:pStyle w:val="TOC3"/>
        <w:tabs>
          <w:tab w:val="left" w:pos="1440"/>
          <w:tab w:val="right" w:leader="dot" w:pos="9350"/>
        </w:tabs>
        <w:rPr>
          <w:rFonts w:eastAsiaTheme="minorEastAsia"/>
          <w:noProof/>
        </w:rPr>
      </w:pPr>
      <w:r w:rsidRPr="00D16B20">
        <w:rPr>
          <w:rFonts w:cs="Times New Roman"/>
          <w:bCs/>
          <w:noProof/>
          <w:color w:val="000000" w:themeColor="text1"/>
        </w:rPr>
        <w:t>5.7.2</w:t>
      </w:r>
      <w:r>
        <w:rPr>
          <w:rFonts w:eastAsiaTheme="minorEastAsia"/>
          <w:noProof/>
        </w:rPr>
        <w:tab/>
      </w:r>
      <w:r w:rsidRPr="00D16B20">
        <w:rPr>
          <w:rFonts w:cs="Times New Roman"/>
          <w:bCs/>
          <w:noProof/>
          <w:color w:val="000000" w:themeColor="text1"/>
        </w:rPr>
        <w:t>Institutional Recommendations</w:t>
      </w:r>
      <w:r>
        <w:rPr>
          <w:noProof/>
        </w:rPr>
        <w:tab/>
      </w:r>
      <w:r>
        <w:rPr>
          <w:noProof/>
        </w:rPr>
        <w:fldChar w:fldCharType="begin"/>
      </w:r>
      <w:r>
        <w:rPr>
          <w:noProof/>
        </w:rPr>
        <w:instrText xml:space="preserve"> PAGEREF _Toc234489153 \h </w:instrText>
      </w:r>
      <w:r>
        <w:rPr>
          <w:noProof/>
        </w:rPr>
      </w:r>
      <w:r>
        <w:rPr>
          <w:noProof/>
        </w:rPr>
        <w:fldChar w:fldCharType="separate"/>
      </w:r>
      <w:r>
        <w:rPr>
          <w:noProof/>
        </w:rPr>
        <w:t>229</w:t>
      </w:r>
      <w:r>
        <w:rPr>
          <w:noProof/>
        </w:rPr>
        <w:fldChar w:fldCharType="end"/>
      </w:r>
    </w:p>
    <w:p w14:paraId="4755DAFB" w14:textId="2E596CC6" w:rsidR="009B5C28" w:rsidRDefault="009B5C28">
      <w:pPr>
        <w:pStyle w:val="TOC3"/>
        <w:tabs>
          <w:tab w:val="left" w:pos="1440"/>
          <w:tab w:val="right" w:leader="dot" w:pos="9350"/>
        </w:tabs>
        <w:rPr>
          <w:rFonts w:eastAsiaTheme="minorEastAsia"/>
          <w:noProof/>
        </w:rPr>
      </w:pPr>
      <w:r w:rsidRPr="00D16B20">
        <w:rPr>
          <w:rFonts w:cs="Times New Roman"/>
          <w:bCs/>
          <w:noProof/>
          <w:color w:val="000000" w:themeColor="text1"/>
        </w:rPr>
        <w:t>5.7.3</w:t>
      </w:r>
      <w:r>
        <w:rPr>
          <w:rFonts w:eastAsiaTheme="minorEastAsia"/>
          <w:noProof/>
        </w:rPr>
        <w:tab/>
      </w:r>
      <w:r w:rsidRPr="00D16B20">
        <w:rPr>
          <w:rFonts w:cs="Times New Roman"/>
          <w:bCs/>
          <w:noProof/>
          <w:color w:val="000000" w:themeColor="text1"/>
        </w:rPr>
        <w:t>Project-Level Recommendations</w:t>
      </w:r>
      <w:r>
        <w:rPr>
          <w:noProof/>
        </w:rPr>
        <w:tab/>
      </w:r>
      <w:r>
        <w:rPr>
          <w:noProof/>
        </w:rPr>
        <w:fldChar w:fldCharType="begin"/>
      </w:r>
      <w:r>
        <w:rPr>
          <w:noProof/>
        </w:rPr>
        <w:instrText xml:space="preserve"> PAGEREF _Toc234489154 \h </w:instrText>
      </w:r>
      <w:r>
        <w:rPr>
          <w:noProof/>
        </w:rPr>
      </w:r>
      <w:r>
        <w:rPr>
          <w:noProof/>
        </w:rPr>
        <w:fldChar w:fldCharType="separate"/>
      </w:r>
      <w:r>
        <w:rPr>
          <w:noProof/>
        </w:rPr>
        <w:t>230</w:t>
      </w:r>
      <w:r>
        <w:rPr>
          <w:noProof/>
        </w:rPr>
        <w:fldChar w:fldCharType="end"/>
      </w:r>
    </w:p>
    <w:p w14:paraId="43BEB862" w14:textId="446F49B5" w:rsidR="009B5C28" w:rsidRDefault="009B5C28">
      <w:pPr>
        <w:pStyle w:val="TOC3"/>
        <w:tabs>
          <w:tab w:val="left" w:pos="1440"/>
          <w:tab w:val="right" w:leader="dot" w:pos="9350"/>
        </w:tabs>
        <w:rPr>
          <w:rFonts w:eastAsiaTheme="minorEastAsia"/>
          <w:noProof/>
        </w:rPr>
      </w:pPr>
      <w:r w:rsidRPr="00D16B20">
        <w:rPr>
          <w:rFonts w:cs="Times New Roman"/>
          <w:bCs/>
          <w:noProof/>
          <w:color w:val="000000" w:themeColor="text1"/>
        </w:rPr>
        <w:t>5.7.4</w:t>
      </w:r>
      <w:r>
        <w:rPr>
          <w:rFonts w:eastAsiaTheme="minorEastAsia"/>
          <w:noProof/>
        </w:rPr>
        <w:tab/>
      </w:r>
      <w:r w:rsidRPr="00D16B20">
        <w:rPr>
          <w:rFonts w:cs="Times New Roman"/>
          <w:bCs/>
          <w:noProof/>
          <w:color w:val="000000" w:themeColor="text1"/>
        </w:rPr>
        <w:t>Governance Monitoring Recommendations</w:t>
      </w:r>
      <w:r>
        <w:rPr>
          <w:noProof/>
        </w:rPr>
        <w:tab/>
      </w:r>
      <w:r>
        <w:rPr>
          <w:noProof/>
        </w:rPr>
        <w:fldChar w:fldCharType="begin"/>
      </w:r>
      <w:r>
        <w:rPr>
          <w:noProof/>
        </w:rPr>
        <w:instrText xml:space="preserve"> PAGEREF _Toc234489155 \h </w:instrText>
      </w:r>
      <w:r>
        <w:rPr>
          <w:noProof/>
        </w:rPr>
      </w:r>
      <w:r>
        <w:rPr>
          <w:noProof/>
        </w:rPr>
        <w:fldChar w:fldCharType="separate"/>
      </w:r>
      <w:r>
        <w:rPr>
          <w:noProof/>
        </w:rPr>
        <w:t>231</w:t>
      </w:r>
      <w:r>
        <w:rPr>
          <w:noProof/>
        </w:rPr>
        <w:fldChar w:fldCharType="end"/>
      </w:r>
    </w:p>
    <w:p w14:paraId="06B46258" w14:textId="41DBEACA" w:rsidR="009B5C28" w:rsidRDefault="009B5C28">
      <w:pPr>
        <w:pStyle w:val="TOC2"/>
        <w:tabs>
          <w:tab w:val="left" w:pos="960"/>
          <w:tab w:val="right" w:leader="dot" w:pos="9350"/>
        </w:tabs>
        <w:rPr>
          <w:rFonts w:eastAsiaTheme="minorEastAsia"/>
          <w:noProof/>
        </w:rPr>
      </w:pPr>
      <w:r w:rsidRPr="00D16B20">
        <w:rPr>
          <w:rFonts w:cs="Times New Roman"/>
          <w:bCs/>
          <w:noProof/>
          <w:color w:val="000000" w:themeColor="text1"/>
        </w:rPr>
        <w:t>5.8</w:t>
      </w:r>
      <w:r>
        <w:rPr>
          <w:rFonts w:eastAsiaTheme="minorEastAsia"/>
          <w:noProof/>
        </w:rPr>
        <w:tab/>
      </w:r>
      <w:r w:rsidRPr="00D16B20">
        <w:rPr>
          <w:rFonts w:cs="Times New Roman"/>
          <w:bCs/>
          <w:noProof/>
          <w:color w:val="000000" w:themeColor="text1"/>
        </w:rPr>
        <w:t>Limitations of the Study</w:t>
      </w:r>
      <w:r>
        <w:rPr>
          <w:noProof/>
        </w:rPr>
        <w:tab/>
      </w:r>
      <w:r>
        <w:rPr>
          <w:noProof/>
        </w:rPr>
        <w:fldChar w:fldCharType="begin"/>
      </w:r>
      <w:r>
        <w:rPr>
          <w:noProof/>
        </w:rPr>
        <w:instrText xml:space="preserve"> PAGEREF _Toc234489156 \h </w:instrText>
      </w:r>
      <w:r>
        <w:rPr>
          <w:noProof/>
        </w:rPr>
      </w:r>
      <w:r>
        <w:rPr>
          <w:noProof/>
        </w:rPr>
        <w:fldChar w:fldCharType="separate"/>
      </w:r>
      <w:r>
        <w:rPr>
          <w:noProof/>
        </w:rPr>
        <w:t>235</w:t>
      </w:r>
      <w:r>
        <w:rPr>
          <w:noProof/>
        </w:rPr>
        <w:fldChar w:fldCharType="end"/>
      </w:r>
    </w:p>
    <w:p w14:paraId="512D7C2C" w14:textId="070E61A9" w:rsidR="009B5C28" w:rsidRDefault="009B5C28">
      <w:pPr>
        <w:pStyle w:val="TOC2"/>
        <w:tabs>
          <w:tab w:val="left" w:pos="960"/>
          <w:tab w:val="right" w:leader="dot" w:pos="9350"/>
        </w:tabs>
        <w:rPr>
          <w:rFonts w:eastAsiaTheme="minorEastAsia"/>
          <w:noProof/>
        </w:rPr>
      </w:pPr>
      <w:r w:rsidRPr="00D16B20">
        <w:rPr>
          <w:rFonts w:cs="Times New Roman"/>
          <w:bCs/>
          <w:noProof/>
          <w:color w:val="000000" w:themeColor="text1"/>
        </w:rPr>
        <w:t>5.9</w:t>
      </w:r>
      <w:r>
        <w:rPr>
          <w:rFonts w:eastAsiaTheme="minorEastAsia"/>
          <w:noProof/>
        </w:rPr>
        <w:tab/>
      </w:r>
      <w:r w:rsidRPr="00D16B20">
        <w:rPr>
          <w:rFonts w:cs="Times New Roman"/>
          <w:bCs/>
          <w:noProof/>
          <w:color w:val="000000" w:themeColor="text1"/>
        </w:rPr>
        <w:t>Future Research</w:t>
      </w:r>
      <w:r>
        <w:rPr>
          <w:noProof/>
        </w:rPr>
        <w:tab/>
      </w:r>
      <w:r>
        <w:rPr>
          <w:noProof/>
        </w:rPr>
        <w:fldChar w:fldCharType="begin"/>
      </w:r>
      <w:r>
        <w:rPr>
          <w:noProof/>
        </w:rPr>
        <w:instrText xml:space="preserve"> PAGEREF _Toc234489157 \h </w:instrText>
      </w:r>
      <w:r>
        <w:rPr>
          <w:noProof/>
        </w:rPr>
      </w:r>
      <w:r>
        <w:rPr>
          <w:noProof/>
        </w:rPr>
        <w:fldChar w:fldCharType="separate"/>
      </w:r>
      <w:r>
        <w:rPr>
          <w:noProof/>
        </w:rPr>
        <w:t>239</w:t>
      </w:r>
      <w:r>
        <w:rPr>
          <w:noProof/>
        </w:rPr>
        <w:fldChar w:fldCharType="end"/>
      </w:r>
    </w:p>
    <w:p w14:paraId="59017249" w14:textId="23005CBD" w:rsidR="009B5C28" w:rsidRDefault="009B5C28">
      <w:pPr>
        <w:pStyle w:val="TOC2"/>
        <w:tabs>
          <w:tab w:val="left" w:pos="960"/>
          <w:tab w:val="right" w:leader="dot" w:pos="9350"/>
        </w:tabs>
        <w:rPr>
          <w:rFonts w:eastAsiaTheme="minorEastAsia"/>
          <w:noProof/>
        </w:rPr>
      </w:pPr>
      <w:r w:rsidRPr="00D16B20">
        <w:rPr>
          <w:rFonts w:cs="Times New Roman"/>
          <w:bCs/>
          <w:noProof/>
          <w:color w:val="000000" w:themeColor="text1"/>
        </w:rPr>
        <w:t>5.10</w:t>
      </w:r>
      <w:r>
        <w:rPr>
          <w:rFonts w:eastAsiaTheme="minorEastAsia"/>
          <w:noProof/>
        </w:rPr>
        <w:tab/>
      </w:r>
      <w:r w:rsidRPr="00D16B20">
        <w:rPr>
          <w:rFonts w:cs="Times New Roman"/>
          <w:bCs/>
          <w:noProof/>
          <w:color w:val="000000" w:themeColor="text1"/>
        </w:rPr>
        <w:t>Chapter Summary and Final Reflection</w:t>
      </w:r>
      <w:r>
        <w:rPr>
          <w:noProof/>
        </w:rPr>
        <w:tab/>
      </w:r>
      <w:r>
        <w:rPr>
          <w:noProof/>
        </w:rPr>
        <w:fldChar w:fldCharType="begin"/>
      </w:r>
      <w:r>
        <w:rPr>
          <w:noProof/>
        </w:rPr>
        <w:instrText xml:space="preserve"> PAGEREF _Toc234489158 \h </w:instrText>
      </w:r>
      <w:r>
        <w:rPr>
          <w:noProof/>
        </w:rPr>
      </w:r>
      <w:r>
        <w:rPr>
          <w:noProof/>
        </w:rPr>
        <w:fldChar w:fldCharType="separate"/>
      </w:r>
      <w:r>
        <w:rPr>
          <w:noProof/>
        </w:rPr>
        <w:t>241</w:t>
      </w:r>
      <w:r>
        <w:rPr>
          <w:noProof/>
        </w:rPr>
        <w:fldChar w:fldCharType="end"/>
      </w:r>
    </w:p>
    <w:p w14:paraId="278A2D3E" w14:textId="75FCD8C2" w:rsidR="009B5C28" w:rsidRDefault="009B5C28">
      <w:pPr>
        <w:pStyle w:val="TOC1"/>
        <w:tabs>
          <w:tab w:val="right" w:leader="dot" w:pos="9350"/>
        </w:tabs>
        <w:rPr>
          <w:rFonts w:eastAsiaTheme="minorEastAsia"/>
          <w:noProof/>
        </w:rPr>
      </w:pPr>
      <w:r>
        <w:rPr>
          <w:noProof/>
        </w:rPr>
        <w:t>Reference</w:t>
      </w:r>
      <w:r>
        <w:rPr>
          <w:noProof/>
        </w:rPr>
        <w:tab/>
      </w:r>
      <w:r>
        <w:rPr>
          <w:noProof/>
        </w:rPr>
        <w:fldChar w:fldCharType="begin"/>
      </w:r>
      <w:r>
        <w:rPr>
          <w:noProof/>
        </w:rPr>
        <w:instrText xml:space="preserve"> PAGEREF _Toc234489159 \h </w:instrText>
      </w:r>
      <w:r>
        <w:rPr>
          <w:noProof/>
        </w:rPr>
      </w:r>
      <w:r>
        <w:rPr>
          <w:noProof/>
        </w:rPr>
        <w:fldChar w:fldCharType="separate"/>
      </w:r>
      <w:r>
        <w:rPr>
          <w:noProof/>
        </w:rPr>
        <w:t>244</w:t>
      </w:r>
      <w:r>
        <w:rPr>
          <w:noProof/>
        </w:rPr>
        <w:fldChar w:fldCharType="end"/>
      </w:r>
    </w:p>
    <w:p w14:paraId="7AF66B60" w14:textId="2F6F4314" w:rsidR="009B5C28" w:rsidRDefault="009B5C28">
      <w:pPr>
        <w:pStyle w:val="TOC1"/>
        <w:tabs>
          <w:tab w:val="right" w:leader="dot" w:pos="9350"/>
        </w:tabs>
        <w:rPr>
          <w:rFonts w:eastAsiaTheme="minorEastAsia"/>
          <w:noProof/>
        </w:rPr>
      </w:pPr>
      <w:r>
        <w:rPr>
          <w:noProof/>
        </w:rPr>
        <w:t>APPENDIX A: Panel Project Data Checklist –Water Management Projects</w:t>
      </w:r>
      <w:r>
        <w:rPr>
          <w:noProof/>
        </w:rPr>
        <w:tab/>
      </w:r>
      <w:r>
        <w:rPr>
          <w:noProof/>
        </w:rPr>
        <w:fldChar w:fldCharType="begin"/>
      </w:r>
      <w:r>
        <w:rPr>
          <w:noProof/>
        </w:rPr>
        <w:instrText xml:space="preserve"> PAGEREF _Toc234489160 \h </w:instrText>
      </w:r>
      <w:r>
        <w:rPr>
          <w:noProof/>
        </w:rPr>
      </w:r>
      <w:r>
        <w:rPr>
          <w:noProof/>
        </w:rPr>
        <w:fldChar w:fldCharType="separate"/>
      </w:r>
      <w:r>
        <w:rPr>
          <w:noProof/>
        </w:rPr>
        <w:t>250</w:t>
      </w:r>
      <w:r>
        <w:rPr>
          <w:noProof/>
        </w:rPr>
        <w:fldChar w:fldCharType="end"/>
      </w:r>
    </w:p>
    <w:p w14:paraId="5A82497E" w14:textId="298DBE9C" w:rsidR="009B5C28" w:rsidRDefault="009B5C28">
      <w:pPr>
        <w:pStyle w:val="TOC1"/>
        <w:tabs>
          <w:tab w:val="right" w:leader="dot" w:pos="9350"/>
        </w:tabs>
        <w:rPr>
          <w:rFonts w:eastAsiaTheme="minorEastAsia"/>
          <w:noProof/>
        </w:rPr>
      </w:pPr>
      <w:r>
        <w:rPr>
          <w:noProof/>
        </w:rPr>
        <w:t>APPENDIX B: Project Coding Guide for Project Dataset</w:t>
      </w:r>
      <w:r>
        <w:rPr>
          <w:noProof/>
        </w:rPr>
        <w:tab/>
      </w:r>
      <w:r>
        <w:rPr>
          <w:noProof/>
        </w:rPr>
        <w:fldChar w:fldCharType="begin"/>
      </w:r>
      <w:r>
        <w:rPr>
          <w:noProof/>
        </w:rPr>
        <w:instrText xml:space="preserve"> PAGEREF _Toc234489161 \h </w:instrText>
      </w:r>
      <w:r>
        <w:rPr>
          <w:noProof/>
        </w:rPr>
      </w:r>
      <w:r>
        <w:rPr>
          <w:noProof/>
        </w:rPr>
        <w:fldChar w:fldCharType="separate"/>
      </w:r>
      <w:r>
        <w:rPr>
          <w:noProof/>
        </w:rPr>
        <w:t>252</w:t>
      </w:r>
      <w:r>
        <w:rPr>
          <w:noProof/>
        </w:rPr>
        <w:fldChar w:fldCharType="end"/>
      </w:r>
    </w:p>
    <w:p w14:paraId="534A5E49" w14:textId="5F2816C0" w:rsidR="009B5C28" w:rsidRDefault="009B5C28">
      <w:pPr>
        <w:pStyle w:val="TOC1"/>
        <w:tabs>
          <w:tab w:val="right" w:leader="dot" w:pos="9350"/>
        </w:tabs>
        <w:rPr>
          <w:rFonts w:eastAsiaTheme="minorEastAsia"/>
          <w:noProof/>
        </w:rPr>
      </w:pPr>
      <w:r>
        <w:rPr>
          <w:noProof/>
        </w:rPr>
        <w:t>APPENDIX C</w:t>
      </w:r>
      <w:r>
        <w:rPr>
          <w:noProof/>
        </w:rPr>
        <w:tab/>
      </w:r>
      <w:r>
        <w:rPr>
          <w:noProof/>
        </w:rPr>
        <w:fldChar w:fldCharType="begin"/>
      </w:r>
      <w:r>
        <w:rPr>
          <w:noProof/>
        </w:rPr>
        <w:instrText xml:space="preserve"> PAGEREF _Toc234489162 \h </w:instrText>
      </w:r>
      <w:r>
        <w:rPr>
          <w:noProof/>
        </w:rPr>
      </w:r>
      <w:r>
        <w:rPr>
          <w:noProof/>
        </w:rPr>
        <w:fldChar w:fldCharType="separate"/>
      </w:r>
      <w:r>
        <w:rPr>
          <w:noProof/>
        </w:rPr>
        <w:t>256</w:t>
      </w:r>
      <w:r>
        <w:rPr>
          <w:noProof/>
        </w:rPr>
        <w:fldChar w:fldCharType="end"/>
      </w:r>
    </w:p>
    <w:p w14:paraId="167A7A6A" w14:textId="670FE57E" w:rsidR="00854BDF" w:rsidRPr="00AF0CC3" w:rsidRDefault="009F2BD0" w:rsidP="002E0E45">
      <w:pPr>
        <w:rPr>
          <w:rFonts w:ascii="Times New Roman" w:hAnsi="Times New Roman" w:cs="Times New Roman"/>
          <w:color w:val="000000" w:themeColor="text1"/>
        </w:rPr>
      </w:pPr>
      <w:r w:rsidRPr="00AF0CC3">
        <w:rPr>
          <w:rFonts w:ascii="Times New Roman" w:hAnsi="Times New Roman" w:cs="Times New Roman"/>
          <w:color w:val="000000" w:themeColor="text1"/>
        </w:rPr>
        <w:fldChar w:fldCharType="end"/>
      </w:r>
    </w:p>
    <w:p w14:paraId="4BE5CC19" w14:textId="77777777" w:rsidR="00854BDF" w:rsidRPr="00AF0CC3" w:rsidRDefault="00854BDF" w:rsidP="002E0E45">
      <w:pPr>
        <w:rPr>
          <w:rFonts w:ascii="Times New Roman" w:hAnsi="Times New Roman" w:cs="Times New Roman"/>
          <w:color w:val="000000" w:themeColor="text1"/>
        </w:rPr>
      </w:pPr>
    </w:p>
    <w:p w14:paraId="5CC77143" w14:textId="77777777" w:rsidR="00854BDF" w:rsidRPr="00AF0CC3" w:rsidRDefault="00854BDF" w:rsidP="002E0E45">
      <w:pPr>
        <w:rPr>
          <w:rFonts w:ascii="Times New Roman" w:hAnsi="Times New Roman" w:cs="Times New Roman"/>
          <w:color w:val="000000" w:themeColor="text1"/>
        </w:rPr>
      </w:pPr>
    </w:p>
    <w:p w14:paraId="41DED9BD" w14:textId="77777777" w:rsidR="00854BDF" w:rsidRPr="00AF0CC3" w:rsidRDefault="00854BDF" w:rsidP="002E0E45">
      <w:pPr>
        <w:rPr>
          <w:rFonts w:ascii="Times New Roman" w:hAnsi="Times New Roman" w:cs="Times New Roman"/>
          <w:color w:val="000000" w:themeColor="text1"/>
        </w:rPr>
      </w:pPr>
    </w:p>
    <w:p w14:paraId="3D14C2CA" w14:textId="77777777" w:rsidR="00854BDF" w:rsidRPr="00AF0CC3" w:rsidRDefault="00854BDF" w:rsidP="002E0E45">
      <w:pPr>
        <w:rPr>
          <w:rFonts w:ascii="Times New Roman" w:hAnsi="Times New Roman" w:cs="Times New Roman"/>
          <w:color w:val="000000" w:themeColor="text1"/>
        </w:rPr>
      </w:pPr>
    </w:p>
    <w:p w14:paraId="674D2C76" w14:textId="77777777" w:rsidR="00854BDF" w:rsidRPr="00AF0CC3" w:rsidRDefault="00854BDF" w:rsidP="002E0E45">
      <w:pPr>
        <w:rPr>
          <w:rFonts w:ascii="Times New Roman" w:hAnsi="Times New Roman" w:cs="Times New Roman"/>
          <w:color w:val="000000" w:themeColor="text1"/>
        </w:rPr>
      </w:pPr>
    </w:p>
    <w:p w14:paraId="6BB8A96B" w14:textId="77777777" w:rsidR="00854BDF" w:rsidRPr="00AF0CC3" w:rsidRDefault="00854BDF" w:rsidP="002E0E45">
      <w:pPr>
        <w:rPr>
          <w:rFonts w:ascii="Times New Roman" w:hAnsi="Times New Roman" w:cs="Times New Roman"/>
          <w:color w:val="000000" w:themeColor="text1"/>
        </w:rPr>
      </w:pPr>
    </w:p>
    <w:p w14:paraId="3EC8994B" w14:textId="77777777" w:rsidR="00854BDF" w:rsidRPr="00AF0CC3" w:rsidRDefault="00854BDF" w:rsidP="002E0E45">
      <w:pPr>
        <w:rPr>
          <w:rFonts w:ascii="Times New Roman" w:hAnsi="Times New Roman" w:cs="Times New Roman"/>
          <w:color w:val="000000" w:themeColor="text1"/>
        </w:rPr>
      </w:pPr>
    </w:p>
    <w:p w14:paraId="12F46B0E" w14:textId="77777777" w:rsidR="00854BDF" w:rsidRPr="00AF0CC3" w:rsidRDefault="00854BDF" w:rsidP="002E0E45">
      <w:pPr>
        <w:rPr>
          <w:rFonts w:ascii="Times New Roman" w:hAnsi="Times New Roman" w:cs="Times New Roman"/>
          <w:color w:val="000000" w:themeColor="text1"/>
        </w:rPr>
      </w:pPr>
    </w:p>
    <w:p w14:paraId="4AD42EF1" w14:textId="77777777" w:rsidR="00854BDF" w:rsidRPr="00AF0CC3" w:rsidRDefault="00854BDF" w:rsidP="002E0E45">
      <w:pPr>
        <w:rPr>
          <w:rFonts w:ascii="Times New Roman" w:hAnsi="Times New Roman" w:cs="Times New Roman"/>
          <w:color w:val="000000" w:themeColor="text1"/>
        </w:rPr>
      </w:pPr>
    </w:p>
    <w:p w14:paraId="7A9BF5CC" w14:textId="77777777" w:rsidR="00854BDF" w:rsidRPr="00AF0CC3" w:rsidRDefault="00854BDF" w:rsidP="002E0E45">
      <w:pPr>
        <w:rPr>
          <w:rFonts w:ascii="Times New Roman" w:hAnsi="Times New Roman" w:cs="Times New Roman"/>
          <w:color w:val="000000" w:themeColor="text1"/>
        </w:rPr>
      </w:pPr>
    </w:p>
    <w:p w14:paraId="233569AC" w14:textId="77777777" w:rsidR="00854BDF" w:rsidRPr="00AF0CC3" w:rsidRDefault="00854BDF" w:rsidP="002E0E45">
      <w:pPr>
        <w:rPr>
          <w:rFonts w:ascii="Times New Roman" w:hAnsi="Times New Roman" w:cs="Times New Roman"/>
          <w:color w:val="000000" w:themeColor="text1"/>
        </w:rPr>
      </w:pPr>
    </w:p>
    <w:p w14:paraId="60B73F54" w14:textId="77777777" w:rsidR="00854BDF" w:rsidRPr="00AF0CC3" w:rsidRDefault="00854BDF" w:rsidP="002E0E45">
      <w:pPr>
        <w:rPr>
          <w:rFonts w:ascii="Times New Roman" w:hAnsi="Times New Roman" w:cs="Times New Roman"/>
          <w:color w:val="000000" w:themeColor="text1"/>
        </w:rPr>
      </w:pPr>
    </w:p>
    <w:p w14:paraId="54778B2B" w14:textId="77777777" w:rsidR="00412836" w:rsidRPr="00AF0CC3" w:rsidRDefault="00412836" w:rsidP="002E0E45">
      <w:pPr>
        <w:rPr>
          <w:rFonts w:ascii="Times New Roman" w:hAnsi="Times New Roman" w:cs="Times New Roman"/>
          <w:color w:val="000000" w:themeColor="text1"/>
        </w:rPr>
      </w:pPr>
    </w:p>
    <w:p w14:paraId="467A0BF1" w14:textId="06656003" w:rsidR="00854BDF" w:rsidRPr="007E5C0D" w:rsidRDefault="009F5498" w:rsidP="009F5498">
      <w:pPr>
        <w:pStyle w:val="FrontMatterheading2"/>
        <w:rPr>
          <w:b/>
          <w:bCs/>
          <w:szCs w:val="24"/>
        </w:rPr>
      </w:pPr>
      <w:bookmarkStart w:id="3" w:name="_Toc234488955"/>
      <w:r w:rsidRPr="007E5C0D">
        <w:rPr>
          <w:b/>
          <w:bCs/>
          <w:szCs w:val="24"/>
        </w:rPr>
        <w:t>LIST OF TABLES</w:t>
      </w:r>
      <w:bookmarkEnd w:id="3"/>
    </w:p>
    <w:p w14:paraId="666A0186" w14:textId="77777777" w:rsidR="00854BDF" w:rsidRPr="00AF0CC3" w:rsidRDefault="00854BDF" w:rsidP="002E0E45">
      <w:pPr>
        <w:rPr>
          <w:rFonts w:ascii="Times New Roman" w:hAnsi="Times New Roman" w:cs="Times New Roman"/>
          <w:color w:val="000000" w:themeColor="text1"/>
        </w:rPr>
      </w:pPr>
    </w:p>
    <w:p w14:paraId="7580A975" w14:textId="43524C40" w:rsidR="00427E03" w:rsidRPr="00AF0CC3" w:rsidRDefault="00427E03">
      <w:pPr>
        <w:pStyle w:val="TableofFigures"/>
        <w:tabs>
          <w:tab w:val="right" w:leader="dot" w:pos="9350"/>
        </w:tabs>
        <w:rPr>
          <w:rFonts w:ascii="Times New Roman" w:eastAsiaTheme="minorEastAsia" w:hAnsi="Times New Roman" w:cs="Times New Roman"/>
          <w:noProof/>
        </w:rPr>
      </w:pPr>
      <w:r w:rsidRPr="00AF0CC3">
        <w:rPr>
          <w:rFonts w:ascii="Times New Roman" w:hAnsi="Times New Roman" w:cs="Times New Roman"/>
          <w:color w:val="000000" w:themeColor="text1"/>
        </w:rPr>
        <w:fldChar w:fldCharType="begin"/>
      </w:r>
      <w:r w:rsidRPr="00AF0CC3">
        <w:rPr>
          <w:rFonts w:ascii="Times New Roman" w:hAnsi="Times New Roman" w:cs="Times New Roman"/>
          <w:color w:val="000000" w:themeColor="text1"/>
        </w:rPr>
        <w:instrText xml:space="preserve"> TOC \c "Table" </w:instrText>
      </w:r>
      <w:r w:rsidRPr="00AF0CC3">
        <w:rPr>
          <w:rFonts w:ascii="Times New Roman" w:hAnsi="Times New Roman" w:cs="Times New Roman"/>
          <w:color w:val="000000" w:themeColor="text1"/>
        </w:rPr>
        <w:fldChar w:fldCharType="separate"/>
      </w:r>
      <w:r w:rsidRPr="00AF0CC3">
        <w:rPr>
          <w:rFonts w:ascii="Times New Roman" w:hAnsi="Times New Roman" w:cs="Times New Roman"/>
          <w:noProof/>
        </w:rPr>
        <w:t xml:space="preserve">Table </w:t>
      </w:r>
      <w:r w:rsidR="007707C5" w:rsidRPr="00AF0CC3">
        <w:rPr>
          <w:rFonts w:ascii="Times New Roman" w:hAnsi="Times New Roman" w:cs="Times New Roman"/>
          <w:noProof/>
        </w:rPr>
        <w:t>2- 1: Summary</w:t>
      </w:r>
      <w:r w:rsidRPr="00AF0CC3">
        <w:rPr>
          <w:rFonts w:ascii="Times New Roman" w:hAnsi="Times New Roman" w:cs="Times New Roman"/>
          <w:noProof/>
        </w:rPr>
        <w:t xml:space="preserve"> of Theoretical Perspectives on Infrastructure Governance</w:t>
      </w:r>
      <w:r w:rsidRPr="00AF0CC3">
        <w:rPr>
          <w:rFonts w:ascii="Times New Roman" w:hAnsi="Times New Roman" w:cs="Times New Roman"/>
          <w:noProof/>
        </w:rPr>
        <w:tab/>
      </w:r>
      <w:r w:rsidRPr="00AF0CC3">
        <w:rPr>
          <w:rFonts w:ascii="Times New Roman" w:hAnsi="Times New Roman" w:cs="Times New Roman"/>
          <w:noProof/>
        </w:rPr>
        <w:fldChar w:fldCharType="begin"/>
      </w:r>
      <w:r w:rsidRPr="00AF0CC3">
        <w:rPr>
          <w:rFonts w:ascii="Times New Roman" w:hAnsi="Times New Roman" w:cs="Times New Roman"/>
          <w:noProof/>
        </w:rPr>
        <w:instrText xml:space="preserve"> PAGEREF _Toc234437356 \h </w:instrText>
      </w:r>
      <w:r w:rsidRPr="00AF0CC3">
        <w:rPr>
          <w:rFonts w:ascii="Times New Roman" w:hAnsi="Times New Roman" w:cs="Times New Roman"/>
          <w:noProof/>
        </w:rPr>
      </w:r>
      <w:r w:rsidRPr="00AF0CC3">
        <w:rPr>
          <w:rFonts w:ascii="Times New Roman" w:hAnsi="Times New Roman" w:cs="Times New Roman"/>
          <w:noProof/>
        </w:rPr>
        <w:fldChar w:fldCharType="separate"/>
      </w:r>
      <w:r w:rsidRPr="00AF0CC3">
        <w:rPr>
          <w:rFonts w:ascii="Times New Roman" w:hAnsi="Times New Roman" w:cs="Times New Roman"/>
          <w:noProof/>
        </w:rPr>
        <w:t>31</w:t>
      </w:r>
      <w:r w:rsidRPr="00AF0CC3">
        <w:rPr>
          <w:rFonts w:ascii="Times New Roman" w:hAnsi="Times New Roman" w:cs="Times New Roman"/>
          <w:noProof/>
        </w:rPr>
        <w:fldChar w:fldCharType="end"/>
      </w:r>
    </w:p>
    <w:p w14:paraId="63F1E3BD" w14:textId="10CDDA93" w:rsidR="00427E03" w:rsidRPr="00AF0CC3" w:rsidRDefault="00427E03">
      <w:pPr>
        <w:pStyle w:val="TableofFigures"/>
        <w:tabs>
          <w:tab w:val="right" w:leader="dot" w:pos="9350"/>
        </w:tabs>
        <w:rPr>
          <w:rFonts w:ascii="Times New Roman" w:eastAsiaTheme="minorEastAsia" w:hAnsi="Times New Roman" w:cs="Times New Roman"/>
          <w:noProof/>
        </w:rPr>
      </w:pPr>
      <w:r w:rsidRPr="00AF0CC3">
        <w:rPr>
          <w:rFonts w:ascii="Times New Roman" w:hAnsi="Times New Roman" w:cs="Times New Roman"/>
          <w:noProof/>
        </w:rPr>
        <w:t>Table 2</w:t>
      </w:r>
      <w:r w:rsidRPr="00AF0CC3">
        <w:rPr>
          <w:rFonts w:ascii="Times New Roman" w:hAnsi="Times New Roman" w:cs="Times New Roman"/>
          <w:noProof/>
        </w:rPr>
        <w:noBreakHyphen/>
        <w:t>2 Distinguishing Delay from Project Stalling</w:t>
      </w:r>
      <w:r w:rsidRPr="00AF0CC3">
        <w:rPr>
          <w:rFonts w:ascii="Times New Roman" w:hAnsi="Times New Roman" w:cs="Times New Roman"/>
          <w:noProof/>
        </w:rPr>
        <w:tab/>
      </w:r>
      <w:r w:rsidRPr="00AF0CC3">
        <w:rPr>
          <w:rFonts w:ascii="Times New Roman" w:hAnsi="Times New Roman" w:cs="Times New Roman"/>
          <w:noProof/>
        </w:rPr>
        <w:fldChar w:fldCharType="begin"/>
      </w:r>
      <w:r w:rsidRPr="00AF0CC3">
        <w:rPr>
          <w:rFonts w:ascii="Times New Roman" w:hAnsi="Times New Roman" w:cs="Times New Roman"/>
          <w:noProof/>
        </w:rPr>
        <w:instrText xml:space="preserve"> PAGEREF _Toc234437357 \h </w:instrText>
      </w:r>
      <w:r w:rsidRPr="00AF0CC3">
        <w:rPr>
          <w:rFonts w:ascii="Times New Roman" w:hAnsi="Times New Roman" w:cs="Times New Roman"/>
          <w:noProof/>
        </w:rPr>
      </w:r>
      <w:r w:rsidRPr="00AF0CC3">
        <w:rPr>
          <w:rFonts w:ascii="Times New Roman" w:hAnsi="Times New Roman" w:cs="Times New Roman"/>
          <w:noProof/>
        </w:rPr>
        <w:fldChar w:fldCharType="separate"/>
      </w:r>
      <w:r w:rsidRPr="00AF0CC3">
        <w:rPr>
          <w:rFonts w:ascii="Times New Roman" w:hAnsi="Times New Roman" w:cs="Times New Roman"/>
          <w:noProof/>
        </w:rPr>
        <w:t>34</w:t>
      </w:r>
      <w:r w:rsidRPr="00AF0CC3">
        <w:rPr>
          <w:rFonts w:ascii="Times New Roman" w:hAnsi="Times New Roman" w:cs="Times New Roman"/>
          <w:noProof/>
        </w:rPr>
        <w:fldChar w:fldCharType="end"/>
      </w:r>
    </w:p>
    <w:p w14:paraId="51BABBC6" w14:textId="705EE0E2" w:rsidR="00427E03" w:rsidRPr="00AF0CC3" w:rsidRDefault="00427E03">
      <w:pPr>
        <w:pStyle w:val="TableofFigures"/>
        <w:tabs>
          <w:tab w:val="right" w:leader="dot" w:pos="9350"/>
        </w:tabs>
        <w:rPr>
          <w:rFonts w:ascii="Times New Roman" w:eastAsiaTheme="minorEastAsia" w:hAnsi="Times New Roman" w:cs="Times New Roman"/>
          <w:noProof/>
        </w:rPr>
      </w:pPr>
      <w:r w:rsidRPr="00AF0CC3">
        <w:rPr>
          <w:rFonts w:ascii="Times New Roman" w:hAnsi="Times New Roman" w:cs="Times New Roman"/>
          <w:noProof/>
        </w:rPr>
        <w:t>Table 2</w:t>
      </w:r>
      <w:r w:rsidRPr="00AF0CC3">
        <w:rPr>
          <w:rFonts w:ascii="Times New Roman" w:hAnsi="Times New Roman" w:cs="Times New Roman"/>
          <w:noProof/>
        </w:rPr>
        <w:noBreakHyphen/>
        <w:t>3 Governance Failures Across the Water Infrastructure Lifecycle</w:t>
      </w:r>
      <w:r w:rsidRPr="00AF0CC3">
        <w:rPr>
          <w:rFonts w:ascii="Times New Roman" w:hAnsi="Times New Roman" w:cs="Times New Roman"/>
          <w:noProof/>
        </w:rPr>
        <w:tab/>
      </w:r>
      <w:r w:rsidRPr="00AF0CC3">
        <w:rPr>
          <w:rFonts w:ascii="Times New Roman" w:hAnsi="Times New Roman" w:cs="Times New Roman"/>
          <w:noProof/>
        </w:rPr>
        <w:fldChar w:fldCharType="begin"/>
      </w:r>
      <w:r w:rsidRPr="00AF0CC3">
        <w:rPr>
          <w:rFonts w:ascii="Times New Roman" w:hAnsi="Times New Roman" w:cs="Times New Roman"/>
          <w:noProof/>
        </w:rPr>
        <w:instrText xml:space="preserve"> PAGEREF _Toc234437358 \h </w:instrText>
      </w:r>
      <w:r w:rsidRPr="00AF0CC3">
        <w:rPr>
          <w:rFonts w:ascii="Times New Roman" w:hAnsi="Times New Roman" w:cs="Times New Roman"/>
          <w:noProof/>
        </w:rPr>
      </w:r>
      <w:r w:rsidRPr="00AF0CC3">
        <w:rPr>
          <w:rFonts w:ascii="Times New Roman" w:hAnsi="Times New Roman" w:cs="Times New Roman"/>
          <w:noProof/>
        </w:rPr>
        <w:fldChar w:fldCharType="separate"/>
      </w:r>
      <w:r w:rsidRPr="00AF0CC3">
        <w:rPr>
          <w:rFonts w:ascii="Times New Roman" w:hAnsi="Times New Roman" w:cs="Times New Roman"/>
          <w:noProof/>
        </w:rPr>
        <w:t>42</w:t>
      </w:r>
      <w:r w:rsidRPr="00AF0CC3">
        <w:rPr>
          <w:rFonts w:ascii="Times New Roman" w:hAnsi="Times New Roman" w:cs="Times New Roman"/>
          <w:noProof/>
        </w:rPr>
        <w:fldChar w:fldCharType="end"/>
      </w:r>
    </w:p>
    <w:p w14:paraId="03C28D46" w14:textId="51819B17" w:rsidR="00427E03" w:rsidRPr="00AF0CC3" w:rsidRDefault="00427E03">
      <w:pPr>
        <w:pStyle w:val="TableofFigures"/>
        <w:tabs>
          <w:tab w:val="right" w:leader="dot" w:pos="9350"/>
        </w:tabs>
        <w:rPr>
          <w:rFonts w:ascii="Times New Roman" w:eastAsiaTheme="minorEastAsia" w:hAnsi="Times New Roman" w:cs="Times New Roman"/>
          <w:noProof/>
        </w:rPr>
      </w:pPr>
      <w:r w:rsidRPr="00AF0CC3">
        <w:rPr>
          <w:rFonts w:ascii="Times New Roman" w:hAnsi="Times New Roman" w:cs="Times New Roman"/>
          <w:noProof/>
        </w:rPr>
        <w:t>Table 2</w:t>
      </w:r>
      <w:r w:rsidRPr="00AF0CC3">
        <w:rPr>
          <w:rFonts w:ascii="Times New Roman" w:hAnsi="Times New Roman" w:cs="Times New Roman"/>
          <w:noProof/>
        </w:rPr>
        <w:noBreakHyphen/>
        <w:t>4 Governance Risks in PPP and Non-PPP Water Infrastructure Projects</w:t>
      </w:r>
      <w:r w:rsidRPr="00AF0CC3">
        <w:rPr>
          <w:rFonts w:ascii="Times New Roman" w:hAnsi="Times New Roman" w:cs="Times New Roman"/>
          <w:noProof/>
        </w:rPr>
        <w:tab/>
      </w:r>
      <w:r w:rsidRPr="00AF0CC3">
        <w:rPr>
          <w:rFonts w:ascii="Times New Roman" w:hAnsi="Times New Roman" w:cs="Times New Roman"/>
          <w:noProof/>
        </w:rPr>
        <w:fldChar w:fldCharType="begin"/>
      </w:r>
      <w:r w:rsidRPr="00AF0CC3">
        <w:rPr>
          <w:rFonts w:ascii="Times New Roman" w:hAnsi="Times New Roman" w:cs="Times New Roman"/>
          <w:noProof/>
        </w:rPr>
        <w:instrText xml:space="preserve"> PAGEREF _Toc234437359 \h </w:instrText>
      </w:r>
      <w:r w:rsidRPr="00AF0CC3">
        <w:rPr>
          <w:rFonts w:ascii="Times New Roman" w:hAnsi="Times New Roman" w:cs="Times New Roman"/>
          <w:noProof/>
        </w:rPr>
      </w:r>
      <w:r w:rsidRPr="00AF0CC3">
        <w:rPr>
          <w:rFonts w:ascii="Times New Roman" w:hAnsi="Times New Roman" w:cs="Times New Roman"/>
          <w:noProof/>
        </w:rPr>
        <w:fldChar w:fldCharType="separate"/>
      </w:r>
      <w:r w:rsidRPr="00AF0CC3">
        <w:rPr>
          <w:rFonts w:ascii="Times New Roman" w:hAnsi="Times New Roman" w:cs="Times New Roman"/>
          <w:noProof/>
        </w:rPr>
        <w:t>49</w:t>
      </w:r>
      <w:r w:rsidRPr="00AF0CC3">
        <w:rPr>
          <w:rFonts w:ascii="Times New Roman" w:hAnsi="Times New Roman" w:cs="Times New Roman"/>
          <w:noProof/>
        </w:rPr>
        <w:fldChar w:fldCharType="end"/>
      </w:r>
    </w:p>
    <w:p w14:paraId="59B270F3" w14:textId="30E3BA09" w:rsidR="00427E03" w:rsidRPr="00AF0CC3" w:rsidRDefault="00427E03">
      <w:pPr>
        <w:pStyle w:val="TableofFigures"/>
        <w:tabs>
          <w:tab w:val="right" w:leader="dot" w:pos="9350"/>
        </w:tabs>
        <w:rPr>
          <w:rFonts w:ascii="Times New Roman" w:eastAsiaTheme="minorEastAsia" w:hAnsi="Times New Roman" w:cs="Times New Roman"/>
          <w:noProof/>
        </w:rPr>
      </w:pPr>
      <w:r w:rsidRPr="00AF0CC3">
        <w:rPr>
          <w:rFonts w:ascii="Times New Roman" w:hAnsi="Times New Roman" w:cs="Times New Roman"/>
          <w:noProof/>
        </w:rPr>
        <w:t>Table 2</w:t>
      </w:r>
      <w:r w:rsidRPr="00AF0CC3">
        <w:rPr>
          <w:rFonts w:ascii="Times New Roman" w:hAnsi="Times New Roman" w:cs="Times New Roman"/>
          <w:noProof/>
        </w:rPr>
        <w:noBreakHyphen/>
        <w:t>5 Climate Risk and Governance Mediation Across the Project Lifecycle</w:t>
      </w:r>
      <w:r w:rsidRPr="00AF0CC3">
        <w:rPr>
          <w:rFonts w:ascii="Times New Roman" w:hAnsi="Times New Roman" w:cs="Times New Roman"/>
          <w:noProof/>
        </w:rPr>
        <w:tab/>
      </w:r>
      <w:r w:rsidRPr="00AF0CC3">
        <w:rPr>
          <w:rFonts w:ascii="Times New Roman" w:hAnsi="Times New Roman" w:cs="Times New Roman"/>
          <w:noProof/>
        </w:rPr>
        <w:fldChar w:fldCharType="begin"/>
      </w:r>
      <w:r w:rsidRPr="00AF0CC3">
        <w:rPr>
          <w:rFonts w:ascii="Times New Roman" w:hAnsi="Times New Roman" w:cs="Times New Roman"/>
          <w:noProof/>
        </w:rPr>
        <w:instrText xml:space="preserve"> PAGEREF _Toc234437360 \h </w:instrText>
      </w:r>
      <w:r w:rsidRPr="00AF0CC3">
        <w:rPr>
          <w:rFonts w:ascii="Times New Roman" w:hAnsi="Times New Roman" w:cs="Times New Roman"/>
          <w:noProof/>
        </w:rPr>
      </w:r>
      <w:r w:rsidRPr="00AF0CC3">
        <w:rPr>
          <w:rFonts w:ascii="Times New Roman" w:hAnsi="Times New Roman" w:cs="Times New Roman"/>
          <w:noProof/>
        </w:rPr>
        <w:fldChar w:fldCharType="separate"/>
      </w:r>
      <w:r w:rsidRPr="00AF0CC3">
        <w:rPr>
          <w:rFonts w:ascii="Times New Roman" w:hAnsi="Times New Roman" w:cs="Times New Roman"/>
          <w:noProof/>
        </w:rPr>
        <w:t>56</w:t>
      </w:r>
      <w:r w:rsidRPr="00AF0CC3">
        <w:rPr>
          <w:rFonts w:ascii="Times New Roman" w:hAnsi="Times New Roman" w:cs="Times New Roman"/>
          <w:noProof/>
        </w:rPr>
        <w:fldChar w:fldCharType="end"/>
      </w:r>
    </w:p>
    <w:p w14:paraId="2DA3EECC" w14:textId="51F0AB9B" w:rsidR="00427E03" w:rsidRPr="00AF0CC3" w:rsidRDefault="00427E03">
      <w:pPr>
        <w:pStyle w:val="TableofFigures"/>
        <w:tabs>
          <w:tab w:val="right" w:leader="dot" w:pos="9350"/>
        </w:tabs>
        <w:rPr>
          <w:rFonts w:ascii="Times New Roman" w:eastAsiaTheme="minorEastAsia" w:hAnsi="Times New Roman" w:cs="Times New Roman"/>
          <w:noProof/>
        </w:rPr>
      </w:pPr>
      <w:r w:rsidRPr="00AF0CC3">
        <w:rPr>
          <w:rFonts w:ascii="Times New Roman" w:hAnsi="Times New Roman" w:cs="Times New Roman"/>
          <w:noProof/>
        </w:rPr>
        <w:t>Table 2</w:t>
      </w:r>
      <w:r w:rsidRPr="00AF0CC3">
        <w:rPr>
          <w:rFonts w:ascii="Times New Roman" w:hAnsi="Times New Roman" w:cs="Times New Roman"/>
          <w:noProof/>
        </w:rPr>
        <w:noBreakHyphen/>
        <w:t>6 Governance Challenges in Kenyan Water Infrastructure Projects</w:t>
      </w:r>
      <w:r w:rsidRPr="00AF0CC3">
        <w:rPr>
          <w:rFonts w:ascii="Times New Roman" w:hAnsi="Times New Roman" w:cs="Times New Roman"/>
          <w:noProof/>
        </w:rPr>
        <w:tab/>
      </w:r>
      <w:r w:rsidRPr="00AF0CC3">
        <w:rPr>
          <w:rFonts w:ascii="Times New Roman" w:hAnsi="Times New Roman" w:cs="Times New Roman"/>
          <w:noProof/>
        </w:rPr>
        <w:fldChar w:fldCharType="begin"/>
      </w:r>
      <w:r w:rsidRPr="00AF0CC3">
        <w:rPr>
          <w:rFonts w:ascii="Times New Roman" w:hAnsi="Times New Roman" w:cs="Times New Roman"/>
          <w:noProof/>
        </w:rPr>
        <w:instrText xml:space="preserve"> PAGEREF _Toc234437361 \h </w:instrText>
      </w:r>
      <w:r w:rsidRPr="00AF0CC3">
        <w:rPr>
          <w:rFonts w:ascii="Times New Roman" w:hAnsi="Times New Roman" w:cs="Times New Roman"/>
          <w:noProof/>
        </w:rPr>
      </w:r>
      <w:r w:rsidRPr="00AF0CC3">
        <w:rPr>
          <w:rFonts w:ascii="Times New Roman" w:hAnsi="Times New Roman" w:cs="Times New Roman"/>
          <w:noProof/>
        </w:rPr>
        <w:fldChar w:fldCharType="separate"/>
      </w:r>
      <w:r w:rsidRPr="00AF0CC3">
        <w:rPr>
          <w:rFonts w:ascii="Times New Roman" w:hAnsi="Times New Roman" w:cs="Times New Roman"/>
          <w:noProof/>
        </w:rPr>
        <w:t>62</w:t>
      </w:r>
      <w:r w:rsidRPr="00AF0CC3">
        <w:rPr>
          <w:rFonts w:ascii="Times New Roman" w:hAnsi="Times New Roman" w:cs="Times New Roman"/>
          <w:noProof/>
        </w:rPr>
        <w:fldChar w:fldCharType="end"/>
      </w:r>
    </w:p>
    <w:p w14:paraId="050CDDC2" w14:textId="6ABFD175" w:rsidR="00427E03" w:rsidRPr="00AF0CC3" w:rsidRDefault="00427E03">
      <w:pPr>
        <w:pStyle w:val="TableofFigures"/>
        <w:tabs>
          <w:tab w:val="right" w:leader="dot" w:pos="9350"/>
        </w:tabs>
        <w:rPr>
          <w:rFonts w:ascii="Times New Roman" w:eastAsiaTheme="minorEastAsia" w:hAnsi="Times New Roman" w:cs="Times New Roman"/>
          <w:noProof/>
        </w:rPr>
      </w:pPr>
      <w:r w:rsidRPr="00AF0CC3">
        <w:rPr>
          <w:rFonts w:ascii="Times New Roman" w:hAnsi="Times New Roman" w:cs="Times New Roman"/>
          <w:noProof/>
        </w:rPr>
        <w:t>Table 2</w:t>
      </w:r>
      <w:r w:rsidRPr="00AF0CC3">
        <w:rPr>
          <w:rFonts w:ascii="Times New Roman" w:hAnsi="Times New Roman" w:cs="Times New Roman"/>
          <w:noProof/>
        </w:rPr>
        <w:noBreakHyphen/>
        <w:t>7 Summary of Key Literature Gaps in Infrastructure Governance and Performance Studies</w:t>
      </w:r>
      <w:r w:rsidRPr="00AF0CC3">
        <w:rPr>
          <w:rFonts w:ascii="Times New Roman" w:hAnsi="Times New Roman" w:cs="Times New Roman"/>
          <w:noProof/>
        </w:rPr>
        <w:tab/>
      </w:r>
      <w:r w:rsidRPr="00AF0CC3">
        <w:rPr>
          <w:rFonts w:ascii="Times New Roman" w:hAnsi="Times New Roman" w:cs="Times New Roman"/>
          <w:noProof/>
        </w:rPr>
        <w:fldChar w:fldCharType="begin"/>
      </w:r>
      <w:r w:rsidRPr="00AF0CC3">
        <w:rPr>
          <w:rFonts w:ascii="Times New Roman" w:hAnsi="Times New Roman" w:cs="Times New Roman"/>
          <w:noProof/>
        </w:rPr>
        <w:instrText xml:space="preserve"> PAGEREF _Toc234437362 \h </w:instrText>
      </w:r>
      <w:r w:rsidRPr="00AF0CC3">
        <w:rPr>
          <w:rFonts w:ascii="Times New Roman" w:hAnsi="Times New Roman" w:cs="Times New Roman"/>
          <w:noProof/>
        </w:rPr>
      </w:r>
      <w:r w:rsidRPr="00AF0CC3">
        <w:rPr>
          <w:rFonts w:ascii="Times New Roman" w:hAnsi="Times New Roman" w:cs="Times New Roman"/>
          <w:noProof/>
        </w:rPr>
        <w:fldChar w:fldCharType="separate"/>
      </w:r>
      <w:r w:rsidRPr="00AF0CC3">
        <w:rPr>
          <w:rFonts w:ascii="Times New Roman" w:hAnsi="Times New Roman" w:cs="Times New Roman"/>
          <w:noProof/>
        </w:rPr>
        <w:t>69</w:t>
      </w:r>
      <w:r w:rsidRPr="00AF0CC3">
        <w:rPr>
          <w:rFonts w:ascii="Times New Roman" w:hAnsi="Times New Roman" w:cs="Times New Roman"/>
          <w:noProof/>
        </w:rPr>
        <w:fldChar w:fldCharType="end"/>
      </w:r>
    </w:p>
    <w:p w14:paraId="59A40031" w14:textId="59210064" w:rsidR="00427E03" w:rsidRPr="00AF0CC3" w:rsidRDefault="00427E03">
      <w:pPr>
        <w:pStyle w:val="TableofFigures"/>
        <w:tabs>
          <w:tab w:val="right" w:leader="dot" w:pos="9350"/>
        </w:tabs>
        <w:rPr>
          <w:rFonts w:ascii="Times New Roman" w:eastAsiaTheme="minorEastAsia" w:hAnsi="Times New Roman" w:cs="Times New Roman"/>
          <w:noProof/>
        </w:rPr>
      </w:pPr>
      <w:r w:rsidRPr="00AF0CC3">
        <w:rPr>
          <w:rFonts w:ascii="Times New Roman" w:hAnsi="Times New Roman" w:cs="Times New Roman"/>
          <w:noProof/>
        </w:rPr>
        <w:t>Table 2</w:t>
      </w:r>
      <w:r w:rsidRPr="00AF0CC3">
        <w:rPr>
          <w:rFonts w:ascii="Times New Roman" w:hAnsi="Times New Roman" w:cs="Times New Roman"/>
          <w:noProof/>
        </w:rPr>
        <w:noBreakHyphen/>
        <w:t>8 Alignment Between Identified Literature Gaps and Study Contributions</w:t>
      </w:r>
      <w:r w:rsidRPr="00AF0CC3">
        <w:rPr>
          <w:rFonts w:ascii="Times New Roman" w:hAnsi="Times New Roman" w:cs="Times New Roman"/>
          <w:noProof/>
        </w:rPr>
        <w:tab/>
      </w:r>
      <w:r w:rsidRPr="00AF0CC3">
        <w:rPr>
          <w:rFonts w:ascii="Times New Roman" w:hAnsi="Times New Roman" w:cs="Times New Roman"/>
          <w:noProof/>
        </w:rPr>
        <w:fldChar w:fldCharType="begin"/>
      </w:r>
      <w:r w:rsidRPr="00AF0CC3">
        <w:rPr>
          <w:rFonts w:ascii="Times New Roman" w:hAnsi="Times New Roman" w:cs="Times New Roman"/>
          <w:noProof/>
        </w:rPr>
        <w:instrText xml:space="preserve"> PAGEREF _Toc234437363 \h </w:instrText>
      </w:r>
      <w:r w:rsidRPr="00AF0CC3">
        <w:rPr>
          <w:rFonts w:ascii="Times New Roman" w:hAnsi="Times New Roman" w:cs="Times New Roman"/>
          <w:noProof/>
        </w:rPr>
      </w:r>
      <w:r w:rsidRPr="00AF0CC3">
        <w:rPr>
          <w:rFonts w:ascii="Times New Roman" w:hAnsi="Times New Roman" w:cs="Times New Roman"/>
          <w:noProof/>
        </w:rPr>
        <w:fldChar w:fldCharType="separate"/>
      </w:r>
      <w:r w:rsidRPr="00AF0CC3">
        <w:rPr>
          <w:rFonts w:ascii="Times New Roman" w:hAnsi="Times New Roman" w:cs="Times New Roman"/>
          <w:noProof/>
        </w:rPr>
        <w:t>75</w:t>
      </w:r>
      <w:r w:rsidRPr="00AF0CC3">
        <w:rPr>
          <w:rFonts w:ascii="Times New Roman" w:hAnsi="Times New Roman" w:cs="Times New Roman"/>
          <w:noProof/>
        </w:rPr>
        <w:fldChar w:fldCharType="end"/>
      </w:r>
    </w:p>
    <w:p w14:paraId="03A831CB" w14:textId="71411A3C" w:rsidR="00427E03" w:rsidRPr="00AF0CC3" w:rsidRDefault="00427E03">
      <w:pPr>
        <w:pStyle w:val="TableofFigures"/>
        <w:tabs>
          <w:tab w:val="right" w:leader="dot" w:pos="9350"/>
        </w:tabs>
        <w:rPr>
          <w:rFonts w:ascii="Times New Roman" w:eastAsiaTheme="minorEastAsia" w:hAnsi="Times New Roman" w:cs="Times New Roman"/>
          <w:noProof/>
        </w:rPr>
      </w:pPr>
      <w:r w:rsidRPr="00AF0CC3">
        <w:rPr>
          <w:rFonts w:ascii="Times New Roman" w:hAnsi="Times New Roman" w:cs="Times New Roman"/>
          <w:noProof/>
        </w:rPr>
        <w:t>Table 3</w:t>
      </w:r>
      <w:r w:rsidRPr="00AF0CC3">
        <w:rPr>
          <w:rFonts w:ascii="Times New Roman" w:hAnsi="Times New Roman" w:cs="Times New Roman"/>
          <w:noProof/>
        </w:rPr>
        <w:noBreakHyphen/>
        <w:t>1 Governance Quality Index Indicators</w:t>
      </w:r>
      <w:r w:rsidRPr="00AF0CC3">
        <w:rPr>
          <w:rFonts w:ascii="Times New Roman" w:hAnsi="Times New Roman" w:cs="Times New Roman"/>
          <w:noProof/>
        </w:rPr>
        <w:tab/>
      </w:r>
      <w:r w:rsidRPr="00AF0CC3">
        <w:rPr>
          <w:rFonts w:ascii="Times New Roman" w:hAnsi="Times New Roman" w:cs="Times New Roman"/>
          <w:noProof/>
        </w:rPr>
        <w:fldChar w:fldCharType="begin"/>
      </w:r>
      <w:r w:rsidRPr="00AF0CC3">
        <w:rPr>
          <w:rFonts w:ascii="Times New Roman" w:hAnsi="Times New Roman" w:cs="Times New Roman"/>
          <w:noProof/>
        </w:rPr>
        <w:instrText xml:space="preserve"> PAGEREF _Toc234437364 \h </w:instrText>
      </w:r>
      <w:r w:rsidRPr="00AF0CC3">
        <w:rPr>
          <w:rFonts w:ascii="Times New Roman" w:hAnsi="Times New Roman" w:cs="Times New Roman"/>
          <w:noProof/>
        </w:rPr>
      </w:r>
      <w:r w:rsidRPr="00AF0CC3">
        <w:rPr>
          <w:rFonts w:ascii="Times New Roman" w:hAnsi="Times New Roman" w:cs="Times New Roman"/>
          <w:noProof/>
        </w:rPr>
        <w:fldChar w:fldCharType="separate"/>
      </w:r>
      <w:r w:rsidRPr="00AF0CC3">
        <w:rPr>
          <w:rFonts w:ascii="Times New Roman" w:hAnsi="Times New Roman" w:cs="Times New Roman"/>
          <w:noProof/>
        </w:rPr>
        <w:t>92</w:t>
      </w:r>
      <w:r w:rsidRPr="00AF0CC3">
        <w:rPr>
          <w:rFonts w:ascii="Times New Roman" w:hAnsi="Times New Roman" w:cs="Times New Roman"/>
          <w:noProof/>
        </w:rPr>
        <w:fldChar w:fldCharType="end"/>
      </w:r>
    </w:p>
    <w:p w14:paraId="668AF1FD" w14:textId="15729FC1" w:rsidR="00427E03" w:rsidRPr="00AF0CC3" w:rsidRDefault="00427E03">
      <w:pPr>
        <w:pStyle w:val="TableofFigures"/>
        <w:tabs>
          <w:tab w:val="right" w:leader="dot" w:pos="9350"/>
        </w:tabs>
        <w:rPr>
          <w:rFonts w:ascii="Times New Roman" w:eastAsiaTheme="minorEastAsia" w:hAnsi="Times New Roman" w:cs="Times New Roman"/>
          <w:noProof/>
        </w:rPr>
      </w:pPr>
      <w:r w:rsidRPr="00AF0CC3">
        <w:rPr>
          <w:rFonts w:ascii="Times New Roman" w:hAnsi="Times New Roman" w:cs="Times New Roman"/>
          <w:noProof/>
        </w:rPr>
        <w:t>Table 3</w:t>
      </w:r>
      <w:r w:rsidRPr="00AF0CC3">
        <w:rPr>
          <w:rFonts w:ascii="Times New Roman" w:hAnsi="Times New Roman" w:cs="Times New Roman"/>
          <w:noProof/>
        </w:rPr>
        <w:noBreakHyphen/>
        <w:t>2 Governance Quality Index Scoring Rubric</w:t>
      </w:r>
      <w:r w:rsidRPr="00AF0CC3">
        <w:rPr>
          <w:rFonts w:ascii="Times New Roman" w:hAnsi="Times New Roman" w:cs="Times New Roman"/>
          <w:noProof/>
        </w:rPr>
        <w:tab/>
      </w:r>
      <w:r w:rsidRPr="00AF0CC3">
        <w:rPr>
          <w:rFonts w:ascii="Times New Roman" w:hAnsi="Times New Roman" w:cs="Times New Roman"/>
          <w:noProof/>
        </w:rPr>
        <w:fldChar w:fldCharType="begin"/>
      </w:r>
      <w:r w:rsidRPr="00AF0CC3">
        <w:rPr>
          <w:rFonts w:ascii="Times New Roman" w:hAnsi="Times New Roman" w:cs="Times New Roman"/>
          <w:noProof/>
        </w:rPr>
        <w:instrText xml:space="preserve"> PAGEREF _Toc234437365 \h </w:instrText>
      </w:r>
      <w:r w:rsidRPr="00AF0CC3">
        <w:rPr>
          <w:rFonts w:ascii="Times New Roman" w:hAnsi="Times New Roman" w:cs="Times New Roman"/>
          <w:noProof/>
        </w:rPr>
      </w:r>
      <w:r w:rsidRPr="00AF0CC3">
        <w:rPr>
          <w:rFonts w:ascii="Times New Roman" w:hAnsi="Times New Roman" w:cs="Times New Roman"/>
          <w:noProof/>
        </w:rPr>
        <w:fldChar w:fldCharType="separate"/>
      </w:r>
      <w:r w:rsidRPr="00AF0CC3">
        <w:rPr>
          <w:rFonts w:ascii="Times New Roman" w:hAnsi="Times New Roman" w:cs="Times New Roman"/>
          <w:noProof/>
        </w:rPr>
        <w:t>93</w:t>
      </w:r>
      <w:r w:rsidRPr="00AF0CC3">
        <w:rPr>
          <w:rFonts w:ascii="Times New Roman" w:hAnsi="Times New Roman" w:cs="Times New Roman"/>
          <w:noProof/>
        </w:rPr>
        <w:fldChar w:fldCharType="end"/>
      </w:r>
    </w:p>
    <w:p w14:paraId="7B726E6B" w14:textId="3EC52673" w:rsidR="00427E03" w:rsidRPr="00AF0CC3" w:rsidRDefault="00427E03">
      <w:pPr>
        <w:pStyle w:val="TableofFigures"/>
        <w:tabs>
          <w:tab w:val="right" w:leader="dot" w:pos="9350"/>
        </w:tabs>
        <w:rPr>
          <w:rFonts w:ascii="Times New Roman" w:eastAsiaTheme="minorEastAsia" w:hAnsi="Times New Roman" w:cs="Times New Roman"/>
          <w:noProof/>
        </w:rPr>
      </w:pPr>
      <w:r w:rsidRPr="00AF0CC3">
        <w:rPr>
          <w:rFonts w:ascii="Times New Roman" w:hAnsi="Times New Roman" w:cs="Times New Roman"/>
          <w:noProof/>
        </w:rPr>
        <w:t>Table 3</w:t>
      </w:r>
      <w:r w:rsidRPr="00AF0CC3">
        <w:rPr>
          <w:rFonts w:ascii="Times New Roman" w:hAnsi="Times New Roman" w:cs="Times New Roman"/>
          <w:noProof/>
        </w:rPr>
        <w:noBreakHyphen/>
        <w:t>3 Summary of Variables and Measurement</w:t>
      </w:r>
      <w:r w:rsidRPr="00AF0CC3">
        <w:rPr>
          <w:rFonts w:ascii="Times New Roman" w:hAnsi="Times New Roman" w:cs="Times New Roman"/>
          <w:noProof/>
        </w:rPr>
        <w:tab/>
      </w:r>
      <w:r w:rsidRPr="00AF0CC3">
        <w:rPr>
          <w:rFonts w:ascii="Times New Roman" w:hAnsi="Times New Roman" w:cs="Times New Roman"/>
          <w:noProof/>
        </w:rPr>
        <w:fldChar w:fldCharType="begin"/>
      </w:r>
      <w:r w:rsidRPr="00AF0CC3">
        <w:rPr>
          <w:rFonts w:ascii="Times New Roman" w:hAnsi="Times New Roman" w:cs="Times New Roman"/>
          <w:noProof/>
        </w:rPr>
        <w:instrText xml:space="preserve"> PAGEREF _Toc234437366 \h </w:instrText>
      </w:r>
      <w:r w:rsidRPr="00AF0CC3">
        <w:rPr>
          <w:rFonts w:ascii="Times New Roman" w:hAnsi="Times New Roman" w:cs="Times New Roman"/>
          <w:noProof/>
        </w:rPr>
      </w:r>
      <w:r w:rsidRPr="00AF0CC3">
        <w:rPr>
          <w:rFonts w:ascii="Times New Roman" w:hAnsi="Times New Roman" w:cs="Times New Roman"/>
          <w:noProof/>
        </w:rPr>
        <w:fldChar w:fldCharType="separate"/>
      </w:r>
      <w:r w:rsidRPr="00AF0CC3">
        <w:rPr>
          <w:rFonts w:ascii="Times New Roman" w:hAnsi="Times New Roman" w:cs="Times New Roman"/>
          <w:noProof/>
        </w:rPr>
        <w:t>98</w:t>
      </w:r>
      <w:r w:rsidRPr="00AF0CC3">
        <w:rPr>
          <w:rFonts w:ascii="Times New Roman" w:hAnsi="Times New Roman" w:cs="Times New Roman"/>
          <w:noProof/>
        </w:rPr>
        <w:fldChar w:fldCharType="end"/>
      </w:r>
    </w:p>
    <w:p w14:paraId="7002F435" w14:textId="1BAFDA15" w:rsidR="00427E03" w:rsidRPr="00AF0CC3" w:rsidRDefault="00427E03">
      <w:pPr>
        <w:pStyle w:val="TableofFigures"/>
        <w:tabs>
          <w:tab w:val="right" w:leader="dot" w:pos="9350"/>
        </w:tabs>
        <w:rPr>
          <w:rFonts w:ascii="Times New Roman" w:eastAsiaTheme="minorEastAsia" w:hAnsi="Times New Roman" w:cs="Times New Roman"/>
          <w:noProof/>
        </w:rPr>
      </w:pPr>
      <w:r w:rsidRPr="00AF0CC3">
        <w:rPr>
          <w:rFonts w:ascii="Times New Roman" w:hAnsi="Times New Roman" w:cs="Times New Roman"/>
          <w:noProof/>
        </w:rPr>
        <w:t>Table 3</w:t>
      </w:r>
      <w:r w:rsidRPr="00AF0CC3">
        <w:rPr>
          <w:rFonts w:ascii="Times New Roman" w:hAnsi="Times New Roman" w:cs="Times New Roman"/>
          <w:noProof/>
        </w:rPr>
        <w:noBreakHyphen/>
        <w:t>4 Project Sampling Criteria</w:t>
      </w:r>
      <w:r w:rsidRPr="00AF0CC3">
        <w:rPr>
          <w:rFonts w:ascii="Times New Roman" w:hAnsi="Times New Roman" w:cs="Times New Roman"/>
          <w:noProof/>
        </w:rPr>
        <w:tab/>
      </w:r>
      <w:r w:rsidRPr="00AF0CC3">
        <w:rPr>
          <w:rFonts w:ascii="Times New Roman" w:hAnsi="Times New Roman" w:cs="Times New Roman"/>
          <w:noProof/>
        </w:rPr>
        <w:fldChar w:fldCharType="begin"/>
      </w:r>
      <w:r w:rsidRPr="00AF0CC3">
        <w:rPr>
          <w:rFonts w:ascii="Times New Roman" w:hAnsi="Times New Roman" w:cs="Times New Roman"/>
          <w:noProof/>
        </w:rPr>
        <w:instrText xml:space="preserve"> PAGEREF _Toc234437367 \h </w:instrText>
      </w:r>
      <w:r w:rsidRPr="00AF0CC3">
        <w:rPr>
          <w:rFonts w:ascii="Times New Roman" w:hAnsi="Times New Roman" w:cs="Times New Roman"/>
          <w:noProof/>
        </w:rPr>
      </w:r>
      <w:r w:rsidRPr="00AF0CC3">
        <w:rPr>
          <w:rFonts w:ascii="Times New Roman" w:hAnsi="Times New Roman" w:cs="Times New Roman"/>
          <w:noProof/>
        </w:rPr>
        <w:fldChar w:fldCharType="separate"/>
      </w:r>
      <w:r w:rsidRPr="00AF0CC3">
        <w:rPr>
          <w:rFonts w:ascii="Times New Roman" w:hAnsi="Times New Roman" w:cs="Times New Roman"/>
          <w:noProof/>
        </w:rPr>
        <w:t>105</w:t>
      </w:r>
      <w:r w:rsidRPr="00AF0CC3">
        <w:rPr>
          <w:rFonts w:ascii="Times New Roman" w:hAnsi="Times New Roman" w:cs="Times New Roman"/>
          <w:noProof/>
        </w:rPr>
        <w:fldChar w:fldCharType="end"/>
      </w:r>
    </w:p>
    <w:p w14:paraId="3C5F807A" w14:textId="02E16768" w:rsidR="00427E03" w:rsidRPr="00AF0CC3" w:rsidRDefault="00427E03">
      <w:pPr>
        <w:pStyle w:val="TableofFigures"/>
        <w:tabs>
          <w:tab w:val="right" w:leader="dot" w:pos="9350"/>
        </w:tabs>
        <w:rPr>
          <w:rFonts w:ascii="Times New Roman" w:eastAsiaTheme="minorEastAsia" w:hAnsi="Times New Roman" w:cs="Times New Roman"/>
          <w:noProof/>
        </w:rPr>
      </w:pPr>
      <w:r w:rsidRPr="00AF0CC3">
        <w:rPr>
          <w:rFonts w:ascii="Times New Roman" w:hAnsi="Times New Roman" w:cs="Times New Roman"/>
          <w:noProof/>
        </w:rPr>
        <w:t>Table 3</w:t>
      </w:r>
      <w:r w:rsidRPr="00AF0CC3">
        <w:rPr>
          <w:rFonts w:ascii="Times New Roman" w:hAnsi="Times New Roman" w:cs="Times New Roman"/>
          <w:noProof/>
        </w:rPr>
        <w:noBreakHyphen/>
        <w:t>5 Project Data Collection Sources</w:t>
      </w:r>
      <w:r w:rsidRPr="00AF0CC3">
        <w:rPr>
          <w:rFonts w:ascii="Times New Roman" w:hAnsi="Times New Roman" w:cs="Times New Roman"/>
          <w:noProof/>
        </w:rPr>
        <w:tab/>
      </w:r>
      <w:r w:rsidRPr="00AF0CC3">
        <w:rPr>
          <w:rFonts w:ascii="Times New Roman" w:hAnsi="Times New Roman" w:cs="Times New Roman"/>
          <w:noProof/>
        </w:rPr>
        <w:fldChar w:fldCharType="begin"/>
      </w:r>
      <w:r w:rsidRPr="00AF0CC3">
        <w:rPr>
          <w:rFonts w:ascii="Times New Roman" w:hAnsi="Times New Roman" w:cs="Times New Roman"/>
          <w:noProof/>
        </w:rPr>
        <w:instrText xml:space="preserve"> PAGEREF _Toc234437368 \h </w:instrText>
      </w:r>
      <w:r w:rsidRPr="00AF0CC3">
        <w:rPr>
          <w:rFonts w:ascii="Times New Roman" w:hAnsi="Times New Roman" w:cs="Times New Roman"/>
          <w:noProof/>
        </w:rPr>
      </w:r>
      <w:r w:rsidRPr="00AF0CC3">
        <w:rPr>
          <w:rFonts w:ascii="Times New Roman" w:hAnsi="Times New Roman" w:cs="Times New Roman"/>
          <w:noProof/>
        </w:rPr>
        <w:fldChar w:fldCharType="separate"/>
      </w:r>
      <w:r w:rsidRPr="00AF0CC3">
        <w:rPr>
          <w:rFonts w:ascii="Times New Roman" w:hAnsi="Times New Roman" w:cs="Times New Roman"/>
          <w:noProof/>
        </w:rPr>
        <w:t>108</w:t>
      </w:r>
      <w:r w:rsidRPr="00AF0CC3">
        <w:rPr>
          <w:rFonts w:ascii="Times New Roman" w:hAnsi="Times New Roman" w:cs="Times New Roman"/>
          <w:noProof/>
        </w:rPr>
        <w:fldChar w:fldCharType="end"/>
      </w:r>
    </w:p>
    <w:p w14:paraId="36D09F76" w14:textId="29389C2F" w:rsidR="00427E03" w:rsidRPr="00AF0CC3" w:rsidRDefault="00427E03">
      <w:pPr>
        <w:pStyle w:val="TableofFigures"/>
        <w:tabs>
          <w:tab w:val="right" w:leader="dot" w:pos="9350"/>
        </w:tabs>
        <w:rPr>
          <w:rFonts w:ascii="Times New Roman" w:eastAsiaTheme="minorEastAsia" w:hAnsi="Times New Roman" w:cs="Times New Roman"/>
          <w:noProof/>
        </w:rPr>
      </w:pPr>
      <w:r w:rsidRPr="00AF0CC3">
        <w:rPr>
          <w:rFonts w:ascii="Times New Roman" w:hAnsi="Times New Roman" w:cs="Times New Roman"/>
          <w:noProof/>
        </w:rPr>
        <w:t>Table 4</w:t>
      </w:r>
      <w:r w:rsidRPr="00AF0CC3">
        <w:rPr>
          <w:rFonts w:ascii="Times New Roman" w:hAnsi="Times New Roman" w:cs="Times New Roman"/>
          <w:noProof/>
        </w:rPr>
        <w:noBreakHyphen/>
        <w:t>1 Descriptive Statistics for Main Variables</w:t>
      </w:r>
      <w:r w:rsidRPr="00AF0CC3">
        <w:rPr>
          <w:rFonts w:ascii="Times New Roman" w:hAnsi="Times New Roman" w:cs="Times New Roman"/>
          <w:noProof/>
        </w:rPr>
        <w:tab/>
      </w:r>
      <w:r w:rsidRPr="00AF0CC3">
        <w:rPr>
          <w:rFonts w:ascii="Times New Roman" w:hAnsi="Times New Roman" w:cs="Times New Roman"/>
          <w:noProof/>
        </w:rPr>
        <w:fldChar w:fldCharType="begin"/>
      </w:r>
      <w:r w:rsidRPr="00AF0CC3">
        <w:rPr>
          <w:rFonts w:ascii="Times New Roman" w:hAnsi="Times New Roman" w:cs="Times New Roman"/>
          <w:noProof/>
        </w:rPr>
        <w:instrText xml:space="preserve"> PAGEREF _Toc234437369 \h </w:instrText>
      </w:r>
      <w:r w:rsidRPr="00AF0CC3">
        <w:rPr>
          <w:rFonts w:ascii="Times New Roman" w:hAnsi="Times New Roman" w:cs="Times New Roman"/>
          <w:noProof/>
        </w:rPr>
      </w:r>
      <w:r w:rsidRPr="00AF0CC3">
        <w:rPr>
          <w:rFonts w:ascii="Times New Roman" w:hAnsi="Times New Roman" w:cs="Times New Roman"/>
          <w:noProof/>
        </w:rPr>
        <w:fldChar w:fldCharType="separate"/>
      </w:r>
      <w:r w:rsidRPr="00AF0CC3">
        <w:rPr>
          <w:rFonts w:ascii="Times New Roman" w:hAnsi="Times New Roman" w:cs="Times New Roman"/>
          <w:noProof/>
        </w:rPr>
        <w:t>132</w:t>
      </w:r>
      <w:r w:rsidRPr="00AF0CC3">
        <w:rPr>
          <w:rFonts w:ascii="Times New Roman" w:hAnsi="Times New Roman" w:cs="Times New Roman"/>
          <w:noProof/>
        </w:rPr>
        <w:fldChar w:fldCharType="end"/>
      </w:r>
    </w:p>
    <w:p w14:paraId="7C825538" w14:textId="6DAD230C" w:rsidR="00427E03" w:rsidRPr="00AF0CC3" w:rsidRDefault="00427E03">
      <w:pPr>
        <w:pStyle w:val="TableofFigures"/>
        <w:tabs>
          <w:tab w:val="right" w:leader="dot" w:pos="9350"/>
        </w:tabs>
        <w:rPr>
          <w:rFonts w:ascii="Times New Roman" w:eastAsiaTheme="minorEastAsia" w:hAnsi="Times New Roman" w:cs="Times New Roman"/>
          <w:noProof/>
        </w:rPr>
      </w:pPr>
      <w:r w:rsidRPr="00AF0CC3">
        <w:rPr>
          <w:rFonts w:ascii="Times New Roman" w:hAnsi="Times New Roman" w:cs="Times New Roman"/>
          <w:noProof/>
        </w:rPr>
        <w:t>Table 4</w:t>
      </w:r>
      <w:r w:rsidRPr="00AF0CC3">
        <w:rPr>
          <w:rFonts w:ascii="Times New Roman" w:hAnsi="Times New Roman" w:cs="Times New Roman"/>
          <w:noProof/>
        </w:rPr>
        <w:noBreakHyphen/>
        <w:t>2 Documentation Accessibility by Implementing Authority</w:t>
      </w:r>
      <w:r w:rsidRPr="00AF0CC3">
        <w:rPr>
          <w:rFonts w:ascii="Times New Roman" w:hAnsi="Times New Roman" w:cs="Times New Roman"/>
          <w:noProof/>
        </w:rPr>
        <w:tab/>
      </w:r>
      <w:r w:rsidRPr="00AF0CC3">
        <w:rPr>
          <w:rFonts w:ascii="Times New Roman" w:hAnsi="Times New Roman" w:cs="Times New Roman"/>
          <w:noProof/>
        </w:rPr>
        <w:fldChar w:fldCharType="begin"/>
      </w:r>
      <w:r w:rsidRPr="00AF0CC3">
        <w:rPr>
          <w:rFonts w:ascii="Times New Roman" w:hAnsi="Times New Roman" w:cs="Times New Roman"/>
          <w:noProof/>
        </w:rPr>
        <w:instrText xml:space="preserve"> PAGEREF _Toc234437370 \h </w:instrText>
      </w:r>
      <w:r w:rsidRPr="00AF0CC3">
        <w:rPr>
          <w:rFonts w:ascii="Times New Roman" w:hAnsi="Times New Roman" w:cs="Times New Roman"/>
          <w:noProof/>
        </w:rPr>
      </w:r>
      <w:r w:rsidRPr="00AF0CC3">
        <w:rPr>
          <w:rFonts w:ascii="Times New Roman" w:hAnsi="Times New Roman" w:cs="Times New Roman"/>
          <w:noProof/>
        </w:rPr>
        <w:fldChar w:fldCharType="separate"/>
      </w:r>
      <w:r w:rsidRPr="00AF0CC3">
        <w:rPr>
          <w:rFonts w:ascii="Times New Roman" w:hAnsi="Times New Roman" w:cs="Times New Roman"/>
          <w:noProof/>
        </w:rPr>
        <w:t>134</w:t>
      </w:r>
      <w:r w:rsidRPr="00AF0CC3">
        <w:rPr>
          <w:rFonts w:ascii="Times New Roman" w:hAnsi="Times New Roman" w:cs="Times New Roman"/>
          <w:noProof/>
        </w:rPr>
        <w:fldChar w:fldCharType="end"/>
      </w:r>
    </w:p>
    <w:p w14:paraId="2F0C4001" w14:textId="29C3B46A" w:rsidR="00427E03" w:rsidRPr="00AF0CC3" w:rsidRDefault="00427E03">
      <w:pPr>
        <w:pStyle w:val="TableofFigures"/>
        <w:tabs>
          <w:tab w:val="right" w:leader="dot" w:pos="9350"/>
        </w:tabs>
        <w:rPr>
          <w:rFonts w:ascii="Times New Roman" w:eastAsiaTheme="minorEastAsia" w:hAnsi="Times New Roman" w:cs="Times New Roman"/>
          <w:noProof/>
        </w:rPr>
      </w:pPr>
      <w:r w:rsidRPr="00AF0CC3">
        <w:rPr>
          <w:rFonts w:ascii="Times New Roman" w:hAnsi="Times New Roman" w:cs="Times New Roman"/>
          <w:noProof/>
        </w:rPr>
        <w:t>Table 4</w:t>
      </w:r>
      <w:r w:rsidRPr="00AF0CC3">
        <w:rPr>
          <w:rFonts w:ascii="Times New Roman" w:hAnsi="Times New Roman" w:cs="Times New Roman"/>
          <w:noProof/>
        </w:rPr>
        <w:noBreakHyphen/>
        <w:t>3 Mean Governance Component Scores</w:t>
      </w:r>
      <w:r w:rsidRPr="00AF0CC3">
        <w:rPr>
          <w:rFonts w:ascii="Times New Roman" w:hAnsi="Times New Roman" w:cs="Times New Roman"/>
          <w:noProof/>
        </w:rPr>
        <w:tab/>
      </w:r>
      <w:r w:rsidRPr="00AF0CC3">
        <w:rPr>
          <w:rFonts w:ascii="Times New Roman" w:hAnsi="Times New Roman" w:cs="Times New Roman"/>
          <w:noProof/>
        </w:rPr>
        <w:fldChar w:fldCharType="begin"/>
      </w:r>
      <w:r w:rsidRPr="00AF0CC3">
        <w:rPr>
          <w:rFonts w:ascii="Times New Roman" w:hAnsi="Times New Roman" w:cs="Times New Roman"/>
          <w:noProof/>
        </w:rPr>
        <w:instrText xml:space="preserve"> PAGEREF _Toc234437371 \h </w:instrText>
      </w:r>
      <w:r w:rsidRPr="00AF0CC3">
        <w:rPr>
          <w:rFonts w:ascii="Times New Roman" w:hAnsi="Times New Roman" w:cs="Times New Roman"/>
          <w:noProof/>
        </w:rPr>
      </w:r>
      <w:r w:rsidRPr="00AF0CC3">
        <w:rPr>
          <w:rFonts w:ascii="Times New Roman" w:hAnsi="Times New Roman" w:cs="Times New Roman"/>
          <w:noProof/>
        </w:rPr>
        <w:fldChar w:fldCharType="separate"/>
      </w:r>
      <w:r w:rsidRPr="00AF0CC3">
        <w:rPr>
          <w:rFonts w:ascii="Times New Roman" w:hAnsi="Times New Roman" w:cs="Times New Roman"/>
          <w:noProof/>
        </w:rPr>
        <w:t>136</w:t>
      </w:r>
      <w:r w:rsidRPr="00AF0CC3">
        <w:rPr>
          <w:rFonts w:ascii="Times New Roman" w:hAnsi="Times New Roman" w:cs="Times New Roman"/>
          <w:noProof/>
        </w:rPr>
        <w:fldChar w:fldCharType="end"/>
      </w:r>
    </w:p>
    <w:p w14:paraId="0400272E" w14:textId="4616A085" w:rsidR="00427E03" w:rsidRPr="00AF0CC3" w:rsidRDefault="00427E03">
      <w:pPr>
        <w:pStyle w:val="TableofFigures"/>
        <w:tabs>
          <w:tab w:val="right" w:leader="dot" w:pos="9350"/>
        </w:tabs>
        <w:rPr>
          <w:rFonts w:ascii="Times New Roman" w:eastAsiaTheme="minorEastAsia" w:hAnsi="Times New Roman" w:cs="Times New Roman"/>
          <w:noProof/>
        </w:rPr>
      </w:pPr>
      <w:r w:rsidRPr="00AF0CC3">
        <w:rPr>
          <w:rFonts w:ascii="Times New Roman" w:hAnsi="Times New Roman" w:cs="Times New Roman"/>
          <w:noProof/>
        </w:rPr>
        <w:t>Table 4</w:t>
      </w:r>
      <w:r w:rsidRPr="00AF0CC3">
        <w:rPr>
          <w:rFonts w:ascii="Times New Roman" w:hAnsi="Times New Roman" w:cs="Times New Roman"/>
          <w:noProof/>
        </w:rPr>
        <w:noBreakHyphen/>
        <w:t>4 Governance Quality by Project Status</w:t>
      </w:r>
      <w:r w:rsidRPr="00AF0CC3">
        <w:rPr>
          <w:rFonts w:ascii="Times New Roman" w:hAnsi="Times New Roman" w:cs="Times New Roman"/>
          <w:noProof/>
        </w:rPr>
        <w:tab/>
      </w:r>
      <w:r w:rsidRPr="00AF0CC3">
        <w:rPr>
          <w:rFonts w:ascii="Times New Roman" w:hAnsi="Times New Roman" w:cs="Times New Roman"/>
          <w:noProof/>
        </w:rPr>
        <w:fldChar w:fldCharType="begin"/>
      </w:r>
      <w:r w:rsidRPr="00AF0CC3">
        <w:rPr>
          <w:rFonts w:ascii="Times New Roman" w:hAnsi="Times New Roman" w:cs="Times New Roman"/>
          <w:noProof/>
        </w:rPr>
        <w:instrText xml:space="preserve"> PAGEREF _Toc234437372 \h </w:instrText>
      </w:r>
      <w:r w:rsidRPr="00AF0CC3">
        <w:rPr>
          <w:rFonts w:ascii="Times New Roman" w:hAnsi="Times New Roman" w:cs="Times New Roman"/>
          <w:noProof/>
        </w:rPr>
      </w:r>
      <w:r w:rsidRPr="00AF0CC3">
        <w:rPr>
          <w:rFonts w:ascii="Times New Roman" w:hAnsi="Times New Roman" w:cs="Times New Roman"/>
          <w:noProof/>
        </w:rPr>
        <w:fldChar w:fldCharType="separate"/>
      </w:r>
      <w:r w:rsidRPr="00AF0CC3">
        <w:rPr>
          <w:rFonts w:ascii="Times New Roman" w:hAnsi="Times New Roman" w:cs="Times New Roman"/>
          <w:noProof/>
        </w:rPr>
        <w:t>139</w:t>
      </w:r>
      <w:r w:rsidRPr="00AF0CC3">
        <w:rPr>
          <w:rFonts w:ascii="Times New Roman" w:hAnsi="Times New Roman" w:cs="Times New Roman"/>
          <w:noProof/>
        </w:rPr>
        <w:fldChar w:fldCharType="end"/>
      </w:r>
    </w:p>
    <w:p w14:paraId="14EBC7C3" w14:textId="6F2A7CBA" w:rsidR="00427E03" w:rsidRPr="00AF0CC3" w:rsidRDefault="00427E03">
      <w:pPr>
        <w:pStyle w:val="TableofFigures"/>
        <w:tabs>
          <w:tab w:val="right" w:leader="dot" w:pos="9350"/>
        </w:tabs>
        <w:rPr>
          <w:rFonts w:ascii="Times New Roman" w:eastAsiaTheme="minorEastAsia" w:hAnsi="Times New Roman" w:cs="Times New Roman"/>
          <w:noProof/>
        </w:rPr>
      </w:pPr>
      <w:r w:rsidRPr="00AF0CC3">
        <w:rPr>
          <w:rFonts w:ascii="Times New Roman" w:hAnsi="Times New Roman" w:cs="Times New Roman"/>
          <w:noProof/>
        </w:rPr>
        <w:t>Table 4</w:t>
      </w:r>
      <w:r w:rsidRPr="00AF0CC3">
        <w:rPr>
          <w:rFonts w:ascii="Times New Roman" w:hAnsi="Times New Roman" w:cs="Times New Roman"/>
          <w:noProof/>
        </w:rPr>
        <w:noBreakHyphen/>
        <w:t>5 Correlation Between GQI and Project Stalling</w:t>
      </w:r>
      <w:r w:rsidRPr="00AF0CC3">
        <w:rPr>
          <w:rFonts w:ascii="Times New Roman" w:hAnsi="Times New Roman" w:cs="Times New Roman"/>
          <w:noProof/>
        </w:rPr>
        <w:tab/>
      </w:r>
      <w:r w:rsidRPr="00AF0CC3">
        <w:rPr>
          <w:rFonts w:ascii="Times New Roman" w:hAnsi="Times New Roman" w:cs="Times New Roman"/>
          <w:noProof/>
        </w:rPr>
        <w:fldChar w:fldCharType="begin"/>
      </w:r>
      <w:r w:rsidRPr="00AF0CC3">
        <w:rPr>
          <w:rFonts w:ascii="Times New Roman" w:hAnsi="Times New Roman" w:cs="Times New Roman"/>
          <w:noProof/>
        </w:rPr>
        <w:instrText xml:space="preserve"> PAGEREF _Toc234437373 \h </w:instrText>
      </w:r>
      <w:r w:rsidRPr="00AF0CC3">
        <w:rPr>
          <w:rFonts w:ascii="Times New Roman" w:hAnsi="Times New Roman" w:cs="Times New Roman"/>
          <w:noProof/>
        </w:rPr>
      </w:r>
      <w:r w:rsidRPr="00AF0CC3">
        <w:rPr>
          <w:rFonts w:ascii="Times New Roman" w:hAnsi="Times New Roman" w:cs="Times New Roman"/>
          <w:noProof/>
        </w:rPr>
        <w:fldChar w:fldCharType="separate"/>
      </w:r>
      <w:r w:rsidRPr="00AF0CC3">
        <w:rPr>
          <w:rFonts w:ascii="Times New Roman" w:hAnsi="Times New Roman" w:cs="Times New Roman"/>
          <w:noProof/>
        </w:rPr>
        <w:t>141</w:t>
      </w:r>
      <w:r w:rsidRPr="00AF0CC3">
        <w:rPr>
          <w:rFonts w:ascii="Times New Roman" w:hAnsi="Times New Roman" w:cs="Times New Roman"/>
          <w:noProof/>
        </w:rPr>
        <w:fldChar w:fldCharType="end"/>
      </w:r>
    </w:p>
    <w:p w14:paraId="345B3239" w14:textId="3294ED3B" w:rsidR="00427E03" w:rsidRPr="00AF0CC3" w:rsidRDefault="00427E03">
      <w:pPr>
        <w:pStyle w:val="TableofFigures"/>
        <w:tabs>
          <w:tab w:val="right" w:leader="dot" w:pos="9350"/>
        </w:tabs>
        <w:rPr>
          <w:rFonts w:ascii="Times New Roman" w:eastAsiaTheme="minorEastAsia" w:hAnsi="Times New Roman" w:cs="Times New Roman"/>
          <w:noProof/>
        </w:rPr>
      </w:pPr>
      <w:r w:rsidRPr="00AF0CC3">
        <w:rPr>
          <w:rFonts w:ascii="Times New Roman" w:hAnsi="Times New Roman" w:cs="Times New Roman"/>
          <w:noProof/>
        </w:rPr>
        <w:t>Table 4</w:t>
      </w:r>
      <w:r w:rsidRPr="00AF0CC3">
        <w:rPr>
          <w:rFonts w:ascii="Times New Roman" w:hAnsi="Times New Roman" w:cs="Times New Roman"/>
          <w:noProof/>
        </w:rPr>
        <w:noBreakHyphen/>
        <w:t>6 Logistic Regression Results for Project Stalling</w:t>
      </w:r>
      <w:r w:rsidRPr="00AF0CC3">
        <w:rPr>
          <w:rFonts w:ascii="Times New Roman" w:hAnsi="Times New Roman" w:cs="Times New Roman"/>
          <w:noProof/>
        </w:rPr>
        <w:tab/>
      </w:r>
      <w:r w:rsidRPr="00AF0CC3">
        <w:rPr>
          <w:rFonts w:ascii="Times New Roman" w:hAnsi="Times New Roman" w:cs="Times New Roman"/>
          <w:noProof/>
        </w:rPr>
        <w:fldChar w:fldCharType="begin"/>
      </w:r>
      <w:r w:rsidRPr="00AF0CC3">
        <w:rPr>
          <w:rFonts w:ascii="Times New Roman" w:hAnsi="Times New Roman" w:cs="Times New Roman"/>
          <w:noProof/>
        </w:rPr>
        <w:instrText xml:space="preserve"> PAGEREF _Toc234437374 \h </w:instrText>
      </w:r>
      <w:r w:rsidRPr="00AF0CC3">
        <w:rPr>
          <w:rFonts w:ascii="Times New Roman" w:hAnsi="Times New Roman" w:cs="Times New Roman"/>
          <w:noProof/>
        </w:rPr>
      </w:r>
      <w:r w:rsidRPr="00AF0CC3">
        <w:rPr>
          <w:rFonts w:ascii="Times New Roman" w:hAnsi="Times New Roman" w:cs="Times New Roman"/>
          <w:noProof/>
        </w:rPr>
        <w:fldChar w:fldCharType="separate"/>
      </w:r>
      <w:r w:rsidRPr="00AF0CC3">
        <w:rPr>
          <w:rFonts w:ascii="Times New Roman" w:hAnsi="Times New Roman" w:cs="Times New Roman"/>
          <w:noProof/>
        </w:rPr>
        <w:t>142</w:t>
      </w:r>
      <w:r w:rsidRPr="00AF0CC3">
        <w:rPr>
          <w:rFonts w:ascii="Times New Roman" w:hAnsi="Times New Roman" w:cs="Times New Roman"/>
          <w:noProof/>
        </w:rPr>
        <w:fldChar w:fldCharType="end"/>
      </w:r>
    </w:p>
    <w:p w14:paraId="29A278E5" w14:textId="26AFD668" w:rsidR="00427E03" w:rsidRPr="00AF0CC3" w:rsidRDefault="00427E03">
      <w:pPr>
        <w:pStyle w:val="TableofFigures"/>
        <w:tabs>
          <w:tab w:val="right" w:leader="dot" w:pos="9350"/>
        </w:tabs>
        <w:rPr>
          <w:rFonts w:ascii="Times New Roman" w:eastAsiaTheme="minorEastAsia" w:hAnsi="Times New Roman" w:cs="Times New Roman"/>
          <w:noProof/>
        </w:rPr>
      </w:pPr>
      <w:r w:rsidRPr="00AF0CC3">
        <w:rPr>
          <w:rFonts w:ascii="Times New Roman" w:hAnsi="Times New Roman" w:cs="Times New Roman"/>
          <w:noProof/>
        </w:rPr>
        <w:t>Table 4</w:t>
      </w:r>
      <w:r w:rsidRPr="00AF0CC3">
        <w:rPr>
          <w:rFonts w:ascii="Times New Roman" w:hAnsi="Times New Roman" w:cs="Times New Roman"/>
          <w:noProof/>
        </w:rPr>
        <w:noBreakHyphen/>
        <w:t>7 Time Overrun Results by Governance Quality</w:t>
      </w:r>
      <w:r w:rsidRPr="00AF0CC3">
        <w:rPr>
          <w:rFonts w:ascii="Times New Roman" w:hAnsi="Times New Roman" w:cs="Times New Roman"/>
          <w:noProof/>
        </w:rPr>
        <w:tab/>
      </w:r>
      <w:r w:rsidRPr="00AF0CC3">
        <w:rPr>
          <w:rFonts w:ascii="Times New Roman" w:hAnsi="Times New Roman" w:cs="Times New Roman"/>
          <w:noProof/>
        </w:rPr>
        <w:fldChar w:fldCharType="begin"/>
      </w:r>
      <w:r w:rsidRPr="00AF0CC3">
        <w:rPr>
          <w:rFonts w:ascii="Times New Roman" w:hAnsi="Times New Roman" w:cs="Times New Roman"/>
          <w:noProof/>
        </w:rPr>
        <w:instrText xml:space="preserve"> PAGEREF _Toc234437375 \h </w:instrText>
      </w:r>
      <w:r w:rsidRPr="00AF0CC3">
        <w:rPr>
          <w:rFonts w:ascii="Times New Roman" w:hAnsi="Times New Roman" w:cs="Times New Roman"/>
          <w:noProof/>
        </w:rPr>
      </w:r>
      <w:r w:rsidRPr="00AF0CC3">
        <w:rPr>
          <w:rFonts w:ascii="Times New Roman" w:hAnsi="Times New Roman" w:cs="Times New Roman"/>
          <w:noProof/>
        </w:rPr>
        <w:fldChar w:fldCharType="separate"/>
      </w:r>
      <w:r w:rsidRPr="00AF0CC3">
        <w:rPr>
          <w:rFonts w:ascii="Times New Roman" w:hAnsi="Times New Roman" w:cs="Times New Roman"/>
          <w:noProof/>
        </w:rPr>
        <w:t>149</w:t>
      </w:r>
      <w:r w:rsidRPr="00AF0CC3">
        <w:rPr>
          <w:rFonts w:ascii="Times New Roman" w:hAnsi="Times New Roman" w:cs="Times New Roman"/>
          <w:noProof/>
        </w:rPr>
        <w:fldChar w:fldCharType="end"/>
      </w:r>
    </w:p>
    <w:p w14:paraId="5904A7E8" w14:textId="048206A8" w:rsidR="00427E03" w:rsidRPr="00AF0CC3" w:rsidRDefault="00427E03">
      <w:pPr>
        <w:pStyle w:val="TableofFigures"/>
        <w:tabs>
          <w:tab w:val="right" w:leader="dot" w:pos="9350"/>
        </w:tabs>
        <w:rPr>
          <w:rFonts w:ascii="Times New Roman" w:eastAsiaTheme="minorEastAsia" w:hAnsi="Times New Roman" w:cs="Times New Roman"/>
          <w:noProof/>
        </w:rPr>
      </w:pPr>
      <w:r w:rsidRPr="00AF0CC3">
        <w:rPr>
          <w:rFonts w:ascii="Times New Roman" w:hAnsi="Times New Roman" w:cs="Times New Roman"/>
          <w:noProof/>
        </w:rPr>
        <w:t>Table 4</w:t>
      </w:r>
      <w:r w:rsidRPr="00AF0CC3">
        <w:rPr>
          <w:rFonts w:ascii="Times New Roman" w:hAnsi="Times New Roman" w:cs="Times New Roman"/>
          <w:noProof/>
        </w:rPr>
        <w:noBreakHyphen/>
        <w:t>8 Cost Overrun Summary Statistics</w:t>
      </w:r>
      <w:r w:rsidRPr="00AF0CC3">
        <w:rPr>
          <w:rFonts w:ascii="Times New Roman" w:hAnsi="Times New Roman" w:cs="Times New Roman"/>
          <w:noProof/>
        </w:rPr>
        <w:tab/>
      </w:r>
      <w:r w:rsidRPr="00AF0CC3">
        <w:rPr>
          <w:rFonts w:ascii="Times New Roman" w:hAnsi="Times New Roman" w:cs="Times New Roman"/>
          <w:noProof/>
        </w:rPr>
        <w:fldChar w:fldCharType="begin"/>
      </w:r>
      <w:r w:rsidRPr="00AF0CC3">
        <w:rPr>
          <w:rFonts w:ascii="Times New Roman" w:hAnsi="Times New Roman" w:cs="Times New Roman"/>
          <w:noProof/>
        </w:rPr>
        <w:instrText xml:space="preserve"> PAGEREF _Toc234437376 \h </w:instrText>
      </w:r>
      <w:r w:rsidRPr="00AF0CC3">
        <w:rPr>
          <w:rFonts w:ascii="Times New Roman" w:hAnsi="Times New Roman" w:cs="Times New Roman"/>
          <w:noProof/>
        </w:rPr>
      </w:r>
      <w:r w:rsidRPr="00AF0CC3">
        <w:rPr>
          <w:rFonts w:ascii="Times New Roman" w:hAnsi="Times New Roman" w:cs="Times New Roman"/>
          <w:noProof/>
        </w:rPr>
        <w:fldChar w:fldCharType="separate"/>
      </w:r>
      <w:r w:rsidRPr="00AF0CC3">
        <w:rPr>
          <w:rFonts w:ascii="Times New Roman" w:hAnsi="Times New Roman" w:cs="Times New Roman"/>
          <w:noProof/>
        </w:rPr>
        <w:t>156</w:t>
      </w:r>
      <w:r w:rsidRPr="00AF0CC3">
        <w:rPr>
          <w:rFonts w:ascii="Times New Roman" w:hAnsi="Times New Roman" w:cs="Times New Roman"/>
          <w:noProof/>
        </w:rPr>
        <w:fldChar w:fldCharType="end"/>
      </w:r>
    </w:p>
    <w:p w14:paraId="22AA4A65" w14:textId="1BEEE8A6" w:rsidR="00427E03" w:rsidRPr="00AF0CC3" w:rsidRDefault="00427E03">
      <w:pPr>
        <w:pStyle w:val="TableofFigures"/>
        <w:tabs>
          <w:tab w:val="right" w:leader="dot" w:pos="9350"/>
        </w:tabs>
        <w:rPr>
          <w:rFonts w:ascii="Times New Roman" w:eastAsiaTheme="minorEastAsia" w:hAnsi="Times New Roman" w:cs="Times New Roman"/>
          <w:noProof/>
        </w:rPr>
      </w:pPr>
      <w:r w:rsidRPr="00AF0CC3">
        <w:rPr>
          <w:rFonts w:ascii="Times New Roman" w:hAnsi="Times New Roman" w:cs="Times New Roman"/>
          <w:noProof/>
        </w:rPr>
        <w:t>Table 4</w:t>
      </w:r>
      <w:r w:rsidRPr="00AF0CC3">
        <w:rPr>
          <w:rFonts w:ascii="Times New Roman" w:hAnsi="Times New Roman" w:cs="Times New Roman"/>
          <w:noProof/>
        </w:rPr>
        <w:noBreakHyphen/>
        <w:t>9 Summary of Hypothesis Testing</w:t>
      </w:r>
      <w:r w:rsidRPr="00AF0CC3">
        <w:rPr>
          <w:rFonts w:ascii="Times New Roman" w:hAnsi="Times New Roman" w:cs="Times New Roman"/>
          <w:noProof/>
        </w:rPr>
        <w:tab/>
      </w:r>
      <w:r w:rsidRPr="00AF0CC3">
        <w:rPr>
          <w:rFonts w:ascii="Times New Roman" w:hAnsi="Times New Roman" w:cs="Times New Roman"/>
          <w:noProof/>
        </w:rPr>
        <w:fldChar w:fldCharType="begin"/>
      </w:r>
      <w:r w:rsidRPr="00AF0CC3">
        <w:rPr>
          <w:rFonts w:ascii="Times New Roman" w:hAnsi="Times New Roman" w:cs="Times New Roman"/>
          <w:noProof/>
        </w:rPr>
        <w:instrText xml:space="preserve"> PAGEREF _Toc234437377 \h </w:instrText>
      </w:r>
      <w:r w:rsidRPr="00AF0CC3">
        <w:rPr>
          <w:rFonts w:ascii="Times New Roman" w:hAnsi="Times New Roman" w:cs="Times New Roman"/>
          <w:noProof/>
        </w:rPr>
      </w:r>
      <w:r w:rsidRPr="00AF0CC3">
        <w:rPr>
          <w:rFonts w:ascii="Times New Roman" w:hAnsi="Times New Roman" w:cs="Times New Roman"/>
          <w:noProof/>
        </w:rPr>
        <w:fldChar w:fldCharType="separate"/>
      </w:r>
      <w:r w:rsidRPr="00AF0CC3">
        <w:rPr>
          <w:rFonts w:ascii="Times New Roman" w:hAnsi="Times New Roman" w:cs="Times New Roman"/>
          <w:noProof/>
        </w:rPr>
        <w:t>172</w:t>
      </w:r>
      <w:r w:rsidRPr="00AF0CC3">
        <w:rPr>
          <w:rFonts w:ascii="Times New Roman" w:hAnsi="Times New Roman" w:cs="Times New Roman"/>
          <w:noProof/>
        </w:rPr>
        <w:fldChar w:fldCharType="end"/>
      </w:r>
    </w:p>
    <w:p w14:paraId="79F4D9BB" w14:textId="748AAD4C" w:rsidR="00427E03" w:rsidRPr="00AF0CC3" w:rsidRDefault="00427E03">
      <w:pPr>
        <w:pStyle w:val="TableofFigures"/>
        <w:tabs>
          <w:tab w:val="right" w:leader="dot" w:pos="9350"/>
        </w:tabs>
        <w:rPr>
          <w:rFonts w:ascii="Times New Roman" w:eastAsiaTheme="minorEastAsia" w:hAnsi="Times New Roman" w:cs="Times New Roman"/>
          <w:noProof/>
        </w:rPr>
      </w:pPr>
      <w:r w:rsidRPr="00AF0CC3">
        <w:rPr>
          <w:rFonts w:ascii="Times New Roman" w:hAnsi="Times New Roman" w:cs="Times New Roman"/>
          <w:noProof/>
        </w:rPr>
        <w:t>Table 4</w:t>
      </w:r>
      <w:r w:rsidRPr="00AF0CC3">
        <w:rPr>
          <w:rFonts w:ascii="Times New Roman" w:hAnsi="Times New Roman" w:cs="Times New Roman"/>
          <w:noProof/>
        </w:rPr>
        <w:noBreakHyphen/>
        <w:t>10 Integrated Summary of Key Findings and Governance Implications</w:t>
      </w:r>
      <w:r w:rsidRPr="00AF0CC3">
        <w:rPr>
          <w:rFonts w:ascii="Times New Roman" w:hAnsi="Times New Roman" w:cs="Times New Roman"/>
          <w:noProof/>
        </w:rPr>
        <w:tab/>
      </w:r>
      <w:r w:rsidRPr="00AF0CC3">
        <w:rPr>
          <w:rFonts w:ascii="Times New Roman" w:hAnsi="Times New Roman" w:cs="Times New Roman"/>
          <w:noProof/>
        </w:rPr>
        <w:fldChar w:fldCharType="begin"/>
      </w:r>
      <w:r w:rsidRPr="00AF0CC3">
        <w:rPr>
          <w:rFonts w:ascii="Times New Roman" w:hAnsi="Times New Roman" w:cs="Times New Roman"/>
          <w:noProof/>
        </w:rPr>
        <w:instrText xml:space="preserve"> PAGEREF _Toc234437378 \h </w:instrText>
      </w:r>
      <w:r w:rsidRPr="00AF0CC3">
        <w:rPr>
          <w:rFonts w:ascii="Times New Roman" w:hAnsi="Times New Roman" w:cs="Times New Roman"/>
          <w:noProof/>
        </w:rPr>
      </w:r>
      <w:r w:rsidRPr="00AF0CC3">
        <w:rPr>
          <w:rFonts w:ascii="Times New Roman" w:hAnsi="Times New Roman" w:cs="Times New Roman"/>
          <w:noProof/>
        </w:rPr>
        <w:fldChar w:fldCharType="separate"/>
      </w:r>
      <w:r w:rsidRPr="00AF0CC3">
        <w:rPr>
          <w:rFonts w:ascii="Times New Roman" w:hAnsi="Times New Roman" w:cs="Times New Roman"/>
          <w:noProof/>
        </w:rPr>
        <w:t>182</w:t>
      </w:r>
      <w:r w:rsidRPr="00AF0CC3">
        <w:rPr>
          <w:rFonts w:ascii="Times New Roman" w:hAnsi="Times New Roman" w:cs="Times New Roman"/>
          <w:noProof/>
        </w:rPr>
        <w:fldChar w:fldCharType="end"/>
      </w:r>
    </w:p>
    <w:p w14:paraId="4151E15B" w14:textId="0751E984" w:rsidR="00427E03" w:rsidRPr="00AF0CC3" w:rsidRDefault="00427E03">
      <w:pPr>
        <w:pStyle w:val="TableofFigures"/>
        <w:tabs>
          <w:tab w:val="right" w:leader="dot" w:pos="9350"/>
        </w:tabs>
        <w:rPr>
          <w:rFonts w:ascii="Times New Roman" w:eastAsiaTheme="minorEastAsia" w:hAnsi="Times New Roman" w:cs="Times New Roman"/>
          <w:noProof/>
        </w:rPr>
      </w:pPr>
      <w:r w:rsidRPr="00AF0CC3">
        <w:rPr>
          <w:rFonts w:ascii="Times New Roman" w:hAnsi="Times New Roman" w:cs="Times New Roman"/>
          <w:noProof/>
        </w:rPr>
        <w:t>Table 5</w:t>
      </w:r>
      <w:r w:rsidRPr="00AF0CC3">
        <w:rPr>
          <w:rFonts w:ascii="Times New Roman" w:hAnsi="Times New Roman" w:cs="Times New Roman"/>
          <w:noProof/>
        </w:rPr>
        <w:noBreakHyphen/>
        <w:t>1 Integrated Governance Reform and Implementation Framework</w:t>
      </w:r>
      <w:r w:rsidRPr="00AF0CC3">
        <w:rPr>
          <w:rFonts w:ascii="Times New Roman" w:hAnsi="Times New Roman" w:cs="Times New Roman"/>
          <w:noProof/>
        </w:rPr>
        <w:tab/>
      </w:r>
      <w:r w:rsidRPr="00AF0CC3">
        <w:rPr>
          <w:rFonts w:ascii="Times New Roman" w:hAnsi="Times New Roman" w:cs="Times New Roman"/>
          <w:noProof/>
        </w:rPr>
        <w:fldChar w:fldCharType="begin"/>
      </w:r>
      <w:r w:rsidRPr="00AF0CC3">
        <w:rPr>
          <w:rFonts w:ascii="Times New Roman" w:hAnsi="Times New Roman" w:cs="Times New Roman"/>
          <w:noProof/>
        </w:rPr>
        <w:instrText xml:space="preserve"> PAGEREF _Toc234437379 \h </w:instrText>
      </w:r>
      <w:r w:rsidRPr="00AF0CC3">
        <w:rPr>
          <w:rFonts w:ascii="Times New Roman" w:hAnsi="Times New Roman" w:cs="Times New Roman"/>
          <w:noProof/>
        </w:rPr>
      </w:r>
      <w:r w:rsidRPr="00AF0CC3">
        <w:rPr>
          <w:rFonts w:ascii="Times New Roman" w:hAnsi="Times New Roman" w:cs="Times New Roman"/>
          <w:noProof/>
        </w:rPr>
        <w:fldChar w:fldCharType="separate"/>
      </w:r>
      <w:r w:rsidRPr="00AF0CC3">
        <w:rPr>
          <w:rFonts w:ascii="Times New Roman" w:hAnsi="Times New Roman" w:cs="Times New Roman"/>
          <w:noProof/>
        </w:rPr>
        <w:t>229</w:t>
      </w:r>
      <w:r w:rsidRPr="00AF0CC3">
        <w:rPr>
          <w:rFonts w:ascii="Times New Roman" w:hAnsi="Times New Roman" w:cs="Times New Roman"/>
          <w:noProof/>
        </w:rPr>
        <w:fldChar w:fldCharType="end"/>
      </w:r>
    </w:p>
    <w:p w14:paraId="5352D968" w14:textId="7D3F34CD" w:rsidR="00854BDF" w:rsidRPr="00AF0CC3" w:rsidRDefault="00427E03" w:rsidP="002E0E45">
      <w:pPr>
        <w:rPr>
          <w:rFonts w:ascii="Times New Roman" w:hAnsi="Times New Roman" w:cs="Times New Roman"/>
          <w:color w:val="000000" w:themeColor="text1"/>
        </w:rPr>
      </w:pPr>
      <w:r w:rsidRPr="00AF0CC3">
        <w:rPr>
          <w:rFonts w:ascii="Times New Roman" w:hAnsi="Times New Roman" w:cs="Times New Roman"/>
          <w:color w:val="000000" w:themeColor="text1"/>
        </w:rPr>
        <w:fldChar w:fldCharType="end"/>
      </w:r>
    </w:p>
    <w:p w14:paraId="392ED7E9" w14:textId="77777777" w:rsidR="009F5498" w:rsidRPr="00AF0CC3" w:rsidRDefault="009F5498" w:rsidP="002E0E45">
      <w:pPr>
        <w:rPr>
          <w:rFonts w:ascii="Times New Roman" w:hAnsi="Times New Roman" w:cs="Times New Roman"/>
          <w:color w:val="000000" w:themeColor="text1"/>
        </w:rPr>
      </w:pPr>
    </w:p>
    <w:p w14:paraId="7774F9CF" w14:textId="77777777" w:rsidR="009F5498" w:rsidRPr="00AF0CC3" w:rsidRDefault="009F5498" w:rsidP="002E0E45">
      <w:pPr>
        <w:rPr>
          <w:rFonts w:ascii="Times New Roman" w:hAnsi="Times New Roman" w:cs="Times New Roman"/>
          <w:color w:val="000000" w:themeColor="text1"/>
        </w:rPr>
      </w:pPr>
    </w:p>
    <w:p w14:paraId="6F3A01F6" w14:textId="77777777" w:rsidR="009F5498" w:rsidRPr="00AF0CC3" w:rsidRDefault="009F5498" w:rsidP="002E0E45">
      <w:pPr>
        <w:rPr>
          <w:rFonts w:ascii="Times New Roman" w:hAnsi="Times New Roman" w:cs="Times New Roman"/>
          <w:color w:val="000000" w:themeColor="text1"/>
        </w:rPr>
      </w:pPr>
    </w:p>
    <w:p w14:paraId="458D1072" w14:textId="77777777" w:rsidR="009F5498" w:rsidRPr="00AF0CC3" w:rsidRDefault="009F5498" w:rsidP="002E0E45">
      <w:pPr>
        <w:rPr>
          <w:rFonts w:ascii="Times New Roman" w:hAnsi="Times New Roman" w:cs="Times New Roman"/>
          <w:color w:val="000000" w:themeColor="text1"/>
        </w:rPr>
      </w:pPr>
    </w:p>
    <w:p w14:paraId="77D2DEB0" w14:textId="77777777" w:rsidR="006D3629" w:rsidRPr="00AF0CC3" w:rsidRDefault="006D3629" w:rsidP="002E0E45">
      <w:pPr>
        <w:rPr>
          <w:rFonts w:ascii="Times New Roman" w:hAnsi="Times New Roman" w:cs="Times New Roman"/>
          <w:color w:val="000000" w:themeColor="text1"/>
        </w:rPr>
      </w:pPr>
    </w:p>
    <w:p w14:paraId="3594DF23" w14:textId="0E071A02" w:rsidR="006D3629" w:rsidRPr="007E5C0D" w:rsidRDefault="006D3629" w:rsidP="006D3629">
      <w:pPr>
        <w:pStyle w:val="FrontMatterheading2"/>
        <w:rPr>
          <w:b/>
          <w:bCs/>
          <w:szCs w:val="24"/>
        </w:rPr>
      </w:pPr>
      <w:bookmarkStart w:id="4" w:name="_Toc234488956"/>
      <w:r w:rsidRPr="007E5C0D">
        <w:rPr>
          <w:b/>
          <w:bCs/>
          <w:szCs w:val="24"/>
        </w:rPr>
        <w:lastRenderedPageBreak/>
        <w:t>LIST OF FIGURES</w:t>
      </w:r>
      <w:bookmarkEnd w:id="4"/>
    </w:p>
    <w:p w14:paraId="789A8CFC" w14:textId="77777777" w:rsidR="006D3629" w:rsidRPr="00AF0CC3" w:rsidRDefault="006D3629" w:rsidP="002E0E45">
      <w:pPr>
        <w:rPr>
          <w:rFonts w:ascii="Times New Roman" w:hAnsi="Times New Roman" w:cs="Times New Roman"/>
          <w:color w:val="000000" w:themeColor="text1"/>
        </w:rPr>
      </w:pPr>
    </w:p>
    <w:p w14:paraId="415ABBDD" w14:textId="77777777" w:rsidR="006D3629" w:rsidRPr="00AF0CC3" w:rsidRDefault="006D3629" w:rsidP="002E0E45">
      <w:pPr>
        <w:rPr>
          <w:rFonts w:ascii="Times New Roman" w:hAnsi="Times New Roman" w:cs="Times New Roman"/>
          <w:color w:val="000000" w:themeColor="text1"/>
        </w:rPr>
      </w:pPr>
    </w:p>
    <w:p w14:paraId="48D7CC16" w14:textId="590340FC" w:rsidR="000F3927" w:rsidRPr="00AF0CC3" w:rsidRDefault="007707C5">
      <w:pPr>
        <w:pStyle w:val="TableofFigures"/>
        <w:tabs>
          <w:tab w:val="right" w:leader="dot" w:pos="9350"/>
        </w:tabs>
        <w:rPr>
          <w:rFonts w:ascii="Times New Roman" w:eastAsiaTheme="minorEastAsia" w:hAnsi="Times New Roman" w:cs="Times New Roman"/>
          <w:noProof/>
        </w:rPr>
      </w:pPr>
      <w:r w:rsidRPr="00AF0CC3">
        <w:rPr>
          <w:rFonts w:ascii="Times New Roman" w:hAnsi="Times New Roman" w:cs="Times New Roman"/>
          <w:color w:val="000000" w:themeColor="text1"/>
        </w:rPr>
        <w:fldChar w:fldCharType="begin"/>
      </w:r>
      <w:r w:rsidRPr="00AF0CC3">
        <w:rPr>
          <w:rFonts w:ascii="Times New Roman" w:hAnsi="Times New Roman" w:cs="Times New Roman"/>
          <w:color w:val="000000" w:themeColor="text1"/>
        </w:rPr>
        <w:instrText xml:space="preserve"> TOC \c "Figure" </w:instrText>
      </w:r>
      <w:r w:rsidRPr="00AF0CC3">
        <w:rPr>
          <w:rFonts w:ascii="Times New Roman" w:hAnsi="Times New Roman" w:cs="Times New Roman"/>
          <w:color w:val="000000" w:themeColor="text1"/>
        </w:rPr>
        <w:fldChar w:fldCharType="separate"/>
      </w:r>
      <w:r w:rsidR="000F3927" w:rsidRPr="00AF0CC3">
        <w:rPr>
          <w:rFonts w:ascii="Times New Roman" w:hAnsi="Times New Roman" w:cs="Times New Roman"/>
          <w:noProof/>
          <w:color w:val="000000" w:themeColor="text1"/>
        </w:rPr>
        <w:t>Figure 1.1Conceptual framework of the study</w:t>
      </w:r>
      <w:r w:rsidR="000F3927" w:rsidRPr="00AF0CC3">
        <w:rPr>
          <w:rFonts w:ascii="Times New Roman" w:hAnsi="Times New Roman" w:cs="Times New Roman"/>
          <w:noProof/>
        </w:rPr>
        <w:tab/>
      </w:r>
      <w:r w:rsidR="000F3927" w:rsidRPr="00AF0CC3">
        <w:rPr>
          <w:rFonts w:ascii="Times New Roman" w:hAnsi="Times New Roman" w:cs="Times New Roman"/>
          <w:noProof/>
        </w:rPr>
        <w:fldChar w:fldCharType="begin"/>
      </w:r>
      <w:r w:rsidR="000F3927" w:rsidRPr="00AF0CC3">
        <w:rPr>
          <w:rFonts w:ascii="Times New Roman" w:hAnsi="Times New Roman" w:cs="Times New Roman"/>
          <w:noProof/>
        </w:rPr>
        <w:instrText xml:space="preserve"> PAGEREF _Toc234481923 \h </w:instrText>
      </w:r>
      <w:r w:rsidR="000F3927" w:rsidRPr="00AF0CC3">
        <w:rPr>
          <w:rFonts w:ascii="Times New Roman" w:hAnsi="Times New Roman" w:cs="Times New Roman"/>
          <w:noProof/>
        </w:rPr>
      </w:r>
      <w:r w:rsidR="000F3927" w:rsidRPr="00AF0CC3">
        <w:rPr>
          <w:rFonts w:ascii="Times New Roman" w:hAnsi="Times New Roman" w:cs="Times New Roman"/>
          <w:noProof/>
        </w:rPr>
        <w:fldChar w:fldCharType="separate"/>
      </w:r>
      <w:r w:rsidR="000F3927" w:rsidRPr="00AF0CC3">
        <w:rPr>
          <w:rFonts w:ascii="Times New Roman" w:hAnsi="Times New Roman" w:cs="Times New Roman"/>
          <w:noProof/>
        </w:rPr>
        <w:t>21</w:t>
      </w:r>
      <w:r w:rsidR="000F3927" w:rsidRPr="00AF0CC3">
        <w:rPr>
          <w:rFonts w:ascii="Times New Roman" w:hAnsi="Times New Roman" w:cs="Times New Roman"/>
          <w:noProof/>
        </w:rPr>
        <w:fldChar w:fldCharType="end"/>
      </w:r>
    </w:p>
    <w:p w14:paraId="19BD55C4" w14:textId="0B183F71" w:rsidR="000F3927" w:rsidRPr="00AF0CC3" w:rsidRDefault="000F3927">
      <w:pPr>
        <w:pStyle w:val="TableofFigures"/>
        <w:tabs>
          <w:tab w:val="right" w:leader="dot" w:pos="9350"/>
        </w:tabs>
        <w:rPr>
          <w:rFonts w:ascii="Times New Roman" w:eastAsiaTheme="minorEastAsia" w:hAnsi="Times New Roman" w:cs="Times New Roman"/>
          <w:noProof/>
        </w:rPr>
      </w:pPr>
      <w:r w:rsidRPr="00AF0CC3">
        <w:rPr>
          <w:rFonts w:ascii="Times New Roman" w:hAnsi="Times New Roman" w:cs="Times New Roman"/>
          <w:noProof/>
        </w:rPr>
        <w:t>Figure 2.1Governance Quality → Mechanisms → Project Outcomes</w:t>
      </w:r>
      <w:r w:rsidRPr="00AF0CC3">
        <w:rPr>
          <w:rFonts w:ascii="Times New Roman" w:hAnsi="Times New Roman" w:cs="Times New Roman"/>
          <w:noProof/>
        </w:rPr>
        <w:tab/>
      </w:r>
      <w:r w:rsidRPr="00AF0CC3">
        <w:rPr>
          <w:rFonts w:ascii="Times New Roman" w:hAnsi="Times New Roman" w:cs="Times New Roman"/>
          <w:noProof/>
        </w:rPr>
        <w:fldChar w:fldCharType="begin"/>
      </w:r>
      <w:r w:rsidRPr="00AF0CC3">
        <w:rPr>
          <w:rFonts w:ascii="Times New Roman" w:hAnsi="Times New Roman" w:cs="Times New Roman"/>
          <w:noProof/>
        </w:rPr>
        <w:instrText xml:space="preserve"> PAGEREF _Toc234481924 \h </w:instrText>
      </w:r>
      <w:r w:rsidRPr="00AF0CC3">
        <w:rPr>
          <w:rFonts w:ascii="Times New Roman" w:hAnsi="Times New Roman" w:cs="Times New Roman"/>
          <w:noProof/>
        </w:rPr>
      </w:r>
      <w:r w:rsidRPr="00AF0CC3">
        <w:rPr>
          <w:rFonts w:ascii="Times New Roman" w:hAnsi="Times New Roman" w:cs="Times New Roman"/>
          <w:noProof/>
        </w:rPr>
        <w:fldChar w:fldCharType="separate"/>
      </w:r>
      <w:r w:rsidRPr="00AF0CC3">
        <w:rPr>
          <w:rFonts w:ascii="Times New Roman" w:hAnsi="Times New Roman" w:cs="Times New Roman"/>
          <w:noProof/>
        </w:rPr>
        <w:t>32</w:t>
      </w:r>
      <w:r w:rsidRPr="00AF0CC3">
        <w:rPr>
          <w:rFonts w:ascii="Times New Roman" w:hAnsi="Times New Roman" w:cs="Times New Roman"/>
          <w:noProof/>
        </w:rPr>
        <w:fldChar w:fldCharType="end"/>
      </w:r>
    </w:p>
    <w:p w14:paraId="0F8FF7A7" w14:textId="76C8715F" w:rsidR="000F3927" w:rsidRPr="00AF0CC3" w:rsidRDefault="000F3927">
      <w:pPr>
        <w:pStyle w:val="TableofFigures"/>
        <w:tabs>
          <w:tab w:val="right" w:leader="dot" w:pos="9350"/>
        </w:tabs>
        <w:rPr>
          <w:rFonts w:ascii="Times New Roman" w:eastAsiaTheme="minorEastAsia" w:hAnsi="Times New Roman" w:cs="Times New Roman"/>
          <w:noProof/>
        </w:rPr>
      </w:pPr>
      <w:r w:rsidRPr="00AF0CC3">
        <w:rPr>
          <w:rFonts w:ascii="Times New Roman" w:hAnsi="Times New Roman" w:cs="Times New Roman"/>
          <w:noProof/>
        </w:rPr>
        <w:t>Figure 2.2 PPP Risk Allocation, Renegotiation, and Project Stalling Pathway</w:t>
      </w:r>
      <w:r w:rsidRPr="00AF0CC3">
        <w:rPr>
          <w:rFonts w:ascii="Times New Roman" w:hAnsi="Times New Roman" w:cs="Times New Roman"/>
          <w:noProof/>
        </w:rPr>
        <w:tab/>
      </w:r>
      <w:r w:rsidRPr="00AF0CC3">
        <w:rPr>
          <w:rFonts w:ascii="Times New Roman" w:hAnsi="Times New Roman" w:cs="Times New Roman"/>
          <w:noProof/>
        </w:rPr>
        <w:fldChar w:fldCharType="begin"/>
      </w:r>
      <w:r w:rsidRPr="00AF0CC3">
        <w:rPr>
          <w:rFonts w:ascii="Times New Roman" w:hAnsi="Times New Roman" w:cs="Times New Roman"/>
          <w:noProof/>
        </w:rPr>
        <w:instrText xml:space="preserve"> PAGEREF _Toc234481925 \h </w:instrText>
      </w:r>
      <w:r w:rsidRPr="00AF0CC3">
        <w:rPr>
          <w:rFonts w:ascii="Times New Roman" w:hAnsi="Times New Roman" w:cs="Times New Roman"/>
          <w:noProof/>
        </w:rPr>
      </w:r>
      <w:r w:rsidRPr="00AF0CC3">
        <w:rPr>
          <w:rFonts w:ascii="Times New Roman" w:hAnsi="Times New Roman" w:cs="Times New Roman"/>
          <w:noProof/>
        </w:rPr>
        <w:fldChar w:fldCharType="separate"/>
      </w:r>
      <w:r w:rsidRPr="00AF0CC3">
        <w:rPr>
          <w:rFonts w:ascii="Times New Roman" w:hAnsi="Times New Roman" w:cs="Times New Roman"/>
          <w:noProof/>
        </w:rPr>
        <w:t>50</w:t>
      </w:r>
      <w:r w:rsidRPr="00AF0CC3">
        <w:rPr>
          <w:rFonts w:ascii="Times New Roman" w:hAnsi="Times New Roman" w:cs="Times New Roman"/>
          <w:noProof/>
        </w:rPr>
        <w:fldChar w:fldCharType="end"/>
      </w:r>
    </w:p>
    <w:p w14:paraId="211C8508" w14:textId="08D4B07F" w:rsidR="000F3927" w:rsidRPr="00AF0CC3" w:rsidRDefault="000F3927">
      <w:pPr>
        <w:pStyle w:val="TableofFigures"/>
        <w:tabs>
          <w:tab w:val="right" w:leader="dot" w:pos="9350"/>
        </w:tabs>
        <w:rPr>
          <w:rFonts w:ascii="Times New Roman" w:eastAsiaTheme="minorEastAsia" w:hAnsi="Times New Roman" w:cs="Times New Roman"/>
          <w:noProof/>
        </w:rPr>
      </w:pPr>
      <w:r w:rsidRPr="00AF0CC3">
        <w:rPr>
          <w:rFonts w:ascii="Times New Roman" w:hAnsi="Times New Roman" w:cs="Times New Roman"/>
          <w:noProof/>
        </w:rPr>
        <w:t>Figure 2.3 Climate Risk as a Governance-Mediated Influence</w:t>
      </w:r>
      <w:r w:rsidRPr="00AF0CC3">
        <w:rPr>
          <w:rFonts w:ascii="Times New Roman" w:hAnsi="Times New Roman" w:cs="Times New Roman"/>
          <w:noProof/>
        </w:rPr>
        <w:tab/>
      </w:r>
      <w:r w:rsidRPr="00AF0CC3">
        <w:rPr>
          <w:rFonts w:ascii="Times New Roman" w:hAnsi="Times New Roman" w:cs="Times New Roman"/>
          <w:noProof/>
        </w:rPr>
        <w:fldChar w:fldCharType="begin"/>
      </w:r>
      <w:r w:rsidRPr="00AF0CC3">
        <w:rPr>
          <w:rFonts w:ascii="Times New Roman" w:hAnsi="Times New Roman" w:cs="Times New Roman"/>
          <w:noProof/>
        </w:rPr>
        <w:instrText xml:space="preserve"> PAGEREF _Toc234481926 \h </w:instrText>
      </w:r>
      <w:r w:rsidRPr="00AF0CC3">
        <w:rPr>
          <w:rFonts w:ascii="Times New Roman" w:hAnsi="Times New Roman" w:cs="Times New Roman"/>
          <w:noProof/>
        </w:rPr>
      </w:r>
      <w:r w:rsidRPr="00AF0CC3">
        <w:rPr>
          <w:rFonts w:ascii="Times New Roman" w:hAnsi="Times New Roman" w:cs="Times New Roman"/>
          <w:noProof/>
        </w:rPr>
        <w:fldChar w:fldCharType="separate"/>
      </w:r>
      <w:r w:rsidRPr="00AF0CC3">
        <w:rPr>
          <w:rFonts w:ascii="Times New Roman" w:hAnsi="Times New Roman" w:cs="Times New Roman"/>
          <w:noProof/>
        </w:rPr>
        <w:t>57</w:t>
      </w:r>
      <w:r w:rsidRPr="00AF0CC3">
        <w:rPr>
          <w:rFonts w:ascii="Times New Roman" w:hAnsi="Times New Roman" w:cs="Times New Roman"/>
          <w:noProof/>
        </w:rPr>
        <w:fldChar w:fldCharType="end"/>
      </w:r>
    </w:p>
    <w:p w14:paraId="5E2842B2" w14:textId="6F057E16" w:rsidR="000F3927" w:rsidRPr="00AF0CC3" w:rsidRDefault="000F3927">
      <w:pPr>
        <w:pStyle w:val="TableofFigures"/>
        <w:tabs>
          <w:tab w:val="right" w:leader="dot" w:pos="9350"/>
        </w:tabs>
        <w:rPr>
          <w:rFonts w:ascii="Times New Roman" w:eastAsiaTheme="minorEastAsia" w:hAnsi="Times New Roman" w:cs="Times New Roman"/>
          <w:noProof/>
        </w:rPr>
      </w:pPr>
      <w:r w:rsidRPr="00AF0CC3">
        <w:rPr>
          <w:rFonts w:ascii="Times New Roman" w:hAnsi="Times New Roman" w:cs="Times New Roman"/>
          <w:noProof/>
        </w:rPr>
        <w:t>Figure 2.4 Institutional Fragmentation and Project Stalling in Kenya</w:t>
      </w:r>
      <w:r w:rsidRPr="00AF0CC3">
        <w:rPr>
          <w:rFonts w:ascii="Times New Roman" w:hAnsi="Times New Roman" w:cs="Times New Roman"/>
          <w:noProof/>
        </w:rPr>
        <w:tab/>
      </w:r>
      <w:r w:rsidRPr="00AF0CC3">
        <w:rPr>
          <w:rFonts w:ascii="Times New Roman" w:hAnsi="Times New Roman" w:cs="Times New Roman"/>
          <w:noProof/>
        </w:rPr>
        <w:fldChar w:fldCharType="begin"/>
      </w:r>
      <w:r w:rsidRPr="00AF0CC3">
        <w:rPr>
          <w:rFonts w:ascii="Times New Roman" w:hAnsi="Times New Roman" w:cs="Times New Roman"/>
          <w:noProof/>
        </w:rPr>
        <w:instrText xml:space="preserve"> PAGEREF _Toc234481927 \h </w:instrText>
      </w:r>
      <w:r w:rsidRPr="00AF0CC3">
        <w:rPr>
          <w:rFonts w:ascii="Times New Roman" w:hAnsi="Times New Roman" w:cs="Times New Roman"/>
          <w:noProof/>
        </w:rPr>
      </w:r>
      <w:r w:rsidRPr="00AF0CC3">
        <w:rPr>
          <w:rFonts w:ascii="Times New Roman" w:hAnsi="Times New Roman" w:cs="Times New Roman"/>
          <w:noProof/>
        </w:rPr>
        <w:fldChar w:fldCharType="separate"/>
      </w:r>
      <w:r w:rsidRPr="00AF0CC3">
        <w:rPr>
          <w:rFonts w:ascii="Times New Roman" w:hAnsi="Times New Roman" w:cs="Times New Roman"/>
          <w:noProof/>
        </w:rPr>
        <w:t>63</w:t>
      </w:r>
      <w:r w:rsidRPr="00AF0CC3">
        <w:rPr>
          <w:rFonts w:ascii="Times New Roman" w:hAnsi="Times New Roman" w:cs="Times New Roman"/>
          <w:noProof/>
        </w:rPr>
        <w:fldChar w:fldCharType="end"/>
      </w:r>
    </w:p>
    <w:p w14:paraId="499388BF" w14:textId="176710DC" w:rsidR="000F3927" w:rsidRPr="00AF0CC3" w:rsidRDefault="000F3927">
      <w:pPr>
        <w:pStyle w:val="TableofFigures"/>
        <w:tabs>
          <w:tab w:val="right" w:leader="dot" w:pos="9350"/>
        </w:tabs>
        <w:rPr>
          <w:rFonts w:ascii="Times New Roman" w:eastAsiaTheme="minorEastAsia" w:hAnsi="Times New Roman" w:cs="Times New Roman"/>
          <w:noProof/>
        </w:rPr>
      </w:pPr>
      <w:r w:rsidRPr="00AF0CC3">
        <w:rPr>
          <w:rFonts w:ascii="Times New Roman" w:hAnsi="Times New Roman" w:cs="Times New Roman"/>
          <w:noProof/>
        </w:rPr>
        <w:t>Figure 3.1 Conceptual Framework Linking Governance Quality and Infrastructure Delivery Outcomes</w:t>
      </w:r>
      <w:r w:rsidRPr="00AF0CC3">
        <w:rPr>
          <w:rFonts w:ascii="Times New Roman" w:hAnsi="Times New Roman" w:cs="Times New Roman"/>
          <w:noProof/>
        </w:rPr>
        <w:tab/>
      </w:r>
      <w:r w:rsidRPr="00AF0CC3">
        <w:rPr>
          <w:rFonts w:ascii="Times New Roman" w:hAnsi="Times New Roman" w:cs="Times New Roman"/>
          <w:noProof/>
        </w:rPr>
        <w:fldChar w:fldCharType="begin"/>
      </w:r>
      <w:r w:rsidRPr="00AF0CC3">
        <w:rPr>
          <w:rFonts w:ascii="Times New Roman" w:hAnsi="Times New Roman" w:cs="Times New Roman"/>
          <w:noProof/>
        </w:rPr>
        <w:instrText xml:space="preserve"> PAGEREF _Toc234481928 \h </w:instrText>
      </w:r>
      <w:r w:rsidRPr="00AF0CC3">
        <w:rPr>
          <w:rFonts w:ascii="Times New Roman" w:hAnsi="Times New Roman" w:cs="Times New Roman"/>
          <w:noProof/>
        </w:rPr>
      </w:r>
      <w:r w:rsidRPr="00AF0CC3">
        <w:rPr>
          <w:rFonts w:ascii="Times New Roman" w:hAnsi="Times New Roman" w:cs="Times New Roman"/>
          <w:noProof/>
        </w:rPr>
        <w:fldChar w:fldCharType="separate"/>
      </w:r>
      <w:r w:rsidRPr="00AF0CC3">
        <w:rPr>
          <w:rFonts w:ascii="Times New Roman" w:hAnsi="Times New Roman" w:cs="Times New Roman"/>
          <w:noProof/>
        </w:rPr>
        <w:t>100</w:t>
      </w:r>
      <w:r w:rsidRPr="00AF0CC3">
        <w:rPr>
          <w:rFonts w:ascii="Times New Roman" w:hAnsi="Times New Roman" w:cs="Times New Roman"/>
          <w:noProof/>
        </w:rPr>
        <w:fldChar w:fldCharType="end"/>
      </w:r>
    </w:p>
    <w:p w14:paraId="3BF1D84F" w14:textId="2C8DFEAA" w:rsidR="000F3927" w:rsidRPr="00AF0CC3" w:rsidRDefault="000F3927">
      <w:pPr>
        <w:pStyle w:val="TableofFigures"/>
        <w:tabs>
          <w:tab w:val="right" w:leader="dot" w:pos="9350"/>
        </w:tabs>
        <w:rPr>
          <w:rFonts w:ascii="Times New Roman" w:eastAsiaTheme="minorEastAsia" w:hAnsi="Times New Roman" w:cs="Times New Roman"/>
          <w:noProof/>
        </w:rPr>
      </w:pPr>
      <w:r w:rsidRPr="00AF0CC3">
        <w:rPr>
          <w:rFonts w:ascii="Times New Roman" w:hAnsi="Times New Roman" w:cs="Times New Roman"/>
          <w:noProof/>
        </w:rPr>
        <w:t>Figure 4.1Distribution of Governance Quality Index (GQI) Scores Across Sampled Projects</w:t>
      </w:r>
      <w:r w:rsidRPr="00AF0CC3">
        <w:rPr>
          <w:rFonts w:ascii="Times New Roman" w:hAnsi="Times New Roman" w:cs="Times New Roman"/>
          <w:noProof/>
        </w:rPr>
        <w:tab/>
      </w:r>
      <w:r w:rsidRPr="00AF0CC3">
        <w:rPr>
          <w:rFonts w:ascii="Times New Roman" w:hAnsi="Times New Roman" w:cs="Times New Roman"/>
          <w:noProof/>
        </w:rPr>
        <w:fldChar w:fldCharType="begin"/>
      </w:r>
      <w:r w:rsidRPr="00AF0CC3">
        <w:rPr>
          <w:rFonts w:ascii="Times New Roman" w:hAnsi="Times New Roman" w:cs="Times New Roman"/>
          <w:noProof/>
        </w:rPr>
        <w:instrText xml:space="preserve"> PAGEREF _Toc234481929 \h </w:instrText>
      </w:r>
      <w:r w:rsidRPr="00AF0CC3">
        <w:rPr>
          <w:rFonts w:ascii="Times New Roman" w:hAnsi="Times New Roman" w:cs="Times New Roman"/>
          <w:noProof/>
        </w:rPr>
      </w:r>
      <w:r w:rsidRPr="00AF0CC3">
        <w:rPr>
          <w:rFonts w:ascii="Times New Roman" w:hAnsi="Times New Roman" w:cs="Times New Roman"/>
          <w:noProof/>
        </w:rPr>
        <w:fldChar w:fldCharType="separate"/>
      </w:r>
      <w:r w:rsidRPr="00AF0CC3">
        <w:rPr>
          <w:rFonts w:ascii="Times New Roman" w:hAnsi="Times New Roman" w:cs="Times New Roman"/>
          <w:noProof/>
        </w:rPr>
        <w:t>135</w:t>
      </w:r>
      <w:r w:rsidRPr="00AF0CC3">
        <w:rPr>
          <w:rFonts w:ascii="Times New Roman" w:hAnsi="Times New Roman" w:cs="Times New Roman"/>
          <w:noProof/>
        </w:rPr>
        <w:fldChar w:fldCharType="end"/>
      </w:r>
    </w:p>
    <w:p w14:paraId="48042F22" w14:textId="75E3A81C" w:rsidR="000F3927" w:rsidRPr="00AF0CC3" w:rsidRDefault="000F3927">
      <w:pPr>
        <w:pStyle w:val="TableofFigures"/>
        <w:tabs>
          <w:tab w:val="right" w:leader="dot" w:pos="9350"/>
        </w:tabs>
        <w:rPr>
          <w:rFonts w:ascii="Times New Roman" w:eastAsiaTheme="minorEastAsia" w:hAnsi="Times New Roman" w:cs="Times New Roman"/>
          <w:noProof/>
        </w:rPr>
      </w:pPr>
      <w:r w:rsidRPr="00AF0CC3">
        <w:rPr>
          <w:rFonts w:ascii="Times New Roman" w:hAnsi="Times New Roman" w:cs="Times New Roman"/>
          <w:noProof/>
        </w:rPr>
        <w:t>Figure 4.2 Mean Governance Component Scores Across Sampled Projects</w:t>
      </w:r>
      <w:r w:rsidRPr="00AF0CC3">
        <w:rPr>
          <w:rFonts w:ascii="Times New Roman" w:hAnsi="Times New Roman" w:cs="Times New Roman"/>
          <w:noProof/>
        </w:rPr>
        <w:tab/>
      </w:r>
      <w:r w:rsidRPr="00AF0CC3">
        <w:rPr>
          <w:rFonts w:ascii="Times New Roman" w:hAnsi="Times New Roman" w:cs="Times New Roman"/>
          <w:noProof/>
        </w:rPr>
        <w:fldChar w:fldCharType="begin"/>
      </w:r>
      <w:r w:rsidRPr="00AF0CC3">
        <w:rPr>
          <w:rFonts w:ascii="Times New Roman" w:hAnsi="Times New Roman" w:cs="Times New Roman"/>
          <w:noProof/>
        </w:rPr>
        <w:instrText xml:space="preserve"> PAGEREF _Toc234481930 \h </w:instrText>
      </w:r>
      <w:r w:rsidRPr="00AF0CC3">
        <w:rPr>
          <w:rFonts w:ascii="Times New Roman" w:hAnsi="Times New Roman" w:cs="Times New Roman"/>
          <w:noProof/>
        </w:rPr>
      </w:r>
      <w:r w:rsidRPr="00AF0CC3">
        <w:rPr>
          <w:rFonts w:ascii="Times New Roman" w:hAnsi="Times New Roman" w:cs="Times New Roman"/>
          <w:noProof/>
        </w:rPr>
        <w:fldChar w:fldCharType="separate"/>
      </w:r>
      <w:r w:rsidRPr="00AF0CC3">
        <w:rPr>
          <w:rFonts w:ascii="Times New Roman" w:hAnsi="Times New Roman" w:cs="Times New Roman"/>
          <w:noProof/>
        </w:rPr>
        <w:t>137</w:t>
      </w:r>
      <w:r w:rsidRPr="00AF0CC3">
        <w:rPr>
          <w:rFonts w:ascii="Times New Roman" w:hAnsi="Times New Roman" w:cs="Times New Roman"/>
          <w:noProof/>
        </w:rPr>
        <w:fldChar w:fldCharType="end"/>
      </w:r>
    </w:p>
    <w:p w14:paraId="6390FC6C" w14:textId="78EC2247" w:rsidR="000F3927" w:rsidRPr="00AF0CC3" w:rsidRDefault="000F3927">
      <w:pPr>
        <w:pStyle w:val="TableofFigures"/>
        <w:tabs>
          <w:tab w:val="right" w:leader="dot" w:pos="9350"/>
        </w:tabs>
        <w:rPr>
          <w:rFonts w:ascii="Times New Roman" w:eastAsiaTheme="minorEastAsia" w:hAnsi="Times New Roman" w:cs="Times New Roman"/>
          <w:noProof/>
        </w:rPr>
      </w:pPr>
      <w:r w:rsidRPr="00AF0CC3">
        <w:rPr>
          <w:rFonts w:ascii="Times New Roman" w:hAnsi="Times New Roman" w:cs="Times New Roman"/>
          <w:noProof/>
        </w:rPr>
        <w:t>Figure 4.3 Governance Quality Index (GQI) by Project Status</w:t>
      </w:r>
      <w:r w:rsidRPr="00AF0CC3">
        <w:rPr>
          <w:rFonts w:ascii="Times New Roman" w:hAnsi="Times New Roman" w:cs="Times New Roman"/>
          <w:noProof/>
        </w:rPr>
        <w:tab/>
      </w:r>
      <w:r w:rsidRPr="00AF0CC3">
        <w:rPr>
          <w:rFonts w:ascii="Times New Roman" w:hAnsi="Times New Roman" w:cs="Times New Roman"/>
          <w:noProof/>
        </w:rPr>
        <w:fldChar w:fldCharType="begin"/>
      </w:r>
      <w:r w:rsidRPr="00AF0CC3">
        <w:rPr>
          <w:rFonts w:ascii="Times New Roman" w:hAnsi="Times New Roman" w:cs="Times New Roman"/>
          <w:noProof/>
        </w:rPr>
        <w:instrText xml:space="preserve"> PAGEREF _Toc234481931 \h </w:instrText>
      </w:r>
      <w:r w:rsidRPr="00AF0CC3">
        <w:rPr>
          <w:rFonts w:ascii="Times New Roman" w:hAnsi="Times New Roman" w:cs="Times New Roman"/>
          <w:noProof/>
        </w:rPr>
      </w:r>
      <w:r w:rsidRPr="00AF0CC3">
        <w:rPr>
          <w:rFonts w:ascii="Times New Roman" w:hAnsi="Times New Roman" w:cs="Times New Roman"/>
          <w:noProof/>
        </w:rPr>
        <w:fldChar w:fldCharType="separate"/>
      </w:r>
      <w:r w:rsidRPr="00AF0CC3">
        <w:rPr>
          <w:rFonts w:ascii="Times New Roman" w:hAnsi="Times New Roman" w:cs="Times New Roman"/>
          <w:noProof/>
        </w:rPr>
        <w:t>140</w:t>
      </w:r>
      <w:r w:rsidRPr="00AF0CC3">
        <w:rPr>
          <w:rFonts w:ascii="Times New Roman" w:hAnsi="Times New Roman" w:cs="Times New Roman"/>
          <w:noProof/>
        </w:rPr>
        <w:fldChar w:fldCharType="end"/>
      </w:r>
    </w:p>
    <w:p w14:paraId="4C30A99A" w14:textId="1648B652" w:rsidR="000F3927" w:rsidRPr="00AF0CC3" w:rsidRDefault="000F3927">
      <w:pPr>
        <w:pStyle w:val="TableofFigures"/>
        <w:tabs>
          <w:tab w:val="right" w:leader="dot" w:pos="9350"/>
        </w:tabs>
        <w:rPr>
          <w:rFonts w:ascii="Times New Roman" w:eastAsiaTheme="minorEastAsia" w:hAnsi="Times New Roman" w:cs="Times New Roman"/>
          <w:noProof/>
        </w:rPr>
      </w:pPr>
      <w:r w:rsidRPr="00AF0CC3">
        <w:rPr>
          <w:rFonts w:ascii="Times New Roman" w:hAnsi="Times New Roman" w:cs="Times New Roman"/>
          <w:noProof/>
        </w:rPr>
        <w:t>Figure 4.4 Distribution of stalled projects across Governance Categories</w:t>
      </w:r>
      <w:r w:rsidRPr="00AF0CC3">
        <w:rPr>
          <w:rFonts w:ascii="Times New Roman" w:hAnsi="Times New Roman" w:cs="Times New Roman"/>
          <w:noProof/>
        </w:rPr>
        <w:tab/>
      </w:r>
      <w:r w:rsidRPr="00AF0CC3">
        <w:rPr>
          <w:rFonts w:ascii="Times New Roman" w:hAnsi="Times New Roman" w:cs="Times New Roman"/>
          <w:noProof/>
        </w:rPr>
        <w:fldChar w:fldCharType="begin"/>
      </w:r>
      <w:r w:rsidRPr="00AF0CC3">
        <w:rPr>
          <w:rFonts w:ascii="Times New Roman" w:hAnsi="Times New Roman" w:cs="Times New Roman"/>
          <w:noProof/>
        </w:rPr>
        <w:instrText xml:space="preserve"> PAGEREF _Toc234481932 \h </w:instrText>
      </w:r>
      <w:r w:rsidRPr="00AF0CC3">
        <w:rPr>
          <w:rFonts w:ascii="Times New Roman" w:hAnsi="Times New Roman" w:cs="Times New Roman"/>
          <w:noProof/>
        </w:rPr>
      </w:r>
      <w:r w:rsidRPr="00AF0CC3">
        <w:rPr>
          <w:rFonts w:ascii="Times New Roman" w:hAnsi="Times New Roman" w:cs="Times New Roman"/>
          <w:noProof/>
        </w:rPr>
        <w:fldChar w:fldCharType="separate"/>
      </w:r>
      <w:r w:rsidRPr="00AF0CC3">
        <w:rPr>
          <w:rFonts w:ascii="Times New Roman" w:hAnsi="Times New Roman" w:cs="Times New Roman"/>
          <w:noProof/>
        </w:rPr>
        <w:t>144</w:t>
      </w:r>
      <w:r w:rsidRPr="00AF0CC3">
        <w:rPr>
          <w:rFonts w:ascii="Times New Roman" w:hAnsi="Times New Roman" w:cs="Times New Roman"/>
          <w:noProof/>
        </w:rPr>
        <w:fldChar w:fldCharType="end"/>
      </w:r>
    </w:p>
    <w:p w14:paraId="01E76825" w14:textId="1FFCF393" w:rsidR="000F3927" w:rsidRPr="00AF0CC3" w:rsidRDefault="000F3927">
      <w:pPr>
        <w:pStyle w:val="TableofFigures"/>
        <w:tabs>
          <w:tab w:val="right" w:leader="dot" w:pos="9350"/>
        </w:tabs>
        <w:rPr>
          <w:rFonts w:ascii="Times New Roman" w:eastAsiaTheme="minorEastAsia" w:hAnsi="Times New Roman" w:cs="Times New Roman"/>
          <w:noProof/>
        </w:rPr>
      </w:pPr>
      <w:r w:rsidRPr="00AF0CC3">
        <w:rPr>
          <w:rFonts w:ascii="Times New Roman" w:hAnsi="Times New Roman" w:cs="Times New Roman"/>
          <w:noProof/>
        </w:rPr>
        <w:t>Figure 4.5 Predicted Probability of Project Stalling by Governance Quality Index (GQI)</w:t>
      </w:r>
      <w:r w:rsidRPr="00AF0CC3">
        <w:rPr>
          <w:rFonts w:ascii="Times New Roman" w:hAnsi="Times New Roman" w:cs="Times New Roman"/>
          <w:noProof/>
        </w:rPr>
        <w:tab/>
      </w:r>
      <w:r w:rsidRPr="00AF0CC3">
        <w:rPr>
          <w:rFonts w:ascii="Times New Roman" w:hAnsi="Times New Roman" w:cs="Times New Roman"/>
          <w:noProof/>
        </w:rPr>
        <w:fldChar w:fldCharType="begin"/>
      </w:r>
      <w:r w:rsidRPr="00AF0CC3">
        <w:rPr>
          <w:rFonts w:ascii="Times New Roman" w:hAnsi="Times New Roman" w:cs="Times New Roman"/>
          <w:noProof/>
        </w:rPr>
        <w:instrText xml:space="preserve"> PAGEREF _Toc234481933 \h </w:instrText>
      </w:r>
      <w:r w:rsidRPr="00AF0CC3">
        <w:rPr>
          <w:rFonts w:ascii="Times New Roman" w:hAnsi="Times New Roman" w:cs="Times New Roman"/>
          <w:noProof/>
        </w:rPr>
      </w:r>
      <w:r w:rsidRPr="00AF0CC3">
        <w:rPr>
          <w:rFonts w:ascii="Times New Roman" w:hAnsi="Times New Roman" w:cs="Times New Roman"/>
          <w:noProof/>
        </w:rPr>
        <w:fldChar w:fldCharType="separate"/>
      </w:r>
      <w:r w:rsidRPr="00AF0CC3">
        <w:rPr>
          <w:rFonts w:ascii="Times New Roman" w:hAnsi="Times New Roman" w:cs="Times New Roman"/>
          <w:noProof/>
        </w:rPr>
        <w:t>145</w:t>
      </w:r>
      <w:r w:rsidRPr="00AF0CC3">
        <w:rPr>
          <w:rFonts w:ascii="Times New Roman" w:hAnsi="Times New Roman" w:cs="Times New Roman"/>
          <w:noProof/>
        </w:rPr>
        <w:fldChar w:fldCharType="end"/>
      </w:r>
    </w:p>
    <w:p w14:paraId="2592F5D6" w14:textId="4D1B705A" w:rsidR="000F3927" w:rsidRPr="00AF0CC3" w:rsidRDefault="000F3927">
      <w:pPr>
        <w:pStyle w:val="TableofFigures"/>
        <w:tabs>
          <w:tab w:val="right" w:leader="dot" w:pos="9350"/>
        </w:tabs>
        <w:rPr>
          <w:rFonts w:ascii="Times New Roman" w:eastAsiaTheme="minorEastAsia" w:hAnsi="Times New Roman" w:cs="Times New Roman"/>
          <w:noProof/>
        </w:rPr>
      </w:pPr>
      <w:r w:rsidRPr="00AF0CC3">
        <w:rPr>
          <w:rFonts w:ascii="Times New Roman" w:hAnsi="Times New Roman" w:cs="Times New Roman"/>
          <w:noProof/>
        </w:rPr>
        <w:t>Figure 4.6 Time Overrun by Governance Quality Category</w:t>
      </w:r>
      <w:r w:rsidRPr="00AF0CC3">
        <w:rPr>
          <w:rFonts w:ascii="Times New Roman" w:hAnsi="Times New Roman" w:cs="Times New Roman"/>
          <w:noProof/>
        </w:rPr>
        <w:tab/>
      </w:r>
      <w:r w:rsidRPr="00AF0CC3">
        <w:rPr>
          <w:rFonts w:ascii="Times New Roman" w:hAnsi="Times New Roman" w:cs="Times New Roman"/>
          <w:noProof/>
        </w:rPr>
        <w:fldChar w:fldCharType="begin"/>
      </w:r>
      <w:r w:rsidRPr="00AF0CC3">
        <w:rPr>
          <w:rFonts w:ascii="Times New Roman" w:hAnsi="Times New Roman" w:cs="Times New Roman"/>
          <w:noProof/>
        </w:rPr>
        <w:instrText xml:space="preserve"> PAGEREF _Toc234481934 \h </w:instrText>
      </w:r>
      <w:r w:rsidRPr="00AF0CC3">
        <w:rPr>
          <w:rFonts w:ascii="Times New Roman" w:hAnsi="Times New Roman" w:cs="Times New Roman"/>
          <w:noProof/>
        </w:rPr>
      </w:r>
      <w:r w:rsidRPr="00AF0CC3">
        <w:rPr>
          <w:rFonts w:ascii="Times New Roman" w:hAnsi="Times New Roman" w:cs="Times New Roman"/>
          <w:noProof/>
        </w:rPr>
        <w:fldChar w:fldCharType="separate"/>
      </w:r>
      <w:r w:rsidRPr="00AF0CC3">
        <w:rPr>
          <w:rFonts w:ascii="Times New Roman" w:hAnsi="Times New Roman" w:cs="Times New Roman"/>
          <w:noProof/>
        </w:rPr>
        <w:t>151</w:t>
      </w:r>
      <w:r w:rsidRPr="00AF0CC3">
        <w:rPr>
          <w:rFonts w:ascii="Times New Roman" w:hAnsi="Times New Roman" w:cs="Times New Roman"/>
          <w:noProof/>
        </w:rPr>
        <w:fldChar w:fldCharType="end"/>
      </w:r>
    </w:p>
    <w:p w14:paraId="11EDD489" w14:textId="393001C0" w:rsidR="000F3927" w:rsidRPr="00AF0CC3" w:rsidRDefault="000F3927">
      <w:pPr>
        <w:pStyle w:val="TableofFigures"/>
        <w:tabs>
          <w:tab w:val="right" w:leader="dot" w:pos="9350"/>
        </w:tabs>
        <w:rPr>
          <w:rFonts w:ascii="Times New Roman" w:eastAsiaTheme="minorEastAsia" w:hAnsi="Times New Roman" w:cs="Times New Roman"/>
          <w:noProof/>
        </w:rPr>
      </w:pPr>
      <w:r w:rsidRPr="00AF0CC3">
        <w:rPr>
          <w:rFonts w:ascii="Times New Roman" w:hAnsi="Times New Roman" w:cs="Times New Roman"/>
          <w:noProof/>
        </w:rPr>
        <w:t>Figure 4.7 Documentation accessibility across implementing authorities</w:t>
      </w:r>
      <w:r w:rsidRPr="00AF0CC3">
        <w:rPr>
          <w:rFonts w:ascii="Times New Roman" w:hAnsi="Times New Roman" w:cs="Times New Roman"/>
          <w:noProof/>
        </w:rPr>
        <w:tab/>
      </w:r>
      <w:r w:rsidRPr="00AF0CC3">
        <w:rPr>
          <w:rFonts w:ascii="Times New Roman" w:hAnsi="Times New Roman" w:cs="Times New Roman"/>
          <w:noProof/>
        </w:rPr>
        <w:fldChar w:fldCharType="begin"/>
      </w:r>
      <w:r w:rsidRPr="00AF0CC3">
        <w:rPr>
          <w:rFonts w:ascii="Times New Roman" w:hAnsi="Times New Roman" w:cs="Times New Roman"/>
          <w:noProof/>
        </w:rPr>
        <w:instrText xml:space="preserve"> PAGEREF _Toc234481935 \h </w:instrText>
      </w:r>
      <w:r w:rsidRPr="00AF0CC3">
        <w:rPr>
          <w:rFonts w:ascii="Times New Roman" w:hAnsi="Times New Roman" w:cs="Times New Roman"/>
          <w:noProof/>
        </w:rPr>
      </w:r>
      <w:r w:rsidRPr="00AF0CC3">
        <w:rPr>
          <w:rFonts w:ascii="Times New Roman" w:hAnsi="Times New Roman" w:cs="Times New Roman"/>
          <w:noProof/>
        </w:rPr>
        <w:fldChar w:fldCharType="separate"/>
      </w:r>
      <w:r w:rsidRPr="00AF0CC3">
        <w:rPr>
          <w:rFonts w:ascii="Times New Roman" w:hAnsi="Times New Roman" w:cs="Times New Roman"/>
          <w:noProof/>
        </w:rPr>
        <w:t>170</w:t>
      </w:r>
      <w:r w:rsidRPr="00AF0CC3">
        <w:rPr>
          <w:rFonts w:ascii="Times New Roman" w:hAnsi="Times New Roman" w:cs="Times New Roman"/>
          <w:noProof/>
        </w:rPr>
        <w:fldChar w:fldCharType="end"/>
      </w:r>
    </w:p>
    <w:p w14:paraId="6BFF4251" w14:textId="3ECB2D33" w:rsidR="000F3927" w:rsidRPr="00AF0CC3" w:rsidRDefault="000F3927">
      <w:pPr>
        <w:pStyle w:val="TableofFigures"/>
        <w:tabs>
          <w:tab w:val="right" w:leader="dot" w:pos="9350"/>
        </w:tabs>
        <w:rPr>
          <w:rFonts w:ascii="Times New Roman" w:eastAsiaTheme="minorEastAsia" w:hAnsi="Times New Roman" w:cs="Times New Roman"/>
          <w:noProof/>
        </w:rPr>
      </w:pPr>
      <w:r w:rsidRPr="00AF0CC3">
        <w:rPr>
          <w:rFonts w:ascii="Times New Roman" w:hAnsi="Times New Roman" w:cs="Times New Roman"/>
          <w:noProof/>
        </w:rPr>
        <w:t>Figure 5.1Governance–Implementation Relationship Model</w:t>
      </w:r>
      <w:r w:rsidRPr="00AF0CC3">
        <w:rPr>
          <w:rFonts w:ascii="Times New Roman" w:hAnsi="Times New Roman" w:cs="Times New Roman"/>
          <w:noProof/>
        </w:rPr>
        <w:tab/>
      </w:r>
      <w:r w:rsidRPr="00AF0CC3">
        <w:rPr>
          <w:rFonts w:ascii="Times New Roman" w:hAnsi="Times New Roman" w:cs="Times New Roman"/>
          <w:noProof/>
        </w:rPr>
        <w:fldChar w:fldCharType="begin"/>
      </w:r>
      <w:r w:rsidRPr="00AF0CC3">
        <w:rPr>
          <w:rFonts w:ascii="Times New Roman" w:hAnsi="Times New Roman" w:cs="Times New Roman"/>
          <w:noProof/>
        </w:rPr>
        <w:instrText xml:space="preserve"> PAGEREF _Toc234481936 \h </w:instrText>
      </w:r>
      <w:r w:rsidRPr="00AF0CC3">
        <w:rPr>
          <w:rFonts w:ascii="Times New Roman" w:hAnsi="Times New Roman" w:cs="Times New Roman"/>
          <w:noProof/>
        </w:rPr>
      </w:r>
      <w:r w:rsidRPr="00AF0CC3">
        <w:rPr>
          <w:rFonts w:ascii="Times New Roman" w:hAnsi="Times New Roman" w:cs="Times New Roman"/>
          <w:noProof/>
        </w:rPr>
        <w:fldChar w:fldCharType="separate"/>
      </w:r>
      <w:r w:rsidRPr="00AF0CC3">
        <w:rPr>
          <w:rFonts w:ascii="Times New Roman" w:hAnsi="Times New Roman" w:cs="Times New Roman"/>
          <w:noProof/>
        </w:rPr>
        <w:t>211</w:t>
      </w:r>
      <w:r w:rsidRPr="00AF0CC3">
        <w:rPr>
          <w:rFonts w:ascii="Times New Roman" w:hAnsi="Times New Roman" w:cs="Times New Roman"/>
          <w:noProof/>
        </w:rPr>
        <w:fldChar w:fldCharType="end"/>
      </w:r>
    </w:p>
    <w:p w14:paraId="3AA00042" w14:textId="5AAA34B9" w:rsidR="000F3927" w:rsidRPr="00AF0CC3" w:rsidRDefault="000F3927">
      <w:pPr>
        <w:pStyle w:val="TableofFigures"/>
        <w:tabs>
          <w:tab w:val="right" w:leader="dot" w:pos="9350"/>
        </w:tabs>
        <w:rPr>
          <w:rFonts w:ascii="Times New Roman" w:eastAsiaTheme="minorEastAsia" w:hAnsi="Times New Roman" w:cs="Times New Roman"/>
          <w:noProof/>
        </w:rPr>
      </w:pPr>
      <w:r w:rsidRPr="00AF0CC3">
        <w:rPr>
          <w:rFonts w:ascii="Times New Roman" w:hAnsi="Times New Roman" w:cs="Times New Roman"/>
          <w:noProof/>
        </w:rPr>
        <w:t>Figure 5.2 Infrastructure Governance Failure Pathway Model</w:t>
      </w:r>
      <w:r w:rsidRPr="00AF0CC3">
        <w:rPr>
          <w:rFonts w:ascii="Times New Roman" w:hAnsi="Times New Roman" w:cs="Times New Roman"/>
          <w:noProof/>
        </w:rPr>
        <w:tab/>
      </w:r>
      <w:r w:rsidRPr="00AF0CC3">
        <w:rPr>
          <w:rFonts w:ascii="Times New Roman" w:hAnsi="Times New Roman" w:cs="Times New Roman"/>
          <w:noProof/>
        </w:rPr>
        <w:fldChar w:fldCharType="begin"/>
      </w:r>
      <w:r w:rsidRPr="00AF0CC3">
        <w:rPr>
          <w:rFonts w:ascii="Times New Roman" w:hAnsi="Times New Roman" w:cs="Times New Roman"/>
          <w:noProof/>
        </w:rPr>
        <w:instrText xml:space="preserve"> PAGEREF _Toc234481937 \h </w:instrText>
      </w:r>
      <w:r w:rsidRPr="00AF0CC3">
        <w:rPr>
          <w:rFonts w:ascii="Times New Roman" w:hAnsi="Times New Roman" w:cs="Times New Roman"/>
          <w:noProof/>
        </w:rPr>
      </w:r>
      <w:r w:rsidRPr="00AF0CC3">
        <w:rPr>
          <w:rFonts w:ascii="Times New Roman" w:hAnsi="Times New Roman" w:cs="Times New Roman"/>
          <w:noProof/>
        </w:rPr>
        <w:fldChar w:fldCharType="separate"/>
      </w:r>
      <w:r w:rsidRPr="00AF0CC3">
        <w:rPr>
          <w:rFonts w:ascii="Times New Roman" w:hAnsi="Times New Roman" w:cs="Times New Roman"/>
          <w:noProof/>
        </w:rPr>
        <w:t>212</w:t>
      </w:r>
      <w:r w:rsidRPr="00AF0CC3">
        <w:rPr>
          <w:rFonts w:ascii="Times New Roman" w:hAnsi="Times New Roman" w:cs="Times New Roman"/>
          <w:noProof/>
        </w:rPr>
        <w:fldChar w:fldCharType="end"/>
      </w:r>
    </w:p>
    <w:p w14:paraId="294D337B" w14:textId="2736ADEF" w:rsidR="006D3629" w:rsidRPr="00AF0CC3" w:rsidRDefault="007707C5" w:rsidP="002E0E45">
      <w:pPr>
        <w:rPr>
          <w:rFonts w:ascii="Times New Roman" w:hAnsi="Times New Roman" w:cs="Times New Roman"/>
          <w:color w:val="000000" w:themeColor="text1"/>
        </w:rPr>
      </w:pPr>
      <w:r w:rsidRPr="00AF0CC3">
        <w:rPr>
          <w:rFonts w:ascii="Times New Roman" w:hAnsi="Times New Roman" w:cs="Times New Roman"/>
          <w:color w:val="000000" w:themeColor="text1"/>
        </w:rPr>
        <w:fldChar w:fldCharType="end"/>
      </w:r>
    </w:p>
    <w:p w14:paraId="0F4A8935" w14:textId="77777777" w:rsidR="006D3629" w:rsidRPr="00AF0CC3" w:rsidRDefault="006D3629" w:rsidP="002E0E45">
      <w:pPr>
        <w:rPr>
          <w:rFonts w:ascii="Times New Roman" w:hAnsi="Times New Roman" w:cs="Times New Roman"/>
          <w:color w:val="000000" w:themeColor="text1"/>
        </w:rPr>
      </w:pPr>
    </w:p>
    <w:p w14:paraId="40240E32" w14:textId="77777777" w:rsidR="006D3629" w:rsidRPr="00AF0CC3" w:rsidRDefault="006D3629" w:rsidP="002E0E45">
      <w:pPr>
        <w:rPr>
          <w:rFonts w:ascii="Times New Roman" w:hAnsi="Times New Roman" w:cs="Times New Roman"/>
          <w:color w:val="000000" w:themeColor="text1"/>
        </w:rPr>
      </w:pPr>
    </w:p>
    <w:p w14:paraId="60D5C8AD" w14:textId="77777777" w:rsidR="006D3629" w:rsidRPr="00AF0CC3" w:rsidRDefault="006D3629" w:rsidP="002E0E45">
      <w:pPr>
        <w:rPr>
          <w:rFonts w:ascii="Times New Roman" w:hAnsi="Times New Roman" w:cs="Times New Roman"/>
          <w:color w:val="000000" w:themeColor="text1"/>
        </w:rPr>
      </w:pPr>
    </w:p>
    <w:p w14:paraId="4ECF9FD9" w14:textId="77777777" w:rsidR="006D3629" w:rsidRPr="00AF0CC3" w:rsidRDefault="006D3629" w:rsidP="002E0E45">
      <w:pPr>
        <w:rPr>
          <w:rFonts w:ascii="Times New Roman" w:hAnsi="Times New Roman" w:cs="Times New Roman"/>
          <w:color w:val="000000" w:themeColor="text1"/>
        </w:rPr>
      </w:pPr>
    </w:p>
    <w:p w14:paraId="041BB135" w14:textId="77777777" w:rsidR="006D3629" w:rsidRPr="00AF0CC3" w:rsidRDefault="006D3629" w:rsidP="002E0E45">
      <w:pPr>
        <w:rPr>
          <w:rFonts w:ascii="Times New Roman" w:hAnsi="Times New Roman" w:cs="Times New Roman"/>
          <w:color w:val="000000" w:themeColor="text1"/>
        </w:rPr>
      </w:pPr>
    </w:p>
    <w:p w14:paraId="3D235C54" w14:textId="77777777" w:rsidR="006D3629" w:rsidRPr="00AF0CC3" w:rsidRDefault="006D3629" w:rsidP="002E0E45">
      <w:pPr>
        <w:rPr>
          <w:rFonts w:ascii="Times New Roman" w:hAnsi="Times New Roman" w:cs="Times New Roman"/>
          <w:color w:val="000000" w:themeColor="text1"/>
        </w:rPr>
      </w:pPr>
    </w:p>
    <w:p w14:paraId="7A4E193A" w14:textId="77777777" w:rsidR="006D3629" w:rsidRPr="00AF0CC3" w:rsidRDefault="006D3629" w:rsidP="002E0E45">
      <w:pPr>
        <w:rPr>
          <w:rFonts w:ascii="Times New Roman" w:hAnsi="Times New Roman" w:cs="Times New Roman"/>
          <w:color w:val="000000" w:themeColor="text1"/>
        </w:rPr>
      </w:pPr>
    </w:p>
    <w:p w14:paraId="7FA0CD36" w14:textId="77777777" w:rsidR="006D3629" w:rsidRPr="00AF0CC3" w:rsidRDefault="006D3629" w:rsidP="002E0E45">
      <w:pPr>
        <w:rPr>
          <w:rFonts w:ascii="Times New Roman" w:hAnsi="Times New Roman" w:cs="Times New Roman"/>
          <w:color w:val="000000" w:themeColor="text1"/>
        </w:rPr>
      </w:pPr>
    </w:p>
    <w:p w14:paraId="6FEB5BDD" w14:textId="77777777" w:rsidR="006D3629" w:rsidRPr="00AF0CC3" w:rsidRDefault="006D3629" w:rsidP="002E0E45">
      <w:pPr>
        <w:rPr>
          <w:rFonts w:ascii="Times New Roman" w:hAnsi="Times New Roman" w:cs="Times New Roman"/>
          <w:color w:val="000000" w:themeColor="text1"/>
        </w:rPr>
      </w:pPr>
    </w:p>
    <w:p w14:paraId="56CA2EB6" w14:textId="77777777" w:rsidR="006D3629" w:rsidRPr="00AF0CC3" w:rsidRDefault="006D3629" w:rsidP="002E0E45">
      <w:pPr>
        <w:rPr>
          <w:rFonts w:ascii="Times New Roman" w:hAnsi="Times New Roman" w:cs="Times New Roman"/>
          <w:color w:val="000000" w:themeColor="text1"/>
        </w:rPr>
      </w:pPr>
    </w:p>
    <w:p w14:paraId="38AA729C" w14:textId="77777777" w:rsidR="00854BDF" w:rsidRPr="00AF0CC3" w:rsidRDefault="00854BDF" w:rsidP="002E0E45">
      <w:pPr>
        <w:rPr>
          <w:rFonts w:ascii="Times New Roman" w:hAnsi="Times New Roman" w:cs="Times New Roman"/>
          <w:color w:val="000000" w:themeColor="text1"/>
        </w:rPr>
      </w:pPr>
    </w:p>
    <w:p w14:paraId="38595936" w14:textId="691B3B3F" w:rsidR="00854BDF" w:rsidRPr="007E5C0D" w:rsidRDefault="00432E54" w:rsidP="00432E54">
      <w:pPr>
        <w:pStyle w:val="FrontMatterheading2"/>
        <w:rPr>
          <w:b/>
          <w:bCs/>
          <w:szCs w:val="24"/>
        </w:rPr>
      </w:pPr>
      <w:bookmarkStart w:id="5" w:name="_Toc234488957"/>
      <w:r w:rsidRPr="007E5C0D">
        <w:rPr>
          <w:b/>
          <w:bCs/>
          <w:szCs w:val="24"/>
        </w:rPr>
        <w:lastRenderedPageBreak/>
        <w:t>DEDICATION</w:t>
      </w:r>
      <w:bookmarkEnd w:id="5"/>
    </w:p>
    <w:p w14:paraId="289D3838" w14:textId="77777777" w:rsidR="006D3629" w:rsidRPr="00AF0CC3" w:rsidRDefault="006D3629" w:rsidP="002E0E45">
      <w:pPr>
        <w:rPr>
          <w:rFonts w:ascii="Times New Roman" w:hAnsi="Times New Roman" w:cs="Times New Roman"/>
          <w:color w:val="000000" w:themeColor="text1"/>
        </w:rPr>
      </w:pPr>
    </w:p>
    <w:p w14:paraId="38C8EA2B" w14:textId="77777777" w:rsidR="00C103EE" w:rsidRPr="00AF0CC3" w:rsidRDefault="00C103EE" w:rsidP="00C103EE">
      <w:pPr>
        <w:rPr>
          <w:rFonts w:ascii="Times New Roman" w:hAnsi="Times New Roman" w:cs="Times New Roman"/>
          <w:color w:val="000000" w:themeColor="text1"/>
        </w:rPr>
      </w:pPr>
      <w:r w:rsidRPr="00AF0CC3">
        <w:rPr>
          <w:rFonts w:ascii="Times New Roman" w:hAnsi="Times New Roman" w:cs="Times New Roman"/>
          <w:b/>
          <w:bCs/>
          <w:color w:val="000000" w:themeColor="text1"/>
        </w:rPr>
        <w:t>To Almighty God,</w:t>
      </w:r>
    </w:p>
    <w:p w14:paraId="0ECC33EA" w14:textId="77777777" w:rsidR="00C103EE" w:rsidRPr="00AF0CC3" w:rsidRDefault="00C103EE" w:rsidP="00C103EE">
      <w:pPr>
        <w:rPr>
          <w:rFonts w:ascii="Times New Roman" w:hAnsi="Times New Roman" w:cs="Times New Roman"/>
          <w:color w:val="000000" w:themeColor="text1"/>
        </w:rPr>
      </w:pPr>
      <w:r w:rsidRPr="00AF0CC3">
        <w:rPr>
          <w:rFonts w:ascii="Times New Roman" w:hAnsi="Times New Roman" w:cs="Times New Roman"/>
          <w:color w:val="000000" w:themeColor="text1"/>
        </w:rPr>
        <w:t>whose unfailing grace, wisdom, strength, and faithfulness sustained me throughout this doctoral journey. Without His guidance and abundant blessings, this achievement would not have been possible.</w:t>
      </w:r>
    </w:p>
    <w:p w14:paraId="151D8C49" w14:textId="475F4E77" w:rsidR="007525AD" w:rsidRPr="00AF0CC3" w:rsidRDefault="007525AD" w:rsidP="00C103EE">
      <w:pPr>
        <w:rPr>
          <w:rFonts w:ascii="Times New Roman" w:hAnsi="Times New Roman" w:cs="Times New Roman"/>
          <w:b/>
          <w:bCs/>
          <w:color w:val="000000" w:themeColor="text1"/>
        </w:rPr>
      </w:pPr>
      <w:r w:rsidRPr="00AF0CC3">
        <w:rPr>
          <w:rFonts w:ascii="Times New Roman" w:hAnsi="Times New Roman" w:cs="Times New Roman"/>
          <w:b/>
          <w:bCs/>
          <w:color w:val="000000" w:themeColor="text1"/>
        </w:rPr>
        <w:t xml:space="preserve">To the cherished memory of my late </w:t>
      </w:r>
      <w:r w:rsidR="002C15FF" w:rsidRPr="00AF0CC3">
        <w:rPr>
          <w:rFonts w:ascii="Times New Roman" w:hAnsi="Times New Roman" w:cs="Times New Roman"/>
          <w:b/>
          <w:bCs/>
          <w:color w:val="000000" w:themeColor="text1"/>
        </w:rPr>
        <w:t>parents, Gesure and Margret,</w:t>
      </w:r>
    </w:p>
    <w:p w14:paraId="50E2C4C5" w14:textId="2E5207C5" w:rsidR="007525AD" w:rsidRPr="00AF0CC3" w:rsidRDefault="005F5A95" w:rsidP="00C103EE">
      <w:pPr>
        <w:rPr>
          <w:rFonts w:ascii="Times New Roman" w:hAnsi="Times New Roman" w:cs="Times New Roman"/>
          <w:color w:val="000000" w:themeColor="text1"/>
        </w:rPr>
      </w:pPr>
      <w:r w:rsidRPr="00AF0CC3">
        <w:rPr>
          <w:rFonts w:ascii="Times New Roman" w:hAnsi="Times New Roman" w:cs="Times New Roman"/>
          <w:color w:val="000000" w:themeColor="text1"/>
        </w:rPr>
        <w:t>Whose unconditional love, sacrifices, unwavering faith, and steadfast belief in the power of education shaped the course of my life. Although you are not here to celebrate this milestone, your wisdom, prayers, and example continue to guide me. Every achievement I attain is built upon the foundation you laid, and this dissertation is dedicated to your enduring legacy with profound love, gratitude, and respect.</w:t>
      </w:r>
    </w:p>
    <w:p w14:paraId="4AF045A4" w14:textId="77777777" w:rsidR="00C103EE" w:rsidRPr="00AF0CC3" w:rsidRDefault="00C103EE" w:rsidP="00C103EE">
      <w:pPr>
        <w:rPr>
          <w:rFonts w:ascii="Times New Roman" w:hAnsi="Times New Roman" w:cs="Times New Roman"/>
          <w:color w:val="000000" w:themeColor="text1"/>
        </w:rPr>
      </w:pPr>
      <w:r w:rsidRPr="00AF0CC3">
        <w:rPr>
          <w:rFonts w:ascii="Times New Roman" w:hAnsi="Times New Roman" w:cs="Times New Roman"/>
          <w:b/>
          <w:bCs/>
          <w:color w:val="000000" w:themeColor="text1"/>
        </w:rPr>
        <w:t>To my beloved children, Zane and Zella,</w:t>
      </w:r>
    </w:p>
    <w:p w14:paraId="7EAC6FCD" w14:textId="189E3CA4" w:rsidR="00C103EE" w:rsidRPr="00AF0CC3" w:rsidRDefault="00C103EE" w:rsidP="00C103EE">
      <w:pPr>
        <w:rPr>
          <w:rFonts w:ascii="Times New Roman" w:hAnsi="Times New Roman" w:cs="Times New Roman"/>
          <w:color w:val="000000" w:themeColor="text1"/>
        </w:rPr>
      </w:pPr>
      <w:r w:rsidRPr="00AF0CC3">
        <w:rPr>
          <w:rFonts w:ascii="Times New Roman" w:hAnsi="Times New Roman" w:cs="Times New Roman"/>
          <w:color w:val="000000" w:themeColor="text1"/>
        </w:rPr>
        <w:t xml:space="preserve">May this accomplishment remind you that with faith in God, perseverance, discipline, and hard work, no dream is beyond reach. May it inspire you to pursue excellence with humility, integrity, and compassion, and to use your talents to make a meaningful difference in </w:t>
      </w:r>
      <w:r w:rsidR="00AD0D45" w:rsidRPr="00AF0CC3">
        <w:rPr>
          <w:rFonts w:ascii="Times New Roman" w:hAnsi="Times New Roman" w:cs="Times New Roman"/>
          <w:color w:val="000000" w:themeColor="text1"/>
        </w:rPr>
        <w:t>others' lives</w:t>
      </w:r>
      <w:r w:rsidRPr="00AF0CC3">
        <w:rPr>
          <w:rFonts w:ascii="Times New Roman" w:hAnsi="Times New Roman" w:cs="Times New Roman"/>
          <w:color w:val="000000" w:themeColor="text1"/>
        </w:rPr>
        <w:t>.</w:t>
      </w:r>
    </w:p>
    <w:p w14:paraId="384A19C3" w14:textId="77777777" w:rsidR="00C103EE" w:rsidRPr="00AF0CC3" w:rsidRDefault="00C103EE" w:rsidP="00C103EE">
      <w:pPr>
        <w:rPr>
          <w:rFonts w:ascii="Times New Roman" w:hAnsi="Times New Roman" w:cs="Times New Roman"/>
          <w:color w:val="000000" w:themeColor="text1"/>
        </w:rPr>
      </w:pPr>
      <w:r w:rsidRPr="00AF0CC3">
        <w:rPr>
          <w:rFonts w:ascii="Times New Roman" w:hAnsi="Times New Roman" w:cs="Times New Roman"/>
          <w:b/>
          <w:bCs/>
          <w:color w:val="000000" w:themeColor="text1"/>
        </w:rPr>
        <w:t>To my family and friends,</w:t>
      </w:r>
    </w:p>
    <w:p w14:paraId="0DCB2549" w14:textId="48264D07" w:rsidR="00C103EE" w:rsidRPr="00AF0CC3" w:rsidRDefault="00C103EE" w:rsidP="00C103EE">
      <w:pPr>
        <w:rPr>
          <w:rFonts w:ascii="Times New Roman" w:hAnsi="Times New Roman" w:cs="Times New Roman"/>
          <w:color w:val="000000" w:themeColor="text1"/>
        </w:rPr>
      </w:pPr>
      <w:r w:rsidRPr="00AF0CC3">
        <w:rPr>
          <w:rFonts w:ascii="Times New Roman" w:hAnsi="Times New Roman" w:cs="Times New Roman"/>
          <w:color w:val="000000" w:themeColor="text1"/>
        </w:rPr>
        <w:t>Thank you for your unwavering love, encouragement, patience, prayers, and sacrifices throughout this journey. Your steadfast support gave me the strength to persevere through every challenge, and this achievement is as much yours as it is mine.</w:t>
      </w:r>
    </w:p>
    <w:p w14:paraId="45621405" w14:textId="77777777" w:rsidR="00C103EE" w:rsidRPr="00AF0CC3" w:rsidRDefault="00C103EE" w:rsidP="00C103EE">
      <w:pPr>
        <w:rPr>
          <w:rFonts w:ascii="Times New Roman" w:hAnsi="Times New Roman" w:cs="Times New Roman"/>
          <w:color w:val="000000" w:themeColor="text1"/>
        </w:rPr>
      </w:pPr>
      <w:r w:rsidRPr="00AF0CC3">
        <w:rPr>
          <w:rFonts w:ascii="Times New Roman" w:hAnsi="Times New Roman" w:cs="Times New Roman"/>
          <w:b/>
          <w:bCs/>
          <w:color w:val="000000" w:themeColor="text1"/>
        </w:rPr>
        <w:t>To all those committed to advancing good governance, strengthening public institutions, and promoting sustainable infrastructure development,</w:t>
      </w:r>
    </w:p>
    <w:p w14:paraId="5EA6EDFD" w14:textId="22EB60AB" w:rsidR="00C103EE" w:rsidRPr="00AF0CC3" w:rsidRDefault="00C103EE" w:rsidP="00C103EE">
      <w:pPr>
        <w:rPr>
          <w:rFonts w:ascii="Times New Roman" w:hAnsi="Times New Roman" w:cs="Times New Roman"/>
          <w:color w:val="000000" w:themeColor="text1"/>
        </w:rPr>
      </w:pPr>
      <w:r w:rsidRPr="00AF0CC3">
        <w:rPr>
          <w:rFonts w:ascii="Times New Roman" w:hAnsi="Times New Roman" w:cs="Times New Roman"/>
          <w:color w:val="000000" w:themeColor="text1"/>
        </w:rPr>
        <w:t>This work is dedicated to the conviction that strong governance transforms investment into lasting development, creating opportunities, improving lives, and leaving a legacy for future generations.</w:t>
      </w:r>
    </w:p>
    <w:p w14:paraId="4504EB83" w14:textId="77777777" w:rsidR="00C103EE" w:rsidRPr="00AF0CC3" w:rsidRDefault="00C103EE" w:rsidP="00D20451">
      <w:pPr>
        <w:jc w:val="center"/>
        <w:rPr>
          <w:rFonts w:ascii="Times New Roman" w:hAnsi="Times New Roman" w:cs="Times New Roman"/>
          <w:color w:val="000000" w:themeColor="text1"/>
        </w:rPr>
      </w:pPr>
      <w:r w:rsidRPr="00AF0CC3">
        <w:rPr>
          <w:rFonts w:ascii="Times New Roman" w:hAnsi="Times New Roman" w:cs="Times New Roman"/>
          <w:i/>
          <w:iCs/>
          <w:color w:val="000000" w:themeColor="text1"/>
        </w:rPr>
        <w:t>"Commit thy works unto the Lord, and thy thoughts shall be established."</w:t>
      </w:r>
      <w:r w:rsidRPr="00AF0CC3">
        <w:rPr>
          <w:rFonts w:ascii="Times New Roman" w:hAnsi="Times New Roman" w:cs="Times New Roman"/>
          <w:color w:val="000000" w:themeColor="text1"/>
        </w:rPr>
        <w:br/>
      </w:r>
      <w:r w:rsidRPr="00AF0CC3">
        <w:rPr>
          <w:rFonts w:ascii="Times New Roman" w:hAnsi="Times New Roman" w:cs="Times New Roman"/>
          <w:b/>
          <w:bCs/>
          <w:color w:val="000000" w:themeColor="text1"/>
        </w:rPr>
        <w:t>Proverbs 16:3 (KJV)</w:t>
      </w:r>
    </w:p>
    <w:p w14:paraId="53A65ED4" w14:textId="77777777" w:rsidR="006D3629" w:rsidRPr="00AF0CC3" w:rsidRDefault="006D3629" w:rsidP="002E0E45">
      <w:pPr>
        <w:rPr>
          <w:rFonts w:ascii="Times New Roman" w:hAnsi="Times New Roman" w:cs="Times New Roman"/>
          <w:color w:val="000000" w:themeColor="text1"/>
        </w:rPr>
      </w:pPr>
    </w:p>
    <w:p w14:paraId="1DB33FDE" w14:textId="77777777" w:rsidR="00432E54" w:rsidRPr="00AF0CC3" w:rsidRDefault="00432E54" w:rsidP="002E0E45">
      <w:pPr>
        <w:rPr>
          <w:rFonts w:ascii="Times New Roman" w:hAnsi="Times New Roman" w:cs="Times New Roman"/>
          <w:color w:val="000000" w:themeColor="text1"/>
        </w:rPr>
      </w:pPr>
    </w:p>
    <w:p w14:paraId="789A2C5A" w14:textId="77777777" w:rsidR="00432E54" w:rsidRPr="00AF0CC3" w:rsidRDefault="00432E54" w:rsidP="002E0E45">
      <w:pPr>
        <w:rPr>
          <w:rFonts w:ascii="Times New Roman" w:hAnsi="Times New Roman" w:cs="Times New Roman"/>
          <w:color w:val="000000" w:themeColor="text1"/>
        </w:rPr>
      </w:pPr>
    </w:p>
    <w:p w14:paraId="369CF0D9" w14:textId="77777777" w:rsidR="00432E54" w:rsidRPr="00AF0CC3" w:rsidRDefault="00432E54" w:rsidP="002E0E45">
      <w:pPr>
        <w:rPr>
          <w:rFonts w:ascii="Times New Roman" w:hAnsi="Times New Roman" w:cs="Times New Roman"/>
          <w:color w:val="000000" w:themeColor="text1"/>
        </w:rPr>
      </w:pPr>
    </w:p>
    <w:p w14:paraId="37207644" w14:textId="77777777" w:rsidR="00432E54" w:rsidRPr="00AF0CC3" w:rsidRDefault="00432E54" w:rsidP="002E0E45">
      <w:pPr>
        <w:rPr>
          <w:rFonts w:ascii="Times New Roman" w:hAnsi="Times New Roman" w:cs="Times New Roman"/>
          <w:color w:val="000000" w:themeColor="text1"/>
        </w:rPr>
      </w:pPr>
    </w:p>
    <w:p w14:paraId="27ED2A4A" w14:textId="5A7517F9" w:rsidR="00432E54" w:rsidRPr="007E5C0D" w:rsidRDefault="00C2308B" w:rsidP="00C2308B">
      <w:pPr>
        <w:pStyle w:val="FrontMatterheading2"/>
        <w:rPr>
          <w:b/>
          <w:bCs/>
          <w:szCs w:val="24"/>
        </w:rPr>
      </w:pPr>
      <w:bookmarkStart w:id="6" w:name="_Toc234488958"/>
      <w:r w:rsidRPr="007E5C0D">
        <w:rPr>
          <w:b/>
          <w:bCs/>
          <w:szCs w:val="24"/>
        </w:rPr>
        <w:lastRenderedPageBreak/>
        <w:t>A</w:t>
      </w:r>
      <w:r w:rsidR="00367565" w:rsidRPr="007E5C0D">
        <w:rPr>
          <w:b/>
          <w:bCs/>
          <w:szCs w:val="24"/>
        </w:rPr>
        <w:t>C</w:t>
      </w:r>
      <w:r w:rsidRPr="007E5C0D">
        <w:rPr>
          <w:b/>
          <w:bCs/>
          <w:szCs w:val="24"/>
        </w:rPr>
        <w:t>KNOWLEDGMENTS</w:t>
      </w:r>
      <w:bookmarkEnd w:id="6"/>
    </w:p>
    <w:p w14:paraId="4659C466" w14:textId="77777777" w:rsidR="00432E54" w:rsidRPr="00AF0CC3" w:rsidRDefault="00432E54" w:rsidP="002E0E45">
      <w:pPr>
        <w:rPr>
          <w:rFonts w:ascii="Times New Roman" w:hAnsi="Times New Roman" w:cs="Times New Roman"/>
          <w:color w:val="000000" w:themeColor="text1"/>
        </w:rPr>
      </w:pPr>
    </w:p>
    <w:p w14:paraId="7B30700C" w14:textId="77777777" w:rsidR="007D7FD2" w:rsidRPr="00AF0CC3" w:rsidRDefault="007D7FD2" w:rsidP="007D7FD2">
      <w:pPr>
        <w:rPr>
          <w:rFonts w:ascii="Times New Roman" w:hAnsi="Times New Roman" w:cs="Times New Roman"/>
          <w:color w:val="000000" w:themeColor="text1"/>
        </w:rPr>
      </w:pPr>
      <w:r w:rsidRPr="00AF0CC3">
        <w:rPr>
          <w:rFonts w:ascii="Times New Roman" w:hAnsi="Times New Roman" w:cs="Times New Roman"/>
          <w:color w:val="000000" w:themeColor="text1"/>
        </w:rPr>
        <w:t>I sincerely express my gratitude to everyone who contributed to the successful completion of this dissertation through their guidance, encouragement, and support.</w:t>
      </w:r>
    </w:p>
    <w:p w14:paraId="0C47846F" w14:textId="77777777" w:rsidR="007D7FD2" w:rsidRPr="00AF0CC3" w:rsidRDefault="007D7FD2" w:rsidP="007D7FD2">
      <w:pPr>
        <w:rPr>
          <w:rFonts w:ascii="Times New Roman" w:hAnsi="Times New Roman" w:cs="Times New Roman"/>
          <w:color w:val="000000" w:themeColor="text1"/>
        </w:rPr>
      </w:pPr>
    </w:p>
    <w:p w14:paraId="2EB04468" w14:textId="77777777" w:rsidR="007D7FD2" w:rsidRPr="00AF0CC3" w:rsidRDefault="007D7FD2" w:rsidP="007D7FD2">
      <w:pPr>
        <w:rPr>
          <w:rFonts w:ascii="Times New Roman" w:hAnsi="Times New Roman" w:cs="Times New Roman"/>
          <w:color w:val="000000" w:themeColor="text1"/>
        </w:rPr>
      </w:pPr>
      <w:r w:rsidRPr="00AF0CC3">
        <w:rPr>
          <w:rFonts w:ascii="Times New Roman" w:hAnsi="Times New Roman" w:cs="Times New Roman"/>
          <w:color w:val="000000" w:themeColor="text1"/>
        </w:rPr>
        <w:t>My deepest appreciation goes to my supervisor, Professor James Punch, for his invaluable guidance, constructive feedback, scholarly insight, and unwavering commitment to academic excellence throughout this research.</w:t>
      </w:r>
    </w:p>
    <w:p w14:paraId="3B3D1875" w14:textId="77777777" w:rsidR="007D7FD2" w:rsidRPr="00AF0CC3" w:rsidRDefault="007D7FD2" w:rsidP="007D7FD2">
      <w:pPr>
        <w:rPr>
          <w:rFonts w:ascii="Times New Roman" w:hAnsi="Times New Roman" w:cs="Times New Roman"/>
          <w:color w:val="000000" w:themeColor="text1"/>
        </w:rPr>
      </w:pPr>
    </w:p>
    <w:p w14:paraId="31E00FB4" w14:textId="77777777" w:rsidR="007D7FD2" w:rsidRPr="00AF0CC3" w:rsidRDefault="007D7FD2" w:rsidP="007D7FD2">
      <w:pPr>
        <w:rPr>
          <w:rFonts w:ascii="Times New Roman" w:hAnsi="Times New Roman" w:cs="Times New Roman"/>
          <w:color w:val="000000" w:themeColor="text1"/>
        </w:rPr>
      </w:pPr>
      <w:r w:rsidRPr="00AF0CC3">
        <w:rPr>
          <w:rFonts w:ascii="Times New Roman" w:hAnsi="Times New Roman" w:cs="Times New Roman"/>
          <w:color w:val="000000" w:themeColor="text1"/>
        </w:rPr>
        <w:t>I am grateful to the Swiss School of Business and Research (SSBR) for providing an enriching academic environment that fostered critical thinking and research excellence. I also acknowledge the University of Nairobi, Kenya, for the strong academic foundation that has continued to shape my professional and scholarly development.</w:t>
      </w:r>
    </w:p>
    <w:p w14:paraId="7BC74600" w14:textId="77777777" w:rsidR="007D7FD2" w:rsidRPr="00AF0CC3" w:rsidRDefault="007D7FD2" w:rsidP="007D7FD2">
      <w:pPr>
        <w:rPr>
          <w:rFonts w:ascii="Times New Roman" w:hAnsi="Times New Roman" w:cs="Times New Roman"/>
          <w:color w:val="000000" w:themeColor="text1"/>
        </w:rPr>
      </w:pPr>
    </w:p>
    <w:p w14:paraId="26D5777F" w14:textId="689FD205" w:rsidR="007D7FD2" w:rsidRPr="00AF0CC3" w:rsidRDefault="007D7FD2" w:rsidP="007D7FD2">
      <w:pPr>
        <w:rPr>
          <w:rFonts w:ascii="Times New Roman" w:hAnsi="Times New Roman" w:cs="Times New Roman"/>
          <w:color w:val="000000" w:themeColor="text1"/>
        </w:rPr>
      </w:pPr>
      <w:r w:rsidRPr="00AF0CC3">
        <w:rPr>
          <w:rFonts w:ascii="Times New Roman" w:hAnsi="Times New Roman" w:cs="Times New Roman"/>
          <w:color w:val="000000" w:themeColor="text1"/>
        </w:rPr>
        <w:t xml:space="preserve">I sincerely appreciate the Government of Kenya, its public institutions, and the various </w:t>
      </w:r>
      <w:r w:rsidR="00B542B2" w:rsidRPr="00AF0CC3">
        <w:rPr>
          <w:rFonts w:ascii="Times New Roman" w:hAnsi="Times New Roman" w:cs="Times New Roman"/>
          <w:color w:val="000000" w:themeColor="text1"/>
        </w:rPr>
        <w:t>organizations</w:t>
      </w:r>
      <w:r w:rsidRPr="00AF0CC3">
        <w:rPr>
          <w:rFonts w:ascii="Times New Roman" w:hAnsi="Times New Roman" w:cs="Times New Roman"/>
          <w:color w:val="000000" w:themeColor="text1"/>
        </w:rPr>
        <w:t xml:space="preserve"> whose publicly available reports, policy documents, and project records formed the documentary foundation of this study.</w:t>
      </w:r>
    </w:p>
    <w:p w14:paraId="66560299" w14:textId="77777777" w:rsidR="007D7FD2" w:rsidRPr="00AF0CC3" w:rsidRDefault="007D7FD2" w:rsidP="007D7FD2">
      <w:pPr>
        <w:rPr>
          <w:rFonts w:ascii="Times New Roman" w:hAnsi="Times New Roman" w:cs="Times New Roman"/>
          <w:color w:val="000000" w:themeColor="text1"/>
        </w:rPr>
      </w:pPr>
    </w:p>
    <w:p w14:paraId="0CAEA205" w14:textId="77777777" w:rsidR="007D7FD2" w:rsidRPr="00AF0CC3" w:rsidRDefault="007D7FD2" w:rsidP="007D7FD2">
      <w:pPr>
        <w:rPr>
          <w:rFonts w:ascii="Times New Roman" w:hAnsi="Times New Roman" w:cs="Times New Roman"/>
          <w:color w:val="000000" w:themeColor="text1"/>
        </w:rPr>
      </w:pPr>
      <w:r w:rsidRPr="00AF0CC3">
        <w:rPr>
          <w:rFonts w:ascii="Times New Roman" w:hAnsi="Times New Roman" w:cs="Times New Roman"/>
          <w:color w:val="000000" w:themeColor="text1"/>
        </w:rPr>
        <w:t>My appreciation also extends to my professional colleagues and mentors, whose knowledge, experience, and encouragement enriched this research.</w:t>
      </w:r>
    </w:p>
    <w:p w14:paraId="228A45A7" w14:textId="77777777" w:rsidR="007D7FD2" w:rsidRPr="00AF0CC3" w:rsidRDefault="007D7FD2" w:rsidP="007D7FD2">
      <w:pPr>
        <w:rPr>
          <w:rFonts w:ascii="Times New Roman" w:hAnsi="Times New Roman" w:cs="Times New Roman"/>
          <w:color w:val="000000" w:themeColor="text1"/>
        </w:rPr>
      </w:pPr>
    </w:p>
    <w:p w14:paraId="18656981" w14:textId="2D9ED51C" w:rsidR="00432E54" w:rsidRPr="00AF0CC3" w:rsidRDefault="007D7FD2" w:rsidP="007D7FD2">
      <w:pPr>
        <w:rPr>
          <w:rFonts w:ascii="Times New Roman" w:hAnsi="Times New Roman" w:cs="Times New Roman"/>
          <w:color w:val="000000" w:themeColor="text1"/>
        </w:rPr>
      </w:pPr>
      <w:r w:rsidRPr="00AF0CC3">
        <w:rPr>
          <w:rFonts w:ascii="Times New Roman" w:hAnsi="Times New Roman" w:cs="Times New Roman"/>
          <w:color w:val="000000" w:themeColor="text1"/>
        </w:rPr>
        <w:t>Finally, I thank everyone who, in one way or another, contributed to the successful completion of this dissertation. Your support and goodwill are deeply appreciated.</w:t>
      </w:r>
    </w:p>
    <w:p w14:paraId="15EE5ED0" w14:textId="77777777" w:rsidR="00432E54" w:rsidRPr="00AF0CC3" w:rsidRDefault="00432E54" w:rsidP="002E0E45">
      <w:pPr>
        <w:rPr>
          <w:rFonts w:ascii="Times New Roman" w:hAnsi="Times New Roman" w:cs="Times New Roman"/>
          <w:color w:val="000000" w:themeColor="text1"/>
        </w:rPr>
      </w:pPr>
    </w:p>
    <w:p w14:paraId="538C17F5" w14:textId="77777777" w:rsidR="00432E54" w:rsidRPr="00AF0CC3" w:rsidRDefault="00432E54" w:rsidP="002E0E45">
      <w:pPr>
        <w:rPr>
          <w:rFonts w:ascii="Times New Roman" w:hAnsi="Times New Roman" w:cs="Times New Roman"/>
          <w:color w:val="000000" w:themeColor="text1"/>
        </w:rPr>
      </w:pPr>
    </w:p>
    <w:p w14:paraId="08D1F4C3" w14:textId="77777777" w:rsidR="00432E54" w:rsidRPr="00AF0CC3" w:rsidRDefault="00432E54" w:rsidP="002E0E45">
      <w:pPr>
        <w:rPr>
          <w:rFonts w:ascii="Times New Roman" w:hAnsi="Times New Roman" w:cs="Times New Roman"/>
          <w:color w:val="000000" w:themeColor="text1"/>
        </w:rPr>
      </w:pPr>
    </w:p>
    <w:p w14:paraId="2CC5802F" w14:textId="77777777" w:rsidR="00432E54" w:rsidRPr="00AF0CC3" w:rsidRDefault="00432E54" w:rsidP="002E0E45">
      <w:pPr>
        <w:rPr>
          <w:rFonts w:ascii="Times New Roman" w:hAnsi="Times New Roman" w:cs="Times New Roman"/>
          <w:color w:val="000000" w:themeColor="text1"/>
        </w:rPr>
      </w:pPr>
    </w:p>
    <w:p w14:paraId="713183C3" w14:textId="77777777" w:rsidR="00B542B2" w:rsidRPr="00AF0CC3" w:rsidRDefault="00B542B2" w:rsidP="002E0E45">
      <w:pPr>
        <w:rPr>
          <w:rFonts w:ascii="Times New Roman" w:hAnsi="Times New Roman" w:cs="Times New Roman"/>
          <w:color w:val="000000" w:themeColor="text1"/>
        </w:rPr>
      </w:pPr>
    </w:p>
    <w:p w14:paraId="123A4BCB" w14:textId="77777777" w:rsidR="0029777F" w:rsidRPr="00AF0CC3" w:rsidRDefault="0029777F" w:rsidP="002E0E45">
      <w:pPr>
        <w:rPr>
          <w:rFonts w:ascii="Times New Roman" w:hAnsi="Times New Roman" w:cs="Times New Roman"/>
          <w:color w:val="000000" w:themeColor="text1"/>
        </w:rPr>
      </w:pPr>
    </w:p>
    <w:p w14:paraId="320CB962" w14:textId="566C3AD9" w:rsidR="0029777F" w:rsidRPr="007E5C0D" w:rsidRDefault="0029777F" w:rsidP="0029777F">
      <w:pPr>
        <w:pStyle w:val="FrontMatterheading2"/>
        <w:rPr>
          <w:b/>
          <w:bCs/>
          <w:szCs w:val="24"/>
        </w:rPr>
      </w:pPr>
      <w:bookmarkStart w:id="7" w:name="_Toc234488959"/>
      <w:r w:rsidRPr="007E5C0D">
        <w:rPr>
          <w:b/>
          <w:bCs/>
          <w:szCs w:val="24"/>
        </w:rPr>
        <w:lastRenderedPageBreak/>
        <w:t>ABBREVIATION &amp; ACRONYMS</w:t>
      </w:r>
      <w:bookmarkEnd w:id="7"/>
    </w:p>
    <w:p w14:paraId="41A7EAFE" w14:textId="77777777" w:rsidR="0029777F" w:rsidRPr="00AF0CC3" w:rsidRDefault="0029777F" w:rsidP="002E0E45">
      <w:pPr>
        <w:rPr>
          <w:rFonts w:ascii="Times New Roman" w:hAnsi="Times New Roman" w:cs="Times New Roman"/>
          <w:color w:val="000000" w:themeColor="text1"/>
        </w:rPr>
      </w:pP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1436"/>
        <w:gridCol w:w="5787"/>
      </w:tblGrid>
      <w:tr w:rsidR="00BF60D5" w:rsidRPr="00AF0CC3" w14:paraId="43F31083" w14:textId="77777777">
        <w:trPr>
          <w:tblHeader/>
          <w:tblCellSpacing w:w="15" w:type="dxa"/>
        </w:trPr>
        <w:tc>
          <w:tcPr>
            <w:tcW w:w="0" w:type="auto"/>
            <w:vAlign w:val="center"/>
            <w:hideMark/>
          </w:tcPr>
          <w:p w14:paraId="68A8C8C4" w14:textId="77777777" w:rsidR="00BF60D5" w:rsidRPr="00AF0CC3" w:rsidRDefault="00BF60D5" w:rsidP="00BF60D5">
            <w:pPr>
              <w:spacing w:after="0" w:line="240" w:lineRule="auto"/>
              <w:jc w:val="center"/>
              <w:rPr>
                <w:rFonts w:ascii="Times New Roman" w:eastAsia="Times New Roman" w:hAnsi="Times New Roman" w:cs="Times New Roman"/>
                <w:b/>
                <w:bCs/>
                <w:kern w:val="0"/>
                <w14:ligatures w14:val="none"/>
              </w:rPr>
            </w:pPr>
            <w:r w:rsidRPr="00AF0CC3">
              <w:rPr>
                <w:rFonts w:ascii="Times New Roman" w:eastAsia="Times New Roman" w:hAnsi="Times New Roman" w:cs="Times New Roman"/>
                <w:b/>
                <w:bCs/>
                <w:kern w:val="0"/>
                <w14:ligatures w14:val="none"/>
              </w:rPr>
              <w:t>Abbreviation</w:t>
            </w:r>
          </w:p>
        </w:tc>
        <w:tc>
          <w:tcPr>
            <w:tcW w:w="0" w:type="auto"/>
            <w:vAlign w:val="center"/>
            <w:hideMark/>
          </w:tcPr>
          <w:p w14:paraId="2E2B0888" w14:textId="77777777" w:rsidR="00BF60D5" w:rsidRPr="00AF0CC3" w:rsidRDefault="00BF60D5" w:rsidP="00BF60D5">
            <w:pPr>
              <w:spacing w:after="0" w:line="240" w:lineRule="auto"/>
              <w:jc w:val="center"/>
              <w:rPr>
                <w:rFonts w:ascii="Times New Roman" w:eastAsia="Times New Roman" w:hAnsi="Times New Roman" w:cs="Times New Roman"/>
                <w:b/>
                <w:bCs/>
                <w:kern w:val="0"/>
                <w14:ligatures w14:val="none"/>
              </w:rPr>
            </w:pPr>
            <w:r w:rsidRPr="00AF0CC3">
              <w:rPr>
                <w:rFonts w:ascii="Times New Roman" w:eastAsia="Times New Roman" w:hAnsi="Times New Roman" w:cs="Times New Roman"/>
                <w:b/>
                <w:bCs/>
                <w:kern w:val="0"/>
                <w14:ligatures w14:val="none"/>
              </w:rPr>
              <w:t>Meaning</w:t>
            </w:r>
          </w:p>
        </w:tc>
      </w:tr>
      <w:tr w:rsidR="00BF60D5" w:rsidRPr="00AF0CC3" w14:paraId="65DCD123" w14:textId="77777777">
        <w:trPr>
          <w:tblCellSpacing w:w="15" w:type="dxa"/>
        </w:trPr>
        <w:tc>
          <w:tcPr>
            <w:tcW w:w="0" w:type="auto"/>
            <w:vAlign w:val="center"/>
            <w:hideMark/>
          </w:tcPr>
          <w:p w14:paraId="238F7F54" w14:textId="77777777" w:rsidR="007709B6" w:rsidRPr="00AF0CC3" w:rsidRDefault="007709B6" w:rsidP="00BF60D5">
            <w:pPr>
              <w:spacing w:after="0" w:line="240" w:lineRule="auto"/>
              <w:rPr>
                <w:rFonts w:ascii="Times New Roman" w:eastAsia="Times New Roman" w:hAnsi="Times New Roman" w:cs="Times New Roman"/>
                <w:kern w:val="0"/>
                <w14:ligatures w14:val="none"/>
              </w:rPr>
            </w:pPr>
          </w:p>
          <w:p w14:paraId="5ECD59E3" w14:textId="33F6F130" w:rsidR="00BF60D5" w:rsidRPr="00AF0CC3" w:rsidRDefault="00BF60D5" w:rsidP="00BF60D5">
            <w:pPr>
              <w:spacing w:after="0" w:line="240" w:lineRule="auto"/>
              <w:rPr>
                <w:rFonts w:ascii="Times New Roman" w:eastAsia="Times New Roman" w:hAnsi="Times New Roman" w:cs="Times New Roman"/>
                <w:kern w:val="0"/>
                <w14:ligatures w14:val="none"/>
              </w:rPr>
            </w:pPr>
            <w:r w:rsidRPr="00AF0CC3">
              <w:rPr>
                <w:rFonts w:ascii="Times New Roman" w:eastAsia="Times New Roman" w:hAnsi="Times New Roman" w:cs="Times New Roman"/>
                <w:kern w:val="0"/>
                <w14:ligatures w14:val="none"/>
              </w:rPr>
              <w:t>AfDB</w:t>
            </w:r>
          </w:p>
        </w:tc>
        <w:tc>
          <w:tcPr>
            <w:tcW w:w="0" w:type="auto"/>
            <w:vAlign w:val="center"/>
            <w:hideMark/>
          </w:tcPr>
          <w:p w14:paraId="06FE53AD" w14:textId="77777777" w:rsidR="00BF60D5" w:rsidRPr="00AF0CC3" w:rsidRDefault="00BF60D5" w:rsidP="00BF60D5">
            <w:pPr>
              <w:spacing w:after="0" w:line="240" w:lineRule="auto"/>
              <w:rPr>
                <w:rFonts w:ascii="Times New Roman" w:eastAsia="Times New Roman" w:hAnsi="Times New Roman" w:cs="Times New Roman"/>
                <w:kern w:val="0"/>
                <w14:ligatures w14:val="none"/>
              </w:rPr>
            </w:pPr>
            <w:r w:rsidRPr="00AF0CC3">
              <w:rPr>
                <w:rFonts w:ascii="Times New Roman" w:eastAsia="Times New Roman" w:hAnsi="Times New Roman" w:cs="Times New Roman"/>
                <w:kern w:val="0"/>
                <w14:ligatures w14:val="none"/>
              </w:rPr>
              <w:t>African Development Bank</w:t>
            </w:r>
          </w:p>
        </w:tc>
      </w:tr>
      <w:tr w:rsidR="00BF60D5" w:rsidRPr="00AF0CC3" w14:paraId="2E134396" w14:textId="77777777">
        <w:trPr>
          <w:tblCellSpacing w:w="15" w:type="dxa"/>
        </w:trPr>
        <w:tc>
          <w:tcPr>
            <w:tcW w:w="0" w:type="auto"/>
            <w:vAlign w:val="center"/>
            <w:hideMark/>
          </w:tcPr>
          <w:p w14:paraId="5DF3A3CC" w14:textId="77777777" w:rsidR="00BF60D5" w:rsidRPr="00AF0CC3" w:rsidRDefault="00BF60D5" w:rsidP="00BF60D5">
            <w:pPr>
              <w:spacing w:after="0" w:line="240" w:lineRule="auto"/>
              <w:rPr>
                <w:rFonts w:ascii="Times New Roman" w:eastAsia="Times New Roman" w:hAnsi="Times New Roman" w:cs="Times New Roman"/>
                <w:kern w:val="0"/>
                <w14:ligatures w14:val="none"/>
              </w:rPr>
            </w:pPr>
            <w:r w:rsidRPr="00AF0CC3">
              <w:rPr>
                <w:rFonts w:ascii="Times New Roman" w:eastAsia="Times New Roman" w:hAnsi="Times New Roman" w:cs="Times New Roman"/>
                <w:kern w:val="0"/>
                <w14:ligatures w14:val="none"/>
              </w:rPr>
              <w:t>AGM</w:t>
            </w:r>
          </w:p>
        </w:tc>
        <w:tc>
          <w:tcPr>
            <w:tcW w:w="0" w:type="auto"/>
            <w:vAlign w:val="center"/>
            <w:hideMark/>
          </w:tcPr>
          <w:p w14:paraId="66DFAD96" w14:textId="77777777" w:rsidR="00BF60D5" w:rsidRPr="00AF0CC3" w:rsidRDefault="00BF60D5" w:rsidP="00BF60D5">
            <w:pPr>
              <w:spacing w:after="0" w:line="240" w:lineRule="auto"/>
              <w:rPr>
                <w:rFonts w:ascii="Times New Roman" w:eastAsia="Times New Roman" w:hAnsi="Times New Roman" w:cs="Times New Roman"/>
                <w:kern w:val="0"/>
                <w14:ligatures w14:val="none"/>
              </w:rPr>
            </w:pPr>
            <w:r w:rsidRPr="00AF0CC3">
              <w:rPr>
                <w:rFonts w:ascii="Times New Roman" w:eastAsia="Times New Roman" w:hAnsi="Times New Roman" w:cs="Times New Roman"/>
                <w:kern w:val="0"/>
                <w14:ligatures w14:val="none"/>
              </w:rPr>
              <w:t>Auditor-General of Kenya</w:t>
            </w:r>
          </w:p>
        </w:tc>
      </w:tr>
      <w:tr w:rsidR="00BF60D5" w:rsidRPr="00AF0CC3" w14:paraId="7B5FE277" w14:textId="77777777">
        <w:trPr>
          <w:tblCellSpacing w:w="15" w:type="dxa"/>
        </w:trPr>
        <w:tc>
          <w:tcPr>
            <w:tcW w:w="0" w:type="auto"/>
            <w:vAlign w:val="center"/>
            <w:hideMark/>
          </w:tcPr>
          <w:p w14:paraId="69329E7C" w14:textId="77777777" w:rsidR="00BF60D5" w:rsidRPr="00AF0CC3" w:rsidRDefault="00BF60D5" w:rsidP="00BF60D5">
            <w:pPr>
              <w:spacing w:after="0" w:line="240" w:lineRule="auto"/>
              <w:rPr>
                <w:rFonts w:ascii="Times New Roman" w:eastAsia="Times New Roman" w:hAnsi="Times New Roman" w:cs="Times New Roman"/>
                <w:kern w:val="0"/>
                <w14:ligatures w14:val="none"/>
              </w:rPr>
            </w:pPr>
            <w:r w:rsidRPr="00AF0CC3">
              <w:rPr>
                <w:rFonts w:ascii="Times New Roman" w:eastAsia="Times New Roman" w:hAnsi="Times New Roman" w:cs="Times New Roman"/>
                <w:kern w:val="0"/>
                <w14:ligatures w14:val="none"/>
              </w:rPr>
              <w:t>CBA</w:t>
            </w:r>
          </w:p>
        </w:tc>
        <w:tc>
          <w:tcPr>
            <w:tcW w:w="0" w:type="auto"/>
            <w:vAlign w:val="center"/>
            <w:hideMark/>
          </w:tcPr>
          <w:p w14:paraId="55F6E299" w14:textId="77777777" w:rsidR="00BF60D5" w:rsidRPr="00AF0CC3" w:rsidRDefault="00BF60D5" w:rsidP="00BF60D5">
            <w:pPr>
              <w:spacing w:after="0" w:line="240" w:lineRule="auto"/>
              <w:rPr>
                <w:rFonts w:ascii="Times New Roman" w:eastAsia="Times New Roman" w:hAnsi="Times New Roman" w:cs="Times New Roman"/>
                <w:kern w:val="0"/>
                <w14:ligatures w14:val="none"/>
              </w:rPr>
            </w:pPr>
            <w:r w:rsidRPr="00AF0CC3">
              <w:rPr>
                <w:rFonts w:ascii="Times New Roman" w:eastAsia="Times New Roman" w:hAnsi="Times New Roman" w:cs="Times New Roman"/>
                <w:kern w:val="0"/>
                <w14:ligatures w14:val="none"/>
              </w:rPr>
              <w:t>Cost–Benefit Analysis</w:t>
            </w:r>
          </w:p>
        </w:tc>
      </w:tr>
      <w:tr w:rsidR="00BF60D5" w:rsidRPr="00AF0CC3" w14:paraId="3159658D" w14:textId="77777777">
        <w:trPr>
          <w:tblCellSpacing w:w="15" w:type="dxa"/>
        </w:trPr>
        <w:tc>
          <w:tcPr>
            <w:tcW w:w="0" w:type="auto"/>
            <w:vAlign w:val="center"/>
            <w:hideMark/>
          </w:tcPr>
          <w:p w14:paraId="287FFC19" w14:textId="77777777" w:rsidR="00BF60D5" w:rsidRPr="00AF0CC3" w:rsidRDefault="00BF60D5" w:rsidP="00BF60D5">
            <w:pPr>
              <w:spacing w:after="0" w:line="240" w:lineRule="auto"/>
              <w:rPr>
                <w:rFonts w:ascii="Times New Roman" w:eastAsia="Times New Roman" w:hAnsi="Times New Roman" w:cs="Times New Roman"/>
                <w:kern w:val="0"/>
                <w14:ligatures w14:val="none"/>
              </w:rPr>
            </w:pPr>
            <w:r w:rsidRPr="00AF0CC3">
              <w:rPr>
                <w:rFonts w:ascii="Times New Roman" w:eastAsia="Times New Roman" w:hAnsi="Times New Roman" w:cs="Times New Roman"/>
                <w:kern w:val="0"/>
                <w14:ligatures w14:val="none"/>
              </w:rPr>
              <w:t>CoK</w:t>
            </w:r>
          </w:p>
        </w:tc>
        <w:tc>
          <w:tcPr>
            <w:tcW w:w="0" w:type="auto"/>
            <w:vAlign w:val="center"/>
            <w:hideMark/>
          </w:tcPr>
          <w:p w14:paraId="50F71124" w14:textId="77777777" w:rsidR="00BF60D5" w:rsidRPr="00AF0CC3" w:rsidRDefault="00BF60D5" w:rsidP="00BF60D5">
            <w:pPr>
              <w:spacing w:after="0" w:line="240" w:lineRule="auto"/>
              <w:rPr>
                <w:rFonts w:ascii="Times New Roman" w:eastAsia="Times New Roman" w:hAnsi="Times New Roman" w:cs="Times New Roman"/>
                <w:kern w:val="0"/>
                <w14:ligatures w14:val="none"/>
              </w:rPr>
            </w:pPr>
            <w:r w:rsidRPr="00AF0CC3">
              <w:rPr>
                <w:rFonts w:ascii="Times New Roman" w:eastAsia="Times New Roman" w:hAnsi="Times New Roman" w:cs="Times New Roman"/>
                <w:kern w:val="0"/>
                <w14:ligatures w14:val="none"/>
              </w:rPr>
              <w:t>Constitution of Kenya</w:t>
            </w:r>
          </w:p>
        </w:tc>
      </w:tr>
      <w:tr w:rsidR="00BF60D5" w:rsidRPr="00AF0CC3" w14:paraId="1C70B512" w14:textId="77777777">
        <w:trPr>
          <w:tblCellSpacing w:w="15" w:type="dxa"/>
        </w:trPr>
        <w:tc>
          <w:tcPr>
            <w:tcW w:w="0" w:type="auto"/>
            <w:vAlign w:val="center"/>
            <w:hideMark/>
          </w:tcPr>
          <w:p w14:paraId="2C397431" w14:textId="77777777" w:rsidR="00BF60D5" w:rsidRPr="00AF0CC3" w:rsidRDefault="00BF60D5" w:rsidP="00BF60D5">
            <w:pPr>
              <w:spacing w:after="0" w:line="240" w:lineRule="auto"/>
              <w:rPr>
                <w:rFonts w:ascii="Times New Roman" w:eastAsia="Times New Roman" w:hAnsi="Times New Roman" w:cs="Times New Roman"/>
                <w:kern w:val="0"/>
                <w14:ligatures w14:val="none"/>
              </w:rPr>
            </w:pPr>
            <w:r w:rsidRPr="00AF0CC3">
              <w:rPr>
                <w:rFonts w:ascii="Times New Roman" w:eastAsia="Times New Roman" w:hAnsi="Times New Roman" w:cs="Times New Roman"/>
                <w:kern w:val="0"/>
                <w14:ligatures w14:val="none"/>
              </w:rPr>
              <w:t>ESIA</w:t>
            </w:r>
          </w:p>
        </w:tc>
        <w:tc>
          <w:tcPr>
            <w:tcW w:w="0" w:type="auto"/>
            <w:vAlign w:val="center"/>
            <w:hideMark/>
          </w:tcPr>
          <w:p w14:paraId="332B3A84" w14:textId="77777777" w:rsidR="00BF60D5" w:rsidRPr="00AF0CC3" w:rsidRDefault="00BF60D5" w:rsidP="00BF60D5">
            <w:pPr>
              <w:spacing w:after="0" w:line="240" w:lineRule="auto"/>
              <w:rPr>
                <w:rFonts w:ascii="Times New Roman" w:eastAsia="Times New Roman" w:hAnsi="Times New Roman" w:cs="Times New Roman"/>
                <w:kern w:val="0"/>
                <w14:ligatures w14:val="none"/>
              </w:rPr>
            </w:pPr>
            <w:r w:rsidRPr="00AF0CC3">
              <w:rPr>
                <w:rFonts w:ascii="Times New Roman" w:eastAsia="Times New Roman" w:hAnsi="Times New Roman" w:cs="Times New Roman"/>
                <w:kern w:val="0"/>
                <w14:ligatures w14:val="none"/>
              </w:rPr>
              <w:t>Environmental and Social Impact Assessment</w:t>
            </w:r>
          </w:p>
        </w:tc>
      </w:tr>
      <w:tr w:rsidR="00BF60D5" w:rsidRPr="00AF0CC3" w14:paraId="5D39AA03" w14:textId="77777777">
        <w:trPr>
          <w:tblCellSpacing w:w="15" w:type="dxa"/>
        </w:trPr>
        <w:tc>
          <w:tcPr>
            <w:tcW w:w="0" w:type="auto"/>
            <w:vAlign w:val="center"/>
            <w:hideMark/>
          </w:tcPr>
          <w:p w14:paraId="2ADF2239" w14:textId="77777777" w:rsidR="00BF60D5" w:rsidRPr="00AF0CC3" w:rsidRDefault="00BF60D5" w:rsidP="00BF60D5">
            <w:pPr>
              <w:spacing w:after="0" w:line="240" w:lineRule="auto"/>
              <w:rPr>
                <w:rFonts w:ascii="Times New Roman" w:eastAsia="Times New Roman" w:hAnsi="Times New Roman" w:cs="Times New Roman"/>
                <w:kern w:val="0"/>
                <w14:ligatures w14:val="none"/>
              </w:rPr>
            </w:pPr>
            <w:r w:rsidRPr="00AF0CC3">
              <w:rPr>
                <w:rFonts w:ascii="Times New Roman" w:eastAsia="Times New Roman" w:hAnsi="Times New Roman" w:cs="Times New Roman"/>
                <w:kern w:val="0"/>
                <w14:ligatures w14:val="none"/>
              </w:rPr>
              <w:t>GDP</w:t>
            </w:r>
          </w:p>
        </w:tc>
        <w:tc>
          <w:tcPr>
            <w:tcW w:w="0" w:type="auto"/>
            <w:vAlign w:val="center"/>
            <w:hideMark/>
          </w:tcPr>
          <w:p w14:paraId="4D309E67" w14:textId="77777777" w:rsidR="00BF60D5" w:rsidRPr="00AF0CC3" w:rsidRDefault="00BF60D5" w:rsidP="00BF60D5">
            <w:pPr>
              <w:spacing w:after="0" w:line="240" w:lineRule="auto"/>
              <w:rPr>
                <w:rFonts w:ascii="Times New Roman" w:eastAsia="Times New Roman" w:hAnsi="Times New Roman" w:cs="Times New Roman"/>
                <w:kern w:val="0"/>
                <w14:ligatures w14:val="none"/>
              </w:rPr>
            </w:pPr>
            <w:r w:rsidRPr="00AF0CC3">
              <w:rPr>
                <w:rFonts w:ascii="Times New Roman" w:eastAsia="Times New Roman" w:hAnsi="Times New Roman" w:cs="Times New Roman"/>
                <w:kern w:val="0"/>
                <w14:ligatures w14:val="none"/>
              </w:rPr>
              <w:t>Gross Domestic Product</w:t>
            </w:r>
          </w:p>
        </w:tc>
      </w:tr>
      <w:tr w:rsidR="00BF60D5" w:rsidRPr="00AF0CC3" w14:paraId="5DC149B2" w14:textId="77777777">
        <w:trPr>
          <w:tblCellSpacing w:w="15" w:type="dxa"/>
        </w:trPr>
        <w:tc>
          <w:tcPr>
            <w:tcW w:w="0" w:type="auto"/>
            <w:vAlign w:val="center"/>
            <w:hideMark/>
          </w:tcPr>
          <w:p w14:paraId="083C11B4" w14:textId="77777777" w:rsidR="00BF60D5" w:rsidRPr="00AF0CC3" w:rsidRDefault="00BF60D5" w:rsidP="00BF60D5">
            <w:pPr>
              <w:spacing w:after="0" w:line="240" w:lineRule="auto"/>
              <w:rPr>
                <w:rFonts w:ascii="Times New Roman" w:eastAsia="Times New Roman" w:hAnsi="Times New Roman" w:cs="Times New Roman"/>
                <w:kern w:val="0"/>
                <w14:ligatures w14:val="none"/>
              </w:rPr>
            </w:pPr>
            <w:r w:rsidRPr="00AF0CC3">
              <w:rPr>
                <w:rFonts w:ascii="Times New Roman" w:eastAsia="Times New Roman" w:hAnsi="Times New Roman" w:cs="Times New Roman"/>
                <w:kern w:val="0"/>
                <w14:ligatures w14:val="none"/>
              </w:rPr>
              <w:t>GQI</w:t>
            </w:r>
          </w:p>
        </w:tc>
        <w:tc>
          <w:tcPr>
            <w:tcW w:w="0" w:type="auto"/>
            <w:vAlign w:val="center"/>
            <w:hideMark/>
          </w:tcPr>
          <w:p w14:paraId="037FED5A" w14:textId="77777777" w:rsidR="00BF60D5" w:rsidRPr="00AF0CC3" w:rsidRDefault="00BF60D5" w:rsidP="00BF60D5">
            <w:pPr>
              <w:spacing w:after="0" w:line="240" w:lineRule="auto"/>
              <w:rPr>
                <w:rFonts w:ascii="Times New Roman" w:eastAsia="Times New Roman" w:hAnsi="Times New Roman" w:cs="Times New Roman"/>
                <w:kern w:val="0"/>
                <w14:ligatures w14:val="none"/>
              </w:rPr>
            </w:pPr>
            <w:r w:rsidRPr="00AF0CC3">
              <w:rPr>
                <w:rFonts w:ascii="Times New Roman" w:eastAsia="Times New Roman" w:hAnsi="Times New Roman" w:cs="Times New Roman"/>
                <w:kern w:val="0"/>
                <w14:ligatures w14:val="none"/>
              </w:rPr>
              <w:t>Governance Quality Index</w:t>
            </w:r>
          </w:p>
        </w:tc>
      </w:tr>
      <w:tr w:rsidR="00BF60D5" w:rsidRPr="00AF0CC3" w14:paraId="22783AE2" w14:textId="77777777">
        <w:trPr>
          <w:tblCellSpacing w:w="15" w:type="dxa"/>
        </w:trPr>
        <w:tc>
          <w:tcPr>
            <w:tcW w:w="0" w:type="auto"/>
            <w:vAlign w:val="center"/>
            <w:hideMark/>
          </w:tcPr>
          <w:p w14:paraId="5B350DC0" w14:textId="77777777" w:rsidR="00BF60D5" w:rsidRPr="00AF0CC3" w:rsidRDefault="00BF60D5" w:rsidP="00BF60D5">
            <w:pPr>
              <w:spacing w:after="0" w:line="240" w:lineRule="auto"/>
              <w:rPr>
                <w:rFonts w:ascii="Times New Roman" w:eastAsia="Times New Roman" w:hAnsi="Times New Roman" w:cs="Times New Roman"/>
                <w:kern w:val="0"/>
                <w14:ligatures w14:val="none"/>
              </w:rPr>
            </w:pPr>
            <w:r w:rsidRPr="00AF0CC3">
              <w:rPr>
                <w:rFonts w:ascii="Times New Roman" w:eastAsia="Times New Roman" w:hAnsi="Times New Roman" w:cs="Times New Roman"/>
                <w:kern w:val="0"/>
                <w14:ligatures w14:val="none"/>
              </w:rPr>
              <w:t>ICT</w:t>
            </w:r>
          </w:p>
        </w:tc>
        <w:tc>
          <w:tcPr>
            <w:tcW w:w="0" w:type="auto"/>
            <w:vAlign w:val="center"/>
            <w:hideMark/>
          </w:tcPr>
          <w:p w14:paraId="1D5D61A8" w14:textId="77777777" w:rsidR="00BF60D5" w:rsidRPr="00AF0CC3" w:rsidRDefault="00BF60D5" w:rsidP="00BF60D5">
            <w:pPr>
              <w:spacing w:after="0" w:line="240" w:lineRule="auto"/>
              <w:rPr>
                <w:rFonts w:ascii="Times New Roman" w:eastAsia="Times New Roman" w:hAnsi="Times New Roman" w:cs="Times New Roman"/>
                <w:kern w:val="0"/>
                <w14:ligatures w14:val="none"/>
              </w:rPr>
            </w:pPr>
            <w:r w:rsidRPr="00AF0CC3">
              <w:rPr>
                <w:rFonts w:ascii="Times New Roman" w:eastAsia="Times New Roman" w:hAnsi="Times New Roman" w:cs="Times New Roman"/>
                <w:kern w:val="0"/>
                <w14:ligatures w14:val="none"/>
              </w:rPr>
              <w:t>Information and Communication Technology</w:t>
            </w:r>
          </w:p>
        </w:tc>
      </w:tr>
      <w:tr w:rsidR="00BF60D5" w:rsidRPr="00AF0CC3" w14:paraId="50942EB3" w14:textId="77777777">
        <w:trPr>
          <w:tblCellSpacing w:w="15" w:type="dxa"/>
        </w:trPr>
        <w:tc>
          <w:tcPr>
            <w:tcW w:w="0" w:type="auto"/>
            <w:vAlign w:val="center"/>
            <w:hideMark/>
          </w:tcPr>
          <w:p w14:paraId="7977A333" w14:textId="77777777" w:rsidR="00BF60D5" w:rsidRPr="00AF0CC3" w:rsidRDefault="00BF60D5" w:rsidP="00BF60D5">
            <w:pPr>
              <w:spacing w:after="0" w:line="240" w:lineRule="auto"/>
              <w:rPr>
                <w:rFonts w:ascii="Times New Roman" w:eastAsia="Times New Roman" w:hAnsi="Times New Roman" w:cs="Times New Roman"/>
                <w:kern w:val="0"/>
                <w14:ligatures w14:val="none"/>
              </w:rPr>
            </w:pPr>
            <w:r w:rsidRPr="00AF0CC3">
              <w:rPr>
                <w:rFonts w:ascii="Times New Roman" w:eastAsia="Times New Roman" w:hAnsi="Times New Roman" w:cs="Times New Roman"/>
                <w:kern w:val="0"/>
                <w14:ligatures w14:val="none"/>
              </w:rPr>
              <w:t>IFIs</w:t>
            </w:r>
          </w:p>
        </w:tc>
        <w:tc>
          <w:tcPr>
            <w:tcW w:w="0" w:type="auto"/>
            <w:vAlign w:val="center"/>
            <w:hideMark/>
          </w:tcPr>
          <w:p w14:paraId="7DBCD715" w14:textId="77777777" w:rsidR="00BF60D5" w:rsidRPr="00AF0CC3" w:rsidRDefault="00BF60D5" w:rsidP="00BF60D5">
            <w:pPr>
              <w:spacing w:after="0" w:line="240" w:lineRule="auto"/>
              <w:rPr>
                <w:rFonts w:ascii="Times New Roman" w:eastAsia="Times New Roman" w:hAnsi="Times New Roman" w:cs="Times New Roman"/>
                <w:kern w:val="0"/>
                <w14:ligatures w14:val="none"/>
              </w:rPr>
            </w:pPr>
            <w:r w:rsidRPr="00AF0CC3">
              <w:rPr>
                <w:rFonts w:ascii="Times New Roman" w:eastAsia="Times New Roman" w:hAnsi="Times New Roman" w:cs="Times New Roman"/>
                <w:kern w:val="0"/>
                <w14:ligatures w14:val="none"/>
              </w:rPr>
              <w:t>International Financial Institutions</w:t>
            </w:r>
          </w:p>
        </w:tc>
      </w:tr>
      <w:tr w:rsidR="00BF60D5" w:rsidRPr="00AF0CC3" w14:paraId="776A8094" w14:textId="77777777">
        <w:trPr>
          <w:tblCellSpacing w:w="15" w:type="dxa"/>
        </w:trPr>
        <w:tc>
          <w:tcPr>
            <w:tcW w:w="0" w:type="auto"/>
            <w:vAlign w:val="center"/>
            <w:hideMark/>
          </w:tcPr>
          <w:p w14:paraId="5FD05C6C" w14:textId="77777777" w:rsidR="00BF60D5" w:rsidRPr="00AF0CC3" w:rsidRDefault="00BF60D5" w:rsidP="00BF60D5">
            <w:pPr>
              <w:spacing w:after="0" w:line="240" w:lineRule="auto"/>
              <w:rPr>
                <w:rFonts w:ascii="Times New Roman" w:eastAsia="Times New Roman" w:hAnsi="Times New Roman" w:cs="Times New Roman"/>
                <w:kern w:val="0"/>
                <w14:ligatures w14:val="none"/>
              </w:rPr>
            </w:pPr>
            <w:r w:rsidRPr="00AF0CC3">
              <w:rPr>
                <w:rFonts w:ascii="Times New Roman" w:eastAsia="Times New Roman" w:hAnsi="Times New Roman" w:cs="Times New Roman"/>
                <w:kern w:val="0"/>
                <w14:ligatures w14:val="none"/>
              </w:rPr>
              <w:t>IMF</w:t>
            </w:r>
          </w:p>
        </w:tc>
        <w:tc>
          <w:tcPr>
            <w:tcW w:w="0" w:type="auto"/>
            <w:vAlign w:val="center"/>
            <w:hideMark/>
          </w:tcPr>
          <w:p w14:paraId="57767B71" w14:textId="77777777" w:rsidR="00BF60D5" w:rsidRPr="00AF0CC3" w:rsidRDefault="00BF60D5" w:rsidP="00BF60D5">
            <w:pPr>
              <w:spacing w:after="0" w:line="240" w:lineRule="auto"/>
              <w:rPr>
                <w:rFonts w:ascii="Times New Roman" w:eastAsia="Times New Roman" w:hAnsi="Times New Roman" w:cs="Times New Roman"/>
                <w:kern w:val="0"/>
                <w14:ligatures w14:val="none"/>
              </w:rPr>
            </w:pPr>
            <w:r w:rsidRPr="00AF0CC3">
              <w:rPr>
                <w:rFonts w:ascii="Times New Roman" w:eastAsia="Times New Roman" w:hAnsi="Times New Roman" w:cs="Times New Roman"/>
                <w:kern w:val="0"/>
                <w14:ligatures w14:val="none"/>
              </w:rPr>
              <w:t>International Monetary Fund</w:t>
            </w:r>
          </w:p>
        </w:tc>
      </w:tr>
      <w:tr w:rsidR="00BF60D5" w:rsidRPr="00AF0CC3" w14:paraId="5871CA50" w14:textId="77777777">
        <w:trPr>
          <w:tblCellSpacing w:w="15" w:type="dxa"/>
        </w:trPr>
        <w:tc>
          <w:tcPr>
            <w:tcW w:w="0" w:type="auto"/>
            <w:vAlign w:val="center"/>
            <w:hideMark/>
          </w:tcPr>
          <w:p w14:paraId="4BD3A87F" w14:textId="77777777" w:rsidR="00BF60D5" w:rsidRPr="00AF0CC3" w:rsidRDefault="00BF60D5" w:rsidP="00BF60D5">
            <w:pPr>
              <w:spacing w:after="0" w:line="240" w:lineRule="auto"/>
              <w:rPr>
                <w:rFonts w:ascii="Times New Roman" w:eastAsia="Times New Roman" w:hAnsi="Times New Roman" w:cs="Times New Roman"/>
                <w:kern w:val="0"/>
                <w14:ligatures w14:val="none"/>
              </w:rPr>
            </w:pPr>
            <w:r w:rsidRPr="00AF0CC3">
              <w:rPr>
                <w:rFonts w:ascii="Times New Roman" w:eastAsia="Times New Roman" w:hAnsi="Times New Roman" w:cs="Times New Roman"/>
                <w:kern w:val="0"/>
                <w14:ligatures w14:val="none"/>
              </w:rPr>
              <w:t>IPCC</w:t>
            </w:r>
          </w:p>
        </w:tc>
        <w:tc>
          <w:tcPr>
            <w:tcW w:w="0" w:type="auto"/>
            <w:vAlign w:val="center"/>
            <w:hideMark/>
          </w:tcPr>
          <w:p w14:paraId="11F3FE5C" w14:textId="77777777" w:rsidR="00BF60D5" w:rsidRPr="00AF0CC3" w:rsidRDefault="00BF60D5" w:rsidP="00BF60D5">
            <w:pPr>
              <w:spacing w:after="0" w:line="240" w:lineRule="auto"/>
              <w:rPr>
                <w:rFonts w:ascii="Times New Roman" w:eastAsia="Times New Roman" w:hAnsi="Times New Roman" w:cs="Times New Roman"/>
                <w:kern w:val="0"/>
                <w14:ligatures w14:val="none"/>
              </w:rPr>
            </w:pPr>
            <w:r w:rsidRPr="00AF0CC3">
              <w:rPr>
                <w:rFonts w:ascii="Times New Roman" w:eastAsia="Times New Roman" w:hAnsi="Times New Roman" w:cs="Times New Roman"/>
                <w:kern w:val="0"/>
                <w14:ligatures w14:val="none"/>
              </w:rPr>
              <w:t>Intergovernmental Panel on Climate Change</w:t>
            </w:r>
          </w:p>
        </w:tc>
      </w:tr>
      <w:tr w:rsidR="00BF60D5" w:rsidRPr="00AF0CC3" w14:paraId="22BEBE2B" w14:textId="77777777">
        <w:trPr>
          <w:tblCellSpacing w:w="15" w:type="dxa"/>
        </w:trPr>
        <w:tc>
          <w:tcPr>
            <w:tcW w:w="0" w:type="auto"/>
            <w:vAlign w:val="center"/>
            <w:hideMark/>
          </w:tcPr>
          <w:p w14:paraId="206B566D" w14:textId="77777777" w:rsidR="00BF60D5" w:rsidRPr="00AF0CC3" w:rsidRDefault="00BF60D5" w:rsidP="00BF60D5">
            <w:pPr>
              <w:spacing w:after="0" w:line="240" w:lineRule="auto"/>
              <w:rPr>
                <w:rFonts w:ascii="Times New Roman" w:eastAsia="Times New Roman" w:hAnsi="Times New Roman" w:cs="Times New Roman"/>
                <w:kern w:val="0"/>
                <w14:ligatures w14:val="none"/>
              </w:rPr>
            </w:pPr>
            <w:r w:rsidRPr="00AF0CC3">
              <w:rPr>
                <w:rFonts w:ascii="Times New Roman" w:eastAsia="Times New Roman" w:hAnsi="Times New Roman" w:cs="Times New Roman"/>
                <w:kern w:val="0"/>
                <w14:ligatures w14:val="none"/>
              </w:rPr>
              <w:t>ISO</w:t>
            </w:r>
          </w:p>
        </w:tc>
        <w:tc>
          <w:tcPr>
            <w:tcW w:w="0" w:type="auto"/>
            <w:vAlign w:val="center"/>
            <w:hideMark/>
          </w:tcPr>
          <w:p w14:paraId="50DF54A2" w14:textId="77777777" w:rsidR="00BF60D5" w:rsidRPr="00AF0CC3" w:rsidRDefault="00BF60D5" w:rsidP="00BF60D5">
            <w:pPr>
              <w:spacing w:after="0" w:line="240" w:lineRule="auto"/>
              <w:rPr>
                <w:rFonts w:ascii="Times New Roman" w:eastAsia="Times New Roman" w:hAnsi="Times New Roman" w:cs="Times New Roman"/>
                <w:kern w:val="0"/>
                <w14:ligatures w14:val="none"/>
              </w:rPr>
            </w:pPr>
            <w:r w:rsidRPr="00AF0CC3">
              <w:rPr>
                <w:rFonts w:ascii="Times New Roman" w:eastAsia="Times New Roman" w:hAnsi="Times New Roman" w:cs="Times New Roman"/>
                <w:kern w:val="0"/>
                <w14:ligatures w14:val="none"/>
              </w:rPr>
              <w:t>International Organization for Standardization</w:t>
            </w:r>
          </w:p>
        </w:tc>
      </w:tr>
      <w:tr w:rsidR="00BF60D5" w:rsidRPr="00AF0CC3" w14:paraId="5FCE3FFF" w14:textId="77777777">
        <w:trPr>
          <w:tblCellSpacing w:w="15" w:type="dxa"/>
        </w:trPr>
        <w:tc>
          <w:tcPr>
            <w:tcW w:w="0" w:type="auto"/>
            <w:vAlign w:val="center"/>
            <w:hideMark/>
          </w:tcPr>
          <w:p w14:paraId="0A924001" w14:textId="77777777" w:rsidR="00BF60D5" w:rsidRPr="00AF0CC3" w:rsidRDefault="00BF60D5" w:rsidP="00BF60D5">
            <w:pPr>
              <w:spacing w:after="0" w:line="240" w:lineRule="auto"/>
              <w:rPr>
                <w:rFonts w:ascii="Times New Roman" w:eastAsia="Times New Roman" w:hAnsi="Times New Roman" w:cs="Times New Roman"/>
                <w:kern w:val="0"/>
                <w14:ligatures w14:val="none"/>
              </w:rPr>
            </w:pPr>
            <w:r w:rsidRPr="00AF0CC3">
              <w:rPr>
                <w:rFonts w:ascii="Times New Roman" w:eastAsia="Times New Roman" w:hAnsi="Times New Roman" w:cs="Times New Roman"/>
                <w:kern w:val="0"/>
                <w14:ligatures w14:val="none"/>
              </w:rPr>
              <w:t>KeNHA</w:t>
            </w:r>
          </w:p>
        </w:tc>
        <w:tc>
          <w:tcPr>
            <w:tcW w:w="0" w:type="auto"/>
            <w:vAlign w:val="center"/>
            <w:hideMark/>
          </w:tcPr>
          <w:p w14:paraId="27AE2BAC" w14:textId="77777777" w:rsidR="00BF60D5" w:rsidRPr="00AF0CC3" w:rsidRDefault="00BF60D5" w:rsidP="00BF60D5">
            <w:pPr>
              <w:spacing w:after="0" w:line="240" w:lineRule="auto"/>
              <w:rPr>
                <w:rFonts w:ascii="Times New Roman" w:eastAsia="Times New Roman" w:hAnsi="Times New Roman" w:cs="Times New Roman"/>
                <w:kern w:val="0"/>
                <w14:ligatures w14:val="none"/>
              </w:rPr>
            </w:pPr>
            <w:r w:rsidRPr="00AF0CC3">
              <w:rPr>
                <w:rFonts w:ascii="Times New Roman" w:eastAsia="Times New Roman" w:hAnsi="Times New Roman" w:cs="Times New Roman"/>
                <w:kern w:val="0"/>
                <w14:ligatures w14:val="none"/>
              </w:rPr>
              <w:t>Kenya National Highways Authority</w:t>
            </w:r>
          </w:p>
        </w:tc>
      </w:tr>
      <w:tr w:rsidR="00BF60D5" w:rsidRPr="00AF0CC3" w14:paraId="09C5220D" w14:textId="77777777">
        <w:trPr>
          <w:tblCellSpacing w:w="15" w:type="dxa"/>
        </w:trPr>
        <w:tc>
          <w:tcPr>
            <w:tcW w:w="0" w:type="auto"/>
            <w:vAlign w:val="center"/>
            <w:hideMark/>
          </w:tcPr>
          <w:p w14:paraId="067A03AA" w14:textId="77777777" w:rsidR="00BF60D5" w:rsidRPr="00AF0CC3" w:rsidRDefault="00BF60D5" w:rsidP="00BF60D5">
            <w:pPr>
              <w:spacing w:after="0" w:line="240" w:lineRule="auto"/>
              <w:rPr>
                <w:rFonts w:ascii="Times New Roman" w:eastAsia="Times New Roman" w:hAnsi="Times New Roman" w:cs="Times New Roman"/>
                <w:kern w:val="0"/>
                <w14:ligatures w14:val="none"/>
              </w:rPr>
            </w:pPr>
            <w:r w:rsidRPr="00AF0CC3">
              <w:rPr>
                <w:rFonts w:ascii="Times New Roman" w:eastAsia="Times New Roman" w:hAnsi="Times New Roman" w:cs="Times New Roman"/>
                <w:kern w:val="0"/>
                <w14:ligatures w14:val="none"/>
              </w:rPr>
              <w:t>KES</w:t>
            </w:r>
          </w:p>
        </w:tc>
        <w:tc>
          <w:tcPr>
            <w:tcW w:w="0" w:type="auto"/>
            <w:vAlign w:val="center"/>
            <w:hideMark/>
          </w:tcPr>
          <w:p w14:paraId="11EB4510" w14:textId="77777777" w:rsidR="00BF60D5" w:rsidRPr="00AF0CC3" w:rsidRDefault="00BF60D5" w:rsidP="00BF60D5">
            <w:pPr>
              <w:spacing w:after="0" w:line="240" w:lineRule="auto"/>
              <w:rPr>
                <w:rFonts w:ascii="Times New Roman" w:eastAsia="Times New Roman" w:hAnsi="Times New Roman" w:cs="Times New Roman"/>
                <w:kern w:val="0"/>
                <w14:ligatures w14:val="none"/>
              </w:rPr>
            </w:pPr>
            <w:r w:rsidRPr="00AF0CC3">
              <w:rPr>
                <w:rFonts w:ascii="Times New Roman" w:eastAsia="Times New Roman" w:hAnsi="Times New Roman" w:cs="Times New Roman"/>
                <w:kern w:val="0"/>
                <w14:ligatures w14:val="none"/>
              </w:rPr>
              <w:t>Kenya Shilling</w:t>
            </w:r>
          </w:p>
        </w:tc>
      </w:tr>
      <w:tr w:rsidR="00BF60D5" w:rsidRPr="00AF0CC3" w14:paraId="28A93616" w14:textId="77777777">
        <w:trPr>
          <w:tblCellSpacing w:w="15" w:type="dxa"/>
        </w:trPr>
        <w:tc>
          <w:tcPr>
            <w:tcW w:w="0" w:type="auto"/>
            <w:vAlign w:val="center"/>
            <w:hideMark/>
          </w:tcPr>
          <w:p w14:paraId="2BB677B3" w14:textId="77777777" w:rsidR="00BF60D5" w:rsidRPr="00AF0CC3" w:rsidRDefault="00BF60D5" w:rsidP="00BF60D5">
            <w:pPr>
              <w:spacing w:after="0" w:line="240" w:lineRule="auto"/>
              <w:rPr>
                <w:rFonts w:ascii="Times New Roman" w:eastAsia="Times New Roman" w:hAnsi="Times New Roman" w:cs="Times New Roman"/>
                <w:kern w:val="0"/>
                <w14:ligatures w14:val="none"/>
              </w:rPr>
            </w:pPr>
            <w:r w:rsidRPr="00AF0CC3">
              <w:rPr>
                <w:rFonts w:ascii="Times New Roman" w:eastAsia="Times New Roman" w:hAnsi="Times New Roman" w:cs="Times New Roman"/>
                <w:kern w:val="0"/>
                <w14:ligatures w14:val="none"/>
              </w:rPr>
              <w:t>KURA</w:t>
            </w:r>
          </w:p>
        </w:tc>
        <w:tc>
          <w:tcPr>
            <w:tcW w:w="0" w:type="auto"/>
            <w:vAlign w:val="center"/>
            <w:hideMark/>
          </w:tcPr>
          <w:p w14:paraId="121AC94C" w14:textId="77777777" w:rsidR="00BF60D5" w:rsidRPr="00AF0CC3" w:rsidRDefault="00BF60D5" w:rsidP="00BF60D5">
            <w:pPr>
              <w:spacing w:after="0" w:line="240" w:lineRule="auto"/>
              <w:rPr>
                <w:rFonts w:ascii="Times New Roman" w:eastAsia="Times New Roman" w:hAnsi="Times New Roman" w:cs="Times New Roman"/>
                <w:kern w:val="0"/>
                <w14:ligatures w14:val="none"/>
              </w:rPr>
            </w:pPr>
            <w:r w:rsidRPr="00AF0CC3">
              <w:rPr>
                <w:rFonts w:ascii="Times New Roman" w:eastAsia="Times New Roman" w:hAnsi="Times New Roman" w:cs="Times New Roman"/>
                <w:kern w:val="0"/>
                <w14:ligatures w14:val="none"/>
              </w:rPr>
              <w:t>Kenya Urban Roads Authority</w:t>
            </w:r>
          </w:p>
        </w:tc>
      </w:tr>
      <w:tr w:rsidR="00BF60D5" w:rsidRPr="00AF0CC3" w14:paraId="6DFD8607" w14:textId="77777777">
        <w:trPr>
          <w:tblCellSpacing w:w="15" w:type="dxa"/>
        </w:trPr>
        <w:tc>
          <w:tcPr>
            <w:tcW w:w="0" w:type="auto"/>
            <w:vAlign w:val="center"/>
            <w:hideMark/>
          </w:tcPr>
          <w:p w14:paraId="767503C6" w14:textId="77777777" w:rsidR="00BF60D5" w:rsidRPr="00AF0CC3" w:rsidRDefault="00BF60D5" w:rsidP="00BF60D5">
            <w:pPr>
              <w:spacing w:after="0" w:line="240" w:lineRule="auto"/>
              <w:rPr>
                <w:rFonts w:ascii="Times New Roman" w:eastAsia="Times New Roman" w:hAnsi="Times New Roman" w:cs="Times New Roman"/>
                <w:kern w:val="0"/>
                <w14:ligatures w14:val="none"/>
              </w:rPr>
            </w:pPr>
            <w:r w:rsidRPr="00AF0CC3">
              <w:rPr>
                <w:rFonts w:ascii="Times New Roman" w:eastAsia="Times New Roman" w:hAnsi="Times New Roman" w:cs="Times New Roman"/>
                <w:kern w:val="0"/>
                <w14:ligatures w14:val="none"/>
              </w:rPr>
              <w:t>LMICs</w:t>
            </w:r>
          </w:p>
        </w:tc>
        <w:tc>
          <w:tcPr>
            <w:tcW w:w="0" w:type="auto"/>
            <w:vAlign w:val="center"/>
            <w:hideMark/>
          </w:tcPr>
          <w:p w14:paraId="021EADC8" w14:textId="77777777" w:rsidR="00BF60D5" w:rsidRPr="00AF0CC3" w:rsidRDefault="00BF60D5" w:rsidP="00BF60D5">
            <w:pPr>
              <w:spacing w:after="0" w:line="240" w:lineRule="auto"/>
              <w:rPr>
                <w:rFonts w:ascii="Times New Roman" w:eastAsia="Times New Roman" w:hAnsi="Times New Roman" w:cs="Times New Roman"/>
                <w:kern w:val="0"/>
                <w14:ligatures w14:val="none"/>
              </w:rPr>
            </w:pPr>
            <w:r w:rsidRPr="00AF0CC3">
              <w:rPr>
                <w:rFonts w:ascii="Times New Roman" w:eastAsia="Times New Roman" w:hAnsi="Times New Roman" w:cs="Times New Roman"/>
                <w:kern w:val="0"/>
                <w14:ligatures w14:val="none"/>
              </w:rPr>
              <w:t>Low- and Middle-Income Countries</w:t>
            </w:r>
          </w:p>
        </w:tc>
      </w:tr>
      <w:tr w:rsidR="00BF60D5" w:rsidRPr="00AF0CC3" w14:paraId="0A327FDE" w14:textId="77777777">
        <w:trPr>
          <w:tblCellSpacing w:w="15" w:type="dxa"/>
        </w:trPr>
        <w:tc>
          <w:tcPr>
            <w:tcW w:w="0" w:type="auto"/>
            <w:vAlign w:val="center"/>
            <w:hideMark/>
          </w:tcPr>
          <w:p w14:paraId="320BB97A" w14:textId="77777777" w:rsidR="00BF60D5" w:rsidRPr="00AF0CC3" w:rsidRDefault="00BF60D5" w:rsidP="00BF60D5">
            <w:pPr>
              <w:spacing w:after="0" w:line="240" w:lineRule="auto"/>
              <w:rPr>
                <w:rFonts w:ascii="Times New Roman" w:eastAsia="Times New Roman" w:hAnsi="Times New Roman" w:cs="Times New Roman"/>
                <w:kern w:val="0"/>
                <w14:ligatures w14:val="none"/>
              </w:rPr>
            </w:pPr>
            <w:r w:rsidRPr="00AF0CC3">
              <w:rPr>
                <w:rFonts w:ascii="Times New Roman" w:eastAsia="Times New Roman" w:hAnsi="Times New Roman" w:cs="Times New Roman"/>
                <w:kern w:val="0"/>
                <w14:ligatures w14:val="none"/>
              </w:rPr>
              <w:t>MDGs</w:t>
            </w:r>
          </w:p>
        </w:tc>
        <w:tc>
          <w:tcPr>
            <w:tcW w:w="0" w:type="auto"/>
            <w:vAlign w:val="center"/>
            <w:hideMark/>
          </w:tcPr>
          <w:p w14:paraId="06D73C57" w14:textId="77777777" w:rsidR="00BF60D5" w:rsidRPr="00AF0CC3" w:rsidRDefault="00BF60D5" w:rsidP="00BF60D5">
            <w:pPr>
              <w:spacing w:after="0" w:line="240" w:lineRule="auto"/>
              <w:rPr>
                <w:rFonts w:ascii="Times New Roman" w:eastAsia="Times New Roman" w:hAnsi="Times New Roman" w:cs="Times New Roman"/>
                <w:kern w:val="0"/>
                <w14:ligatures w14:val="none"/>
              </w:rPr>
            </w:pPr>
            <w:r w:rsidRPr="00AF0CC3">
              <w:rPr>
                <w:rFonts w:ascii="Times New Roman" w:eastAsia="Times New Roman" w:hAnsi="Times New Roman" w:cs="Times New Roman"/>
                <w:kern w:val="0"/>
                <w14:ligatures w14:val="none"/>
              </w:rPr>
              <w:t>Millennium Development Goals</w:t>
            </w:r>
          </w:p>
        </w:tc>
      </w:tr>
      <w:tr w:rsidR="00BF60D5" w:rsidRPr="00AF0CC3" w14:paraId="66E6C811" w14:textId="77777777">
        <w:trPr>
          <w:tblCellSpacing w:w="15" w:type="dxa"/>
        </w:trPr>
        <w:tc>
          <w:tcPr>
            <w:tcW w:w="0" w:type="auto"/>
            <w:vAlign w:val="center"/>
            <w:hideMark/>
          </w:tcPr>
          <w:p w14:paraId="4E602C35" w14:textId="77777777" w:rsidR="00BF60D5" w:rsidRPr="00AF0CC3" w:rsidRDefault="00BF60D5" w:rsidP="00BF60D5">
            <w:pPr>
              <w:spacing w:after="0" w:line="240" w:lineRule="auto"/>
              <w:rPr>
                <w:rFonts w:ascii="Times New Roman" w:eastAsia="Times New Roman" w:hAnsi="Times New Roman" w:cs="Times New Roman"/>
                <w:kern w:val="0"/>
                <w14:ligatures w14:val="none"/>
              </w:rPr>
            </w:pPr>
            <w:r w:rsidRPr="00AF0CC3">
              <w:rPr>
                <w:rFonts w:ascii="Times New Roman" w:eastAsia="Times New Roman" w:hAnsi="Times New Roman" w:cs="Times New Roman"/>
                <w:kern w:val="0"/>
                <w14:ligatures w14:val="none"/>
              </w:rPr>
              <w:t>M&amp;E</w:t>
            </w:r>
          </w:p>
        </w:tc>
        <w:tc>
          <w:tcPr>
            <w:tcW w:w="0" w:type="auto"/>
            <w:vAlign w:val="center"/>
            <w:hideMark/>
          </w:tcPr>
          <w:p w14:paraId="5A8CCECF" w14:textId="77777777" w:rsidR="00BF60D5" w:rsidRPr="00AF0CC3" w:rsidRDefault="00BF60D5" w:rsidP="00BF60D5">
            <w:pPr>
              <w:spacing w:after="0" w:line="240" w:lineRule="auto"/>
              <w:rPr>
                <w:rFonts w:ascii="Times New Roman" w:eastAsia="Times New Roman" w:hAnsi="Times New Roman" w:cs="Times New Roman"/>
                <w:kern w:val="0"/>
                <w14:ligatures w14:val="none"/>
              </w:rPr>
            </w:pPr>
            <w:r w:rsidRPr="00AF0CC3">
              <w:rPr>
                <w:rFonts w:ascii="Times New Roman" w:eastAsia="Times New Roman" w:hAnsi="Times New Roman" w:cs="Times New Roman"/>
                <w:kern w:val="0"/>
                <w14:ligatures w14:val="none"/>
              </w:rPr>
              <w:t>Monitoring and Evaluation</w:t>
            </w:r>
          </w:p>
        </w:tc>
      </w:tr>
      <w:tr w:rsidR="00BF60D5" w:rsidRPr="00AF0CC3" w14:paraId="0B14284D" w14:textId="77777777">
        <w:trPr>
          <w:tblCellSpacing w:w="15" w:type="dxa"/>
        </w:trPr>
        <w:tc>
          <w:tcPr>
            <w:tcW w:w="0" w:type="auto"/>
            <w:vAlign w:val="center"/>
            <w:hideMark/>
          </w:tcPr>
          <w:p w14:paraId="3E963175" w14:textId="77777777" w:rsidR="00BF60D5" w:rsidRPr="00AF0CC3" w:rsidRDefault="00BF60D5" w:rsidP="00BF60D5">
            <w:pPr>
              <w:spacing w:after="0" w:line="240" w:lineRule="auto"/>
              <w:rPr>
                <w:rFonts w:ascii="Times New Roman" w:eastAsia="Times New Roman" w:hAnsi="Times New Roman" w:cs="Times New Roman"/>
                <w:kern w:val="0"/>
                <w14:ligatures w14:val="none"/>
              </w:rPr>
            </w:pPr>
            <w:r w:rsidRPr="00AF0CC3">
              <w:rPr>
                <w:rFonts w:ascii="Times New Roman" w:eastAsia="Times New Roman" w:hAnsi="Times New Roman" w:cs="Times New Roman"/>
                <w:kern w:val="0"/>
                <w14:ligatures w14:val="none"/>
              </w:rPr>
              <w:t>MoWI</w:t>
            </w:r>
          </w:p>
        </w:tc>
        <w:tc>
          <w:tcPr>
            <w:tcW w:w="0" w:type="auto"/>
            <w:vAlign w:val="center"/>
            <w:hideMark/>
          </w:tcPr>
          <w:p w14:paraId="22F423F5" w14:textId="77777777" w:rsidR="00BF60D5" w:rsidRPr="00AF0CC3" w:rsidRDefault="00BF60D5" w:rsidP="00BF60D5">
            <w:pPr>
              <w:spacing w:after="0" w:line="240" w:lineRule="auto"/>
              <w:rPr>
                <w:rFonts w:ascii="Times New Roman" w:eastAsia="Times New Roman" w:hAnsi="Times New Roman" w:cs="Times New Roman"/>
                <w:kern w:val="0"/>
                <w14:ligatures w14:val="none"/>
              </w:rPr>
            </w:pPr>
            <w:r w:rsidRPr="00AF0CC3">
              <w:rPr>
                <w:rFonts w:ascii="Times New Roman" w:eastAsia="Times New Roman" w:hAnsi="Times New Roman" w:cs="Times New Roman"/>
                <w:kern w:val="0"/>
                <w14:ligatures w14:val="none"/>
              </w:rPr>
              <w:t>Ministry of Water, Sanitation and Irrigation</w:t>
            </w:r>
          </w:p>
        </w:tc>
      </w:tr>
      <w:tr w:rsidR="00BF60D5" w:rsidRPr="00AF0CC3" w14:paraId="503B7D74" w14:textId="77777777">
        <w:trPr>
          <w:tblCellSpacing w:w="15" w:type="dxa"/>
        </w:trPr>
        <w:tc>
          <w:tcPr>
            <w:tcW w:w="0" w:type="auto"/>
            <w:vAlign w:val="center"/>
            <w:hideMark/>
          </w:tcPr>
          <w:p w14:paraId="1F5AD197" w14:textId="77777777" w:rsidR="00BF60D5" w:rsidRPr="00AF0CC3" w:rsidRDefault="00BF60D5" w:rsidP="00BF60D5">
            <w:pPr>
              <w:spacing w:after="0" w:line="240" w:lineRule="auto"/>
              <w:rPr>
                <w:rFonts w:ascii="Times New Roman" w:eastAsia="Times New Roman" w:hAnsi="Times New Roman" w:cs="Times New Roman"/>
                <w:kern w:val="0"/>
                <w14:ligatures w14:val="none"/>
              </w:rPr>
            </w:pPr>
            <w:r w:rsidRPr="00AF0CC3">
              <w:rPr>
                <w:rFonts w:ascii="Times New Roman" w:eastAsia="Times New Roman" w:hAnsi="Times New Roman" w:cs="Times New Roman"/>
                <w:kern w:val="0"/>
                <w14:ligatures w14:val="none"/>
              </w:rPr>
              <w:t>NCA</w:t>
            </w:r>
          </w:p>
        </w:tc>
        <w:tc>
          <w:tcPr>
            <w:tcW w:w="0" w:type="auto"/>
            <w:vAlign w:val="center"/>
            <w:hideMark/>
          </w:tcPr>
          <w:p w14:paraId="7A27497F" w14:textId="77777777" w:rsidR="00BF60D5" w:rsidRPr="00AF0CC3" w:rsidRDefault="00BF60D5" w:rsidP="00BF60D5">
            <w:pPr>
              <w:spacing w:after="0" w:line="240" w:lineRule="auto"/>
              <w:rPr>
                <w:rFonts w:ascii="Times New Roman" w:eastAsia="Times New Roman" w:hAnsi="Times New Roman" w:cs="Times New Roman"/>
                <w:kern w:val="0"/>
                <w14:ligatures w14:val="none"/>
              </w:rPr>
            </w:pPr>
            <w:r w:rsidRPr="00AF0CC3">
              <w:rPr>
                <w:rFonts w:ascii="Times New Roman" w:eastAsia="Times New Roman" w:hAnsi="Times New Roman" w:cs="Times New Roman"/>
                <w:kern w:val="0"/>
                <w14:ligatures w14:val="none"/>
              </w:rPr>
              <w:t>National Construction Authority</w:t>
            </w:r>
          </w:p>
        </w:tc>
      </w:tr>
      <w:tr w:rsidR="00BF60D5" w:rsidRPr="00AF0CC3" w14:paraId="338BF534" w14:textId="77777777">
        <w:trPr>
          <w:tblCellSpacing w:w="15" w:type="dxa"/>
        </w:trPr>
        <w:tc>
          <w:tcPr>
            <w:tcW w:w="0" w:type="auto"/>
            <w:vAlign w:val="center"/>
            <w:hideMark/>
          </w:tcPr>
          <w:p w14:paraId="1548AFC6" w14:textId="77777777" w:rsidR="00BF60D5" w:rsidRPr="00AF0CC3" w:rsidRDefault="00BF60D5" w:rsidP="00BF60D5">
            <w:pPr>
              <w:spacing w:after="0" w:line="240" w:lineRule="auto"/>
              <w:rPr>
                <w:rFonts w:ascii="Times New Roman" w:eastAsia="Times New Roman" w:hAnsi="Times New Roman" w:cs="Times New Roman"/>
                <w:kern w:val="0"/>
                <w14:ligatures w14:val="none"/>
              </w:rPr>
            </w:pPr>
            <w:r w:rsidRPr="00AF0CC3">
              <w:rPr>
                <w:rFonts w:ascii="Times New Roman" w:eastAsia="Times New Roman" w:hAnsi="Times New Roman" w:cs="Times New Roman"/>
                <w:kern w:val="0"/>
                <w14:ligatures w14:val="none"/>
              </w:rPr>
              <w:t>NDMA</w:t>
            </w:r>
          </w:p>
        </w:tc>
        <w:tc>
          <w:tcPr>
            <w:tcW w:w="0" w:type="auto"/>
            <w:vAlign w:val="center"/>
            <w:hideMark/>
          </w:tcPr>
          <w:p w14:paraId="208BF03C" w14:textId="77777777" w:rsidR="00BF60D5" w:rsidRPr="00AF0CC3" w:rsidRDefault="00BF60D5" w:rsidP="00BF60D5">
            <w:pPr>
              <w:spacing w:after="0" w:line="240" w:lineRule="auto"/>
              <w:rPr>
                <w:rFonts w:ascii="Times New Roman" w:eastAsia="Times New Roman" w:hAnsi="Times New Roman" w:cs="Times New Roman"/>
                <w:kern w:val="0"/>
                <w14:ligatures w14:val="none"/>
              </w:rPr>
            </w:pPr>
            <w:r w:rsidRPr="00AF0CC3">
              <w:rPr>
                <w:rFonts w:ascii="Times New Roman" w:eastAsia="Times New Roman" w:hAnsi="Times New Roman" w:cs="Times New Roman"/>
                <w:kern w:val="0"/>
                <w14:ligatures w14:val="none"/>
              </w:rPr>
              <w:t>National Drought Management Authority</w:t>
            </w:r>
          </w:p>
        </w:tc>
      </w:tr>
      <w:tr w:rsidR="00BF60D5" w:rsidRPr="00AF0CC3" w14:paraId="01E4A7E8" w14:textId="77777777">
        <w:trPr>
          <w:tblCellSpacing w:w="15" w:type="dxa"/>
        </w:trPr>
        <w:tc>
          <w:tcPr>
            <w:tcW w:w="0" w:type="auto"/>
            <w:vAlign w:val="center"/>
            <w:hideMark/>
          </w:tcPr>
          <w:p w14:paraId="1B4AA9B4" w14:textId="77777777" w:rsidR="00BF60D5" w:rsidRPr="00AF0CC3" w:rsidRDefault="00BF60D5" w:rsidP="00BF60D5">
            <w:pPr>
              <w:spacing w:after="0" w:line="240" w:lineRule="auto"/>
              <w:rPr>
                <w:rFonts w:ascii="Times New Roman" w:eastAsia="Times New Roman" w:hAnsi="Times New Roman" w:cs="Times New Roman"/>
                <w:kern w:val="0"/>
                <w14:ligatures w14:val="none"/>
              </w:rPr>
            </w:pPr>
            <w:r w:rsidRPr="00AF0CC3">
              <w:rPr>
                <w:rFonts w:ascii="Times New Roman" w:eastAsia="Times New Roman" w:hAnsi="Times New Roman" w:cs="Times New Roman"/>
                <w:kern w:val="0"/>
                <w14:ligatures w14:val="none"/>
              </w:rPr>
              <w:t>NEMA</w:t>
            </w:r>
          </w:p>
        </w:tc>
        <w:tc>
          <w:tcPr>
            <w:tcW w:w="0" w:type="auto"/>
            <w:vAlign w:val="center"/>
            <w:hideMark/>
          </w:tcPr>
          <w:p w14:paraId="1A5D21C1" w14:textId="77777777" w:rsidR="00BF60D5" w:rsidRPr="00AF0CC3" w:rsidRDefault="00BF60D5" w:rsidP="00BF60D5">
            <w:pPr>
              <w:spacing w:after="0" w:line="240" w:lineRule="auto"/>
              <w:rPr>
                <w:rFonts w:ascii="Times New Roman" w:eastAsia="Times New Roman" w:hAnsi="Times New Roman" w:cs="Times New Roman"/>
                <w:kern w:val="0"/>
                <w14:ligatures w14:val="none"/>
              </w:rPr>
            </w:pPr>
            <w:r w:rsidRPr="00AF0CC3">
              <w:rPr>
                <w:rFonts w:ascii="Times New Roman" w:eastAsia="Times New Roman" w:hAnsi="Times New Roman" w:cs="Times New Roman"/>
                <w:kern w:val="0"/>
                <w14:ligatures w14:val="none"/>
              </w:rPr>
              <w:t>National Environment Management Authority</w:t>
            </w:r>
          </w:p>
        </w:tc>
      </w:tr>
      <w:tr w:rsidR="00BF60D5" w:rsidRPr="00AF0CC3" w14:paraId="33225C59" w14:textId="77777777">
        <w:trPr>
          <w:tblCellSpacing w:w="15" w:type="dxa"/>
        </w:trPr>
        <w:tc>
          <w:tcPr>
            <w:tcW w:w="0" w:type="auto"/>
            <w:vAlign w:val="center"/>
            <w:hideMark/>
          </w:tcPr>
          <w:p w14:paraId="19AA6825" w14:textId="77777777" w:rsidR="00BF60D5" w:rsidRPr="00AF0CC3" w:rsidRDefault="00BF60D5" w:rsidP="00BF60D5">
            <w:pPr>
              <w:spacing w:after="0" w:line="240" w:lineRule="auto"/>
              <w:rPr>
                <w:rFonts w:ascii="Times New Roman" w:eastAsia="Times New Roman" w:hAnsi="Times New Roman" w:cs="Times New Roman"/>
                <w:kern w:val="0"/>
                <w14:ligatures w14:val="none"/>
              </w:rPr>
            </w:pPr>
            <w:r w:rsidRPr="00AF0CC3">
              <w:rPr>
                <w:rFonts w:ascii="Times New Roman" w:eastAsia="Times New Roman" w:hAnsi="Times New Roman" w:cs="Times New Roman"/>
                <w:kern w:val="0"/>
                <w14:ligatures w14:val="none"/>
              </w:rPr>
              <w:t>NWSC</w:t>
            </w:r>
          </w:p>
        </w:tc>
        <w:tc>
          <w:tcPr>
            <w:tcW w:w="0" w:type="auto"/>
            <w:vAlign w:val="center"/>
            <w:hideMark/>
          </w:tcPr>
          <w:p w14:paraId="396A03D9" w14:textId="77777777" w:rsidR="00BF60D5" w:rsidRPr="00AF0CC3" w:rsidRDefault="00BF60D5" w:rsidP="00BF60D5">
            <w:pPr>
              <w:spacing w:after="0" w:line="240" w:lineRule="auto"/>
              <w:rPr>
                <w:rFonts w:ascii="Times New Roman" w:eastAsia="Times New Roman" w:hAnsi="Times New Roman" w:cs="Times New Roman"/>
                <w:kern w:val="0"/>
                <w14:ligatures w14:val="none"/>
              </w:rPr>
            </w:pPr>
            <w:r w:rsidRPr="00AF0CC3">
              <w:rPr>
                <w:rFonts w:ascii="Times New Roman" w:eastAsia="Times New Roman" w:hAnsi="Times New Roman" w:cs="Times New Roman"/>
                <w:kern w:val="0"/>
                <w14:ligatures w14:val="none"/>
              </w:rPr>
              <w:t>National Water Storage Authority</w:t>
            </w:r>
          </w:p>
        </w:tc>
      </w:tr>
      <w:tr w:rsidR="00BF60D5" w:rsidRPr="00AF0CC3" w14:paraId="73CA036C" w14:textId="77777777">
        <w:trPr>
          <w:tblCellSpacing w:w="15" w:type="dxa"/>
        </w:trPr>
        <w:tc>
          <w:tcPr>
            <w:tcW w:w="0" w:type="auto"/>
            <w:vAlign w:val="center"/>
            <w:hideMark/>
          </w:tcPr>
          <w:p w14:paraId="483D84DE" w14:textId="77777777" w:rsidR="00BF60D5" w:rsidRPr="00AF0CC3" w:rsidRDefault="00BF60D5" w:rsidP="00BF60D5">
            <w:pPr>
              <w:spacing w:after="0" w:line="240" w:lineRule="auto"/>
              <w:rPr>
                <w:rFonts w:ascii="Times New Roman" w:eastAsia="Times New Roman" w:hAnsi="Times New Roman" w:cs="Times New Roman"/>
                <w:kern w:val="0"/>
                <w14:ligatures w14:val="none"/>
              </w:rPr>
            </w:pPr>
            <w:r w:rsidRPr="00AF0CC3">
              <w:rPr>
                <w:rFonts w:ascii="Times New Roman" w:eastAsia="Times New Roman" w:hAnsi="Times New Roman" w:cs="Times New Roman"/>
                <w:kern w:val="0"/>
                <w14:ligatures w14:val="none"/>
              </w:rPr>
              <w:t>OECD</w:t>
            </w:r>
          </w:p>
        </w:tc>
        <w:tc>
          <w:tcPr>
            <w:tcW w:w="0" w:type="auto"/>
            <w:vAlign w:val="center"/>
            <w:hideMark/>
          </w:tcPr>
          <w:p w14:paraId="7B1F1DE0" w14:textId="3CEA6673" w:rsidR="00BF60D5" w:rsidRPr="00AF0CC3" w:rsidRDefault="00CB79D9" w:rsidP="00BF60D5">
            <w:pPr>
              <w:spacing w:after="0" w:line="240" w:lineRule="auto"/>
              <w:rPr>
                <w:rFonts w:ascii="Times New Roman" w:eastAsia="Times New Roman" w:hAnsi="Times New Roman" w:cs="Times New Roman"/>
                <w:kern w:val="0"/>
                <w14:ligatures w14:val="none"/>
              </w:rPr>
            </w:pPr>
            <w:r w:rsidRPr="00AF0CC3">
              <w:rPr>
                <w:rFonts w:ascii="Times New Roman" w:eastAsia="Times New Roman" w:hAnsi="Times New Roman" w:cs="Times New Roman"/>
                <w:kern w:val="0"/>
                <w14:ligatures w14:val="none"/>
              </w:rPr>
              <w:t>Organization</w:t>
            </w:r>
            <w:r w:rsidR="00BF60D5" w:rsidRPr="00AF0CC3">
              <w:rPr>
                <w:rFonts w:ascii="Times New Roman" w:eastAsia="Times New Roman" w:hAnsi="Times New Roman" w:cs="Times New Roman"/>
                <w:kern w:val="0"/>
                <w14:ligatures w14:val="none"/>
              </w:rPr>
              <w:t xml:space="preserve"> for Economic Co-operation and Development</w:t>
            </w:r>
          </w:p>
        </w:tc>
      </w:tr>
      <w:tr w:rsidR="00BF60D5" w:rsidRPr="00AF0CC3" w14:paraId="766D4E26" w14:textId="77777777">
        <w:trPr>
          <w:tblCellSpacing w:w="15" w:type="dxa"/>
        </w:trPr>
        <w:tc>
          <w:tcPr>
            <w:tcW w:w="0" w:type="auto"/>
            <w:vAlign w:val="center"/>
            <w:hideMark/>
          </w:tcPr>
          <w:p w14:paraId="6A40A2CD" w14:textId="77777777" w:rsidR="00BF60D5" w:rsidRPr="00AF0CC3" w:rsidRDefault="00BF60D5" w:rsidP="00BF60D5">
            <w:pPr>
              <w:spacing w:after="0" w:line="240" w:lineRule="auto"/>
              <w:rPr>
                <w:rFonts w:ascii="Times New Roman" w:eastAsia="Times New Roman" w:hAnsi="Times New Roman" w:cs="Times New Roman"/>
                <w:kern w:val="0"/>
                <w14:ligatures w14:val="none"/>
              </w:rPr>
            </w:pPr>
            <w:r w:rsidRPr="00AF0CC3">
              <w:rPr>
                <w:rFonts w:ascii="Times New Roman" w:eastAsia="Times New Roman" w:hAnsi="Times New Roman" w:cs="Times New Roman"/>
                <w:kern w:val="0"/>
                <w14:ligatures w14:val="none"/>
              </w:rPr>
              <w:t>PPP</w:t>
            </w:r>
          </w:p>
        </w:tc>
        <w:tc>
          <w:tcPr>
            <w:tcW w:w="0" w:type="auto"/>
            <w:vAlign w:val="center"/>
            <w:hideMark/>
          </w:tcPr>
          <w:p w14:paraId="4CB27CDF" w14:textId="77777777" w:rsidR="00BF60D5" w:rsidRPr="00AF0CC3" w:rsidRDefault="00BF60D5" w:rsidP="00BF60D5">
            <w:pPr>
              <w:spacing w:after="0" w:line="240" w:lineRule="auto"/>
              <w:rPr>
                <w:rFonts w:ascii="Times New Roman" w:eastAsia="Times New Roman" w:hAnsi="Times New Roman" w:cs="Times New Roman"/>
                <w:kern w:val="0"/>
                <w14:ligatures w14:val="none"/>
              </w:rPr>
            </w:pPr>
            <w:r w:rsidRPr="00AF0CC3">
              <w:rPr>
                <w:rFonts w:ascii="Times New Roman" w:eastAsia="Times New Roman" w:hAnsi="Times New Roman" w:cs="Times New Roman"/>
                <w:kern w:val="0"/>
                <w14:ligatures w14:val="none"/>
              </w:rPr>
              <w:t>Public–Private Partnership</w:t>
            </w:r>
          </w:p>
        </w:tc>
      </w:tr>
      <w:tr w:rsidR="00C76496" w:rsidRPr="00AF0CC3" w14:paraId="45038445" w14:textId="77777777">
        <w:trPr>
          <w:tblCellSpacing w:w="15" w:type="dxa"/>
        </w:trPr>
        <w:tc>
          <w:tcPr>
            <w:tcW w:w="0" w:type="auto"/>
            <w:vAlign w:val="center"/>
          </w:tcPr>
          <w:p w14:paraId="2CA2BADE" w14:textId="78DB3D05" w:rsidR="00C76496" w:rsidRPr="00AF0CC3" w:rsidRDefault="00C76496" w:rsidP="00BF60D5">
            <w:pPr>
              <w:spacing w:after="0" w:line="240" w:lineRule="auto"/>
              <w:rPr>
                <w:rFonts w:ascii="Times New Roman" w:eastAsia="Times New Roman" w:hAnsi="Times New Roman" w:cs="Times New Roman"/>
                <w:kern w:val="0"/>
                <w14:ligatures w14:val="none"/>
              </w:rPr>
            </w:pPr>
            <w:r w:rsidRPr="00AF0CC3">
              <w:rPr>
                <w:rFonts w:ascii="Times New Roman" w:eastAsia="Times New Roman" w:hAnsi="Times New Roman" w:cs="Times New Roman"/>
                <w:kern w:val="0"/>
                <w14:ligatures w14:val="none"/>
              </w:rPr>
              <w:t>S-PPP</w:t>
            </w:r>
          </w:p>
        </w:tc>
        <w:tc>
          <w:tcPr>
            <w:tcW w:w="0" w:type="auto"/>
            <w:vAlign w:val="center"/>
          </w:tcPr>
          <w:p w14:paraId="79E799C8" w14:textId="180115F0" w:rsidR="00C76496" w:rsidRPr="00AF0CC3" w:rsidRDefault="0032401B" w:rsidP="00BF60D5">
            <w:pPr>
              <w:spacing w:after="0" w:line="240" w:lineRule="auto"/>
              <w:rPr>
                <w:rFonts w:ascii="Times New Roman" w:eastAsia="Times New Roman" w:hAnsi="Times New Roman" w:cs="Times New Roman"/>
                <w:kern w:val="0"/>
                <w14:ligatures w14:val="none"/>
              </w:rPr>
            </w:pPr>
            <w:r w:rsidRPr="00AF0CC3">
              <w:rPr>
                <w:rFonts w:ascii="Times New Roman" w:eastAsia="Times New Roman" w:hAnsi="Times New Roman" w:cs="Times New Roman"/>
                <w:kern w:val="0"/>
                <w14:ligatures w14:val="none"/>
              </w:rPr>
              <w:t>Social–Public–Private Partnership</w:t>
            </w:r>
          </w:p>
        </w:tc>
      </w:tr>
      <w:tr w:rsidR="00BF60D5" w:rsidRPr="00AF0CC3" w14:paraId="7272984C" w14:textId="77777777">
        <w:trPr>
          <w:tblCellSpacing w:w="15" w:type="dxa"/>
        </w:trPr>
        <w:tc>
          <w:tcPr>
            <w:tcW w:w="0" w:type="auto"/>
            <w:vAlign w:val="center"/>
            <w:hideMark/>
          </w:tcPr>
          <w:p w14:paraId="5A5C1186" w14:textId="77777777" w:rsidR="00BF60D5" w:rsidRPr="00AF0CC3" w:rsidRDefault="00BF60D5" w:rsidP="00BF60D5">
            <w:pPr>
              <w:spacing w:after="0" w:line="240" w:lineRule="auto"/>
              <w:rPr>
                <w:rFonts w:ascii="Times New Roman" w:eastAsia="Times New Roman" w:hAnsi="Times New Roman" w:cs="Times New Roman"/>
                <w:kern w:val="0"/>
                <w14:ligatures w14:val="none"/>
              </w:rPr>
            </w:pPr>
            <w:r w:rsidRPr="00AF0CC3">
              <w:rPr>
                <w:rFonts w:ascii="Times New Roman" w:eastAsia="Times New Roman" w:hAnsi="Times New Roman" w:cs="Times New Roman"/>
                <w:kern w:val="0"/>
                <w14:ligatures w14:val="none"/>
              </w:rPr>
              <w:t>SDGs</w:t>
            </w:r>
          </w:p>
        </w:tc>
        <w:tc>
          <w:tcPr>
            <w:tcW w:w="0" w:type="auto"/>
            <w:vAlign w:val="center"/>
            <w:hideMark/>
          </w:tcPr>
          <w:p w14:paraId="19191620" w14:textId="77777777" w:rsidR="00BF60D5" w:rsidRPr="00AF0CC3" w:rsidRDefault="00BF60D5" w:rsidP="00BF60D5">
            <w:pPr>
              <w:spacing w:after="0" w:line="240" w:lineRule="auto"/>
              <w:rPr>
                <w:rFonts w:ascii="Times New Roman" w:eastAsia="Times New Roman" w:hAnsi="Times New Roman" w:cs="Times New Roman"/>
                <w:kern w:val="0"/>
                <w14:ligatures w14:val="none"/>
              </w:rPr>
            </w:pPr>
            <w:r w:rsidRPr="00AF0CC3">
              <w:rPr>
                <w:rFonts w:ascii="Times New Roman" w:eastAsia="Times New Roman" w:hAnsi="Times New Roman" w:cs="Times New Roman"/>
                <w:kern w:val="0"/>
                <w14:ligatures w14:val="none"/>
              </w:rPr>
              <w:t>Sustainable Development Goals</w:t>
            </w:r>
          </w:p>
        </w:tc>
      </w:tr>
      <w:tr w:rsidR="00BF60D5" w:rsidRPr="00AF0CC3" w14:paraId="7A9E52CC" w14:textId="77777777">
        <w:trPr>
          <w:tblCellSpacing w:w="15" w:type="dxa"/>
        </w:trPr>
        <w:tc>
          <w:tcPr>
            <w:tcW w:w="0" w:type="auto"/>
            <w:vAlign w:val="center"/>
            <w:hideMark/>
          </w:tcPr>
          <w:p w14:paraId="544A36AD" w14:textId="77777777" w:rsidR="00BF60D5" w:rsidRPr="00AF0CC3" w:rsidRDefault="00BF60D5" w:rsidP="00BF60D5">
            <w:pPr>
              <w:spacing w:after="0" w:line="240" w:lineRule="auto"/>
              <w:rPr>
                <w:rFonts w:ascii="Times New Roman" w:eastAsia="Times New Roman" w:hAnsi="Times New Roman" w:cs="Times New Roman"/>
                <w:kern w:val="0"/>
                <w14:ligatures w14:val="none"/>
              </w:rPr>
            </w:pPr>
            <w:r w:rsidRPr="00AF0CC3">
              <w:rPr>
                <w:rFonts w:ascii="Times New Roman" w:eastAsia="Times New Roman" w:hAnsi="Times New Roman" w:cs="Times New Roman"/>
                <w:kern w:val="0"/>
                <w14:ligatures w14:val="none"/>
              </w:rPr>
              <w:t>UNICEF</w:t>
            </w:r>
          </w:p>
        </w:tc>
        <w:tc>
          <w:tcPr>
            <w:tcW w:w="0" w:type="auto"/>
            <w:vAlign w:val="center"/>
            <w:hideMark/>
          </w:tcPr>
          <w:p w14:paraId="3E205D0B" w14:textId="77777777" w:rsidR="00BF60D5" w:rsidRPr="00AF0CC3" w:rsidRDefault="00BF60D5" w:rsidP="00BF60D5">
            <w:pPr>
              <w:spacing w:after="0" w:line="240" w:lineRule="auto"/>
              <w:rPr>
                <w:rFonts w:ascii="Times New Roman" w:eastAsia="Times New Roman" w:hAnsi="Times New Roman" w:cs="Times New Roman"/>
                <w:kern w:val="0"/>
                <w14:ligatures w14:val="none"/>
              </w:rPr>
            </w:pPr>
            <w:r w:rsidRPr="00AF0CC3">
              <w:rPr>
                <w:rFonts w:ascii="Times New Roman" w:eastAsia="Times New Roman" w:hAnsi="Times New Roman" w:cs="Times New Roman"/>
                <w:kern w:val="0"/>
                <w14:ligatures w14:val="none"/>
              </w:rPr>
              <w:t>United Nations Children's Fund</w:t>
            </w:r>
          </w:p>
        </w:tc>
      </w:tr>
      <w:tr w:rsidR="00BF60D5" w:rsidRPr="00AF0CC3" w14:paraId="180CB10F" w14:textId="77777777">
        <w:trPr>
          <w:tblCellSpacing w:w="15" w:type="dxa"/>
        </w:trPr>
        <w:tc>
          <w:tcPr>
            <w:tcW w:w="0" w:type="auto"/>
            <w:vAlign w:val="center"/>
            <w:hideMark/>
          </w:tcPr>
          <w:p w14:paraId="60722D60" w14:textId="77777777" w:rsidR="00BF60D5" w:rsidRPr="00AF0CC3" w:rsidRDefault="00BF60D5" w:rsidP="00BF60D5">
            <w:pPr>
              <w:spacing w:after="0" w:line="240" w:lineRule="auto"/>
              <w:rPr>
                <w:rFonts w:ascii="Times New Roman" w:eastAsia="Times New Roman" w:hAnsi="Times New Roman" w:cs="Times New Roman"/>
                <w:kern w:val="0"/>
                <w14:ligatures w14:val="none"/>
              </w:rPr>
            </w:pPr>
            <w:r w:rsidRPr="00AF0CC3">
              <w:rPr>
                <w:rFonts w:ascii="Times New Roman" w:eastAsia="Times New Roman" w:hAnsi="Times New Roman" w:cs="Times New Roman"/>
                <w:kern w:val="0"/>
                <w14:ligatures w14:val="none"/>
              </w:rPr>
              <w:t>WASH</w:t>
            </w:r>
          </w:p>
        </w:tc>
        <w:tc>
          <w:tcPr>
            <w:tcW w:w="0" w:type="auto"/>
            <w:vAlign w:val="center"/>
            <w:hideMark/>
          </w:tcPr>
          <w:p w14:paraId="17439DE2" w14:textId="77777777" w:rsidR="00BF60D5" w:rsidRPr="00AF0CC3" w:rsidRDefault="00BF60D5" w:rsidP="00BF60D5">
            <w:pPr>
              <w:spacing w:after="0" w:line="240" w:lineRule="auto"/>
              <w:rPr>
                <w:rFonts w:ascii="Times New Roman" w:eastAsia="Times New Roman" w:hAnsi="Times New Roman" w:cs="Times New Roman"/>
                <w:kern w:val="0"/>
                <w14:ligatures w14:val="none"/>
              </w:rPr>
            </w:pPr>
            <w:r w:rsidRPr="00AF0CC3">
              <w:rPr>
                <w:rFonts w:ascii="Times New Roman" w:eastAsia="Times New Roman" w:hAnsi="Times New Roman" w:cs="Times New Roman"/>
                <w:kern w:val="0"/>
                <w14:ligatures w14:val="none"/>
              </w:rPr>
              <w:t>Water, Sanitation and Hygiene</w:t>
            </w:r>
          </w:p>
        </w:tc>
      </w:tr>
      <w:tr w:rsidR="00BF60D5" w:rsidRPr="00AF0CC3" w14:paraId="5C99DD52" w14:textId="77777777">
        <w:trPr>
          <w:tblCellSpacing w:w="15" w:type="dxa"/>
        </w:trPr>
        <w:tc>
          <w:tcPr>
            <w:tcW w:w="0" w:type="auto"/>
            <w:vAlign w:val="center"/>
            <w:hideMark/>
          </w:tcPr>
          <w:p w14:paraId="39F14AA4" w14:textId="77777777" w:rsidR="00BF60D5" w:rsidRPr="00AF0CC3" w:rsidRDefault="00BF60D5" w:rsidP="00BF60D5">
            <w:pPr>
              <w:spacing w:after="0" w:line="240" w:lineRule="auto"/>
              <w:rPr>
                <w:rFonts w:ascii="Times New Roman" w:eastAsia="Times New Roman" w:hAnsi="Times New Roman" w:cs="Times New Roman"/>
                <w:kern w:val="0"/>
                <w14:ligatures w14:val="none"/>
              </w:rPr>
            </w:pPr>
            <w:r w:rsidRPr="00AF0CC3">
              <w:rPr>
                <w:rFonts w:ascii="Times New Roman" w:eastAsia="Times New Roman" w:hAnsi="Times New Roman" w:cs="Times New Roman"/>
                <w:kern w:val="0"/>
                <w14:ligatures w14:val="none"/>
              </w:rPr>
              <w:t>WASREB</w:t>
            </w:r>
          </w:p>
        </w:tc>
        <w:tc>
          <w:tcPr>
            <w:tcW w:w="0" w:type="auto"/>
            <w:vAlign w:val="center"/>
            <w:hideMark/>
          </w:tcPr>
          <w:p w14:paraId="78C94646" w14:textId="77777777" w:rsidR="00BF60D5" w:rsidRPr="00AF0CC3" w:rsidRDefault="00BF60D5" w:rsidP="00BF60D5">
            <w:pPr>
              <w:spacing w:after="0" w:line="240" w:lineRule="auto"/>
              <w:rPr>
                <w:rFonts w:ascii="Times New Roman" w:eastAsia="Times New Roman" w:hAnsi="Times New Roman" w:cs="Times New Roman"/>
                <w:kern w:val="0"/>
                <w14:ligatures w14:val="none"/>
              </w:rPr>
            </w:pPr>
            <w:r w:rsidRPr="00AF0CC3">
              <w:rPr>
                <w:rFonts w:ascii="Times New Roman" w:eastAsia="Times New Roman" w:hAnsi="Times New Roman" w:cs="Times New Roman"/>
                <w:kern w:val="0"/>
                <w14:ligatures w14:val="none"/>
              </w:rPr>
              <w:t>Water Services Regulatory Board</w:t>
            </w:r>
          </w:p>
        </w:tc>
      </w:tr>
      <w:tr w:rsidR="00BF60D5" w:rsidRPr="00AF0CC3" w14:paraId="3DDB8F09" w14:textId="77777777">
        <w:trPr>
          <w:tblCellSpacing w:w="15" w:type="dxa"/>
        </w:trPr>
        <w:tc>
          <w:tcPr>
            <w:tcW w:w="0" w:type="auto"/>
            <w:vAlign w:val="center"/>
            <w:hideMark/>
          </w:tcPr>
          <w:p w14:paraId="15CC703A" w14:textId="77777777" w:rsidR="00BF60D5" w:rsidRPr="00AF0CC3" w:rsidRDefault="00BF60D5" w:rsidP="00BF60D5">
            <w:pPr>
              <w:spacing w:after="0" w:line="240" w:lineRule="auto"/>
              <w:rPr>
                <w:rFonts w:ascii="Times New Roman" w:eastAsia="Times New Roman" w:hAnsi="Times New Roman" w:cs="Times New Roman"/>
                <w:kern w:val="0"/>
                <w14:ligatures w14:val="none"/>
              </w:rPr>
            </w:pPr>
            <w:r w:rsidRPr="00AF0CC3">
              <w:rPr>
                <w:rFonts w:ascii="Times New Roman" w:eastAsia="Times New Roman" w:hAnsi="Times New Roman" w:cs="Times New Roman"/>
                <w:kern w:val="0"/>
                <w14:ligatures w14:val="none"/>
              </w:rPr>
              <w:t>WHO</w:t>
            </w:r>
          </w:p>
        </w:tc>
        <w:tc>
          <w:tcPr>
            <w:tcW w:w="0" w:type="auto"/>
            <w:vAlign w:val="center"/>
            <w:hideMark/>
          </w:tcPr>
          <w:p w14:paraId="5EFA27F3" w14:textId="77777777" w:rsidR="00BF60D5" w:rsidRPr="00AF0CC3" w:rsidRDefault="00BF60D5" w:rsidP="00BF60D5">
            <w:pPr>
              <w:spacing w:after="0" w:line="240" w:lineRule="auto"/>
              <w:rPr>
                <w:rFonts w:ascii="Times New Roman" w:eastAsia="Times New Roman" w:hAnsi="Times New Roman" w:cs="Times New Roman"/>
                <w:kern w:val="0"/>
                <w14:ligatures w14:val="none"/>
              </w:rPr>
            </w:pPr>
            <w:r w:rsidRPr="00AF0CC3">
              <w:rPr>
                <w:rFonts w:ascii="Times New Roman" w:eastAsia="Times New Roman" w:hAnsi="Times New Roman" w:cs="Times New Roman"/>
                <w:kern w:val="0"/>
                <w14:ligatures w14:val="none"/>
              </w:rPr>
              <w:t>World Health Organization</w:t>
            </w:r>
          </w:p>
        </w:tc>
      </w:tr>
      <w:tr w:rsidR="00BF60D5" w:rsidRPr="00AF0CC3" w14:paraId="74FD4D90" w14:textId="77777777">
        <w:trPr>
          <w:tblCellSpacing w:w="15" w:type="dxa"/>
        </w:trPr>
        <w:tc>
          <w:tcPr>
            <w:tcW w:w="0" w:type="auto"/>
            <w:vAlign w:val="center"/>
            <w:hideMark/>
          </w:tcPr>
          <w:p w14:paraId="2B0B2C7B" w14:textId="77777777" w:rsidR="00BF60D5" w:rsidRPr="00AF0CC3" w:rsidRDefault="00BF60D5" w:rsidP="00BF60D5">
            <w:pPr>
              <w:spacing w:after="0" w:line="240" w:lineRule="auto"/>
              <w:rPr>
                <w:rFonts w:ascii="Times New Roman" w:eastAsia="Times New Roman" w:hAnsi="Times New Roman" w:cs="Times New Roman"/>
                <w:kern w:val="0"/>
                <w14:ligatures w14:val="none"/>
              </w:rPr>
            </w:pPr>
            <w:r w:rsidRPr="00AF0CC3">
              <w:rPr>
                <w:rFonts w:ascii="Times New Roman" w:eastAsia="Times New Roman" w:hAnsi="Times New Roman" w:cs="Times New Roman"/>
                <w:kern w:val="0"/>
                <w14:ligatures w14:val="none"/>
              </w:rPr>
              <w:t>WRA</w:t>
            </w:r>
          </w:p>
        </w:tc>
        <w:tc>
          <w:tcPr>
            <w:tcW w:w="0" w:type="auto"/>
            <w:vAlign w:val="center"/>
            <w:hideMark/>
          </w:tcPr>
          <w:p w14:paraId="66B626D9" w14:textId="77777777" w:rsidR="00BF60D5" w:rsidRPr="00AF0CC3" w:rsidRDefault="00BF60D5" w:rsidP="00BF60D5">
            <w:pPr>
              <w:spacing w:after="0" w:line="240" w:lineRule="auto"/>
              <w:rPr>
                <w:rFonts w:ascii="Times New Roman" w:eastAsia="Times New Roman" w:hAnsi="Times New Roman" w:cs="Times New Roman"/>
                <w:kern w:val="0"/>
                <w14:ligatures w14:val="none"/>
              </w:rPr>
            </w:pPr>
            <w:r w:rsidRPr="00AF0CC3">
              <w:rPr>
                <w:rFonts w:ascii="Times New Roman" w:eastAsia="Times New Roman" w:hAnsi="Times New Roman" w:cs="Times New Roman"/>
                <w:kern w:val="0"/>
                <w14:ligatures w14:val="none"/>
              </w:rPr>
              <w:t>Water Resources Authority</w:t>
            </w:r>
          </w:p>
        </w:tc>
      </w:tr>
      <w:tr w:rsidR="00BF60D5" w:rsidRPr="00AF0CC3" w14:paraId="73A9E3D8" w14:textId="77777777">
        <w:trPr>
          <w:tblCellSpacing w:w="15" w:type="dxa"/>
        </w:trPr>
        <w:tc>
          <w:tcPr>
            <w:tcW w:w="0" w:type="auto"/>
            <w:vAlign w:val="center"/>
            <w:hideMark/>
          </w:tcPr>
          <w:p w14:paraId="34957B62" w14:textId="77777777" w:rsidR="00BF60D5" w:rsidRPr="00AF0CC3" w:rsidRDefault="00BF60D5" w:rsidP="00BF60D5">
            <w:pPr>
              <w:spacing w:after="0" w:line="240" w:lineRule="auto"/>
              <w:rPr>
                <w:rFonts w:ascii="Times New Roman" w:eastAsia="Times New Roman" w:hAnsi="Times New Roman" w:cs="Times New Roman"/>
                <w:kern w:val="0"/>
                <w14:ligatures w14:val="none"/>
              </w:rPr>
            </w:pPr>
            <w:r w:rsidRPr="00AF0CC3">
              <w:rPr>
                <w:rFonts w:ascii="Times New Roman" w:eastAsia="Times New Roman" w:hAnsi="Times New Roman" w:cs="Times New Roman"/>
                <w:kern w:val="0"/>
                <w14:ligatures w14:val="none"/>
              </w:rPr>
              <w:t>WRI</w:t>
            </w:r>
          </w:p>
        </w:tc>
        <w:tc>
          <w:tcPr>
            <w:tcW w:w="0" w:type="auto"/>
            <w:vAlign w:val="center"/>
            <w:hideMark/>
          </w:tcPr>
          <w:p w14:paraId="65AB31FF" w14:textId="77777777" w:rsidR="00BF60D5" w:rsidRPr="00AF0CC3" w:rsidRDefault="00BF60D5" w:rsidP="00BF60D5">
            <w:pPr>
              <w:spacing w:after="0" w:line="240" w:lineRule="auto"/>
              <w:rPr>
                <w:rFonts w:ascii="Times New Roman" w:eastAsia="Times New Roman" w:hAnsi="Times New Roman" w:cs="Times New Roman"/>
                <w:kern w:val="0"/>
                <w14:ligatures w14:val="none"/>
              </w:rPr>
            </w:pPr>
            <w:r w:rsidRPr="00AF0CC3">
              <w:rPr>
                <w:rFonts w:ascii="Times New Roman" w:eastAsia="Times New Roman" w:hAnsi="Times New Roman" w:cs="Times New Roman"/>
                <w:kern w:val="0"/>
                <w14:ligatures w14:val="none"/>
              </w:rPr>
              <w:t>World Resources Institute</w:t>
            </w:r>
          </w:p>
        </w:tc>
      </w:tr>
      <w:tr w:rsidR="00BF60D5" w:rsidRPr="00AF0CC3" w14:paraId="296D6017" w14:textId="77777777">
        <w:trPr>
          <w:tblCellSpacing w:w="15" w:type="dxa"/>
        </w:trPr>
        <w:tc>
          <w:tcPr>
            <w:tcW w:w="0" w:type="auto"/>
            <w:vAlign w:val="center"/>
            <w:hideMark/>
          </w:tcPr>
          <w:p w14:paraId="5796B800" w14:textId="77777777" w:rsidR="00BF60D5" w:rsidRPr="00AF0CC3" w:rsidRDefault="00BF60D5" w:rsidP="00BF60D5">
            <w:pPr>
              <w:spacing w:after="0" w:line="240" w:lineRule="auto"/>
              <w:rPr>
                <w:rFonts w:ascii="Times New Roman" w:eastAsia="Times New Roman" w:hAnsi="Times New Roman" w:cs="Times New Roman"/>
                <w:kern w:val="0"/>
                <w14:ligatures w14:val="none"/>
              </w:rPr>
            </w:pPr>
            <w:r w:rsidRPr="00AF0CC3">
              <w:rPr>
                <w:rFonts w:ascii="Times New Roman" w:eastAsia="Times New Roman" w:hAnsi="Times New Roman" w:cs="Times New Roman"/>
                <w:kern w:val="0"/>
                <w14:ligatures w14:val="none"/>
              </w:rPr>
              <w:t>WTO</w:t>
            </w:r>
          </w:p>
        </w:tc>
        <w:tc>
          <w:tcPr>
            <w:tcW w:w="0" w:type="auto"/>
            <w:vAlign w:val="center"/>
            <w:hideMark/>
          </w:tcPr>
          <w:p w14:paraId="4C1DAC72" w14:textId="77777777" w:rsidR="00BF60D5" w:rsidRPr="00AF0CC3" w:rsidRDefault="00BF60D5" w:rsidP="00BF60D5">
            <w:pPr>
              <w:spacing w:after="0" w:line="240" w:lineRule="auto"/>
              <w:rPr>
                <w:rFonts w:ascii="Times New Roman" w:eastAsia="Times New Roman" w:hAnsi="Times New Roman" w:cs="Times New Roman"/>
                <w:kern w:val="0"/>
                <w14:ligatures w14:val="none"/>
              </w:rPr>
            </w:pPr>
            <w:r w:rsidRPr="00AF0CC3">
              <w:rPr>
                <w:rFonts w:ascii="Times New Roman" w:eastAsia="Times New Roman" w:hAnsi="Times New Roman" w:cs="Times New Roman"/>
                <w:kern w:val="0"/>
                <w14:ligatures w14:val="none"/>
              </w:rPr>
              <w:t>World Trade Organization</w:t>
            </w:r>
          </w:p>
        </w:tc>
      </w:tr>
    </w:tbl>
    <w:p w14:paraId="5C02724B" w14:textId="77777777" w:rsidR="00A81687" w:rsidRPr="00AF0CC3" w:rsidRDefault="00A81687" w:rsidP="002E0E45">
      <w:pPr>
        <w:rPr>
          <w:rFonts w:ascii="Times New Roman" w:hAnsi="Times New Roman" w:cs="Times New Roman"/>
          <w:color w:val="000000" w:themeColor="text1"/>
        </w:rPr>
        <w:sectPr w:rsidR="00A81687" w:rsidRPr="00AF0CC3" w:rsidSect="00B709BF">
          <w:footerReference w:type="default" r:id="rId14"/>
          <w:footerReference w:type="first" r:id="rId15"/>
          <w:pgSz w:w="12240" w:h="15840"/>
          <w:pgMar w:top="1440" w:right="1440" w:bottom="1440" w:left="1440" w:header="720" w:footer="720" w:gutter="0"/>
          <w:pgNumType w:fmt="lowerRoman" w:start="0"/>
          <w:cols w:space="720"/>
          <w:titlePg/>
          <w:docGrid w:linePitch="360"/>
        </w:sectPr>
      </w:pPr>
    </w:p>
    <w:p w14:paraId="6F3867BD" w14:textId="77777777" w:rsidR="00854BDF" w:rsidRPr="00AF0CC3" w:rsidRDefault="00854BDF" w:rsidP="002E0E45">
      <w:pPr>
        <w:rPr>
          <w:rFonts w:ascii="Times New Roman" w:hAnsi="Times New Roman" w:cs="Times New Roman"/>
          <w:color w:val="000000" w:themeColor="text1"/>
        </w:rPr>
      </w:pPr>
    </w:p>
    <w:p w14:paraId="1527AD9E" w14:textId="0C770146" w:rsidR="00A256F5" w:rsidRPr="00AF0CC3" w:rsidRDefault="00A256F5" w:rsidP="00837439">
      <w:pPr>
        <w:pStyle w:val="Heading1"/>
        <w:rPr>
          <w:rFonts w:cs="Times New Roman"/>
          <w:color w:val="000000" w:themeColor="text1"/>
          <w:szCs w:val="24"/>
        </w:rPr>
      </w:pPr>
      <w:bookmarkStart w:id="8" w:name="_Toc234344731"/>
      <w:bookmarkStart w:id="9" w:name="_Toc234488960"/>
      <w:r w:rsidRPr="00AF0CC3">
        <w:rPr>
          <w:rFonts w:cs="Times New Roman"/>
          <w:color w:val="000000" w:themeColor="text1"/>
          <w:szCs w:val="24"/>
        </w:rPr>
        <w:t>INTRODUCTION</w:t>
      </w:r>
      <w:bookmarkEnd w:id="8"/>
      <w:bookmarkEnd w:id="9"/>
      <w:r w:rsidRPr="00AF0CC3">
        <w:rPr>
          <w:rFonts w:cs="Times New Roman"/>
          <w:color w:val="000000" w:themeColor="text1"/>
          <w:szCs w:val="24"/>
        </w:rPr>
        <w:t xml:space="preserve"> </w:t>
      </w:r>
    </w:p>
    <w:p w14:paraId="5A1D5E7A" w14:textId="77777777" w:rsidR="00A55953" w:rsidRPr="00AF0CC3" w:rsidRDefault="00A55953" w:rsidP="00240FD0">
      <w:pPr>
        <w:spacing w:after="240"/>
        <w:rPr>
          <w:rFonts w:ascii="Times New Roman" w:hAnsi="Times New Roman" w:cs="Times New Roman"/>
          <w:color w:val="000000" w:themeColor="text1"/>
        </w:rPr>
      </w:pPr>
    </w:p>
    <w:p w14:paraId="5A42787D" w14:textId="0045706E" w:rsidR="00A256F5" w:rsidRPr="00AF0CC3" w:rsidRDefault="00A256F5" w:rsidP="000E545E">
      <w:pPr>
        <w:pStyle w:val="Heading2"/>
        <w:spacing w:before="0" w:after="240" w:line="360" w:lineRule="auto"/>
        <w:rPr>
          <w:rFonts w:cs="Times New Roman"/>
          <w:b w:val="0"/>
          <w:bCs/>
          <w:color w:val="000000" w:themeColor="text1"/>
          <w:szCs w:val="24"/>
        </w:rPr>
      </w:pPr>
      <w:bookmarkStart w:id="10" w:name="_Toc234344732"/>
      <w:bookmarkStart w:id="11" w:name="_Toc234488961"/>
      <w:r w:rsidRPr="00AF0CC3">
        <w:rPr>
          <w:rFonts w:cs="Times New Roman"/>
          <w:bCs/>
          <w:color w:val="000000" w:themeColor="text1"/>
          <w:szCs w:val="24"/>
        </w:rPr>
        <w:t xml:space="preserve">Background </w:t>
      </w:r>
      <w:r w:rsidR="00D56147" w:rsidRPr="00AF0CC3">
        <w:rPr>
          <w:rFonts w:cs="Times New Roman"/>
          <w:bCs/>
          <w:color w:val="000000" w:themeColor="text1"/>
          <w:szCs w:val="24"/>
        </w:rPr>
        <w:t xml:space="preserve">of </w:t>
      </w:r>
      <w:bookmarkEnd w:id="10"/>
      <w:r w:rsidR="00E558B0" w:rsidRPr="00AF0CC3">
        <w:rPr>
          <w:rFonts w:cs="Times New Roman"/>
          <w:bCs/>
          <w:color w:val="000000" w:themeColor="text1"/>
          <w:szCs w:val="24"/>
        </w:rPr>
        <w:t>Study</w:t>
      </w:r>
      <w:bookmarkEnd w:id="11"/>
    </w:p>
    <w:p w14:paraId="22EDCE74" w14:textId="6619832D" w:rsidR="00A256F5" w:rsidRPr="00AF0CC3" w:rsidRDefault="007135D0" w:rsidP="00240FD0">
      <w:pPr>
        <w:spacing w:after="240" w:line="360" w:lineRule="auto"/>
        <w:rPr>
          <w:rFonts w:ascii="Times New Roman" w:hAnsi="Times New Roman" w:cs="Times New Roman"/>
          <w:color w:val="000000" w:themeColor="text1"/>
        </w:rPr>
      </w:pPr>
      <w:r w:rsidRPr="00AF0CC3">
        <w:rPr>
          <w:rFonts w:ascii="Times New Roman" w:hAnsi="Times New Roman" w:cs="Times New Roman"/>
          <w:color w:val="000000" w:themeColor="text1"/>
        </w:rPr>
        <w:t>The landscape for water management infrastructure sits at an uncomfortable intersection of nations' ambitious development goals, fiscal pressure, and climate change. Across low- and middle-income countries, investments in dams, irrigation schemes, bulk water supply systems, wastewater treatment plants, and flood control infrastructure are expected to deliver multiple outcomes at once: economic growth, public health protection, food security, urban resilience, and climate adaptation. These expectations have expanded over time, particularly as climate change has intensified droughts, floods, and rainfall variability (Sadoff et al., 2015; Di Baldassarre et al., 2020; IPCC, 2022).</w:t>
      </w:r>
    </w:p>
    <w:p w14:paraId="1815F49C" w14:textId="4A08C423" w:rsidR="00A256F5" w:rsidRPr="00AF0CC3" w:rsidRDefault="007443B0" w:rsidP="00240FD0">
      <w:pPr>
        <w:spacing w:after="240" w:line="360" w:lineRule="auto"/>
        <w:rPr>
          <w:rFonts w:ascii="Times New Roman" w:hAnsi="Times New Roman" w:cs="Times New Roman"/>
          <w:color w:val="000000" w:themeColor="text1"/>
        </w:rPr>
      </w:pPr>
      <w:r w:rsidRPr="00AF0CC3">
        <w:rPr>
          <w:rFonts w:ascii="Times New Roman" w:hAnsi="Times New Roman" w:cs="Times New Roman"/>
          <w:color w:val="000000" w:themeColor="text1"/>
        </w:rPr>
        <w:t>Over the past two decades, infrastructure development has been a central pillar of development strategy. Governments and development partners have promoted massive infrastructure investment to close service deficits and unlock long-term, sustainable growth. Yet experience repeatedly shows that the principal challenge is not mobilizing capital but translating financial investment into functioning assets that deliver services and protect the public. Across regions and sectors, infrastructure projects frequently face significant delays, escalating costs, and even stalling (Flyvbjerg, 2014; Flyvbjerg et al., 2021).</w:t>
      </w:r>
    </w:p>
    <w:p w14:paraId="1D55CE8E" w14:textId="77777777" w:rsidR="00A256F5" w:rsidRPr="00AF0CC3" w:rsidRDefault="00A256F5" w:rsidP="00240FD0">
      <w:pPr>
        <w:spacing w:after="240" w:line="360" w:lineRule="auto"/>
        <w:rPr>
          <w:rFonts w:ascii="Times New Roman" w:hAnsi="Times New Roman" w:cs="Times New Roman"/>
          <w:color w:val="000000" w:themeColor="text1"/>
        </w:rPr>
      </w:pPr>
    </w:p>
    <w:p w14:paraId="7FE1D4CE" w14:textId="11AE3B96" w:rsidR="00A256F5" w:rsidRPr="00AF0CC3" w:rsidRDefault="007135D0" w:rsidP="00240FD0">
      <w:pPr>
        <w:spacing w:after="240" w:line="360" w:lineRule="auto"/>
        <w:rPr>
          <w:rFonts w:ascii="Times New Roman" w:hAnsi="Times New Roman" w:cs="Times New Roman"/>
          <w:color w:val="000000" w:themeColor="text1"/>
        </w:rPr>
      </w:pPr>
      <w:r w:rsidRPr="00AF0CC3">
        <w:rPr>
          <w:rFonts w:ascii="Times New Roman" w:hAnsi="Times New Roman" w:cs="Times New Roman"/>
          <w:color w:val="000000" w:themeColor="text1"/>
        </w:rPr>
        <w:t>These outcomes have prompted a shift in how infrastructure performance is understood. Technical complexity</w:t>
      </w:r>
      <w:r w:rsidR="007443B0" w:rsidRPr="00AF0CC3">
        <w:rPr>
          <w:rFonts w:ascii="Times New Roman" w:hAnsi="Times New Roman" w:cs="Times New Roman"/>
          <w:color w:val="000000" w:themeColor="text1"/>
        </w:rPr>
        <w:t xml:space="preserve">, project size, financing models, </w:t>
      </w:r>
      <w:r w:rsidRPr="00AF0CC3">
        <w:rPr>
          <w:rFonts w:ascii="Times New Roman" w:hAnsi="Times New Roman" w:cs="Times New Roman"/>
          <w:color w:val="000000" w:themeColor="text1"/>
        </w:rPr>
        <w:t xml:space="preserve">and the country's political climate alone no longer provide a convincing explanation. Instead, attention has increasingly focused on governance </w:t>
      </w:r>
      <w:r w:rsidR="007443B0" w:rsidRPr="00AF0CC3">
        <w:rPr>
          <w:rFonts w:ascii="Times New Roman" w:hAnsi="Times New Roman" w:cs="Times New Roman"/>
          <w:color w:val="000000" w:themeColor="text1"/>
        </w:rPr>
        <w:t>gaps as the central explanatory factor, including how projects are selected, prepared, risk-managed,</w:t>
      </w:r>
      <w:r w:rsidRPr="00AF0CC3">
        <w:rPr>
          <w:rFonts w:ascii="Times New Roman" w:hAnsi="Times New Roman" w:cs="Times New Roman"/>
          <w:color w:val="000000" w:themeColor="text1"/>
        </w:rPr>
        <w:t xml:space="preserve"> contracted, supervised, and corrected when problems arise. Weak </w:t>
      </w:r>
      <w:r w:rsidR="007443B0" w:rsidRPr="00AF0CC3">
        <w:rPr>
          <w:rFonts w:ascii="Times New Roman" w:hAnsi="Times New Roman" w:cs="Times New Roman"/>
          <w:color w:val="000000" w:themeColor="text1"/>
        </w:rPr>
        <w:t xml:space="preserve">and politicized decision-making </w:t>
      </w:r>
      <w:r w:rsidRPr="00AF0CC3">
        <w:rPr>
          <w:rFonts w:ascii="Times New Roman" w:hAnsi="Times New Roman" w:cs="Times New Roman"/>
          <w:color w:val="000000" w:themeColor="text1"/>
        </w:rPr>
        <w:t>at early stages, fragmented accountability, and ineffective contract management recur across underperforming projects (Ansar et al., 2018; OECD, 2020).</w:t>
      </w:r>
    </w:p>
    <w:p w14:paraId="15ADDE05" w14:textId="77777777" w:rsidR="00A256F5" w:rsidRPr="00AF0CC3" w:rsidRDefault="00A256F5" w:rsidP="00240FD0">
      <w:pPr>
        <w:spacing w:after="240" w:line="360" w:lineRule="auto"/>
        <w:rPr>
          <w:rFonts w:ascii="Times New Roman" w:hAnsi="Times New Roman" w:cs="Times New Roman"/>
          <w:color w:val="000000" w:themeColor="text1"/>
        </w:rPr>
      </w:pPr>
    </w:p>
    <w:p w14:paraId="4A2B30F8" w14:textId="0F8EBA5B" w:rsidR="00A256F5" w:rsidRPr="00AF0CC3" w:rsidRDefault="00A256F5" w:rsidP="00240FD0">
      <w:pPr>
        <w:spacing w:after="240" w:line="360" w:lineRule="auto"/>
        <w:rPr>
          <w:rFonts w:ascii="Times New Roman" w:hAnsi="Times New Roman" w:cs="Times New Roman"/>
          <w:color w:val="000000" w:themeColor="text1"/>
        </w:rPr>
      </w:pPr>
      <w:r w:rsidRPr="00AF0CC3">
        <w:rPr>
          <w:rFonts w:ascii="Times New Roman" w:hAnsi="Times New Roman" w:cs="Times New Roman"/>
          <w:color w:val="000000" w:themeColor="text1"/>
        </w:rPr>
        <w:t>Water</w:t>
      </w:r>
      <w:r w:rsidR="00835F96" w:rsidRPr="00AF0CC3">
        <w:rPr>
          <w:rFonts w:ascii="Times New Roman" w:hAnsi="Times New Roman" w:cs="Times New Roman"/>
          <w:color w:val="000000" w:themeColor="text1"/>
        </w:rPr>
        <w:t xml:space="preserve"> management</w:t>
      </w:r>
      <w:r w:rsidRPr="00AF0CC3">
        <w:rPr>
          <w:rFonts w:ascii="Times New Roman" w:hAnsi="Times New Roman" w:cs="Times New Roman"/>
          <w:color w:val="000000" w:themeColor="text1"/>
        </w:rPr>
        <w:t xml:space="preserve"> infrastructure brings these governance questions into particularly sharp </w:t>
      </w:r>
      <w:r w:rsidR="00835F96" w:rsidRPr="00AF0CC3">
        <w:rPr>
          <w:rFonts w:ascii="Times New Roman" w:hAnsi="Times New Roman" w:cs="Times New Roman"/>
          <w:color w:val="000000" w:themeColor="text1"/>
        </w:rPr>
        <w:t>focus</w:t>
      </w:r>
      <w:r w:rsidRPr="00AF0CC3">
        <w:rPr>
          <w:rFonts w:ascii="Times New Roman" w:hAnsi="Times New Roman" w:cs="Times New Roman"/>
          <w:color w:val="000000" w:themeColor="text1"/>
        </w:rPr>
        <w:t xml:space="preserve">. </w:t>
      </w:r>
      <w:r w:rsidR="00835F96" w:rsidRPr="00AF0CC3">
        <w:rPr>
          <w:rFonts w:ascii="Times New Roman" w:hAnsi="Times New Roman" w:cs="Times New Roman"/>
          <w:color w:val="000000" w:themeColor="text1"/>
        </w:rPr>
        <w:t>Unlike other sectors</w:t>
      </w:r>
      <w:r w:rsidR="00C85F0C" w:rsidRPr="00AF0CC3">
        <w:rPr>
          <w:rFonts w:ascii="Times New Roman" w:hAnsi="Times New Roman" w:cs="Times New Roman"/>
          <w:color w:val="000000" w:themeColor="text1"/>
        </w:rPr>
        <w:t>,</w:t>
      </w:r>
      <w:r w:rsidR="00835F96" w:rsidRPr="00AF0CC3">
        <w:rPr>
          <w:rFonts w:ascii="Times New Roman" w:hAnsi="Times New Roman" w:cs="Times New Roman"/>
          <w:color w:val="000000" w:themeColor="text1"/>
        </w:rPr>
        <w:t xml:space="preserve"> such as transport or energy, w</w:t>
      </w:r>
      <w:r w:rsidRPr="00AF0CC3">
        <w:rPr>
          <w:rFonts w:ascii="Times New Roman" w:hAnsi="Times New Roman" w:cs="Times New Roman"/>
          <w:color w:val="000000" w:themeColor="text1"/>
        </w:rPr>
        <w:t>ater systems are embedded in local ecological and social settings</w:t>
      </w:r>
      <w:r w:rsidR="00835F96" w:rsidRPr="00AF0CC3">
        <w:rPr>
          <w:rFonts w:ascii="Times New Roman" w:hAnsi="Times New Roman" w:cs="Times New Roman"/>
          <w:color w:val="000000" w:themeColor="text1"/>
        </w:rPr>
        <w:t xml:space="preserve">. This </w:t>
      </w:r>
      <w:r w:rsidRPr="00AF0CC3">
        <w:rPr>
          <w:rFonts w:ascii="Times New Roman" w:hAnsi="Times New Roman" w:cs="Times New Roman"/>
          <w:color w:val="000000" w:themeColor="text1"/>
        </w:rPr>
        <w:t xml:space="preserve">often </w:t>
      </w:r>
      <w:r w:rsidR="00835F96" w:rsidRPr="00AF0CC3">
        <w:rPr>
          <w:rFonts w:ascii="Times New Roman" w:hAnsi="Times New Roman" w:cs="Times New Roman"/>
          <w:color w:val="000000" w:themeColor="text1"/>
        </w:rPr>
        <w:t>requires</w:t>
      </w:r>
      <w:r w:rsidRPr="00AF0CC3">
        <w:rPr>
          <w:rFonts w:ascii="Times New Roman" w:hAnsi="Times New Roman" w:cs="Times New Roman"/>
          <w:color w:val="000000" w:themeColor="text1"/>
        </w:rPr>
        <w:t xml:space="preserve"> land acquisition</w:t>
      </w:r>
      <w:r w:rsidR="00835F96" w:rsidRPr="00AF0CC3">
        <w:rPr>
          <w:rFonts w:ascii="Times New Roman" w:hAnsi="Times New Roman" w:cs="Times New Roman"/>
          <w:color w:val="000000" w:themeColor="text1"/>
        </w:rPr>
        <w:t xml:space="preserve"> and the resettlement of both people and </w:t>
      </w:r>
      <w:r w:rsidR="0005294F" w:rsidRPr="00AF0CC3">
        <w:rPr>
          <w:rFonts w:ascii="Times New Roman" w:hAnsi="Times New Roman" w:cs="Times New Roman"/>
          <w:color w:val="000000" w:themeColor="text1"/>
        </w:rPr>
        <w:t>wildlife and</w:t>
      </w:r>
      <w:r w:rsidR="00835F96" w:rsidRPr="00AF0CC3">
        <w:rPr>
          <w:rFonts w:ascii="Times New Roman" w:hAnsi="Times New Roman" w:cs="Times New Roman"/>
          <w:color w:val="000000" w:themeColor="text1"/>
        </w:rPr>
        <w:t xml:space="preserve"> therefore calls for long-term institutional coordination</w:t>
      </w:r>
      <w:r w:rsidRPr="00AF0CC3">
        <w:rPr>
          <w:rFonts w:ascii="Times New Roman" w:hAnsi="Times New Roman" w:cs="Times New Roman"/>
          <w:color w:val="000000" w:themeColor="text1"/>
        </w:rPr>
        <w:t xml:space="preserve">. Climate change has further </w:t>
      </w:r>
      <w:r w:rsidR="00835F96" w:rsidRPr="00AF0CC3">
        <w:rPr>
          <w:rFonts w:ascii="Times New Roman" w:hAnsi="Times New Roman" w:cs="Times New Roman"/>
          <w:color w:val="000000" w:themeColor="text1"/>
        </w:rPr>
        <w:t xml:space="preserve">complicated </w:t>
      </w:r>
      <w:r w:rsidRPr="00AF0CC3">
        <w:rPr>
          <w:rFonts w:ascii="Times New Roman" w:hAnsi="Times New Roman" w:cs="Times New Roman"/>
          <w:color w:val="000000" w:themeColor="text1"/>
        </w:rPr>
        <w:t>hydrological assumptions that underpin project design, making uncertainty a defining feature rather than an exception (Rodina, 2019; Lebel et al., 2021).</w:t>
      </w:r>
    </w:p>
    <w:p w14:paraId="37DEF16E" w14:textId="190F3E79" w:rsidR="00E5253E" w:rsidRPr="00AF0CC3" w:rsidRDefault="005124FB" w:rsidP="00E5253E">
      <w:pPr>
        <w:spacing w:after="240" w:line="360" w:lineRule="auto"/>
        <w:rPr>
          <w:rFonts w:ascii="Times New Roman" w:hAnsi="Times New Roman" w:cs="Times New Roman"/>
          <w:color w:val="000000" w:themeColor="text1"/>
        </w:rPr>
      </w:pPr>
      <w:r w:rsidRPr="00AF0CC3">
        <w:rPr>
          <w:rFonts w:ascii="Times New Roman" w:hAnsi="Times New Roman" w:cs="Times New Roman"/>
          <w:color w:val="000000" w:themeColor="text1"/>
        </w:rPr>
        <w:t xml:space="preserve">The growing influence of climate change has fundamentally altered the governance context for planning, financing, and implementing water infrastructure. Historically, infrastructure governance </w:t>
      </w:r>
      <w:r w:rsidR="0005294F" w:rsidRPr="00AF0CC3">
        <w:rPr>
          <w:rFonts w:ascii="Times New Roman" w:hAnsi="Times New Roman" w:cs="Times New Roman"/>
          <w:color w:val="000000" w:themeColor="text1"/>
        </w:rPr>
        <w:t>is focused</w:t>
      </w:r>
      <w:r w:rsidRPr="00AF0CC3">
        <w:rPr>
          <w:rFonts w:ascii="Times New Roman" w:hAnsi="Times New Roman" w:cs="Times New Roman"/>
          <w:color w:val="000000" w:themeColor="text1"/>
        </w:rPr>
        <w:t xml:space="preserve"> on improving administrative efficiency, financial accountability, procurement integrity, and institutional coordination. While these objectives remain essential, increasing climatic uncertainty has broadened the governance challenge beyond administrative performance to include institutional adaptability and resilience. Infrastructure systems must now be capable not only of delivering projects efficiently but also of responding to changing environmental conditions throughout the project lifecycle.</w:t>
      </w:r>
    </w:p>
    <w:p w14:paraId="7EE0E7BE" w14:textId="1406407C" w:rsidR="00E5253E" w:rsidRPr="00AF0CC3" w:rsidRDefault="00F55216" w:rsidP="00E5253E">
      <w:pPr>
        <w:spacing w:after="240" w:line="360" w:lineRule="auto"/>
        <w:rPr>
          <w:rFonts w:ascii="Times New Roman" w:hAnsi="Times New Roman" w:cs="Times New Roman"/>
          <w:color w:val="000000" w:themeColor="text1"/>
        </w:rPr>
      </w:pPr>
      <w:r w:rsidRPr="00AF0CC3">
        <w:rPr>
          <w:rFonts w:ascii="Times New Roman" w:hAnsi="Times New Roman" w:cs="Times New Roman"/>
          <w:color w:val="000000" w:themeColor="text1"/>
        </w:rPr>
        <w:t>Climate-related shocks, including prolonged droughts, flooding, shifting hydrological patterns, and extreme weather events, introduce uncertainties that cannot be resolved by engineering solutions alone. They require governance systems that can coordinate multiple institutions, integrate evolving scientific information into decision-making, reallocate resources when implementation conditions change, and maintain continuity despite environmental disruption. Consequently, governance quality increasingly determines whether infrastructure investments can continue to achieve their intended social, economic, and environmental objectives under conditions of uncertainty.</w:t>
      </w:r>
    </w:p>
    <w:p w14:paraId="15275B9D" w14:textId="19F4D5BB" w:rsidR="00E5253E" w:rsidRPr="00AF0CC3" w:rsidRDefault="00486D60" w:rsidP="00E5253E">
      <w:pPr>
        <w:spacing w:after="240" w:line="360" w:lineRule="auto"/>
        <w:rPr>
          <w:rFonts w:ascii="Times New Roman" w:hAnsi="Times New Roman" w:cs="Times New Roman"/>
          <w:color w:val="000000" w:themeColor="text1"/>
        </w:rPr>
      </w:pPr>
      <w:r w:rsidRPr="00AF0CC3">
        <w:rPr>
          <w:rFonts w:ascii="Times New Roman" w:hAnsi="Times New Roman" w:cs="Times New Roman"/>
          <w:color w:val="000000" w:themeColor="text1"/>
        </w:rPr>
        <w:t xml:space="preserve">This broader understanding of governance marks an important shift in contemporary infrastructure research. Rather than viewing governance solely as a mechanism for ensuring procedural compliance, it is increasingly recognized as an institutional capability that enables adaptation, learning, and resilience. Projects with stronger governance arrangements may therefore be better positioned to absorb external shocks, respond to implementation challenges, and sustain delivery despite changing climatic, political, and administrative conditions. This </w:t>
      </w:r>
      <w:r w:rsidRPr="00AF0CC3">
        <w:rPr>
          <w:rFonts w:ascii="Times New Roman" w:hAnsi="Times New Roman" w:cs="Times New Roman"/>
          <w:color w:val="000000" w:themeColor="text1"/>
        </w:rPr>
        <w:lastRenderedPageBreak/>
        <w:t>study is situated within this evolving perspective by examining governance not only as a determinant of infrastructure delivery performance but also as an institutional capability that supports climate-resilient infrastructure development.</w:t>
      </w:r>
    </w:p>
    <w:p w14:paraId="76027B0C" w14:textId="77777777" w:rsidR="00A256F5" w:rsidRPr="00AF0CC3" w:rsidRDefault="00A256F5" w:rsidP="00240FD0">
      <w:pPr>
        <w:spacing w:after="240" w:line="360" w:lineRule="auto"/>
        <w:rPr>
          <w:rFonts w:ascii="Times New Roman" w:hAnsi="Times New Roman" w:cs="Times New Roman"/>
          <w:color w:val="000000" w:themeColor="text1"/>
        </w:rPr>
      </w:pPr>
    </w:p>
    <w:p w14:paraId="58377D35" w14:textId="5A725A17" w:rsidR="00A256F5" w:rsidRPr="00AF0CC3" w:rsidRDefault="00B94F6F" w:rsidP="00240FD0">
      <w:pPr>
        <w:spacing w:after="240" w:line="360" w:lineRule="auto"/>
        <w:rPr>
          <w:rFonts w:ascii="Times New Roman" w:hAnsi="Times New Roman" w:cs="Times New Roman"/>
          <w:color w:val="000000" w:themeColor="text1"/>
        </w:rPr>
      </w:pPr>
      <w:r w:rsidRPr="00AF0CC3">
        <w:rPr>
          <w:rFonts w:ascii="Times New Roman" w:hAnsi="Times New Roman" w:cs="Times New Roman"/>
          <w:color w:val="000000" w:themeColor="text1"/>
        </w:rPr>
        <w:t xml:space="preserve">The case of </w:t>
      </w:r>
      <w:r w:rsidR="00A256F5" w:rsidRPr="00AF0CC3">
        <w:rPr>
          <w:rFonts w:ascii="Times New Roman" w:hAnsi="Times New Roman" w:cs="Times New Roman"/>
          <w:color w:val="000000" w:themeColor="text1"/>
        </w:rPr>
        <w:t xml:space="preserve">Kenya </w:t>
      </w:r>
      <w:r w:rsidRPr="00AF0CC3">
        <w:rPr>
          <w:rFonts w:ascii="Times New Roman" w:hAnsi="Times New Roman" w:cs="Times New Roman"/>
          <w:color w:val="000000" w:themeColor="text1"/>
        </w:rPr>
        <w:t>is revealing</w:t>
      </w:r>
      <w:r w:rsidR="00A256F5" w:rsidRPr="00AF0CC3">
        <w:rPr>
          <w:rFonts w:ascii="Times New Roman" w:hAnsi="Times New Roman" w:cs="Times New Roman"/>
          <w:color w:val="000000" w:themeColor="text1"/>
        </w:rPr>
        <w:t xml:space="preserve">. Since the early 2000s, and especially under Vision 2030, the country has </w:t>
      </w:r>
      <w:r w:rsidRPr="00AF0CC3">
        <w:rPr>
          <w:rFonts w:ascii="Times New Roman" w:hAnsi="Times New Roman" w:cs="Times New Roman"/>
          <w:color w:val="000000" w:themeColor="text1"/>
        </w:rPr>
        <w:t>mobilized</w:t>
      </w:r>
      <w:r w:rsidR="00A256F5" w:rsidRPr="00AF0CC3">
        <w:rPr>
          <w:rFonts w:ascii="Times New Roman" w:hAnsi="Times New Roman" w:cs="Times New Roman"/>
          <w:color w:val="000000" w:themeColor="text1"/>
        </w:rPr>
        <w:t xml:space="preserve"> substantial </w:t>
      </w:r>
      <w:r w:rsidRPr="00AF0CC3">
        <w:rPr>
          <w:rFonts w:ascii="Times New Roman" w:hAnsi="Times New Roman" w:cs="Times New Roman"/>
          <w:color w:val="000000" w:themeColor="text1"/>
        </w:rPr>
        <w:t xml:space="preserve">financial </w:t>
      </w:r>
      <w:r w:rsidR="00A256F5" w:rsidRPr="00AF0CC3">
        <w:rPr>
          <w:rFonts w:ascii="Times New Roman" w:hAnsi="Times New Roman" w:cs="Times New Roman"/>
          <w:color w:val="000000" w:themeColor="text1"/>
        </w:rPr>
        <w:t xml:space="preserve">resources for water </w:t>
      </w:r>
      <w:r w:rsidRPr="00AF0CC3">
        <w:rPr>
          <w:rFonts w:ascii="Times New Roman" w:hAnsi="Times New Roman" w:cs="Times New Roman"/>
          <w:color w:val="000000" w:themeColor="text1"/>
        </w:rPr>
        <w:t xml:space="preserve">management </w:t>
      </w:r>
      <w:r w:rsidR="00A256F5" w:rsidRPr="00AF0CC3">
        <w:rPr>
          <w:rFonts w:ascii="Times New Roman" w:hAnsi="Times New Roman" w:cs="Times New Roman"/>
          <w:color w:val="000000" w:themeColor="text1"/>
        </w:rPr>
        <w:t xml:space="preserve">infrastructure through public borrowing, donor finance, and </w:t>
      </w:r>
      <w:r w:rsidRPr="00AF0CC3">
        <w:rPr>
          <w:rFonts w:ascii="Times New Roman" w:hAnsi="Times New Roman" w:cs="Times New Roman"/>
          <w:color w:val="000000" w:themeColor="text1"/>
        </w:rPr>
        <w:t xml:space="preserve">other blended financing options such as </w:t>
      </w:r>
      <w:r w:rsidR="00A256F5" w:rsidRPr="00AF0CC3">
        <w:rPr>
          <w:rFonts w:ascii="Times New Roman" w:hAnsi="Times New Roman" w:cs="Times New Roman"/>
          <w:color w:val="000000" w:themeColor="text1"/>
        </w:rPr>
        <w:t xml:space="preserve">Public–Private Partnership (PPP) </w:t>
      </w:r>
      <w:r w:rsidRPr="00AF0CC3">
        <w:rPr>
          <w:rFonts w:ascii="Times New Roman" w:hAnsi="Times New Roman" w:cs="Times New Roman"/>
          <w:color w:val="000000" w:themeColor="text1"/>
        </w:rPr>
        <w:t>and infrastructure bonds. According to the World Bank (2021) and the Republic of Kenya (2016), national strategies have consistently prioritized increasing storage capacity, bolstering irrigation, improving water supply in urban areas, and enhancing flood and drought management capacity.</w:t>
      </w:r>
    </w:p>
    <w:p w14:paraId="63CB5236" w14:textId="77777777" w:rsidR="00A256F5" w:rsidRPr="00AF0CC3" w:rsidRDefault="00A256F5" w:rsidP="00240FD0">
      <w:pPr>
        <w:spacing w:after="240" w:line="360" w:lineRule="auto"/>
        <w:rPr>
          <w:rFonts w:ascii="Times New Roman" w:hAnsi="Times New Roman" w:cs="Times New Roman"/>
          <w:color w:val="000000" w:themeColor="text1"/>
        </w:rPr>
      </w:pPr>
    </w:p>
    <w:p w14:paraId="0A1DDA68" w14:textId="32F9412D" w:rsidR="00A256F5" w:rsidRPr="00AF0CC3" w:rsidRDefault="00A256F5" w:rsidP="00240FD0">
      <w:pPr>
        <w:spacing w:after="240" w:line="360" w:lineRule="auto"/>
        <w:rPr>
          <w:rFonts w:ascii="Times New Roman" w:hAnsi="Times New Roman" w:cs="Times New Roman"/>
          <w:color w:val="000000" w:themeColor="text1"/>
        </w:rPr>
      </w:pPr>
      <w:r w:rsidRPr="00AF0CC3">
        <w:rPr>
          <w:rFonts w:ascii="Times New Roman" w:hAnsi="Times New Roman" w:cs="Times New Roman"/>
          <w:color w:val="000000" w:themeColor="text1"/>
        </w:rPr>
        <w:t>What is striking, however, is the persistence of weak delivery outcomes despite this sustained effort</w:t>
      </w:r>
      <w:r w:rsidR="00B94F6F" w:rsidRPr="00AF0CC3">
        <w:rPr>
          <w:rFonts w:ascii="Times New Roman" w:hAnsi="Times New Roman" w:cs="Times New Roman"/>
          <w:color w:val="000000" w:themeColor="text1"/>
        </w:rPr>
        <w:t xml:space="preserve"> to mobilize capital</w:t>
      </w:r>
      <w:r w:rsidRPr="00AF0CC3">
        <w:rPr>
          <w:rFonts w:ascii="Times New Roman" w:hAnsi="Times New Roman" w:cs="Times New Roman"/>
          <w:color w:val="000000" w:themeColor="text1"/>
        </w:rPr>
        <w:t xml:space="preserve">. Across counties and project types, water </w:t>
      </w:r>
      <w:r w:rsidR="00656516" w:rsidRPr="00AF0CC3">
        <w:rPr>
          <w:rFonts w:ascii="Times New Roman" w:hAnsi="Times New Roman" w:cs="Times New Roman"/>
          <w:color w:val="000000" w:themeColor="text1"/>
        </w:rPr>
        <w:t xml:space="preserve">management </w:t>
      </w:r>
      <w:r w:rsidRPr="00AF0CC3">
        <w:rPr>
          <w:rFonts w:ascii="Times New Roman" w:hAnsi="Times New Roman" w:cs="Times New Roman"/>
          <w:color w:val="000000" w:themeColor="text1"/>
        </w:rPr>
        <w:t>infrastructure projects experience prolonged delays, major cost overruns, or complete stalling. Some remain partially constructed for years; others</w:t>
      </w:r>
      <w:r w:rsidR="004E3DB5" w:rsidRPr="00AF0CC3">
        <w:rPr>
          <w:rFonts w:ascii="Times New Roman" w:hAnsi="Times New Roman" w:cs="Times New Roman"/>
          <w:color w:val="000000" w:themeColor="text1"/>
        </w:rPr>
        <w:t xml:space="preserve"> continue to</w:t>
      </w:r>
      <w:r w:rsidRPr="00AF0CC3">
        <w:rPr>
          <w:rFonts w:ascii="Times New Roman" w:hAnsi="Times New Roman" w:cs="Times New Roman"/>
          <w:color w:val="000000" w:themeColor="text1"/>
        </w:rPr>
        <w:t xml:space="preserve"> absorb public resources without ever delivering water services (Harris et al., 2022; Republic of Kenya, 2024). This tension between </w:t>
      </w:r>
      <w:r w:rsidR="00B94F6F" w:rsidRPr="00AF0CC3">
        <w:rPr>
          <w:rFonts w:ascii="Times New Roman" w:hAnsi="Times New Roman" w:cs="Times New Roman"/>
          <w:color w:val="000000" w:themeColor="text1"/>
        </w:rPr>
        <w:t>development goals</w:t>
      </w:r>
      <w:r w:rsidRPr="00AF0CC3">
        <w:rPr>
          <w:rFonts w:ascii="Times New Roman" w:hAnsi="Times New Roman" w:cs="Times New Roman"/>
          <w:color w:val="000000" w:themeColor="text1"/>
        </w:rPr>
        <w:t xml:space="preserve"> and </w:t>
      </w:r>
      <w:r w:rsidR="00B94F6F" w:rsidRPr="00AF0CC3">
        <w:rPr>
          <w:rFonts w:ascii="Times New Roman" w:hAnsi="Times New Roman" w:cs="Times New Roman"/>
          <w:color w:val="000000" w:themeColor="text1"/>
        </w:rPr>
        <w:t>performance outcomes</w:t>
      </w:r>
      <w:r w:rsidRPr="00AF0CC3">
        <w:rPr>
          <w:rFonts w:ascii="Times New Roman" w:hAnsi="Times New Roman" w:cs="Times New Roman"/>
          <w:color w:val="000000" w:themeColor="text1"/>
        </w:rPr>
        <w:t xml:space="preserve"> lies at the heart of </w:t>
      </w:r>
      <w:r w:rsidR="00B94F6F" w:rsidRPr="00AF0CC3">
        <w:rPr>
          <w:rFonts w:ascii="Times New Roman" w:hAnsi="Times New Roman" w:cs="Times New Roman"/>
          <w:color w:val="000000" w:themeColor="text1"/>
        </w:rPr>
        <w:t>this</w:t>
      </w:r>
      <w:r w:rsidRPr="00AF0CC3">
        <w:rPr>
          <w:rFonts w:ascii="Times New Roman" w:hAnsi="Times New Roman" w:cs="Times New Roman"/>
          <w:color w:val="000000" w:themeColor="text1"/>
        </w:rPr>
        <w:t xml:space="preserve"> study.</w:t>
      </w:r>
    </w:p>
    <w:p w14:paraId="6ADC5093" w14:textId="6A5BFFB1" w:rsidR="00FB2FE9" w:rsidRPr="00AF0CC3" w:rsidRDefault="00DD71CE" w:rsidP="00FB2FE9">
      <w:pPr>
        <w:spacing w:after="240" w:line="360" w:lineRule="auto"/>
        <w:rPr>
          <w:rFonts w:ascii="Times New Roman" w:hAnsi="Times New Roman" w:cs="Times New Roman"/>
          <w:color w:val="000000" w:themeColor="text1"/>
        </w:rPr>
      </w:pPr>
      <w:r w:rsidRPr="00AF0CC3">
        <w:rPr>
          <w:rFonts w:ascii="Times New Roman" w:hAnsi="Times New Roman" w:cs="Times New Roman"/>
          <w:color w:val="000000" w:themeColor="text1"/>
        </w:rPr>
        <w:t xml:space="preserve">Different reports </w:t>
      </w:r>
      <w:r w:rsidR="006F425E" w:rsidRPr="00AF0CC3">
        <w:rPr>
          <w:rFonts w:ascii="Times New Roman" w:hAnsi="Times New Roman" w:cs="Times New Roman"/>
          <w:color w:val="000000" w:themeColor="text1"/>
        </w:rPr>
        <w:t>indicate</w:t>
      </w:r>
      <w:r w:rsidR="006D548D" w:rsidRPr="00AF0CC3">
        <w:rPr>
          <w:rFonts w:ascii="Times New Roman" w:hAnsi="Times New Roman" w:cs="Times New Roman"/>
          <w:color w:val="000000" w:themeColor="text1"/>
        </w:rPr>
        <w:t xml:space="preserve"> the cost of stalled projects ranges </w:t>
      </w:r>
      <w:r w:rsidR="00E97391" w:rsidRPr="00AF0CC3">
        <w:rPr>
          <w:rFonts w:ascii="Times New Roman" w:hAnsi="Times New Roman" w:cs="Times New Roman"/>
          <w:color w:val="000000" w:themeColor="text1"/>
        </w:rPr>
        <w:t xml:space="preserve">from </w:t>
      </w:r>
      <w:r w:rsidR="00D12AEF" w:rsidRPr="00AF0CC3">
        <w:rPr>
          <w:rFonts w:ascii="Times New Roman" w:hAnsi="Times New Roman" w:cs="Times New Roman"/>
          <w:color w:val="000000" w:themeColor="text1"/>
        </w:rPr>
        <w:t>KES</w:t>
      </w:r>
      <w:r w:rsidR="00E97391" w:rsidRPr="00AF0CC3">
        <w:rPr>
          <w:rFonts w:ascii="Times New Roman" w:hAnsi="Times New Roman" w:cs="Times New Roman"/>
          <w:color w:val="000000" w:themeColor="text1"/>
        </w:rPr>
        <w:t xml:space="preserve"> 2.3 trillion to </w:t>
      </w:r>
      <w:r w:rsidR="00D12AEF" w:rsidRPr="00AF0CC3">
        <w:rPr>
          <w:rFonts w:ascii="Times New Roman" w:hAnsi="Times New Roman" w:cs="Times New Roman"/>
          <w:color w:val="000000" w:themeColor="text1"/>
        </w:rPr>
        <w:t>KES</w:t>
      </w:r>
      <w:r w:rsidR="00E97391" w:rsidRPr="00AF0CC3">
        <w:rPr>
          <w:rFonts w:ascii="Times New Roman" w:hAnsi="Times New Roman" w:cs="Times New Roman"/>
          <w:color w:val="000000" w:themeColor="text1"/>
        </w:rPr>
        <w:t xml:space="preserve"> 9 trillion. </w:t>
      </w:r>
      <w:r w:rsidR="00EB2A27" w:rsidRPr="00AF0CC3">
        <w:rPr>
          <w:rFonts w:ascii="Times New Roman" w:hAnsi="Times New Roman" w:cs="Times New Roman"/>
          <w:color w:val="000000" w:themeColor="text1"/>
        </w:rPr>
        <w:t xml:space="preserve">According to disclosures from the International Monetary Fund (IMF), nearly half of government-funded projects in Kenya are stalled, many in the water and irrigation sectors. Reviving these projects could cost over </w:t>
      </w:r>
      <w:r w:rsidR="00D12AEF" w:rsidRPr="00AF0CC3">
        <w:rPr>
          <w:rFonts w:ascii="Times New Roman" w:hAnsi="Times New Roman" w:cs="Times New Roman"/>
          <w:color w:val="000000" w:themeColor="text1"/>
        </w:rPr>
        <w:t>KES</w:t>
      </w:r>
      <w:r w:rsidR="00EB2A27" w:rsidRPr="00AF0CC3">
        <w:rPr>
          <w:rFonts w:ascii="Times New Roman" w:hAnsi="Times New Roman" w:cs="Times New Roman"/>
          <w:color w:val="000000" w:themeColor="text1"/>
        </w:rPr>
        <w:t xml:space="preserve"> 1 trillion, equivalent to nearly 6 percent of Kenya’s 2024 GDP. This raises serious concerns about weak project appraisal, poor contract management, and ineffective public expenditure controls in the water sector.</w:t>
      </w:r>
    </w:p>
    <w:p w14:paraId="7CE49F24" w14:textId="68488587" w:rsidR="00FB2FE9" w:rsidRPr="00AF0CC3" w:rsidRDefault="00EB2A27" w:rsidP="00FB2FE9">
      <w:pPr>
        <w:spacing w:after="240" w:line="360" w:lineRule="auto"/>
        <w:rPr>
          <w:rFonts w:ascii="Times New Roman" w:hAnsi="Times New Roman" w:cs="Times New Roman"/>
          <w:color w:val="000000" w:themeColor="text1"/>
        </w:rPr>
      </w:pPr>
      <w:r w:rsidRPr="00AF0CC3">
        <w:rPr>
          <w:rFonts w:ascii="Times New Roman" w:hAnsi="Times New Roman" w:cs="Times New Roman"/>
          <w:color w:val="000000" w:themeColor="text1"/>
        </w:rPr>
        <w:t xml:space="preserve">The Office of the Auditor-General (OAG) has repeatedly warned that stalled projects reflect deep structural weaknesses in public investment management. Every shilling sunk into an incomplete dam, borehole, or pipeline is often borrowed money—often at commercial or semi-concessional rates—that </w:t>
      </w:r>
      <w:r w:rsidR="001F7BFE" w:rsidRPr="00AF0CC3">
        <w:rPr>
          <w:rFonts w:ascii="Times New Roman" w:hAnsi="Times New Roman" w:cs="Times New Roman"/>
          <w:color w:val="000000" w:themeColor="text1"/>
        </w:rPr>
        <w:t>fail</w:t>
      </w:r>
      <w:r w:rsidRPr="00AF0CC3">
        <w:rPr>
          <w:rFonts w:ascii="Times New Roman" w:hAnsi="Times New Roman" w:cs="Times New Roman"/>
          <w:color w:val="000000" w:themeColor="text1"/>
        </w:rPr>
        <w:t xml:space="preserve"> to deliver social or economic returns.</w:t>
      </w:r>
    </w:p>
    <w:p w14:paraId="25ADE3A5" w14:textId="77777777" w:rsidR="00FB2FE9" w:rsidRPr="00AF0CC3" w:rsidRDefault="00FB2FE9" w:rsidP="00240FD0">
      <w:pPr>
        <w:spacing w:after="240" w:line="360" w:lineRule="auto"/>
        <w:rPr>
          <w:rFonts w:ascii="Times New Roman" w:hAnsi="Times New Roman" w:cs="Times New Roman"/>
          <w:color w:val="000000" w:themeColor="text1"/>
        </w:rPr>
      </w:pPr>
    </w:p>
    <w:p w14:paraId="7C66FB58" w14:textId="15D367BE" w:rsidR="00955D9B" w:rsidRPr="00AF0CC3" w:rsidRDefault="00D96308" w:rsidP="00240FD0">
      <w:pPr>
        <w:spacing w:after="240" w:line="360" w:lineRule="auto"/>
        <w:rPr>
          <w:rFonts w:ascii="Times New Roman" w:hAnsi="Times New Roman" w:cs="Times New Roman"/>
          <w:color w:val="000000" w:themeColor="text1"/>
        </w:rPr>
      </w:pPr>
      <w:r w:rsidRPr="00AF0CC3">
        <w:rPr>
          <w:rFonts w:ascii="Times New Roman" w:hAnsi="Times New Roman" w:cs="Times New Roman"/>
          <w:color w:val="000000" w:themeColor="text1"/>
        </w:rPr>
        <w:t>In this study, governance is distinguished from project management. Governance encompasses the institutional rules, accountability arrangements, risk allocation mechanisms, and oversight structures that shape decisions throughout the infrastructure project lifecycle. By contrast, project management concerns the day-to-day execution of work once these governance arrangements are in place. The analysis</w:t>
      </w:r>
      <w:r w:rsidR="00CD19ED" w:rsidRPr="00AF0CC3">
        <w:rPr>
          <w:rFonts w:ascii="Times New Roman" w:hAnsi="Times New Roman" w:cs="Times New Roman"/>
          <w:color w:val="000000" w:themeColor="text1"/>
        </w:rPr>
        <w:t>, therefore,</w:t>
      </w:r>
      <w:r w:rsidRPr="00AF0CC3">
        <w:rPr>
          <w:rFonts w:ascii="Times New Roman" w:hAnsi="Times New Roman" w:cs="Times New Roman"/>
          <w:color w:val="000000" w:themeColor="text1"/>
        </w:rPr>
        <w:t xml:space="preserve"> focuses on governance quality as the </w:t>
      </w:r>
      <w:r w:rsidR="00027BFD" w:rsidRPr="00AF0CC3">
        <w:rPr>
          <w:rFonts w:ascii="Times New Roman" w:hAnsi="Times New Roman" w:cs="Times New Roman"/>
          <w:color w:val="000000" w:themeColor="text1"/>
        </w:rPr>
        <w:t>fund</w:t>
      </w:r>
      <w:r w:rsidR="00CD19ED" w:rsidRPr="00AF0CC3">
        <w:rPr>
          <w:rFonts w:ascii="Times New Roman" w:hAnsi="Times New Roman" w:cs="Times New Roman"/>
          <w:color w:val="000000" w:themeColor="text1"/>
        </w:rPr>
        <w:t>amental</w:t>
      </w:r>
      <w:r w:rsidRPr="00AF0CC3">
        <w:rPr>
          <w:rFonts w:ascii="Times New Roman" w:hAnsi="Times New Roman" w:cs="Times New Roman"/>
          <w:color w:val="000000" w:themeColor="text1"/>
        </w:rPr>
        <w:t xml:space="preserve"> condition that shapes implementation trajectories, rather than on operational efficiency or contractor performance, </w:t>
      </w:r>
      <w:r w:rsidR="00714578" w:rsidRPr="00AF0CC3">
        <w:rPr>
          <w:rFonts w:ascii="Times New Roman" w:hAnsi="Times New Roman" w:cs="Times New Roman"/>
          <w:color w:val="000000" w:themeColor="text1"/>
        </w:rPr>
        <w:t>which are included only to the extent that they indicate underlying governance decisions.</w:t>
      </w:r>
    </w:p>
    <w:p w14:paraId="12C1B0A2" w14:textId="69A195EC" w:rsidR="00A256F5" w:rsidRPr="00AF0CC3" w:rsidRDefault="00A256F5" w:rsidP="00240FD0">
      <w:pPr>
        <w:pStyle w:val="Heading2"/>
        <w:spacing w:before="0" w:after="240" w:line="360" w:lineRule="auto"/>
        <w:rPr>
          <w:rFonts w:cs="Times New Roman"/>
          <w:b w:val="0"/>
          <w:bCs/>
          <w:color w:val="000000" w:themeColor="text1"/>
          <w:szCs w:val="24"/>
        </w:rPr>
      </w:pPr>
      <w:bookmarkStart w:id="12" w:name="_Toc234344733"/>
      <w:bookmarkStart w:id="13" w:name="_Toc234488962"/>
      <w:r w:rsidRPr="00AF0CC3">
        <w:rPr>
          <w:rFonts w:cs="Times New Roman"/>
          <w:bCs/>
          <w:color w:val="000000" w:themeColor="text1"/>
          <w:szCs w:val="24"/>
        </w:rPr>
        <w:t>Global, Regional, and Kenyan Context of Infrastructure Underperformance</w:t>
      </w:r>
      <w:bookmarkEnd w:id="12"/>
      <w:bookmarkEnd w:id="13"/>
    </w:p>
    <w:p w14:paraId="6B03A265" w14:textId="46DAC76B" w:rsidR="00A256F5" w:rsidRPr="00AF0CC3" w:rsidRDefault="004E3DB5" w:rsidP="00240FD0">
      <w:pPr>
        <w:spacing w:after="240" w:line="360" w:lineRule="auto"/>
        <w:rPr>
          <w:rFonts w:ascii="Times New Roman" w:hAnsi="Times New Roman" w:cs="Times New Roman"/>
          <w:color w:val="000000" w:themeColor="text1"/>
        </w:rPr>
      </w:pPr>
      <w:r w:rsidRPr="00AF0CC3">
        <w:rPr>
          <w:rFonts w:ascii="Times New Roman" w:hAnsi="Times New Roman" w:cs="Times New Roman"/>
          <w:color w:val="000000" w:themeColor="text1"/>
        </w:rPr>
        <w:t>Globally, infrastructure underperformance is no longer considered exceptional. Comparative studies show that cost overruns and schedule delays occur with remarkable regularity across sectors and political systems (Flyvbjerg, 2014). These patterns persist even in countries with strong technical capacity</w:t>
      </w:r>
      <w:r w:rsidR="00BD66D1" w:rsidRPr="00AF0CC3">
        <w:rPr>
          <w:rFonts w:ascii="Times New Roman" w:hAnsi="Times New Roman" w:cs="Times New Roman"/>
          <w:color w:val="000000" w:themeColor="text1"/>
        </w:rPr>
        <w:t xml:space="preserve"> and financial resources</w:t>
      </w:r>
      <w:r w:rsidRPr="00AF0CC3">
        <w:rPr>
          <w:rFonts w:ascii="Times New Roman" w:hAnsi="Times New Roman" w:cs="Times New Roman"/>
          <w:color w:val="000000" w:themeColor="text1"/>
        </w:rPr>
        <w:t>, suggesting that the roots of failure lie elsewhere.</w:t>
      </w:r>
      <w:r w:rsidR="00BD66D1" w:rsidRPr="00AF0CC3">
        <w:rPr>
          <w:rFonts w:ascii="Times New Roman" w:hAnsi="Times New Roman" w:cs="Times New Roman"/>
          <w:color w:val="000000" w:themeColor="text1"/>
        </w:rPr>
        <w:t xml:space="preserve"> </w:t>
      </w:r>
      <w:r w:rsidR="00A256F5" w:rsidRPr="00AF0CC3">
        <w:rPr>
          <w:rFonts w:ascii="Times New Roman" w:hAnsi="Times New Roman" w:cs="Times New Roman"/>
          <w:color w:val="000000" w:themeColor="text1"/>
        </w:rPr>
        <w:t xml:space="preserve">Recent research has </w:t>
      </w:r>
      <w:r w:rsidR="00BD66D1" w:rsidRPr="00AF0CC3">
        <w:rPr>
          <w:rFonts w:ascii="Times New Roman" w:hAnsi="Times New Roman" w:cs="Times New Roman"/>
          <w:color w:val="000000" w:themeColor="text1"/>
        </w:rPr>
        <w:t>linked these delivery failures to broader economic risks</w:t>
      </w:r>
      <w:r w:rsidR="00A256F5" w:rsidRPr="00AF0CC3">
        <w:rPr>
          <w:rFonts w:ascii="Times New Roman" w:hAnsi="Times New Roman" w:cs="Times New Roman"/>
          <w:color w:val="000000" w:themeColor="text1"/>
        </w:rPr>
        <w:t>. Ansar et al. (2018) demonstrate that poorly governed infrastructure investment can increase public debt and economic fragility rather than supporting growth. In such cases, infrastructure becomes a fiscal liability rather than a development asset.</w:t>
      </w:r>
    </w:p>
    <w:p w14:paraId="0579DB42" w14:textId="53B64FB1" w:rsidR="00A256F5" w:rsidRPr="00AF0CC3" w:rsidRDefault="00A256F5" w:rsidP="00240FD0">
      <w:pPr>
        <w:spacing w:after="240" w:line="360" w:lineRule="auto"/>
        <w:rPr>
          <w:rFonts w:ascii="Times New Roman" w:hAnsi="Times New Roman" w:cs="Times New Roman"/>
          <w:color w:val="000000" w:themeColor="text1"/>
        </w:rPr>
      </w:pPr>
      <w:r w:rsidRPr="00AF0CC3">
        <w:rPr>
          <w:rFonts w:ascii="Times New Roman" w:hAnsi="Times New Roman" w:cs="Times New Roman"/>
          <w:color w:val="000000" w:themeColor="text1"/>
        </w:rPr>
        <w:t xml:space="preserve">In Sub-Saharan Africa, these global dynamics intersect with region-specific institutional challenges. </w:t>
      </w:r>
      <w:r w:rsidR="002E0E6F" w:rsidRPr="00AF0CC3">
        <w:rPr>
          <w:rFonts w:ascii="Times New Roman" w:hAnsi="Times New Roman" w:cs="Times New Roman"/>
          <w:color w:val="000000" w:themeColor="text1"/>
        </w:rPr>
        <w:t>Decentralization</w:t>
      </w:r>
      <w:r w:rsidR="00BD66D1" w:rsidRPr="00AF0CC3">
        <w:rPr>
          <w:rFonts w:ascii="Times New Roman" w:hAnsi="Times New Roman" w:cs="Times New Roman"/>
          <w:color w:val="000000" w:themeColor="text1"/>
        </w:rPr>
        <w:t xml:space="preserve"> </w:t>
      </w:r>
      <w:r w:rsidR="002E0E6F" w:rsidRPr="00AF0CC3">
        <w:rPr>
          <w:rFonts w:ascii="Times New Roman" w:hAnsi="Times New Roman" w:cs="Times New Roman"/>
          <w:color w:val="000000" w:themeColor="text1"/>
        </w:rPr>
        <w:t>has been promoted to improve</w:t>
      </w:r>
      <w:r w:rsidR="00BD66D1" w:rsidRPr="00AF0CC3">
        <w:rPr>
          <w:rFonts w:ascii="Times New Roman" w:hAnsi="Times New Roman" w:cs="Times New Roman"/>
          <w:color w:val="000000" w:themeColor="text1"/>
        </w:rPr>
        <w:t xml:space="preserve"> service delivery</w:t>
      </w:r>
      <w:r w:rsidR="002E0E6F" w:rsidRPr="00AF0CC3">
        <w:rPr>
          <w:rFonts w:ascii="Times New Roman" w:hAnsi="Times New Roman" w:cs="Times New Roman"/>
          <w:color w:val="000000" w:themeColor="text1"/>
        </w:rPr>
        <w:t>. However, responsibility for infrastructure and service delivery is redistributed</w:t>
      </w:r>
      <w:r w:rsidRPr="00AF0CC3">
        <w:rPr>
          <w:rFonts w:ascii="Times New Roman" w:hAnsi="Times New Roman" w:cs="Times New Roman"/>
          <w:color w:val="000000" w:themeColor="text1"/>
        </w:rPr>
        <w:t xml:space="preserve">, often without equivalent increases in capacity. While </w:t>
      </w:r>
      <w:r w:rsidR="00B65436" w:rsidRPr="00AF0CC3">
        <w:rPr>
          <w:rFonts w:ascii="Times New Roman" w:hAnsi="Times New Roman" w:cs="Times New Roman"/>
          <w:color w:val="000000" w:themeColor="text1"/>
        </w:rPr>
        <w:t>decentralization</w:t>
      </w:r>
      <w:r w:rsidRPr="00AF0CC3">
        <w:rPr>
          <w:rFonts w:ascii="Times New Roman" w:hAnsi="Times New Roman" w:cs="Times New Roman"/>
          <w:color w:val="000000" w:themeColor="text1"/>
        </w:rPr>
        <w:t xml:space="preserve"> can enhance local responsiveness, it also introduces coordination problems </w:t>
      </w:r>
      <w:r w:rsidR="002E0E6F" w:rsidRPr="00AF0CC3">
        <w:rPr>
          <w:rFonts w:ascii="Times New Roman" w:hAnsi="Times New Roman" w:cs="Times New Roman"/>
          <w:color w:val="000000" w:themeColor="text1"/>
        </w:rPr>
        <w:t>between the county and national governments</w:t>
      </w:r>
      <w:r w:rsidR="000E2A97" w:rsidRPr="00AF0CC3">
        <w:rPr>
          <w:rFonts w:ascii="Times New Roman" w:hAnsi="Times New Roman" w:cs="Times New Roman"/>
          <w:color w:val="000000" w:themeColor="text1"/>
        </w:rPr>
        <w:t xml:space="preserve">. Coordination gaps are more experienced on </w:t>
      </w:r>
      <w:r w:rsidRPr="00AF0CC3">
        <w:rPr>
          <w:rFonts w:ascii="Times New Roman" w:hAnsi="Times New Roman" w:cs="Times New Roman"/>
          <w:color w:val="000000" w:themeColor="text1"/>
        </w:rPr>
        <w:t xml:space="preserve">large projects that </w:t>
      </w:r>
      <w:r w:rsidR="002E0E6F" w:rsidRPr="00AF0CC3">
        <w:rPr>
          <w:rFonts w:ascii="Times New Roman" w:hAnsi="Times New Roman" w:cs="Times New Roman"/>
          <w:color w:val="000000" w:themeColor="text1"/>
        </w:rPr>
        <w:t xml:space="preserve">span multiple departments, boundaries, and sectors </w:t>
      </w:r>
      <w:r w:rsidRPr="00AF0CC3">
        <w:rPr>
          <w:rFonts w:ascii="Times New Roman" w:hAnsi="Times New Roman" w:cs="Times New Roman"/>
          <w:color w:val="000000" w:themeColor="text1"/>
        </w:rPr>
        <w:t>(Hooghe &amp; Marks, 2003; Harris et al., 2022).</w:t>
      </w:r>
    </w:p>
    <w:p w14:paraId="2EDD1479" w14:textId="77777777" w:rsidR="00A256F5" w:rsidRPr="00AF0CC3" w:rsidRDefault="00A256F5" w:rsidP="00240FD0">
      <w:pPr>
        <w:spacing w:after="240" w:line="360" w:lineRule="auto"/>
        <w:rPr>
          <w:rFonts w:ascii="Times New Roman" w:hAnsi="Times New Roman" w:cs="Times New Roman"/>
          <w:color w:val="000000" w:themeColor="text1"/>
        </w:rPr>
      </w:pPr>
    </w:p>
    <w:p w14:paraId="2A7A72C6" w14:textId="65872E3E" w:rsidR="000B7DA7" w:rsidRPr="00AF0CC3" w:rsidRDefault="00D53905" w:rsidP="008E7DBB">
      <w:pPr>
        <w:spacing w:after="240" w:line="360" w:lineRule="auto"/>
        <w:rPr>
          <w:rFonts w:ascii="Times New Roman" w:hAnsi="Times New Roman" w:cs="Times New Roman"/>
          <w:color w:val="000000" w:themeColor="text1"/>
        </w:rPr>
      </w:pPr>
      <w:r w:rsidRPr="00AF0CC3">
        <w:rPr>
          <w:rFonts w:ascii="Times New Roman" w:hAnsi="Times New Roman" w:cs="Times New Roman"/>
          <w:color w:val="000000" w:themeColor="text1"/>
        </w:rPr>
        <w:t xml:space="preserve">Water </w:t>
      </w:r>
      <w:r w:rsidR="00DA6B40" w:rsidRPr="00AF0CC3">
        <w:rPr>
          <w:rFonts w:ascii="Times New Roman" w:hAnsi="Times New Roman" w:cs="Times New Roman"/>
          <w:color w:val="000000" w:themeColor="text1"/>
        </w:rPr>
        <w:t>managem</w:t>
      </w:r>
      <w:r w:rsidR="006459F6" w:rsidRPr="00AF0CC3">
        <w:rPr>
          <w:rFonts w:ascii="Times New Roman" w:hAnsi="Times New Roman" w:cs="Times New Roman"/>
          <w:color w:val="000000" w:themeColor="text1"/>
        </w:rPr>
        <w:t xml:space="preserve">ent </w:t>
      </w:r>
      <w:r w:rsidRPr="00AF0CC3">
        <w:rPr>
          <w:rFonts w:ascii="Times New Roman" w:hAnsi="Times New Roman" w:cs="Times New Roman"/>
          <w:color w:val="000000" w:themeColor="text1"/>
        </w:rPr>
        <w:t xml:space="preserve">infrastructure is particularly vulnerable to these tensions. Large dams, irrigation schemes, and bulk supply systems require coordination across water, land, </w:t>
      </w:r>
      <w:r w:rsidRPr="00AF0CC3">
        <w:rPr>
          <w:rFonts w:ascii="Times New Roman" w:hAnsi="Times New Roman" w:cs="Times New Roman"/>
          <w:color w:val="000000" w:themeColor="text1"/>
        </w:rPr>
        <w:lastRenderedPageBreak/>
        <w:t>environmental, financial, and local government institutions. Where governance systems are weak, unresolved land claims, delayed environmental approvals, and community opposition can stall projects long after construction begins (Ahlers et al., 2014; Boone et al., 2019).</w:t>
      </w:r>
    </w:p>
    <w:p w14:paraId="109A6B48" w14:textId="3FC08D49" w:rsidR="00A256F5" w:rsidRPr="00AF0CC3" w:rsidRDefault="00D53905" w:rsidP="00240FD0">
      <w:pPr>
        <w:spacing w:after="240" w:line="360" w:lineRule="auto"/>
        <w:rPr>
          <w:rFonts w:ascii="Times New Roman" w:hAnsi="Times New Roman" w:cs="Times New Roman"/>
          <w:color w:val="000000" w:themeColor="text1"/>
        </w:rPr>
      </w:pPr>
      <w:r w:rsidRPr="00AF0CC3">
        <w:rPr>
          <w:rFonts w:ascii="Times New Roman" w:hAnsi="Times New Roman" w:cs="Times New Roman"/>
          <w:color w:val="000000" w:themeColor="text1"/>
        </w:rPr>
        <w:t>Kenya reflects these patterns. Whereas devolution has reshaped institutional responsibilities in the water sector, it has sometimes introduced public participation but also created overlapping mandates. Climate variability has intensified project risk, with recurrent droughts and floods damaging and exerting pressure on already strained infrastructure (FEWS NET, 2022; UNICEF, 2024).</w:t>
      </w:r>
    </w:p>
    <w:p w14:paraId="0F1256CA" w14:textId="646B5962" w:rsidR="00A256F5" w:rsidRPr="00AF0CC3" w:rsidRDefault="00EB010F" w:rsidP="00643A24">
      <w:pPr>
        <w:pStyle w:val="Heading2"/>
        <w:rPr>
          <w:rFonts w:cs="Times New Roman"/>
          <w:b w:val="0"/>
          <w:bCs/>
          <w:color w:val="000000" w:themeColor="text1"/>
          <w:szCs w:val="24"/>
        </w:rPr>
      </w:pPr>
      <w:bookmarkStart w:id="14" w:name="_Toc234344734"/>
      <w:bookmarkStart w:id="15" w:name="_Toc234488963"/>
      <w:r w:rsidRPr="00AF0CC3">
        <w:rPr>
          <w:rFonts w:cs="Times New Roman"/>
          <w:bCs/>
          <w:color w:val="000000" w:themeColor="text1"/>
          <w:szCs w:val="24"/>
        </w:rPr>
        <w:t>Kenya as an Analytical Context for Infrastructure Governance</w:t>
      </w:r>
      <w:bookmarkEnd w:id="14"/>
      <w:bookmarkEnd w:id="15"/>
    </w:p>
    <w:p w14:paraId="43196084" w14:textId="77777777" w:rsidR="00EB010F" w:rsidRPr="00AF0CC3" w:rsidRDefault="00EB010F" w:rsidP="00EB010F">
      <w:pPr>
        <w:rPr>
          <w:rFonts w:ascii="Times New Roman" w:hAnsi="Times New Roman" w:cs="Times New Roman"/>
          <w:color w:val="000000" w:themeColor="text1"/>
        </w:rPr>
      </w:pPr>
    </w:p>
    <w:p w14:paraId="7C13A9F8" w14:textId="67C02159" w:rsidR="00E70112" w:rsidRPr="00AF0CC3" w:rsidRDefault="00534940" w:rsidP="00E70112">
      <w:pPr>
        <w:rPr>
          <w:rFonts w:ascii="Times New Roman" w:hAnsi="Times New Roman" w:cs="Times New Roman"/>
          <w:color w:val="000000" w:themeColor="text1"/>
        </w:rPr>
      </w:pPr>
      <w:r w:rsidRPr="00AF0CC3">
        <w:rPr>
          <w:rFonts w:ascii="Times New Roman" w:hAnsi="Times New Roman" w:cs="Times New Roman"/>
          <w:color w:val="000000" w:themeColor="text1"/>
        </w:rPr>
        <w:t>Kenya offers a particularly valuable analytical context for examining infrastructure governance because it combines several institutional characteristics that increasingly define infrastructure delivery across many low- and middle-income countries. The adoption of devolved government under the Constitution of Kenya (2010) redistributed substantial infrastructure planning and implementation responsibilities between national and county governments, creating a multi-level governance system marked by shared institutional responsibilities, varying administrative capacities, and complex coordination requirements. Concurrently, Kenya has pursued ambitious infrastructure investment programs financed through a mix of public expenditure, concessional finance, development assistance, public-private partnerships, and other innovative financing mechanisms.</w:t>
      </w:r>
    </w:p>
    <w:p w14:paraId="196C79DF" w14:textId="77777777" w:rsidR="00E70112" w:rsidRPr="00AF0CC3" w:rsidRDefault="00E70112" w:rsidP="00E70112">
      <w:pPr>
        <w:rPr>
          <w:rFonts w:ascii="Times New Roman" w:hAnsi="Times New Roman" w:cs="Times New Roman"/>
          <w:color w:val="000000" w:themeColor="text1"/>
        </w:rPr>
      </w:pPr>
    </w:p>
    <w:p w14:paraId="571A2D0A" w14:textId="29468F6A" w:rsidR="00EB010F" w:rsidRPr="00AF0CC3" w:rsidRDefault="00534940" w:rsidP="00E70112">
      <w:pPr>
        <w:rPr>
          <w:rFonts w:ascii="Times New Roman" w:hAnsi="Times New Roman" w:cs="Times New Roman"/>
          <w:color w:val="000000" w:themeColor="text1"/>
        </w:rPr>
      </w:pPr>
      <w:r w:rsidRPr="00AF0CC3">
        <w:rPr>
          <w:rFonts w:ascii="Times New Roman" w:hAnsi="Times New Roman" w:cs="Times New Roman"/>
          <w:color w:val="000000" w:themeColor="text1"/>
        </w:rPr>
        <w:t>The water sector further illustrates the interplay between institutional complexity and environmental uncertainty. Water infrastructure projects typically involve multiple implementing agencies, regulators, financiers, contractors, oversight institutions, and local communities, and they operate in climate-sensitive environments increasingly affected by recurrent droughts, flooding, and shifting hydrological conditions. These characteristics make Kenya an analytically significant setting for examining how governance quality shapes infrastructure delivery. Although the empirical analysis focuses on Kenya, the institutional dynamics examined in this study, including decentralized governance, climate vulnerability, multi-actor implementation, and diverse financing arrangements, are shared by many developing countries. Consequently, the findings are expected to contribute not only to understanding infrastructure governance in Kenya but also to broader debates on governance and infrastructure delivery across comparable low- and middle-income contexts.</w:t>
      </w:r>
    </w:p>
    <w:p w14:paraId="5E8F3901" w14:textId="77777777" w:rsidR="00EB010F" w:rsidRPr="00AF0CC3" w:rsidRDefault="00EB010F" w:rsidP="00EB010F">
      <w:pPr>
        <w:rPr>
          <w:rFonts w:ascii="Times New Roman" w:hAnsi="Times New Roman" w:cs="Times New Roman"/>
          <w:color w:val="000000" w:themeColor="text1"/>
        </w:rPr>
      </w:pPr>
    </w:p>
    <w:p w14:paraId="5D3C7D3D" w14:textId="77777777" w:rsidR="00EB010F" w:rsidRPr="00AF0CC3" w:rsidRDefault="00EB010F" w:rsidP="00EB010F">
      <w:pPr>
        <w:rPr>
          <w:rFonts w:ascii="Times New Roman" w:hAnsi="Times New Roman" w:cs="Times New Roman"/>
          <w:color w:val="000000" w:themeColor="text1"/>
        </w:rPr>
      </w:pPr>
    </w:p>
    <w:p w14:paraId="4D984E9C" w14:textId="4AC65BD8" w:rsidR="00A256F5" w:rsidRPr="00AF0CC3" w:rsidRDefault="00A256F5" w:rsidP="00240FD0">
      <w:pPr>
        <w:pStyle w:val="Heading2"/>
        <w:spacing w:before="0" w:after="240" w:line="360" w:lineRule="auto"/>
        <w:rPr>
          <w:rFonts w:cs="Times New Roman"/>
          <w:b w:val="0"/>
          <w:bCs/>
          <w:color w:val="000000" w:themeColor="text1"/>
          <w:szCs w:val="24"/>
        </w:rPr>
      </w:pPr>
      <w:bookmarkStart w:id="16" w:name="_Toc234344735"/>
      <w:bookmarkStart w:id="17" w:name="_Toc234488964"/>
      <w:r w:rsidRPr="00AF0CC3">
        <w:rPr>
          <w:rFonts w:cs="Times New Roman"/>
          <w:bCs/>
          <w:color w:val="000000" w:themeColor="text1"/>
          <w:szCs w:val="24"/>
        </w:rPr>
        <w:t xml:space="preserve">Water </w:t>
      </w:r>
      <w:r w:rsidR="006459F6" w:rsidRPr="00AF0CC3">
        <w:rPr>
          <w:rFonts w:cs="Times New Roman"/>
          <w:bCs/>
          <w:color w:val="000000" w:themeColor="text1"/>
          <w:szCs w:val="24"/>
        </w:rPr>
        <w:t xml:space="preserve">Management </w:t>
      </w:r>
      <w:r w:rsidRPr="00AF0CC3">
        <w:rPr>
          <w:rFonts w:cs="Times New Roman"/>
          <w:bCs/>
          <w:color w:val="000000" w:themeColor="text1"/>
          <w:szCs w:val="24"/>
        </w:rPr>
        <w:t>Infrastructure Governance in Kenya</w:t>
      </w:r>
      <w:bookmarkEnd w:id="16"/>
      <w:bookmarkEnd w:id="17"/>
    </w:p>
    <w:p w14:paraId="28F52D2E" w14:textId="0B292397" w:rsidR="009543FD" w:rsidRPr="00AF0CC3" w:rsidRDefault="009543FD" w:rsidP="002C7F17">
      <w:pPr>
        <w:pStyle w:val="Heading3"/>
        <w:rPr>
          <w:rFonts w:cs="Times New Roman"/>
          <w:color w:val="000000" w:themeColor="text1"/>
          <w:szCs w:val="24"/>
        </w:rPr>
      </w:pPr>
      <w:bookmarkStart w:id="18" w:name="_Toc234488965"/>
      <w:r w:rsidRPr="00AF0CC3">
        <w:rPr>
          <w:rFonts w:cs="Times New Roman"/>
          <w:color w:val="000000" w:themeColor="text1"/>
          <w:szCs w:val="24"/>
        </w:rPr>
        <w:t>Hydro-climatic pressures</w:t>
      </w:r>
      <w:bookmarkEnd w:id="18"/>
    </w:p>
    <w:p w14:paraId="50C70EDC" w14:textId="77777777" w:rsidR="009543FD" w:rsidRPr="00AF0CC3" w:rsidRDefault="009543FD" w:rsidP="009543FD">
      <w:pPr>
        <w:rPr>
          <w:rFonts w:ascii="Times New Roman" w:hAnsi="Times New Roman" w:cs="Times New Roman"/>
          <w:color w:val="000000" w:themeColor="text1"/>
        </w:rPr>
      </w:pPr>
    </w:p>
    <w:p w14:paraId="018045C0" w14:textId="271E299D" w:rsidR="00FD345C" w:rsidRPr="00AF0CC3" w:rsidRDefault="00FD345C" w:rsidP="00240FD0">
      <w:pPr>
        <w:spacing w:after="240" w:line="360" w:lineRule="auto"/>
        <w:rPr>
          <w:rFonts w:ascii="Times New Roman" w:hAnsi="Times New Roman" w:cs="Times New Roman"/>
          <w:color w:val="000000" w:themeColor="text1"/>
        </w:rPr>
      </w:pPr>
      <w:r w:rsidRPr="00AF0CC3">
        <w:rPr>
          <w:rFonts w:ascii="Times New Roman" w:hAnsi="Times New Roman" w:cs="Times New Roman"/>
          <w:color w:val="000000" w:themeColor="text1"/>
        </w:rPr>
        <w:t xml:space="preserve">Over the past two decades, Kenya has experienced a steady intensification of hydro-climatic variability. Rainfall patterns have become more erratic, drought cycles </w:t>
      </w:r>
      <w:r w:rsidR="00B2574E" w:rsidRPr="00AF0CC3">
        <w:rPr>
          <w:rFonts w:ascii="Times New Roman" w:hAnsi="Times New Roman" w:cs="Times New Roman"/>
          <w:color w:val="000000" w:themeColor="text1"/>
        </w:rPr>
        <w:t xml:space="preserve">have become more prolonged, and flood events have become </w:t>
      </w:r>
      <w:r w:rsidRPr="00AF0CC3">
        <w:rPr>
          <w:rFonts w:ascii="Times New Roman" w:hAnsi="Times New Roman" w:cs="Times New Roman"/>
          <w:color w:val="000000" w:themeColor="text1"/>
        </w:rPr>
        <w:t xml:space="preserve">more destructive. The Intergovernmental Panel on Climate Change (IPCC, 2022) notes with growing certainty that climate extremes previously treated as rare are becoming part of the new normal, particularly in Eastern Africa. Rodina (2019) similarly argues that water systems designed under </w:t>
      </w:r>
      <w:r w:rsidR="00FE4EB5" w:rsidRPr="00AF0CC3">
        <w:rPr>
          <w:rFonts w:ascii="Times New Roman" w:hAnsi="Times New Roman" w:cs="Times New Roman"/>
          <w:color w:val="000000" w:themeColor="text1"/>
        </w:rPr>
        <w:t>the assumption of hydrological stability are now operating in conditions for which they were not designed</w:t>
      </w:r>
      <w:r w:rsidRPr="00AF0CC3">
        <w:rPr>
          <w:rFonts w:ascii="Times New Roman" w:hAnsi="Times New Roman" w:cs="Times New Roman"/>
          <w:color w:val="000000" w:themeColor="text1"/>
        </w:rPr>
        <w:t>.</w:t>
      </w:r>
    </w:p>
    <w:p w14:paraId="151C7164" w14:textId="77777777" w:rsidR="00A0588C" w:rsidRPr="00AF0CC3" w:rsidRDefault="00A0588C" w:rsidP="00A0588C">
      <w:pPr>
        <w:rPr>
          <w:rFonts w:ascii="Times New Roman" w:hAnsi="Times New Roman" w:cs="Times New Roman"/>
          <w:color w:val="000000" w:themeColor="text1"/>
        </w:rPr>
      </w:pPr>
    </w:p>
    <w:p w14:paraId="31008A01" w14:textId="58CA55CB" w:rsidR="00FD345C" w:rsidRPr="00AF0CC3" w:rsidRDefault="00FD345C" w:rsidP="00240FD0">
      <w:pPr>
        <w:spacing w:after="240" w:line="360" w:lineRule="auto"/>
        <w:rPr>
          <w:rFonts w:ascii="Times New Roman" w:hAnsi="Times New Roman" w:cs="Times New Roman"/>
          <w:color w:val="000000" w:themeColor="text1"/>
        </w:rPr>
      </w:pPr>
      <w:r w:rsidRPr="00AF0CC3">
        <w:rPr>
          <w:rFonts w:ascii="Times New Roman" w:hAnsi="Times New Roman" w:cs="Times New Roman"/>
          <w:color w:val="000000" w:themeColor="text1"/>
        </w:rPr>
        <w:t xml:space="preserve">Kenya’s recent experience </w:t>
      </w:r>
      <w:r w:rsidR="0002431E" w:rsidRPr="00AF0CC3">
        <w:rPr>
          <w:rFonts w:ascii="Times New Roman" w:hAnsi="Times New Roman" w:cs="Times New Roman"/>
          <w:color w:val="000000" w:themeColor="text1"/>
        </w:rPr>
        <w:t>starkly illustrates this shift</w:t>
      </w:r>
      <w:r w:rsidRPr="00AF0CC3">
        <w:rPr>
          <w:rFonts w:ascii="Times New Roman" w:hAnsi="Times New Roman" w:cs="Times New Roman"/>
          <w:color w:val="000000" w:themeColor="text1"/>
        </w:rPr>
        <w:t xml:space="preserve">. Between 2019 and 2022, the country endured one of the most severe drought episodes in its recorded history. </w:t>
      </w:r>
      <w:r w:rsidR="00D44F7F" w:rsidRPr="00AF0CC3">
        <w:rPr>
          <w:rFonts w:ascii="Times New Roman" w:hAnsi="Times New Roman" w:cs="Times New Roman"/>
          <w:color w:val="000000" w:themeColor="text1"/>
        </w:rPr>
        <w:t>The National Drought Management Authority (NDMA) and FEWS NET reports documented the loss of over 2.4 million livestock, widespread failure of water sources</w:t>
      </w:r>
      <w:r w:rsidRPr="00AF0CC3">
        <w:rPr>
          <w:rFonts w:ascii="Times New Roman" w:hAnsi="Times New Roman" w:cs="Times New Roman"/>
          <w:color w:val="000000" w:themeColor="text1"/>
        </w:rPr>
        <w:t xml:space="preserve">, and acute stress on boreholes, pans, and storage infrastructure across arid and semi-arid lands (NDMA, 2022; FEWS NET, 2022). Government estimates indicate that the drought </w:t>
      </w:r>
      <w:r w:rsidR="005503F9" w:rsidRPr="00AF0CC3">
        <w:rPr>
          <w:rFonts w:ascii="Times New Roman" w:hAnsi="Times New Roman" w:cs="Times New Roman"/>
          <w:color w:val="000000" w:themeColor="text1"/>
        </w:rPr>
        <w:t>resulted in economic losses exceeding KES 70 billion (approximately USD 650 million)</w:t>
      </w:r>
      <w:r w:rsidR="0027665D" w:rsidRPr="00AF0CC3">
        <w:rPr>
          <w:rFonts w:ascii="Times New Roman" w:hAnsi="Times New Roman" w:cs="Times New Roman"/>
          <w:color w:val="000000" w:themeColor="text1"/>
        </w:rPr>
        <w:t xml:space="preserve"> and contributed</w:t>
      </w:r>
      <w:r w:rsidRPr="00AF0CC3">
        <w:rPr>
          <w:rFonts w:ascii="Times New Roman" w:hAnsi="Times New Roman" w:cs="Times New Roman"/>
          <w:color w:val="000000" w:themeColor="text1"/>
        </w:rPr>
        <w:t xml:space="preserve"> to slower GDP growth and rising poverty (Republic of Kenya, 2023).</w:t>
      </w:r>
    </w:p>
    <w:p w14:paraId="7CBB0521" w14:textId="77777777" w:rsidR="00FD345C" w:rsidRPr="00AF0CC3" w:rsidRDefault="00FD345C" w:rsidP="00240FD0">
      <w:pPr>
        <w:spacing w:after="240" w:line="360" w:lineRule="auto"/>
        <w:rPr>
          <w:rFonts w:ascii="Times New Roman" w:hAnsi="Times New Roman" w:cs="Times New Roman"/>
          <w:color w:val="000000" w:themeColor="text1"/>
        </w:rPr>
      </w:pPr>
    </w:p>
    <w:p w14:paraId="76EC1084" w14:textId="754020B4" w:rsidR="00A00587" w:rsidRPr="00AF0CC3" w:rsidRDefault="00FD345C" w:rsidP="00240FD0">
      <w:pPr>
        <w:spacing w:after="240" w:line="360" w:lineRule="auto"/>
        <w:rPr>
          <w:rFonts w:ascii="Times New Roman" w:hAnsi="Times New Roman" w:cs="Times New Roman"/>
          <w:color w:val="000000" w:themeColor="text1"/>
        </w:rPr>
      </w:pPr>
      <w:r w:rsidRPr="00AF0CC3">
        <w:rPr>
          <w:rFonts w:ascii="Times New Roman" w:hAnsi="Times New Roman" w:cs="Times New Roman"/>
          <w:color w:val="000000" w:themeColor="text1"/>
        </w:rPr>
        <w:t>This drought phase was followed almost immediately by widespread flooding in 2023–2024. Heavy rainfall overwhelmed urban drainage systems, damaged water supply networks, and destroyed roads, schools, and sanitation facilities. Post-disaster assessments estimate damages of over KES 101 billion (USD 783 million), with more than 400,000 people affected nationwide (Republic of Kenya, 2024; UNICEF, 2024). These events exposed not only the physical vulnerability of infrastructure but also the institutional capacity of agencies responsible for planning, financing, and maintaining water systems.</w:t>
      </w:r>
    </w:p>
    <w:p w14:paraId="1DC4FD5B" w14:textId="7A07032D" w:rsidR="00A733A2" w:rsidRPr="00AF0CC3" w:rsidRDefault="007F7523" w:rsidP="00240FD0">
      <w:pPr>
        <w:spacing w:after="240" w:line="360" w:lineRule="auto"/>
        <w:rPr>
          <w:rFonts w:ascii="Times New Roman" w:hAnsi="Times New Roman" w:cs="Times New Roman"/>
          <w:color w:val="000000" w:themeColor="text1"/>
        </w:rPr>
      </w:pPr>
      <w:r w:rsidRPr="00AF0CC3">
        <w:rPr>
          <w:rFonts w:ascii="Times New Roman" w:hAnsi="Times New Roman" w:cs="Times New Roman"/>
          <w:color w:val="000000" w:themeColor="text1"/>
        </w:rPr>
        <w:lastRenderedPageBreak/>
        <w:t xml:space="preserve">In practice, audit and sector reports indicate that several large dam and irrigation projects in </w:t>
      </w:r>
      <w:r w:rsidR="00FE1D1C" w:rsidRPr="00AF0CC3">
        <w:rPr>
          <w:rFonts w:ascii="Times New Roman" w:hAnsi="Times New Roman" w:cs="Times New Roman"/>
          <w:color w:val="000000" w:themeColor="text1"/>
        </w:rPr>
        <w:t xml:space="preserve">Kenya's arid and semi-arid regions </w:t>
      </w:r>
      <w:r w:rsidRPr="00AF0CC3">
        <w:rPr>
          <w:rFonts w:ascii="Times New Roman" w:hAnsi="Times New Roman" w:cs="Times New Roman"/>
          <w:color w:val="000000" w:themeColor="text1"/>
        </w:rPr>
        <w:t>have experienced prolonged construction interruptions following extreme rainfall events and extended drought cycles, revealing gaps in how climate risk is anticipated and governed at the project level.</w:t>
      </w:r>
    </w:p>
    <w:p w14:paraId="1BC571E5" w14:textId="1C2337D5" w:rsidR="009543FD" w:rsidRPr="00AF0CC3" w:rsidRDefault="00BE2EBF" w:rsidP="002C7F17">
      <w:pPr>
        <w:pStyle w:val="Heading3"/>
        <w:rPr>
          <w:rFonts w:cs="Times New Roman"/>
          <w:color w:val="000000" w:themeColor="text1"/>
          <w:szCs w:val="24"/>
        </w:rPr>
      </w:pPr>
      <w:bookmarkStart w:id="19" w:name="_Toc234488966"/>
      <w:r w:rsidRPr="00AF0CC3">
        <w:rPr>
          <w:rFonts w:cs="Times New Roman"/>
          <w:color w:val="000000" w:themeColor="text1"/>
          <w:szCs w:val="24"/>
        </w:rPr>
        <w:t>Institutional fragmentation under devolution</w:t>
      </w:r>
      <w:bookmarkEnd w:id="19"/>
    </w:p>
    <w:p w14:paraId="74AF0A1D" w14:textId="77777777" w:rsidR="00BE2EBF" w:rsidRPr="00AF0CC3" w:rsidRDefault="00BE2EBF" w:rsidP="00BE2EBF">
      <w:pPr>
        <w:rPr>
          <w:rFonts w:ascii="Times New Roman" w:hAnsi="Times New Roman" w:cs="Times New Roman"/>
          <w:color w:val="000000" w:themeColor="text1"/>
        </w:rPr>
      </w:pPr>
    </w:p>
    <w:p w14:paraId="56564C47" w14:textId="2743D1B8" w:rsidR="00A256F5" w:rsidRPr="00AF0CC3" w:rsidRDefault="00E25A07" w:rsidP="00240FD0">
      <w:pPr>
        <w:spacing w:after="240" w:line="360" w:lineRule="auto"/>
        <w:rPr>
          <w:rFonts w:ascii="Times New Roman" w:hAnsi="Times New Roman" w:cs="Times New Roman"/>
          <w:color w:val="000000" w:themeColor="text1"/>
        </w:rPr>
      </w:pPr>
      <w:r w:rsidRPr="00AF0CC3">
        <w:rPr>
          <w:rFonts w:ascii="Times New Roman" w:hAnsi="Times New Roman" w:cs="Times New Roman"/>
          <w:color w:val="000000" w:themeColor="text1"/>
        </w:rPr>
        <w:t xml:space="preserve">Kenya’s water sector has undergone substantial institutional reform. </w:t>
      </w:r>
      <w:r w:rsidR="004F797E" w:rsidRPr="00AF0CC3">
        <w:rPr>
          <w:rFonts w:ascii="Times New Roman" w:hAnsi="Times New Roman" w:cs="Times New Roman"/>
          <w:color w:val="000000" w:themeColor="text1"/>
        </w:rPr>
        <w:t>The Water Act 2016 redefined roles</w:t>
      </w:r>
      <w:r w:rsidRPr="00AF0CC3">
        <w:rPr>
          <w:rFonts w:ascii="Times New Roman" w:hAnsi="Times New Roman" w:cs="Times New Roman"/>
          <w:color w:val="000000" w:themeColor="text1"/>
        </w:rPr>
        <w:t xml:space="preserve"> established new regulatory bodies, and clarified responsibilities between national and county governments. These reforms aimed to improve accountability and service delivery (Republic of Kenya, 2016). In practice, however, governance has become more complex rather than simpler. Large water </w:t>
      </w:r>
      <w:r w:rsidR="005113E4" w:rsidRPr="00AF0CC3">
        <w:rPr>
          <w:rFonts w:ascii="Times New Roman" w:hAnsi="Times New Roman" w:cs="Times New Roman"/>
          <w:color w:val="000000" w:themeColor="text1"/>
        </w:rPr>
        <w:t>Mana</w:t>
      </w:r>
      <w:r w:rsidR="00EC79A3" w:rsidRPr="00AF0CC3">
        <w:rPr>
          <w:rFonts w:ascii="Times New Roman" w:hAnsi="Times New Roman" w:cs="Times New Roman"/>
          <w:color w:val="000000" w:themeColor="text1"/>
        </w:rPr>
        <w:t xml:space="preserve">gement </w:t>
      </w:r>
      <w:r w:rsidRPr="00AF0CC3">
        <w:rPr>
          <w:rFonts w:ascii="Times New Roman" w:hAnsi="Times New Roman" w:cs="Times New Roman"/>
          <w:color w:val="000000" w:themeColor="text1"/>
        </w:rPr>
        <w:t>infrastructure projects typically involve multiple agencies, development partners, and contractors. Responsibilities for land acquisition, environmental compliance, financing, and supervision are often fragmented, creating opportunities for delay and dispute (Harris et al., 2022).</w:t>
      </w:r>
    </w:p>
    <w:p w14:paraId="0A9372B3" w14:textId="07A88EA5" w:rsidR="00A256F5" w:rsidRPr="00AF0CC3" w:rsidRDefault="00A256F5" w:rsidP="00240FD0">
      <w:pPr>
        <w:spacing w:after="240" w:line="360" w:lineRule="auto"/>
        <w:rPr>
          <w:rFonts w:ascii="Times New Roman" w:hAnsi="Times New Roman" w:cs="Times New Roman"/>
          <w:color w:val="000000" w:themeColor="text1"/>
        </w:rPr>
      </w:pPr>
      <w:r w:rsidRPr="00AF0CC3">
        <w:rPr>
          <w:rFonts w:ascii="Times New Roman" w:hAnsi="Times New Roman" w:cs="Times New Roman"/>
          <w:color w:val="000000" w:themeColor="text1"/>
        </w:rPr>
        <w:t xml:space="preserve">Audit reports consistently identify recurring problems: delayed payments to contractors, weak supervision, excessive </w:t>
      </w:r>
      <w:r w:rsidR="00E25A07" w:rsidRPr="00AF0CC3">
        <w:rPr>
          <w:rFonts w:ascii="Times New Roman" w:hAnsi="Times New Roman" w:cs="Times New Roman"/>
          <w:color w:val="000000" w:themeColor="text1"/>
        </w:rPr>
        <w:t xml:space="preserve">project </w:t>
      </w:r>
      <w:r w:rsidRPr="00AF0CC3">
        <w:rPr>
          <w:rFonts w:ascii="Times New Roman" w:hAnsi="Times New Roman" w:cs="Times New Roman"/>
          <w:color w:val="000000" w:themeColor="text1"/>
        </w:rPr>
        <w:t>variation, and limited follow-up on audit findings (Republic of Kenya, 2024). These issues appear across financing models and regions, suggesting systemic rather than project-specific weaknesses.</w:t>
      </w:r>
      <w:r w:rsidR="00E25A07" w:rsidRPr="00AF0CC3">
        <w:rPr>
          <w:rFonts w:ascii="Times New Roman" w:hAnsi="Times New Roman" w:cs="Times New Roman"/>
          <w:color w:val="000000" w:themeColor="text1"/>
        </w:rPr>
        <w:t xml:space="preserve"> On the other hand, </w:t>
      </w:r>
      <w:r w:rsidRPr="00AF0CC3">
        <w:rPr>
          <w:rFonts w:ascii="Times New Roman" w:hAnsi="Times New Roman" w:cs="Times New Roman"/>
          <w:color w:val="000000" w:themeColor="text1"/>
        </w:rPr>
        <w:t xml:space="preserve">Climate risk compounds these challenges. While climate resilience features prominently in policy discourse, it is unevenly reflected in project-level governance. Climate risks may be acknowledged in feasibility studies, yet remain poorly integrated into risk allocation, contract design, or adaptive </w:t>
      </w:r>
      <w:r w:rsidR="00E25A07" w:rsidRPr="00AF0CC3">
        <w:rPr>
          <w:rFonts w:ascii="Times New Roman" w:hAnsi="Times New Roman" w:cs="Times New Roman"/>
          <w:color w:val="000000" w:themeColor="text1"/>
        </w:rPr>
        <w:t>management (</w:t>
      </w:r>
      <w:r w:rsidRPr="00AF0CC3">
        <w:rPr>
          <w:rFonts w:ascii="Times New Roman" w:hAnsi="Times New Roman" w:cs="Times New Roman"/>
          <w:color w:val="000000" w:themeColor="text1"/>
        </w:rPr>
        <w:t>Keskitalo et al., 2016; Pahl-Wostl et al., 2020).</w:t>
      </w:r>
    </w:p>
    <w:p w14:paraId="4ABCCDEB" w14:textId="7A40FFB8" w:rsidR="00FE1D1C" w:rsidRPr="00AF0CC3" w:rsidRDefault="00C951ED" w:rsidP="00240FD0">
      <w:pPr>
        <w:spacing w:after="240" w:line="360" w:lineRule="auto"/>
        <w:rPr>
          <w:rFonts w:ascii="Times New Roman" w:hAnsi="Times New Roman" w:cs="Times New Roman"/>
          <w:color w:val="000000" w:themeColor="text1"/>
        </w:rPr>
      </w:pPr>
      <w:r w:rsidRPr="00AF0CC3">
        <w:rPr>
          <w:rFonts w:ascii="Times New Roman" w:hAnsi="Times New Roman" w:cs="Times New Roman"/>
          <w:color w:val="000000" w:themeColor="text1"/>
        </w:rPr>
        <w:t xml:space="preserve">Comparable patterns are evident in </w:t>
      </w:r>
      <w:r w:rsidR="006D0FC6" w:rsidRPr="00AF0CC3">
        <w:rPr>
          <w:rFonts w:ascii="Times New Roman" w:hAnsi="Times New Roman" w:cs="Times New Roman"/>
          <w:color w:val="000000" w:themeColor="text1"/>
        </w:rPr>
        <w:t>several</w:t>
      </w:r>
      <w:r w:rsidRPr="00AF0CC3">
        <w:rPr>
          <w:rFonts w:ascii="Times New Roman" w:hAnsi="Times New Roman" w:cs="Times New Roman"/>
          <w:color w:val="000000" w:themeColor="text1"/>
        </w:rPr>
        <w:t xml:space="preserve"> county-implemented water management </w:t>
      </w:r>
      <w:r w:rsidR="00552F0E" w:rsidRPr="00AF0CC3">
        <w:rPr>
          <w:rFonts w:ascii="Times New Roman" w:hAnsi="Times New Roman" w:cs="Times New Roman"/>
          <w:color w:val="000000" w:themeColor="text1"/>
        </w:rPr>
        <w:t xml:space="preserve">infrastructure projects, where audit findings document multi-year implementation delays linked to unclear responsibility for land acquisition, fragmented procurement authority, and delayed counterpart funding, despite the </w:t>
      </w:r>
      <w:r w:rsidRPr="00AF0CC3">
        <w:rPr>
          <w:rFonts w:ascii="Times New Roman" w:hAnsi="Times New Roman" w:cs="Times New Roman"/>
          <w:color w:val="000000" w:themeColor="text1"/>
        </w:rPr>
        <w:t>projects having received formal approval and budgetary allocation.</w:t>
      </w:r>
    </w:p>
    <w:p w14:paraId="56C1FB47" w14:textId="69FCA5EE" w:rsidR="00D757DE" w:rsidRPr="00AF0CC3" w:rsidRDefault="00EA78BF" w:rsidP="002C7F17">
      <w:pPr>
        <w:pStyle w:val="Heading2"/>
        <w:rPr>
          <w:rFonts w:cs="Times New Roman"/>
          <w:color w:val="000000" w:themeColor="text1"/>
          <w:szCs w:val="24"/>
        </w:rPr>
      </w:pPr>
      <w:bookmarkStart w:id="20" w:name="_Toc234344736"/>
      <w:bookmarkStart w:id="21" w:name="_Toc234488967"/>
      <w:r w:rsidRPr="00AF0CC3">
        <w:rPr>
          <w:rFonts w:cs="Times New Roman"/>
          <w:color w:val="000000" w:themeColor="text1"/>
          <w:szCs w:val="24"/>
        </w:rPr>
        <w:lastRenderedPageBreak/>
        <w:t>Capital Mobilization versus Governance Capability</w:t>
      </w:r>
      <w:bookmarkEnd w:id="20"/>
      <w:bookmarkEnd w:id="21"/>
    </w:p>
    <w:p w14:paraId="730B3185" w14:textId="77777777" w:rsidR="00453701" w:rsidRPr="00AF0CC3" w:rsidRDefault="00453701" w:rsidP="00453701">
      <w:pPr>
        <w:spacing w:after="240" w:line="360" w:lineRule="auto"/>
        <w:rPr>
          <w:rFonts w:ascii="Times New Roman" w:hAnsi="Times New Roman" w:cs="Times New Roman"/>
          <w:color w:val="000000" w:themeColor="text1"/>
        </w:rPr>
      </w:pPr>
      <w:r w:rsidRPr="00AF0CC3">
        <w:rPr>
          <w:rFonts w:ascii="Times New Roman" w:hAnsi="Times New Roman" w:cs="Times New Roman"/>
          <w:color w:val="000000" w:themeColor="text1"/>
        </w:rPr>
        <w:t>Infrastructure investment has traditionally been framed as a financing challenge. Governments, development partners, multilateral development banks, and private investors have therefore concentrated considerable effort on expanding access to infrastructure finance through public expenditure, concessional lending, grants, public-private partnerships, infrastructure bonds, blended finance, and other innovative financing mechanisms. These initiatives have substantially increased the availability of financial resources for infrastructure development across many developing countries.</w:t>
      </w:r>
    </w:p>
    <w:p w14:paraId="0F77A066" w14:textId="087D5178" w:rsidR="00453701" w:rsidRPr="00AF0CC3" w:rsidRDefault="006830F7" w:rsidP="00453701">
      <w:pPr>
        <w:spacing w:after="240" w:line="360" w:lineRule="auto"/>
        <w:rPr>
          <w:rFonts w:ascii="Times New Roman" w:hAnsi="Times New Roman" w:cs="Times New Roman"/>
          <w:color w:val="000000" w:themeColor="text1"/>
        </w:rPr>
      </w:pPr>
      <w:r w:rsidRPr="00AF0CC3">
        <w:rPr>
          <w:rFonts w:ascii="Times New Roman" w:hAnsi="Times New Roman" w:cs="Times New Roman"/>
          <w:color w:val="000000" w:themeColor="text1"/>
        </w:rPr>
        <w:t>However, experience increasingly shows that financial resources alone do not guarantee successful infrastructure delivery. Projects backed by substantial capital investment still face implementation delays, contractual disputes, cost escalation, prolonged suspensions, and, in some cases, complete abandonment. These recurring outcomes suggest that the central challenge may extend beyond mobilizing financial capital to encompass the institutional capability needed to transform investment into completed, functioning infrastructure.</w:t>
      </w:r>
    </w:p>
    <w:p w14:paraId="67191BAC" w14:textId="3E0DEA59" w:rsidR="00EA78BF" w:rsidRPr="00AF0CC3" w:rsidRDefault="006830F7" w:rsidP="00240FD0">
      <w:pPr>
        <w:spacing w:after="240" w:line="360" w:lineRule="auto"/>
        <w:rPr>
          <w:rFonts w:ascii="Times New Roman" w:hAnsi="Times New Roman" w:cs="Times New Roman"/>
          <w:color w:val="000000" w:themeColor="text1"/>
        </w:rPr>
      </w:pPr>
      <w:r w:rsidRPr="00AF0CC3">
        <w:rPr>
          <w:rFonts w:ascii="Times New Roman" w:hAnsi="Times New Roman" w:cs="Times New Roman"/>
          <w:color w:val="000000" w:themeColor="text1"/>
        </w:rPr>
        <w:t>The present study proceeds from the proposition that governance capability is an essential complement to capital mobilization. Financial resources provide the means to undertake infrastructure investment, whereas governance determines how effectively those resources are planned, allocated, coordinated, implemented, monitored, and translated into public value. Rather than viewing financing and governance as competing explanations, the study conceptualizes them as complementary components of infrastructure delivery, with governance serving as the institutional mechanism through which financial investment translates into sustainable development outcomes.</w:t>
      </w:r>
    </w:p>
    <w:p w14:paraId="5A5A71B4" w14:textId="77777777" w:rsidR="00EA78BF" w:rsidRPr="00AF0CC3" w:rsidRDefault="00EA78BF" w:rsidP="00240FD0">
      <w:pPr>
        <w:spacing w:after="240" w:line="360" w:lineRule="auto"/>
        <w:rPr>
          <w:rFonts w:ascii="Times New Roman" w:hAnsi="Times New Roman" w:cs="Times New Roman"/>
          <w:color w:val="000000" w:themeColor="text1"/>
        </w:rPr>
      </w:pPr>
    </w:p>
    <w:p w14:paraId="0D59D605" w14:textId="4E3756A8" w:rsidR="00A256F5" w:rsidRPr="00AF0CC3" w:rsidRDefault="00A256F5" w:rsidP="00240FD0">
      <w:pPr>
        <w:pStyle w:val="Heading2"/>
        <w:spacing w:before="0" w:after="240" w:line="360" w:lineRule="auto"/>
        <w:rPr>
          <w:rFonts w:cs="Times New Roman"/>
          <w:b w:val="0"/>
          <w:bCs/>
          <w:color w:val="000000" w:themeColor="text1"/>
          <w:szCs w:val="24"/>
        </w:rPr>
      </w:pPr>
      <w:bookmarkStart w:id="22" w:name="_Toc234344737"/>
      <w:bookmarkStart w:id="23" w:name="_Toc234488968"/>
      <w:r w:rsidRPr="00AF0CC3">
        <w:rPr>
          <w:rFonts w:cs="Times New Roman"/>
          <w:bCs/>
          <w:color w:val="000000" w:themeColor="text1"/>
          <w:szCs w:val="24"/>
        </w:rPr>
        <w:t>Governance Failure and Project Stalling</w:t>
      </w:r>
      <w:bookmarkEnd w:id="22"/>
      <w:bookmarkEnd w:id="23"/>
    </w:p>
    <w:p w14:paraId="4A7446B9" w14:textId="77777777" w:rsidR="00A256F5" w:rsidRPr="00AF0CC3" w:rsidRDefault="00A256F5" w:rsidP="00240FD0">
      <w:pPr>
        <w:spacing w:after="240" w:line="360" w:lineRule="auto"/>
        <w:rPr>
          <w:rFonts w:ascii="Times New Roman" w:hAnsi="Times New Roman" w:cs="Times New Roman"/>
          <w:color w:val="000000" w:themeColor="text1"/>
        </w:rPr>
      </w:pPr>
    </w:p>
    <w:p w14:paraId="0412EC7F" w14:textId="575078A2" w:rsidR="00A256F5" w:rsidRPr="00AF0CC3" w:rsidRDefault="007608B5" w:rsidP="00240FD0">
      <w:pPr>
        <w:spacing w:after="240" w:line="360" w:lineRule="auto"/>
        <w:rPr>
          <w:rFonts w:ascii="Times New Roman" w:hAnsi="Times New Roman" w:cs="Times New Roman"/>
          <w:color w:val="000000" w:themeColor="text1"/>
        </w:rPr>
      </w:pPr>
      <w:r w:rsidRPr="00AF0CC3">
        <w:rPr>
          <w:rFonts w:ascii="Times New Roman" w:hAnsi="Times New Roman" w:cs="Times New Roman"/>
          <w:color w:val="000000" w:themeColor="text1"/>
        </w:rPr>
        <w:t xml:space="preserve">Public </w:t>
      </w:r>
      <w:r w:rsidR="006D234D" w:rsidRPr="00AF0CC3">
        <w:rPr>
          <w:rFonts w:ascii="Times New Roman" w:hAnsi="Times New Roman" w:cs="Times New Roman"/>
          <w:color w:val="000000" w:themeColor="text1"/>
        </w:rPr>
        <w:t>discourse for stalled water projects often focuses</w:t>
      </w:r>
      <w:r w:rsidRPr="00AF0CC3">
        <w:rPr>
          <w:rFonts w:ascii="Times New Roman" w:hAnsi="Times New Roman" w:cs="Times New Roman"/>
          <w:color w:val="000000" w:themeColor="text1"/>
        </w:rPr>
        <w:t xml:space="preserve"> on immediate causes: contractor failure, funding gaps, or external shocks. These explanations are incomplete because they do not explain why similar problems recur across projects and persist over time.</w:t>
      </w:r>
    </w:p>
    <w:p w14:paraId="6507640E" w14:textId="3BC403C6" w:rsidR="00A256F5" w:rsidRPr="00AF0CC3" w:rsidRDefault="007608B5" w:rsidP="00240FD0">
      <w:pPr>
        <w:spacing w:after="240" w:line="360" w:lineRule="auto"/>
        <w:rPr>
          <w:rFonts w:ascii="Times New Roman" w:hAnsi="Times New Roman" w:cs="Times New Roman"/>
          <w:color w:val="000000" w:themeColor="text1"/>
        </w:rPr>
      </w:pPr>
      <w:r w:rsidRPr="00AF0CC3">
        <w:rPr>
          <w:rFonts w:ascii="Times New Roman" w:hAnsi="Times New Roman" w:cs="Times New Roman"/>
          <w:color w:val="000000" w:themeColor="text1"/>
        </w:rPr>
        <w:lastRenderedPageBreak/>
        <w:t xml:space="preserve">A governance lens offers a more persuasive account. From an institutional perspective, repeated delays and stalling reflect weaknesses in the governance structure that shapes project decisions (North, 1990). Most projects often proceed to procurement before feasibility, land acquisition, or environmental risks are fully resolved, mainly due to political considerations. These issues do not disappear; they resurface during construction as disputes, injunctions, and claims, resulting in cost and time overruns, and some are completely stalled. </w:t>
      </w:r>
    </w:p>
    <w:p w14:paraId="3A90C6C6" w14:textId="64ABD9FD" w:rsidR="00A256F5" w:rsidRPr="00AF0CC3" w:rsidRDefault="00A256F5" w:rsidP="00240FD0">
      <w:pPr>
        <w:spacing w:after="240" w:line="360" w:lineRule="auto"/>
        <w:rPr>
          <w:rFonts w:ascii="Times New Roman" w:hAnsi="Times New Roman" w:cs="Times New Roman"/>
          <w:color w:val="000000" w:themeColor="text1"/>
        </w:rPr>
      </w:pPr>
      <w:r w:rsidRPr="00AF0CC3">
        <w:rPr>
          <w:rFonts w:ascii="Times New Roman" w:hAnsi="Times New Roman" w:cs="Times New Roman"/>
          <w:color w:val="000000" w:themeColor="text1"/>
        </w:rPr>
        <w:t xml:space="preserve">Principal–agent dynamics exacerbate these risks. Governments often lack the capacity to monitor agents effectively once contracts are signed. Where supervision is weak and payments unreliable, opportunistic </w:t>
      </w:r>
      <w:r w:rsidR="007608B5" w:rsidRPr="00AF0CC3">
        <w:rPr>
          <w:rFonts w:ascii="Times New Roman" w:hAnsi="Times New Roman" w:cs="Times New Roman"/>
          <w:color w:val="000000" w:themeColor="text1"/>
        </w:rPr>
        <w:t>behavior</w:t>
      </w:r>
      <w:r w:rsidRPr="00AF0CC3">
        <w:rPr>
          <w:rFonts w:ascii="Times New Roman" w:hAnsi="Times New Roman" w:cs="Times New Roman"/>
          <w:color w:val="000000" w:themeColor="text1"/>
        </w:rPr>
        <w:t xml:space="preserve"> becomes a rational response (Flyvbjerg, 2014; Romero &amp; Van de Poel, 2022).</w:t>
      </w:r>
      <w:r w:rsidR="007608B5" w:rsidRPr="00AF0CC3">
        <w:rPr>
          <w:rFonts w:ascii="Times New Roman" w:hAnsi="Times New Roman" w:cs="Times New Roman"/>
          <w:color w:val="000000" w:themeColor="text1"/>
        </w:rPr>
        <w:t xml:space="preserve"> </w:t>
      </w:r>
      <w:r w:rsidRPr="00AF0CC3">
        <w:rPr>
          <w:rFonts w:ascii="Times New Roman" w:hAnsi="Times New Roman" w:cs="Times New Roman"/>
          <w:color w:val="000000" w:themeColor="text1"/>
        </w:rPr>
        <w:t xml:space="preserve">Water </w:t>
      </w:r>
      <w:r w:rsidR="00EC79A3" w:rsidRPr="00AF0CC3">
        <w:rPr>
          <w:rFonts w:ascii="Times New Roman" w:hAnsi="Times New Roman" w:cs="Times New Roman"/>
          <w:color w:val="000000" w:themeColor="text1"/>
        </w:rPr>
        <w:t xml:space="preserve">management </w:t>
      </w:r>
      <w:r w:rsidRPr="00AF0CC3">
        <w:rPr>
          <w:rFonts w:ascii="Times New Roman" w:hAnsi="Times New Roman" w:cs="Times New Roman"/>
          <w:color w:val="000000" w:themeColor="text1"/>
        </w:rPr>
        <w:t>infrastructure magnifies these problems</w:t>
      </w:r>
      <w:r w:rsidR="007608B5" w:rsidRPr="00AF0CC3">
        <w:rPr>
          <w:rFonts w:ascii="Times New Roman" w:hAnsi="Times New Roman" w:cs="Times New Roman"/>
          <w:color w:val="000000" w:themeColor="text1"/>
        </w:rPr>
        <w:t xml:space="preserve"> due to l</w:t>
      </w:r>
      <w:r w:rsidRPr="00AF0CC3">
        <w:rPr>
          <w:rFonts w:ascii="Times New Roman" w:hAnsi="Times New Roman" w:cs="Times New Roman"/>
          <w:color w:val="000000" w:themeColor="text1"/>
        </w:rPr>
        <w:t>ong time horizons, asset specificity, and hydrological uncertainty</w:t>
      </w:r>
      <w:r w:rsidR="007608B5" w:rsidRPr="00AF0CC3">
        <w:rPr>
          <w:rFonts w:ascii="Times New Roman" w:hAnsi="Times New Roman" w:cs="Times New Roman"/>
          <w:color w:val="000000" w:themeColor="text1"/>
        </w:rPr>
        <w:t>, which</w:t>
      </w:r>
      <w:r w:rsidRPr="00AF0CC3">
        <w:rPr>
          <w:rFonts w:ascii="Times New Roman" w:hAnsi="Times New Roman" w:cs="Times New Roman"/>
          <w:color w:val="000000" w:themeColor="text1"/>
        </w:rPr>
        <w:t xml:space="preserve"> raise transaction costs when contracts are poorly designed (Yescombe, 2018). In Kenya, these dynamics frequently culminate in prolonged project suspension rather than resolution.</w:t>
      </w:r>
    </w:p>
    <w:p w14:paraId="5F265E43" w14:textId="133B503E" w:rsidR="00A256F5" w:rsidRPr="00AF0CC3" w:rsidRDefault="00D40148" w:rsidP="00240FD0">
      <w:pPr>
        <w:spacing w:after="240" w:line="360" w:lineRule="auto"/>
        <w:rPr>
          <w:rFonts w:ascii="Times New Roman" w:hAnsi="Times New Roman" w:cs="Times New Roman"/>
          <w:color w:val="000000" w:themeColor="text1"/>
        </w:rPr>
      </w:pPr>
      <w:r w:rsidRPr="00AF0CC3">
        <w:rPr>
          <w:rFonts w:ascii="Times New Roman" w:hAnsi="Times New Roman" w:cs="Times New Roman"/>
          <w:color w:val="000000" w:themeColor="text1"/>
        </w:rPr>
        <w:t xml:space="preserve">What is particularly telling is the persistence of stalled projects. Despite oversight bodies documenting shortcomings, swift </w:t>
      </w:r>
      <w:r w:rsidR="009B1109" w:rsidRPr="00AF0CC3">
        <w:rPr>
          <w:rFonts w:ascii="Times New Roman" w:hAnsi="Times New Roman" w:cs="Times New Roman"/>
          <w:color w:val="000000" w:themeColor="text1"/>
        </w:rPr>
        <w:t>corrective</w:t>
      </w:r>
      <w:r w:rsidRPr="00AF0CC3">
        <w:rPr>
          <w:rFonts w:ascii="Times New Roman" w:hAnsi="Times New Roman" w:cs="Times New Roman"/>
          <w:color w:val="000000" w:themeColor="text1"/>
        </w:rPr>
        <w:t xml:space="preserve"> action is often delayed. This suggests limited institutional learning and inadequate mechanisms for responding to emerging risk, according to the theory of adaptive governance (Cleaver &amp; Whaley, 2018).</w:t>
      </w:r>
    </w:p>
    <w:p w14:paraId="5DFB235A" w14:textId="77777777" w:rsidR="00A256F5" w:rsidRPr="00AF0CC3" w:rsidRDefault="00A256F5" w:rsidP="00240FD0">
      <w:pPr>
        <w:spacing w:after="240" w:line="360" w:lineRule="auto"/>
        <w:rPr>
          <w:rFonts w:ascii="Times New Roman" w:hAnsi="Times New Roman" w:cs="Times New Roman"/>
          <w:color w:val="000000" w:themeColor="text1"/>
        </w:rPr>
      </w:pPr>
    </w:p>
    <w:p w14:paraId="06882CEF" w14:textId="5D99A857" w:rsidR="00A256F5" w:rsidRPr="00AF0CC3" w:rsidRDefault="00A66349" w:rsidP="00240FD0">
      <w:pPr>
        <w:pStyle w:val="Heading2"/>
        <w:spacing w:after="240"/>
        <w:rPr>
          <w:rFonts w:cs="Times New Roman"/>
          <w:b w:val="0"/>
          <w:bCs/>
          <w:color w:val="000000" w:themeColor="text1"/>
          <w:szCs w:val="24"/>
        </w:rPr>
      </w:pPr>
      <w:bookmarkStart w:id="24" w:name="_Toc234344738"/>
      <w:bookmarkStart w:id="25" w:name="_Toc234488969"/>
      <w:r w:rsidRPr="00AF0CC3">
        <w:rPr>
          <w:rFonts w:cs="Times New Roman"/>
          <w:bCs/>
          <w:color w:val="000000" w:themeColor="text1"/>
          <w:szCs w:val="24"/>
        </w:rPr>
        <w:t>Conceptualizing Project Stalling as a Distinct Outcome</w:t>
      </w:r>
      <w:bookmarkEnd w:id="24"/>
      <w:bookmarkEnd w:id="25"/>
    </w:p>
    <w:p w14:paraId="31307C41" w14:textId="77777777" w:rsidR="00A256F5" w:rsidRPr="00AF0CC3" w:rsidRDefault="00A256F5" w:rsidP="00240FD0">
      <w:pPr>
        <w:spacing w:after="240" w:line="360" w:lineRule="auto"/>
        <w:rPr>
          <w:rFonts w:ascii="Times New Roman" w:hAnsi="Times New Roman" w:cs="Times New Roman"/>
          <w:color w:val="000000" w:themeColor="text1"/>
        </w:rPr>
      </w:pPr>
    </w:p>
    <w:p w14:paraId="59B9FA27" w14:textId="7FF437A4" w:rsidR="00A256F5" w:rsidRPr="00AF0CC3" w:rsidRDefault="00A256F5" w:rsidP="00240FD0">
      <w:pPr>
        <w:spacing w:after="240" w:line="360" w:lineRule="auto"/>
        <w:rPr>
          <w:rFonts w:ascii="Times New Roman" w:hAnsi="Times New Roman" w:cs="Times New Roman"/>
          <w:color w:val="000000" w:themeColor="text1"/>
        </w:rPr>
      </w:pPr>
      <w:r w:rsidRPr="00AF0CC3">
        <w:rPr>
          <w:rFonts w:ascii="Times New Roman" w:hAnsi="Times New Roman" w:cs="Times New Roman"/>
          <w:color w:val="000000" w:themeColor="text1"/>
        </w:rPr>
        <w:t>This study treats project stalling as a distinct outcome. Much of the infrastructure literature collapses stalled projects into broader categories of delay or cost overrun. Doing so obscures important institutional dynamics.</w:t>
      </w:r>
      <w:r w:rsidR="00D40148" w:rsidRPr="00AF0CC3">
        <w:rPr>
          <w:rFonts w:ascii="Times New Roman" w:hAnsi="Times New Roman" w:cs="Times New Roman"/>
          <w:color w:val="000000" w:themeColor="text1"/>
        </w:rPr>
        <w:t xml:space="preserve"> </w:t>
      </w:r>
      <w:r w:rsidRPr="00AF0CC3">
        <w:rPr>
          <w:rFonts w:ascii="Times New Roman" w:hAnsi="Times New Roman" w:cs="Times New Roman"/>
          <w:color w:val="000000" w:themeColor="text1"/>
        </w:rPr>
        <w:t>A delayed project continues to move forward</w:t>
      </w:r>
      <w:r w:rsidR="00D40148" w:rsidRPr="00AF0CC3">
        <w:rPr>
          <w:rFonts w:ascii="Times New Roman" w:hAnsi="Times New Roman" w:cs="Times New Roman"/>
          <w:color w:val="000000" w:themeColor="text1"/>
        </w:rPr>
        <w:t>, while a</w:t>
      </w:r>
      <w:r w:rsidRPr="00AF0CC3">
        <w:rPr>
          <w:rFonts w:ascii="Times New Roman" w:hAnsi="Times New Roman" w:cs="Times New Roman"/>
          <w:color w:val="000000" w:themeColor="text1"/>
        </w:rPr>
        <w:t xml:space="preserve"> stalled project does not. It exists in a state of institutional suspension: contracts remain active,</w:t>
      </w:r>
      <w:r w:rsidR="00326F66" w:rsidRPr="00AF0CC3">
        <w:rPr>
          <w:rFonts w:ascii="Times New Roman" w:hAnsi="Times New Roman" w:cs="Times New Roman"/>
          <w:color w:val="000000" w:themeColor="text1"/>
        </w:rPr>
        <w:t xml:space="preserve"> loans are being serviced, </w:t>
      </w:r>
      <w:r w:rsidRPr="00AF0CC3">
        <w:rPr>
          <w:rFonts w:ascii="Times New Roman" w:hAnsi="Times New Roman" w:cs="Times New Roman"/>
          <w:color w:val="000000" w:themeColor="text1"/>
        </w:rPr>
        <w:t>funds may still be committed, but construction has effectively ceased. Political sensitivity, sunk costs, and audit risk often discourage formal termination.</w:t>
      </w:r>
    </w:p>
    <w:p w14:paraId="013F2B59" w14:textId="2A0EC489" w:rsidR="00A256F5" w:rsidRPr="00AF0CC3" w:rsidRDefault="00A256F5" w:rsidP="00240FD0">
      <w:pPr>
        <w:spacing w:after="240" w:line="360" w:lineRule="auto"/>
        <w:rPr>
          <w:rFonts w:ascii="Times New Roman" w:hAnsi="Times New Roman" w:cs="Times New Roman"/>
          <w:color w:val="000000" w:themeColor="text1"/>
        </w:rPr>
      </w:pPr>
      <w:r w:rsidRPr="00AF0CC3">
        <w:rPr>
          <w:rFonts w:ascii="Times New Roman" w:hAnsi="Times New Roman" w:cs="Times New Roman"/>
          <w:color w:val="000000" w:themeColor="text1"/>
        </w:rPr>
        <w:lastRenderedPageBreak/>
        <w:t>Stalling is therefore not a momentary failure. It reflects accumulated governance breakdown across the project lifecycle</w:t>
      </w:r>
      <w:r w:rsidR="009B1109" w:rsidRPr="00AF0CC3">
        <w:rPr>
          <w:rFonts w:ascii="Times New Roman" w:hAnsi="Times New Roman" w:cs="Times New Roman"/>
          <w:color w:val="000000" w:themeColor="text1"/>
        </w:rPr>
        <w:t>, and recognizing</w:t>
      </w:r>
      <w:r w:rsidRPr="00AF0CC3">
        <w:rPr>
          <w:rFonts w:ascii="Times New Roman" w:hAnsi="Times New Roman" w:cs="Times New Roman"/>
          <w:color w:val="000000" w:themeColor="text1"/>
        </w:rPr>
        <w:t xml:space="preserve"> this distinction is essential for understanding fiscal risk and accountability in infrastructure </w:t>
      </w:r>
      <w:r w:rsidR="009B1109" w:rsidRPr="00AF0CC3">
        <w:rPr>
          <w:rFonts w:ascii="Times New Roman" w:hAnsi="Times New Roman" w:cs="Times New Roman"/>
          <w:color w:val="000000" w:themeColor="text1"/>
        </w:rPr>
        <w:t>performance</w:t>
      </w:r>
      <w:r w:rsidRPr="00AF0CC3">
        <w:rPr>
          <w:rFonts w:ascii="Times New Roman" w:hAnsi="Times New Roman" w:cs="Times New Roman"/>
          <w:color w:val="000000" w:themeColor="text1"/>
        </w:rPr>
        <w:t>.</w:t>
      </w:r>
    </w:p>
    <w:p w14:paraId="6F6E976C" w14:textId="77777777" w:rsidR="00A256F5" w:rsidRPr="00AF0CC3" w:rsidRDefault="00A256F5" w:rsidP="00240FD0">
      <w:pPr>
        <w:spacing w:after="240" w:line="360" w:lineRule="auto"/>
        <w:rPr>
          <w:rFonts w:ascii="Times New Roman" w:hAnsi="Times New Roman" w:cs="Times New Roman"/>
          <w:color w:val="000000" w:themeColor="text1"/>
        </w:rPr>
      </w:pPr>
    </w:p>
    <w:p w14:paraId="13F8FF4F" w14:textId="4AA2F5AD" w:rsidR="00A256F5" w:rsidRPr="00AF0CC3" w:rsidRDefault="00A256F5" w:rsidP="00240FD0">
      <w:pPr>
        <w:pStyle w:val="Heading2"/>
        <w:spacing w:before="0" w:after="240" w:line="360" w:lineRule="auto"/>
        <w:rPr>
          <w:rFonts w:cs="Times New Roman"/>
          <w:b w:val="0"/>
          <w:bCs/>
          <w:color w:val="000000" w:themeColor="text1"/>
          <w:szCs w:val="24"/>
        </w:rPr>
      </w:pPr>
      <w:bookmarkStart w:id="26" w:name="_Toc234344739"/>
      <w:bookmarkStart w:id="27" w:name="_Toc234488970"/>
      <w:r w:rsidRPr="00AF0CC3">
        <w:rPr>
          <w:rFonts w:cs="Times New Roman"/>
          <w:bCs/>
          <w:color w:val="000000" w:themeColor="text1"/>
          <w:szCs w:val="24"/>
        </w:rPr>
        <w:t>Problem Statement</w:t>
      </w:r>
      <w:bookmarkEnd w:id="26"/>
      <w:bookmarkEnd w:id="27"/>
    </w:p>
    <w:p w14:paraId="776D19C2" w14:textId="7E801E5F" w:rsidR="00A256F5" w:rsidRPr="00AF0CC3" w:rsidRDefault="009B1109" w:rsidP="00240FD0">
      <w:pPr>
        <w:spacing w:after="240" w:line="360" w:lineRule="auto"/>
        <w:rPr>
          <w:rFonts w:ascii="Times New Roman" w:hAnsi="Times New Roman" w:cs="Times New Roman"/>
          <w:color w:val="000000" w:themeColor="text1"/>
        </w:rPr>
      </w:pPr>
      <w:r w:rsidRPr="00AF0CC3">
        <w:rPr>
          <w:rFonts w:ascii="Times New Roman" w:hAnsi="Times New Roman" w:cs="Times New Roman"/>
          <w:color w:val="000000" w:themeColor="text1"/>
        </w:rPr>
        <w:t xml:space="preserve">Kenya has mobilized substantial resources for water management infrastructure, yet outcomes remain weak. Projects continue to face prolonged delays, significant cost overruns, or complete stalling, even after financing is secured and construction begins. </w:t>
      </w:r>
      <w:r w:rsidR="00A256F5" w:rsidRPr="00AF0CC3">
        <w:rPr>
          <w:rFonts w:ascii="Times New Roman" w:hAnsi="Times New Roman" w:cs="Times New Roman"/>
          <w:color w:val="000000" w:themeColor="text1"/>
        </w:rPr>
        <w:t>In some cases, public debt continues to be serviced for infrastructure that does not deliver water services. These outcomes undermine fiscal sustainability, climate resilience, service delivery, and public trust (Ansar et al., 2018; Bayliss et al., 2021).</w:t>
      </w:r>
    </w:p>
    <w:p w14:paraId="4028E5A9" w14:textId="77777777" w:rsidR="003F7F75" w:rsidRPr="00AF0CC3" w:rsidRDefault="006644F7" w:rsidP="00240FD0">
      <w:pPr>
        <w:spacing w:after="240" w:line="360" w:lineRule="auto"/>
        <w:rPr>
          <w:rFonts w:ascii="Times New Roman" w:hAnsi="Times New Roman" w:cs="Times New Roman"/>
          <w:color w:val="000000" w:themeColor="text1"/>
        </w:rPr>
      </w:pPr>
      <w:r w:rsidRPr="00AF0CC3">
        <w:rPr>
          <w:rFonts w:ascii="Times New Roman" w:hAnsi="Times New Roman" w:cs="Times New Roman"/>
          <w:color w:val="000000" w:themeColor="text1"/>
        </w:rPr>
        <w:t xml:space="preserve">Despite substantial public, donor, and private financing commitments, water </w:t>
      </w:r>
      <w:r w:rsidR="0099416E" w:rsidRPr="00AF0CC3">
        <w:rPr>
          <w:rFonts w:ascii="Times New Roman" w:hAnsi="Times New Roman" w:cs="Times New Roman"/>
          <w:color w:val="000000" w:themeColor="text1"/>
        </w:rPr>
        <w:t xml:space="preserve">management </w:t>
      </w:r>
      <w:r w:rsidRPr="00AF0CC3">
        <w:rPr>
          <w:rFonts w:ascii="Times New Roman" w:hAnsi="Times New Roman" w:cs="Times New Roman"/>
          <w:color w:val="000000" w:themeColor="text1"/>
        </w:rPr>
        <w:t xml:space="preserve">infrastructure projects in Kenya continue to underperform, with many experiencing prolonged delays, escalating costs, or complete stalling. While existing research has examined schedule and cost overruns, it largely treats stalled projects as an extension of delay rather than as a distinct governance outcome. This omission limits understanding of the fiscal, institutional, and social risks created when infrastructure investments remain incomplete yet continue to absorb public resources and political attention. </w:t>
      </w:r>
    </w:p>
    <w:p w14:paraId="0F2AF155" w14:textId="77777777" w:rsidR="003F7F75" w:rsidRPr="00AF0CC3" w:rsidRDefault="003F7F75" w:rsidP="00240FD0">
      <w:pPr>
        <w:spacing w:after="240" w:line="360" w:lineRule="auto"/>
        <w:rPr>
          <w:rFonts w:ascii="Times New Roman" w:hAnsi="Times New Roman" w:cs="Times New Roman"/>
          <w:color w:val="000000" w:themeColor="text1"/>
        </w:rPr>
      </w:pPr>
    </w:p>
    <w:p w14:paraId="56D3C1C0" w14:textId="7BFF60A1" w:rsidR="00201495" w:rsidRPr="00AF0CC3" w:rsidRDefault="006644F7" w:rsidP="00240FD0">
      <w:pPr>
        <w:spacing w:after="240" w:line="360" w:lineRule="auto"/>
        <w:rPr>
          <w:rFonts w:ascii="Times New Roman" w:hAnsi="Times New Roman" w:cs="Times New Roman"/>
          <w:color w:val="000000" w:themeColor="text1"/>
        </w:rPr>
      </w:pPr>
      <w:r w:rsidRPr="00AF0CC3">
        <w:rPr>
          <w:rFonts w:ascii="Times New Roman" w:hAnsi="Times New Roman" w:cs="Times New Roman"/>
          <w:color w:val="000000" w:themeColor="text1"/>
        </w:rPr>
        <w:t>Moreover, most studies rely on aggregate or macro-level governance indicators, offering limited insight into how governance arrangements at the project level shape delivery outcomes. As a result, the mechanisms through which governance quality influences the likelihood of project stalling remain underexamined. This study addresses this gap by conducting a project-level analysis of water</w:t>
      </w:r>
      <w:r w:rsidR="0099416E" w:rsidRPr="00AF0CC3">
        <w:rPr>
          <w:rFonts w:ascii="Times New Roman" w:hAnsi="Times New Roman" w:cs="Times New Roman"/>
          <w:color w:val="000000" w:themeColor="text1"/>
        </w:rPr>
        <w:t xml:space="preserve"> management infrastructure</w:t>
      </w:r>
      <w:r w:rsidRPr="00AF0CC3">
        <w:rPr>
          <w:rFonts w:ascii="Times New Roman" w:hAnsi="Times New Roman" w:cs="Times New Roman"/>
          <w:color w:val="000000" w:themeColor="text1"/>
        </w:rPr>
        <w:t xml:space="preserve"> projects in Kenya, using a Governance Quality Index aligned with international governance frameworks to examine how governance quality affects time overruns, cost overruns, and the probability of project stalling.</w:t>
      </w:r>
    </w:p>
    <w:p w14:paraId="64F5418B" w14:textId="4FED62E3" w:rsidR="00A256F5" w:rsidRPr="00AF0CC3" w:rsidRDefault="00A256F5" w:rsidP="00240FD0">
      <w:pPr>
        <w:pStyle w:val="Heading2"/>
        <w:spacing w:before="0" w:after="240" w:line="360" w:lineRule="auto"/>
        <w:rPr>
          <w:rFonts w:cs="Times New Roman"/>
          <w:b w:val="0"/>
          <w:bCs/>
          <w:color w:val="000000" w:themeColor="text1"/>
          <w:szCs w:val="24"/>
        </w:rPr>
      </w:pPr>
      <w:bookmarkStart w:id="28" w:name="_Toc234344740"/>
      <w:bookmarkStart w:id="29" w:name="_Toc234488971"/>
      <w:r w:rsidRPr="00AF0CC3">
        <w:rPr>
          <w:rFonts w:cs="Times New Roman"/>
          <w:bCs/>
          <w:color w:val="000000" w:themeColor="text1"/>
          <w:szCs w:val="24"/>
        </w:rPr>
        <w:lastRenderedPageBreak/>
        <w:t>Research Questions</w:t>
      </w:r>
      <w:bookmarkEnd w:id="28"/>
      <w:bookmarkEnd w:id="29"/>
    </w:p>
    <w:p w14:paraId="34666E39" w14:textId="46402AF8" w:rsidR="0038241E" w:rsidRPr="00AF0CC3" w:rsidRDefault="0027665D" w:rsidP="00240FD0">
      <w:pPr>
        <w:spacing w:after="240"/>
        <w:rPr>
          <w:rFonts w:ascii="Times New Roman" w:hAnsi="Times New Roman" w:cs="Times New Roman"/>
          <w:color w:val="000000" w:themeColor="text1"/>
        </w:rPr>
      </w:pPr>
      <w:r w:rsidRPr="00AF0CC3">
        <w:rPr>
          <w:rFonts w:ascii="Times New Roman" w:hAnsi="Times New Roman" w:cs="Times New Roman"/>
          <w:color w:val="000000" w:themeColor="text1"/>
        </w:rPr>
        <w:t>The following research questions guide the study</w:t>
      </w:r>
      <w:r w:rsidR="00CF008D" w:rsidRPr="00AF0CC3">
        <w:rPr>
          <w:rFonts w:ascii="Times New Roman" w:hAnsi="Times New Roman" w:cs="Times New Roman"/>
          <w:color w:val="000000" w:themeColor="text1"/>
        </w:rPr>
        <w:t>:</w:t>
      </w:r>
    </w:p>
    <w:p w14:paraId="7EB52865" w14:textId="010A34D1" w:rsidR="008712D7" w:rsidRPr="00AF0CC3" w:rsidRDefault="00A256F5" w:rsidP="00240FD0">
      <w:pPr>
        <w:pStyle w:val="ListParagraph"/>
        <w:numPr>
          <w:ilvl w:val="0"/>
          <w:numId w:val="1"/>
        </w:numPr>
        <w:spacing w:after="240" w:line="360" w:lineRule="auto"/>
        <w:rPr>
          <w:rFonts w:ascii="Times New Roman" w:hAnsi="Times New Roman" w:cs="Times New Roman"/>
          <w:color w:val="000000" w:themeColor="text1"/>
        </w:rPr>
      </w:pPr>
      <w:r w:rsidRPr="00AF0CC3">
        <w:rPr>
          <w:rFonts w:ascii="Times New Roman" w:hAnsi="Times New Roman" w:cs="Times New Roman"/>
          <w:color w:val="000000" w:themeColor="text1"/>
        </w:rPr>
        <w:t xml:space="preserve">How does governance quality influence the likelihood of project stalling in </w:t>
      </w:r>
      <w:r w:rsidR="008712D7" w:rsidRPr="00AF0CC3">
        <w:rPr>
          <w:rFonts w:ascii="Times New Roman" w:hAnsi="Times New Roman" w:cs="Times New Roman"/>
          <w:color w:val="000000" w:themeColor="text1"/>
        </w:rPr>
        <w:t>water management infrastructure projects in Kenya?</w:t>
      </w:r>
    </w:p>
    <w:p w14:paraId="38BF6819" w14:textId="7F98DE3C" w:rsidR="00A256F5" w:rsidRPr="00AF0CC3" w:rsidRDefault="00A256F5" w:rsidP="00240FD0">
      <w:pPr>
        <w:pStyle w:val="ListParagraph"/>
        <w:numPr>
          <w:ilvl w:val="0"/>
          <w:numId w:val="1"/>
        </w:numPr>
        <w:spacing w:after="240" w:line="360" w:lineRule="auto"/>
        <w:rPr>
          <w:rFonts w:ascii="Times New Roman" w:hAnsi="Times New Roman" w:cs="Times New Roman"/>
          <w:color w:val="000000" w:themeColor="text1"/>
        </w:rPr>
      </w:pPr>
      <w:r w:rsidRPr="00AF0CC3">
        <w:rPr>
          <w:rFonts w:ascii="Times New Roman" w:hAnsi="Times New Roman" w:cs="Times New Roman"/>
          <w:color w:val="000000" w:themeColor="text1"/>
        </w:rPr>
        <w:t>How does governance quality affect time overruns</w:t>
      </w:r>
      <w:r w:rsidR="008712D7" w:rsidRPr="00AF0CC3">
        <w:rPr>
          <w:rFonts w:ascii="Times New Roman" w:hAnsi="Times New Roman" w:cs="Times New Roman"/>
          <w:color w:val="000000" w:themeColor="text1"/>
        </w:rPr>
        <w:t xml:space="preserve"> of water management infrastructure projects in Kenya?</w:t>
      </w:r>
    </w:p>
    <w:p w14:paraId="5A348DCC" w14:textId="2692995D" w:rsidR="00A256F5" w:rsidRPr="00AF0CC3" w:rsidRDefault="00A256F5" w:rsidP="00240FD0">
      <w:pPr>
        <w:pStyle w:val="ListParagraph"/>
        <w:numPr>
          <w:ilvl w:val="0"/>
          <w:numId w:val="1"/>
        </w:numPr>
        <w:spacing w:after="240" w:line="360" w:lineRule="auto"/>
        <w:rPr>
          <w:rFonts w:ascii="Times New Roman" w:hAnsi="Times New Roman" w:cs="Times New Roman"/>
          <w:color w:val="000000" w:themeColor="text1"/>
        </w:rPr>
      </w:pPr>
      <w:r w:rsidRPr="00AF0CC3">
        <w:rPr>
          <w:rFonts w:ascii="Times New Roman" w:hAnsi="Times New Roman" w:cs="Times New Roman"/>
          <w:color w:val="000000" w:themeColor="text1"/>
        </w:rPr>
        <w:t xml:space="preserve">How does governance quality affect </w:t>
      </w:r>
      <w:r w:rsidR="008712D7" w:rsidRPr="00AF0CC3">
        <w:rPr>
          <w:rFonts w:ascii="Times New Roman" w:hAnsi="Times New Roman" w:cs="Times New Roman"/>
          <w:color w:val="000000" w:themeColor="text1"/>
        </w:rPr>
        <w:t>the cost overruns of water management infrastructure projects in Kenya</w:t>
      </w:r>
      <w:r w:rsidRPr="00AF0CC3">
        <w:rPr>
          <w:rFonts w:ascii="Times New Roman" w:hAnsi="Times New Roman" w:cs="Times New Roman"/>
          <w:color w:val="000000" w:themeColor="text1"/>
        </w:rPr>
        <w:t>?</w:t>
      </w:r>
    </w:p>
    <w:p w14:paraId="2D30ADDE" w14:textId="14BA205B" w:rsidR="00A256F5" w:rsidRPr="00AF0CC3" w:rsidRDefault="00A256F5" w:rsidP="00240FD0">
      <w:pPr>
        <w:pStyle w:val="ListParagraph"/>
        <w:numPr>
          <w:ilvl w:val="0"/>
          <w:numId w:val="1"/>
        </w:numPr>
        <w:spacing w:after="240" w:line="360" w:lineRule="auto"/>
        <w:rPr>
          <w:rFonts w:ascii="Times New Roman" w:hAnsi="Times New Roman" w:cs="Times New Roman"/>
          <w:color w:val="000000" w:themeColor="text1"/>
        </w:rPr>
      </w:pPr>
      <w:r w:rsidRPr="00AF0CC3">
        <w:rPr>
          <w:rFonts w:ascii="Times New Roman" w:hAnsi="Times New Roman" w:cs="Times New Roman"/>
          <w:color w:val="000000" w:themeColor="text1"/>
        </w:rPr>
        <w:t>How does climate risk interact with governance quality to shape project outcomes</w:t>
      </w:r>
      <w:r w:rsidR="008712D7" w:rsidRPr="00AF0CC3">
        <w:rPr>
          <w:rFonts w:ascii="Times New Roman" w:hAnsi="Times New Roman" w:cs="Times New Roman"/>
          <w:color w:val="000000" w:themeColor="text1"/>
        </w:rPr>
        <w:t xml:space="preserve"> of water management infrastructure projects in Kenya</w:t>
      </w:r>
      <w:r w:rsidRPr="00AF0CC3">
        <w:rPr>
          <w:rFonts w:ascii="Times New Roman" w:hAnsi="Times New Roman" w:cs="Times New Roman"/>
          <w:color w:val="000000" w:themeColor="text1"/>
        </w:rPr>
        <w:t>?</w:t>
      </w:r>
    </w:p>
    <w:p w14:paraId="3F8AE08F" w14:textId="0ABA1CFB" w:rsidR="00A256F5" w:rsidRPr="00AF0CC3" w:rsidRDefault="00753B38" w:rsidP="00240FD0">
      <w:pPr>
        <w:spacing w:after="240" w:line="360" w:lineRule="auto"/>
        <w:rPr>
          <w:rFonts w:ascii="Times New Roman" w:hAnsi="Times New Roman" w:cs="Times New Roman"/>
          <w:color w:val="000000" w:themeColor="text1"/>
        </w:rPr>
      </w:pPr>
      <w:r w:rsidRPr="00AF0CC3">
        <w:rPr>
          <w:rFonts w:ascii="Times New Roman" w:hAnsi="Times New Roman" w:cs="Times New Roman"/>
          <w:color w:val="000000" w:themeColor="text1"/>
        </w:rPr>
        <w:t>These questions are designed to enable systematic empirical testing while remaining closely aligned with theory and policy concerns. Together, they provide a coherent framework for examining governance-performance relationships across multiple dimensions of infrastructure delivery.</w:t>
      </w:r>
    </w:p>
    <w:p w14:paraId="2BA04AFD" w14:textId="77777777" w:rsidR="00753B38" w:rsidRPr="00AF0CC3" w:rsidRDefault="00753B38" w:rsidP="00240FD0">
      <w:pPr>
        <w:spacing w:after="240" w:line="360" w:lineRule="auto"/>
        <w:rPr>
          <w:rFonts w:ascii="Times New Roman" w:hAnsi="Times New Roman" w:cs="Times New Roman"/>
          <w:color w:val="000000" w:themeColor="text1"/>
        </w:rPr>
      </w:pPr>
    </w:p>
    <w:p w14:paraId="19C0947A" w14:textId="36CFE027" w:rsidR="00A256F5" w:rsidRPr="00AF0CC3" w:rsidRDefault="00A256F5" w:rsidP="00240FD0">
      <w:pPr>
        <w:pStyle w:val="Heading2"/>
        <w:spacing w:before="0" w:after="240" w:line="360" w:lineRule="auto"/>
        <w:rPr>
          <w:rFonts w:cs="Times New Roman"/>
          <w:b w:val="0"/>
          <w:bCs/>
          <w:color w:val="000000" w:themeColor="text1"/>
          <w:szCs w:val="24"/>
        </w:rPr>
      </w:pPr>
      <w:bookmarkStart w:id="30" w:name="_Toc234344741"/>
      <w:bookmarkStart w:id="31" w:name="_Toc234488972"/>
      <w:r w:rsidRPr="00AF0CC3">
        <w:rPr>
          <w:rFonts w:cs="Times New Roman"/>
          <w:bCs/>
          <w:color w:val="000000" w:themeColor="text1"/>
          <w:szCs w:val="24"/>
        </w:rPr>
        <w:t>Research Objectives</w:t>
      </w:r>
      <w:bookmarkEnd w:id="30"/>
      <w:bookmarkEnd w:id="31"/>
    </w:p>
    <w:p w14:paraId="643A37D6" w14:textId="1064FCC2" w:rsidR="00A256F5" w:rsidRPr="00AF0CC3" w:rsidRDefault="00A256F5" w:rsidP="00240FD0">
      <w:pPr>
        <w:spacing w:after="240" w:line="360" w:lineRule="auto"/>
        <w:rPr>
          <w:rFonts w:ascii="Times New Roman" w:hAnsi="Times New Roman" w:cs="Times New Roman"/>
          <w:color w:val="000000" w:themeColor="text1"/>
        </w:rPr>
      </w:pPr>
      <w:r w:rsidRPr="00AF0CC3">
        <w:rPr>
          <w:rFonts w:ascii="Times New Roman" w:hAnsi="Times New Roman" w:cs="Times New Roman"/>
          <w:color w:val="000000" w:themeColor="text1"/>
        </w:rPr>
        <w:t>The study aims to:</w:t>
      </w:r>
    </w:p>
    <w:p w14:paraId="5A9E1430" w14:textId="1A97928B" w:rsidR="00A256F5" w:rsidRPr="00AF0CC3" w:rsidRDefault="00D86CA6" w:rsidP="00240FD0">
      <w:pPr>
        <w:pStyle w:val="ListParagraph"/>
        <w:numPr>
          <w:ilvl w:val="0"/>
          <w:numId w:val="2"/>
        </w:numPr>
        <w:spacing w:after="240" w:line="360" w:lineRule="auto"/>
        <w:rPr>
          <w:rFonts w:ascii="Times New Roman" w:hAnsi="Times New Roman" w:cs="Times New Roman"/>
          <w:color w:val="000000" w:themeColor="text1"/>
        </w:rPr>
      </w:pPr>
      <w:r w:rsidRPr="00AF0CC3">
        <w:rPr>
          <w:rFonts w:ascii="Times New Roman" w:hAnsi="Times New Roman" w:cs="Times New Roman"/>
          <w:color w:val="000000" w:themeColor="text1"/>
        </w:rPr>
        <w:t>Examine</w:t>
      </w:r>
      <w:r w:rsidR="00A256F5" w:rsidRPr="00AF0CC3">
        <w:rPr>
          <w:rFonts w:ascii="Times New Roman" w:hAnsi="Times New Roman" w:cs="Times New Roman"/>
          <w:color w:val="000000" w:themeColor="text1"/>
        </w:rPr>
        <w:t xml:space="preserve"> the relationship between governance quality and project stalling</w:t>
      </w:r>
      <w:r w:rsidR="001A400F" w:rsidRPr="00AF0CC3">
        <w:rPr>
          <w:rFonts w:ascii="Times New Roman" w:hAnsi="Times New Roman" w:cs="Times New Roman"/>
          <w:color w:val="000000" w:themeColor="text1"/>
        </w:rPr>
        <w:t xml:space="preserve"> in water management infrastructure projects in Kenya</w:t>
      </w:r>
    </w:p>
    <w:p w14:paraId="33AC33E7" w14:textId="43DD9066" w:rsidR="00A256F5" w:rsidRPr="00AF0CC3" w:rsidRDefault="00D86CA6" w:rsidP="00240FD0">
      <w:pPr>
        <w:pStyle w:val="ListParagraph"/>
        <w:numPr>
          <w:ilvl w:val="0"/>
          <w:numId w:val="2"/>
        </w:numPr>
        <w:spacing w:after="240" w:line="360" w:lineRule="auto"/>
        <w:rPr>
          <w:rFonts w:ascii="Times New Roman" w:hAnsi="Times New Roman" w:cs="Times New Roman"/>
          <w:color w:val="000000" w:themeColor="text1"/>
        </w:rPr>
      </w:pPr>
      <w:r w:rsidRPr="00AF0CC3">
        <w:rPr>
          <w:rFonts w:ascii="Times New Roman" w:hAnsi="Times New Roman" w:cs="Times New Roman"/>
          <w:color w:val="000000" w:themeColor="text1"/>
        </w:rPr>
        <w:t>Assess</w:t>
      </w:r>
      <w:r w:rsidR="00A256F5" w:rsidRPr="00AF0CC3">
        <w:rPr>
          <w:rFonts w:ascii="Times New Roman" w:hAnsi="Times New Roman" w:cs="Times New Roman"/>
          <w:color w:val="000000" w:themeColor="text1"/>
        </w:rPr>
        <w:t xml:space="preserve"> the effect of governance quality on time overruns</w:t>
      </w:r>
      <w:r w:rsidR="001A400F" w:rsidRPr="00AF0CC3">
        <w:rPr>
          <w:rFonts w:ascii="Times New Roman" w:hAnsi="Times New Roman" w:cs="Times New Roman"/>
          <w:color w:val="000000" w:themeColor="text1"/>
        </w:rPr>
        <w:t xml:space="preserve"> in water management infrastructure projects in Kenya.</w:t>
      </w:r>
    </w:p>
    <w:p w14:paraId="4768F019" w14:textId="259E5269" w:rsidR="00A256F5" w:rsidRPr="00AF0CC3" w:rsidRDefault="00D86CA6" w:rsidP="00240FD0">
      <w:pPr>
        <w:pStyle w:val="ListParagraph"/>
        <w:numPr>
          <w:ilvl w:val="0"/>
          <w:numId w:val="2"/>
        </w:numPr>
        <w:spacing w:after="240" w:line="360" w:lineRule="auto"/>
        <w:rPr>
          <w:rFonts w:ascii="Times New Roman" w:hAnsi="Times New Roman" w:cs="Times New Roman"/>
          <w:color w:val="000000" w:themeColor="text1"/>
        </w:rPr>
      </w:pPr>
      <w:r w:rsidRPr="00AF0CC3">
        <w:rPr>
          <w:rFonts w:ascii="Times New Roman" w:hAnsi="Times New Roman" w:cs="Times New Roman"/>
          <w:color w:val="000000" w:themeColor="text1"/>
        </w:rPr>
        <w:t>Analyze</w:t>
      </w:r>
      <w:r w:rsidR="00A256F5" w:rsidRPr="00AF0CC3">
        <w:rPr>
          <w:rFonts w:ascii="Times New Roman" w:hAnsi="Times New Roman" w:cs="Times New Roman"/>
          <w:color w:val="000000" w:themeColor="text1"/>
        </w:rPr>
        <w:t xml:space="preserve"> the relationship between governance quality and cost overruns</w:t>
      </w:r>
      <w:r w:rsidR="001A400F" w:rsidRPr="00AF0CC3">
        <w:rPr>
          <w:rFonts w:ascii="Times New Roman" w:hAnsi="Times New Roman" w:cs="Times New Roman"/>
          <w:color w:val="000000" w:themeColor="text1"/>
        </w:rPr>
        <w:t xml:space="preserve"> in water management infrastructure projects in Kenya.</w:t>
      </w:r>
    </w:p>
    <w:p w14:paraId="1FCFC63A" w14:textId="324E2236" w:rsidR="00A256F5" w:rsidRPr="00AF0CC3" w:rsidRDefault="00D86CA6" w:rsidP="00240FD0">
      <w:pPr>
        <w:pStyle w:val="ListParagraph"/>
        <w:numPr>
          <w:ilvl w:val="0"/>
          <w:numId w:val="2"/>
        </w:numPr>
        <w:spacing w:after="240" w:line="360" w:lineRule="auto"/>
        <w:rPr>
          <w:rFonts w:ascii="Times New Roman" w:hAnsi="Times New Roman" w:cs="Times New Roman"/>
          <w:color w:val="000000" w:themeColor="text1"/>
        </w:rPr>
      </w:pPr>
      <w:r w:rsidRPr="00AF0CC3">
        <w:rPr>
          <w:rFonts w:ascii="Times New Roman" w:hAnsi="Times New Roman" w:cs="Times New Roman"/>
          <w:color w:val="000000" w:themeColor="text1"/>
        </w:rPr>
        <w:t>Explore</w:t>
      </w:r>
      <w:r w:rsidR="00A256F5" w:rsidRPr="00AF0CC3">
        <w:rPr>
          <w:rFonts w:ascii="Times New Roman" w:hAnsi="Times New Roman" w:cs="Times New Roman"/>
          <w:color w:val="000000" w:themeColor="text1"/>
        </w:rPr>
        <w:t xml:space="preserve"> how climate risk </w:t>
      </w:r>
      <w:r w:rsidR="004F797E" w:rsidRPr="00AF0CC3">
        <w:rPr>
          <w:rFonts w:ascii="Times New Roman" w:hAnsi="Times New Roman" w:cs="Times New Roman"/>
          <w:color w:val="000000" w:themeColor="text1"/>
        </w:rPr>
        <w:t>moderates’</w:t>
      </w:r>
      <w:r w:rsidR="001A400F" w:rsidRPr="00AF0CC3">
        <w:rPr>
          <w:rFonts w:ascii="Times New Roman" w:hAnsi="Times New Roman" w:cs="Times New Roman"/>
          <w:color w:val="000000" w:themeColor="text1"/>
        </w:rPr>
        <w:t xml:space="preserve"> governance–performance</w:t>
      </w:r>
      <w:r w:rsidR="00A256F5" w:rsidRPr="00AF0CC3">
        <w:rPr>
          <w:rFonts w:ascii="Times New Roman" w:hAnsi="Times New Roman" w:cs="Times New Roman"/>
          <w:color w:val="000000" w:themeColor="text1"/>
        </w:rPr>
        <w:t xml:space="preserve"> relationships</w:t>
      </w:r>
      <w:r w:rsidR="001A400F" w:rsidRPr="00AF0CC3">
        <w:rPr>
          <w:rFonts w:ascii="Times New Roman" w:hAnsi="Times New Roman" w:cs="Times New Roman"/>
          <w:color w:val="000000" w:themeColor="text1"/>
        </w:rPr>
        <w:t xml:space="preserve"> in water management infrastructure projects in Kenya</w:t>
      </w:r>
    </w:p>
    <w:p w14:paraId="4B5433E4" w14:textId="467FD45A" w:rsidR="004D775F" w:rsidRPr="00AF0CC3" w:rsidRDefault="004D775F" w:rsidP="00240FD0">
      <w:pPr>
        <w:pStyle w:val="Heading2"/>
        <w:spacing w:before="0" w:after="240" w:line="360" w:lineRule="auto"/>
        <w:rPr>
          <w:rFonts w:cs="Times New Roman"/>
          <w:b w:val="0"/>
          <w:bCs/>
          <w:color w:val="000000" w:themeColor="text1"/>
          <w:szCs w:val="24"/>
        </w:rPr>
      </w:pPr>
      <w:bookmarkStart w:id="32" w:name="_Toc234344742"/>
      <w:bookmarkStart w:id="33" w:name="_Toc234488973"/>
      <w:r w:rsidRPr="00AF0CC3">
        <w:rPr>
          <w:rFonts w:cs="Times New Roman"/>
          <w:bCs/>
          <w:color w:val="000000" w:themeColor="text1"/>
          <w:szCs w:val="24"/>
        </w:rPr>
        <w:lastRenderedPageBreak/>
        <w:t xml:space="preserve">Significance of </w:t>
      </w:r>
      <w:bookmarkEnd w:id="32"/>
      <w:r w:rsidR="00E8403F" w:rsidRPr="00AF0CC3">
        <w:rPr>
          <w:rFonts w:cs="Times New Roman"/>
          <w:bCs/>
          <w:color w:val="000000" w:themeColor="text1"/>
          <w:szCs w:val="24"/>
        </w:rPr>
        <w:t>Study</w:t>
      </w:r>
      <w:bookmarkEnd w:id="33"/>
    </w:p>
    <w:p w14:paraId="7857878B" w14:textId="77777777" w:rsidR="004D775F" w:rsidRPr="00AF0CC3" w:rsidRDefault="004D775F" w:rsidP="00240FD0">
      <w:pPr>
        <w:spacing w:after="240" w:line="360" w:lineRule="auto"/>
        <w:rPr>
          <w:rFonts w:ascii="Times New Roman" w:hAnsi="Times New Roman" w:cs="Times New Roman"/>
          <w:color w:val="000000" w:themeColor="text1"/>
        </w:rPr>
      </w:pPr>
      <w:r w:rsidRPr="00AF0CC3">
        <w:rPr>
          <w:rFonts w:ascii="Times New Roman" w:hAnsi="Times New Roman" w:cs="Times New Roman"/>
          <w:color w:val="000000" w:themeColor="text1"/>
        </w:rPr>
        <w:t>This study makes three interrelated contributions—empirical, theoretical, and practical—to the literature on infrastructure governance and water sector development.</w:t>
      </w:r>
    </w:p>
    <w:p w14:paraId="50F7D7E8" w14:textId="1BBCDA04" w:rsidR="004D775F" w:rsidRPr="00AF0CC3" w:rsidRDefault="004D775F" w:rsidP="00240FD0">
      <w:pPr>
        <w:pStyle w:val="Heading3"/>
        <w:spacing w:before="0" w:after="240" w:line="360" w:lineRule="auto"/>
        <w:rPr>
          <w:rFonts w:cs="Times New Roman"/>
          <w:color w:val="000000" w:themeColor="text1"/>
          <w:szCs w:val="24"/>
        </w:rPr>
      </w:pPr>
      <w:bookmarkStart w:id="34" w:name="_Toc234344743"/>
      <w:bookmarkStart w:id="35" w:name="_Toc234488974"/>
      <w:r w:rsidRPr="00AF0CC3">
        <w:rPr>
          <w:rFonts w:cs="Times New Roman"/>
          <w:color w:val="000000" w:themeColor="text1"/>
          <w:szCs w:val="24"/>
        </w:rPr>
        <w:t>Empirical Contribution</w:t>
      </w:r>
      <w:bookmarkEnd w:id="34"/>
      <w:bookmarkEnd w:id="35"/>
    </w:p>
    <w:p w14:paraId="4F22B539" w14:textId="77777777" w:rsidR="004D775F" w:rsidRPr="00AF0CC3" w:rsidRDefault="004D775F" w:rsidP="00240FD0">
      <w:pPr>
        <w:spacing w:after="240" w:line="360" w:lineRule="auto"/>
        <w:rPr>
          <w:rFonts w:ascii="Times New Roman" w:hAnsi="Times New Roman" w:cs="Times New Roman"/>
          <w:color w:val="000000" w:themeColor="text1"/>
        </w:rPr>
      </w:pPr>
      <w:r w:rsidRPr="00AF0CC3">
        <w:rPr>
          <w:rFonts w:ascii="Times New Roman" w:hAnsi="Times New Roman" w:cs="Times New Roman"/>
          <w:color w:val="000000" w:themeColor="text1"/>
        </w:rPr>
        <w:t>Empirically, the study provides project-level evidence on the relationship between governance quality and infrastructure performance in a climate-sensitive sector. While much of the existing literature relies on macro-level governance indicators or cross-country comparisons, this study focuses on within-country variation across individual projects. By constructing and applying a project-level Governance Quality Index, the study generates fine-grained evidence on how governance arrangements shape delivery outcomes in practice.</w:t>
      </w:r>
    </w:p>
    <w:p w14:paraId="018F32AA" w14:textId="77777777" w:rsidR="004D775F" w:rsidRPr="00AF0CC3" w:rsidRDefault="004D775F" w:rsidP="00240FD0">
      <w:pPr>
        <w:spacing w:after="240" w:line="360" w:lineRule="auto"/>
        <w:rPr>
          <w:rFonts w:ascii="Times New Roman" w:hAnsi="Times New Roman" w:cs="Times New Roman"/>
          <w:color w:val="000000" w:themeColor="text1"/>
        </w:rPr>
      </w:pPr>
      <w:r w:rsidRPr="00AF0CC3">
        <w:rPr>
          <w:rFonts w:ascii="Times New Roman" w:hAnsi="Times New Roman" w:cs="Times New Roman"/>
          <w:color w:val="000000" w:themeColor="text1"/>
        </w:rPr>
        <w:t>Importantly, the study treats project stalling as a distinct outcome, rather than subsuming stalled projects within broader categories of delay. This distinction allows for a more accurate assessment of fiscal risk, governance failure, and opportunity cost associated with non-delivering infrastructure.</w:t>
      </w:r>
    </w:p>
    <w:p w14:paraId="6D9746E6" w14:textId="762E0C7A" w:rsidR="004D775F" w:rsidRPr="00AF0CC3" w:rsidRDefault="004D775F" w:rsidP="00240FD0">
      <w:pPr>
        <w:pStyle w:val="Heading3"/>
        <w:spacing w:before="0" w:after="240" w:line="360" w:lineRule="auto"/>
        <w:rPr>
          <w:rFonts w:cs="Times New Roman"/>
          <w:b w:val="0"/>
          <w:bCs/>
          <w:color w:val="000000" w:themeColor="text1"/>
          <w:szCs w:val="24"/>
        </w:rPr>
      </w:pPr>
      <w:bookmarkStart w:id="36" w:name="_Toc234344744"/>
      <w:bookmarkStart w:id="37" w:name="_Toc234488975"/>
      <w:r w:rsidRPr="00AF0CC3">
        <w:rPr>
          <w:rFonts w:cs="Times New Roman"/>
          <w:bCs/>
          <w:color w:val="000000" w:themeColor="text1"/>
          <w:szCs w:val="24"/>
        </w:rPr>
        <w:t>Theoretical Contribution</w:t>
      </w:r>
      <w:bookmarkEnd w:id="36"/>
      <w:bookmarkEnd w:id="37"/>
    </w:p>
    <w:p w14:paraId="5F87C6A9" w14:textId="77777777" w:rsidR="004D775F" w:rsidRPr="00AF0CC3" w:rsidRDefault="004D775F" w:rsidP="00240FD0">
      <w:pPr>
        <w:spacing w:after="240" w:line="360" w:lineRule="auto"/>
        <w:rPr>
          <w:rFonts w:ascii="Times New Roman" w:hAnsi="Times New Roman" w:cs="Times New Roman"/>
          <w:color w:val="000000" w:themeColor="text1"/>
        </w:rPr>
      </w:pPr>
      <w:r w:rsidRPr="00AF0CC3">
        <w:rPr>
          <w:rFonts w:ascii="Times New Roman" w:hAnsi="Times New Roman" w:cs="Times New Roman"/>
          <w:color w:val="000000" w:themeColor="text1"/>
        </w:rPr>
        <w:t>Theoretically, the study integrates institutional theory, principal–agent theory, transaction cost economics, and adaptive governance into a coherent analytical framework. While each of these perspectives has been applied independently in infrastructure research, they are rarely combined in a systematic, project-level analysis.</w:t>
      </w:r>
    </w:p>
    <w:p w14:paraId="76DD365B" w14:textId="77777777" w:rsidR="004D775F" w:rsidRPr="00AF0CC3" w:rsidRDefault="004D775F" w:rsidP="00240FD0">
      <w:pPr>
        <w:spacing w:after="240" w:line="360" w:lineRule="auto"/>
        <w:rPr>
          <w:rFonts w:ascii="Times New Roman" w:hAnsi="Times New Roman" w:cs="Times New Roman"/>
          <w:color w:val="000000" w:themeColor="text1"/>
        </w:rPr>
      </w:pPr>
      <w:r w:rsidRPr="00AF0CC3">
        <w:rPr>
          <w:rFonts w:ascii="Times New Roman" w:hAnsi="Times New Roman" w:cs="Times New Roman"/>
          <w:color w:val="000000" w:themeColor="text1"/>
        </w:rPr>
        <w:t>By linking early-stage governance failures to downstream outcomes such as delay, cost escalation, and stalling, the study advances understanding of how governance weaknesses propagate across the infrastructure lifecycle. The incorporation of climate risk as a moderating factor further extends adaptive governance theory by demonstrating how institutional capacity shapes infrastructure resilience under uncertainty</w:t>
      </w:r>
    </w:p>
    <w:p w14:paraId="1F7B2FA8" w14:textId="77777777" w:rsidR="004D775F" w:rsidRPr="00AF0CC3" w:rsidRDefault="004D775F" w:rsidP="00240FD0">
      <w:pPr>
        <w:spacing w:after="240" w:line="360" w:lineRule="auto"/>
        <w:rPr>
          <w:rFonts w:ascii="Times New Roman" w:hAnsi="Times New Roman" w:cs="Times New Roman"/>
          <w:color w:val="000000" w:themeColor="text1"/>
        </w:rPr>
      </w:pPr>
    </w:p>
    <w:p w14:paraId="52230D2C" w14:textId="087BC843" w:rsidR="004D775F" w:rsidRPr="00AF0CC3" w:rsidRDefault="004D775F" w:rsidP="00240FD0">
      <w:pPr>
        <w:pStyle w:val="Heading3"/>
        <w:spacing w:before="0" w:after="240" w:line="360" w:lineRule="auto"/>
        <w:rPr>
          <w:rFonts w:cs="Times New Roman"/>
          <w:b w:val="0"/>
          <w:bCs/>
          <w:color w:val="000000" w:themeColor="text1"/>
          <w:szCs w:val="24"/>
        </w:rPr>
      </w:pPr>
      <w:bookmarkStart w:id="38" w:name="_Toc234344745"/>
      <w:bookmarkStart w:id="39" w:name="_Toc234488976"/>
      <w:r w:rsidRPr="00AF0CC3">
        <w:rPr>
          <w:rFonts w:cs="Times New Roman"/>
          <w:bCs/>
          <w:color w:val="000000" w:themeColor="text1"/>
          <w:szCs w:val="24"/>
        </w:rPr>
        <w:lastRenderedPageBreak/>
        <w:t>Practical and Policy Contribution</w:t>
      </w:r>
      <w:bookmarkEnd w:id="38"/>
      <w:bookmarkEnd w:id="39"/>
    </w:p>
    <w:p w14:paraId="25BD3A43" w14:textId="6E61B820" w:rsidR="004D775F" w:rsidRPr="00AF0CC3" w:rsidRDefault="004D775F" w:rsidP="00240FD0">
      <w:pPr>
        <w:spacing w:after="240" w:line="360" w:lineRule="auto"/>
        <w:rPr>
          <w:rFonts w:ascii="Times New Roman" w:hAnsi="Times New Roman" w:cs="Times New Roman"/>
          <w:color w:val="000000" w:themeColor="text1"/>
        </w:rPr>
      </w:pPr>
      <w:r w:rsidRPr="00AF0CC3">
        <w:rPr>
          <w:rFonts w:ascii="Times New Roman" w:hAnsi="Times New Roman" w:cs="Times New Roman"/>
          <w:color w:val="000000" w:themeColor="text1"/>
        </w:rPr>
        <w:t>From a policy perspective, the study offers actionable insights for improving the governance of water</w:t>
      </w:r>
      <w:r w:rsidR="001C4BFE" w:rsidRPr="00AF0CC3">
        <w:rPr>
          <w:rFonts w:ascii="Times New Roman" w:hAnsi="Times New Roman" w:cs="Times New Roman"/>
          <w:color w:val="000000" w:themeColor="text1"/>
        </w:rPr>
        <w:t xml:space="preserve"> management </w:t>
      </w:r>
      <w:r w:rsidRPr="00AF0CC3">
        <w:rPr>
          <w:rFonts w:ascii="Times New Roman" w:hAnsi="Times New Roman" w:cs="Times New Roman"/>
          <w:color w:val="000000" w:themeColor="text1"/>
        </w:rPr>
        <w:t>infrastructure investments in Kenya and comparable contexts. By identifying specific governance dimensions associated with poor performance, the findings can inform reforms in project preparation, procurement oversight, contract management, and accountability mechanisms.</w:t>
      </w:r>
    </w:p>
    <w:p w14:paraId="6770D7AE" w14:textId="77777777" w:rsidR="004D775F" w:rsidRPr="00AF0CC3" w:rsidRDefault="004D775F" w:rsidP="00240FD0">
      <w:pPr>
        <w:spacing w:after="240" w:line="360" w:lineRule="auto"/>
        <w:rPr>
          <w:rFonts w:ascii="Times New Roman" w:hAnsi="Times New Roman" w:cs="Times New Roman"/>
          <w:color w:val="000000" w:themeColor="text1"/>
        </w:rPr>
      </w:pPr>
      <w:r w:rsidRPr="00AF0CC3">
        <w:rPr>
          <w:rFonts w:ascii="Times New Roman" w:hAnsi="Times New Roman" w:cs="Times New Roman"/>
          <w:color w:val="000000" w:themeColor="text1"/>
        </w:rPr>
        <w:t>Crucially, the study challenges the assumption that alternative financing models, such as PPPs, can substitute for governance capacity. Instead, it demonstrates that governance quality remains the primary determinant of infrastructure outcomes, regardless of financing modality.</w:t>
      </w:r>
    </w:p>
    <w:p w14:paraId="6422BDEA" w14:textId="77777777" w:rsidR="00786D67" w:rsidRPr="00AF0CC3" w:rsidRDefault="00786D67" w:rsidP="00240FD0">
      <w:pPr>
        <w:spacing w:after="240" w:line="360" w:lineRule="auto"/>
        <w:rPr>
          <w:rFonts w:ascii="Times New Roman" w:hAnsi="Times New Roman" w:cs="Times New Roman"/>
          <w:color w:val="000000" w:themeColor="text1"/>
        </w:rPr>
      </w:pPr>
    </w:p>
    <w:p w14:paraId="6176CE1D" w14:textId="48DD5D45" w:rsidR="00786D67" w:rsidRPr="00AF0CC3" w:rsidRDefault="003E60BB" w:rsidP="003E60BB">
      <w:pPr>
        <w:pStyle w:val="Heading3"/>
        <w:rPr>
          <w:rFonts w:cs="Times New Roman"/>
          <w:b w:val="0"/>
          <w:bCs/>
          <w:color w:val="000000" w:themeColor="text1"/>
          <w:szCs w:val="24"/>
        </w:rPr>
      </w:pPr>
      <w:bookmarkStart w:id="40" w:name="_Toc234344746"/>
      <w:bookmarkStart w:id="41" w:name="_Toc234488977"/>
      <w:r w:rsidRPr="00AF0CC3">
        <w:rPr>
          <w:rFonts w:cs="Times New Roman"/>
          <w:bCs/>
          <w:color w:val="000000" w:themeColor="text1"/>
          <w:szCs w:val="24"/>
        </w:rPr>
        <w:t>Contribution to Sustainable Development</w:t>
      </w:r>
      <w:bookmarkEnd w:id="40"/>
      <w:bookmarkEnd w:id="41"/>
    </w:p>
    <w:p w14:paraId="049D685D" w14:textId="77777777" w:rsidR="003E60BB" w:rsidRPr="00AF0CC3" w:rsidRDefault="003E60BB" w:rsidP="003E60BB">
      <w:pPr>
        <w:rPr>
          <w:rFonts w:ascii="Times New Roman" w:hAnsi="Times New Roman" w:cs="Times New Roman"/>
          <w:color w:val="000000" w:themeColor="text1"/>
        </w:rPr>
      </w:pPr>
    </w:p>
    <w:p w14:paraId="0E07B2A6" w14:textId="77777777" w:rsidR="00480948" w:rsidRPr="00AF0CC3" w:rsidRDefault="00480948" w:rsidP="00480948">
      <w:pPr>
        <w:rPr>
          <w:rFonts w:ascii="Times New Roman" w:hAnsi="Times New Roman" w:cs="Times New Roman"/>
          <w:color w:val="000000" w:themeColor="text1"/>
        </w:rPr>
      </w:pPr>
      <w:r w:rsidRPr="00AF0CC3">
        <w:rPr>
          <w:rFonts w:ascii="Times New Roman" w:hAnsi="Times New Roman" w:cs="Times New Roman"/>
          <w:color w:val="000000" w:themeColor="text1"/>
        </w:rPr>
        <w:t>Beyond its empirical and theoretical contributions, the study contributes to broader international development debates concerning the governance of sustainable infrastructure. Water infrastructure plays a central role in achieving multiple Sustainable Development Goals (SDGs), including clean water and sanitation (SDG 6), industry, innovation and infrastructure (SDG 9), sustainable cities and communities (SDG 11), climate action (SDG 13), and strong institutions (SDG 16). The effectiveness of infrastructure investment therefore has implications extending beyond individual projects to encompass national development, climate adaptation, public health, environmental sustainability, and economic transformation.</w:t>
      </w:r>
    </w:p>
    <w:p w14:paraId="585D559B" w14:textId="77777777" w:rsidR="00480948" w:rsidRPr="00AF0CC3" w:rsidRDefault="00480948" w:rsidP="00480948">
      <w:pPr>
        <w:rPr>
          <w:rFonts w:ascii="Times New Roman" w:hAnsi="Times New Roman" w:cs="Times New Roman"/>
          <w:color w:val="000000" w:themeColor="text1"/>
        </w:rPr>
      </w:pPr>
    </w:p>
    <w:p w14:paraId="567FAD90" w14:textId="0FAA0A35" w:rsidR="003E60BB" w:rsidRPr="00AF0CC3" w:rsidRDefault="00480948" w:rsidP="00480948">
      <w:pPr>
        <w:rPr>
          <w:rFonts w:ascii="Times New Roman" w:hAnsi="Times New Roman" w:cs="Times New Roman"/>
          <w:color w:val="000000" w:themeColor="text1"/>
        </w:rPr>
      </w:pPr>
      <w:r w:rsidRPr="00AF0CC3">
        <w:rPr>
          <w:rFonts w:ascii="Times New Roman" w:hAnsi="Times New Roman" w:cs="Times New Roman"/>
          <w:color w:val="000000" w:themeColor="text1"/>
        </w:rPr>
        <w:t>By demonstrating that governance quality is systematically associated with infrastructure delivery outcomes, the study suggests that strengthening governance institutions should be viewed as an integral component of sustainable development policy rather than solely as an administrative reform objective. Investments in governance capability may therefore complement investments in physical infrastructure by improving implementation continuity, strengthening institutional resilience, enhancing accountability, and increasing the long-term development impact of public investment.</w:t>
      </w:r>
    </w:p>
    <w:p w14:paraId="70880CC2" w14:textId="77777777" w:rsidR="00786D67" w:rsidRPr="00AF0CC3" w:rsidRDefault="00786D67" w:rsidP="00240FD0">
      <w:pPr>
        <w:spacing w:after="240" w:line="360" w:lineRule="auto"/>
        <w:rPr>
          <w:rFonts w:ascii="Times New Roman" w:hAnsi="Times New Roman" w:cs="Times New Roman"/>
          <w:color w:val="000000" w:themeColor="text1"/>
        </w:rPr>
      </w:pPr>
    </w:p>
    <w:p w14:paraId="6F0F2904" w14:textId="568C56B7" w:rsidR="004D775F" w:rsidRPr="00AF0CC3" w:rsidRDefault="004D775F" w:rsidP="00240FD0">
      <w:pPr>
        <w:pStyle w:val="Heading2"/>
        <w:spacing w:before="0" w:after="240" w:line="360" w:lineRule="auto"/>
        <w:rPr>
          <w:rFonts w:cs="Times New Roman"/>
          <w:b w:val="0"/>
          <w:bCs/>
          <w:color w:val="000000" w:themeColor="text1"/>
          <w:szCs w:val="24"/>
        </w:rPr>
      </w:pPr>
      <w:bookmarkStart w:id="42" w:name="_Toc234344747"/>
      <w:bookmarkStart w:id="43" w:name="_Toc234488978"/>
      <w:r w:rsidRPr="00AF0CC3">
        <w:rPr>
          <w:rFonts w:cs="Times New Roman"/>
          <w:bCs/>
          <w:color w:val="000000" w:themeColor="text1"/>
          <w:szCs w:val="24"/>
        </w:rPr>
        <w:lastRenderedPageBreak/>
        <w:t>Scope of the Study</w:t>
      </w:r>
      <w:bookmarkEnd w:id="42"/>
      <w:bookmarkEnd w:id="43"/>
    </w:p>
    <w:p w14:paraId="33A5737E" w14:textId="5FD0092F" w:rsidR="004D775F" w:rsidRPr="00AF0CC3" w:rsidRDefault="004D775F" w:rsidP="00240FD0">
      <w:pPr>
        <w:spacing w:after="240" w:line="360" w:lineRule="auto"/>
        <w:rPr>
          <w:rFonts w:ascii="Times New Roman" w:hAnsi="Times New Roman" w:cs="Times New Roman"/>
          <w:color w:val="000000" w:themeColor="text1"/>
        </w:rPr>
      </w:pPr>
      <w:r w:rsidRPr="00AF0CC3">
        <w:rPr>
          <w:rFonts w:ascii="Times New Roman" w:hAnsi="Times New Roman" w:cs="Times New Roman"/>
          <w:color w:val="000000" w:themeColor="text1"/>
        </w:rPr>
        <w:t xml:space="preserve">The study focuses on large-scale water </w:t>
      </w:r>
      <w:r w:rsidR="001C4BFE" w:rsidRPr="00AF0CC3">
        <w:rPr>
          <w:rFonts w:ascii="Times New Roman" w:hAnsi="Times New Roman" w:cs="Times New Roman"/>
          <w:color w:val="000000" w:themeColor="text1"/>
        </w:rPr>
        <w:t xml:space="preserve">management </w:t>
      </w:r>
      <w:r w:rsidRPr="00AF0CC3">
        <w:rPr>
          <w:rFonts w:ascii="Times New Roman" w:hAnsi="Times New Roman" w:cs="Times New Roman"/>
          <w:color w:val="000000" w:themeColor="text1"/>
        </w:rPr>
        <w:t>infrastructure projects implemented in Kenya during the post-2010 constitutional period. This period is selected because it corresponds to significant institutional change associated with devolution and water-sector reform, allowing for the examination of governance dynamics within a relatively consistent legal and policy framework.</w:t>
      </w:r>
    </w:p>
    <w:p w14:paraId="6D4C781F" w14:textId="77777777" w:rsidR="004D775F" w:rsidRPr="00AF0CC3" w:rsidRDefault="004D775F" w:rsidP="00240FD0">
      <w:pPr>
        <w:spacing w:after="240" w:line="360" w:lineRule="auto"/>
        <w:rPr>
          <w:rFonts w:ascii="Times New Roman" w:hAnsi="Times New Roman" w:cs="Times New Roman"/>
          <w:color w:val="000000" w:themeColor="text1"/>
        </w:rPr>
      </w:pPr>
      <w:r w:rsidRPr="00AF0CC3">
        <w:rPr>
          <w:rFonts w:ascii="Times New Roman" w:hAnsi="Times New Roman" w:cs="Times New Roman"/>
          <w:color w:val="000000" w:themeColor="text1"/>
        </w:rPr>
        <w:t>The types of infrastructure examined include, but are not limited to, dams and multipurpose reservoirs, Irrigation schemes, bulk water supply systems, wastewater treatment plants, stormwater and flood management infrastructure.</w:t>
      </w:r>
    </w:p>
    <w:p w14:paraId="29A924D0" w14:textId="77777777" w:rsidR="004D775F" w:rsidRPr="00AF0CC3" w:rsidRDefault="004D775F" w:rsidP="00240FD0">
      <w:pPr>
        <w:spacing w:after="240" w:line="360" w:lineRule="auto"/>
        <w:rPr>
          <w:rFonts w:ascii="Times New Roman" w:hAnsi="Times New Roman" w:cs="Times New Roman"/>
          <w:color w:val="000000" w:themeColor="text1"/>
        </w:rPr>
      </w:pPr>
    </w:p>
    <w:p w14:paraId="58F61A99" w14:textId="2200E239" w:rsidR="004D775F" w:rsidRPr="00AF0CC3" w:rsidRDefault="004D775F" w:rsidP="00240FD0">
      <w:pPr>
        <w:pStyle w:val="Heading2"/>
        <w:spacing w:before="0" w:after="240" w:line="360" w:lineRule="auto"/>
        <w:rPr>
          <w:rFonts w:cs="Times New Roman"/>
          <w:b w:val="0"/>
          <w:bCs/>
          <w:color w:val="000000" w:themeColor="text1"/>
          <w:szCs w:val="24"/>
        </w:rPr>
      </w:pPr>
      <w:bookmarkStart w:id="44" w:name="_Toc234344748"/>
      <w:bookmarkStart w:id="45" w:name="_Toc234488979"/>
      <w:r w:rsidRPr="00AF0CC3">
        <w:rPr>
          <w:rFonts w:cs="Times New Roman"/>
          <w:bCs/>
          <w:color w:val="000000" w:themeColor="text1"/>
          <w:szCs w:val="24"/>
        </w:rPr>
        <w:t>Limitations of the Study</w:t>
      </w:r>
      <w:bookmarkEnd w:id="44"/>
      <w:bookmarkEnd w:id="45"/>
    </w:p>
    <w:p w14:paraId="2C3F3390" w14:textId="6CCFF78D" w:rsidR="00FB53CF" w:rsidRPr="00AF0CC3" w:rsidRDefault="00FB53CF" w:rsidP="009F54DC">
      <w:pPr>
        <w:rPr>
          <w:rFonts w:ascii="Times New Roman" w:hAnsi="Times New Roman" w:cs="Times New Roman"/>
          <w:color w:val="000000" w:themeColor="text1"/>
        </w:rPr>
      </w:pPr>
      <w:r w:rsidRPr="00AF0CC3">
        <w:rPr>
          <w:rFonts w:ascii="Times New Roman" w:hAnsi="Times New Roman" w:cs="Times New Roman"/>
          <w:color w:val="000000" w:themeColor="text1"/>
        </w:rPr>
        <w:t xml:space="preserve">As with all empirical research, this study is subject to limitations </w:t>
      </w:r>
      <w:r w:rsidR="0041420F" w:rsidRPr="00AF0CC3">
        <w:rPr>
          <w:rFonts w:ascii="Times New Roman" w:hAnsi="Times New Roman" w:cs="Times New Roman"/>
          <w:color w:val="000000" w:themeColor="text1"/>
        </w:rPr>
        <w:t xml:space="preserve">arising from deliberate methodological choices rather than from weaknesses in the </w:t>
      </w:r>
      <w:r w:rsidRPr="00AF0CC3">
        <w:rPr>
          <w:rFonts w:ascii="Times New Roman" w:hAnsi="Times New Roman" w:cs="Times New Roman"/>
          <w:color w:val="000000" w:themeColor="text1"/>
        </w:rPr>
        <w:t xml:space="preserve">research design. These limitations are acknowledged to frame </w:t>
      </w:r>
      <w:r w:rsidR="0041420F" w:rsidRPr="00AF0CC3">
        <w:rPr>
          <w:rFonts w:ascii="Times New Roman" w:hAnsi="Times New Roman" w:cs="Times New Roman"/>
          <w:color w:val="000000" w:themeColor="text1"/>
        </w:rPr>
        <w:t xml:space="preserve">the </w:t>
      </w:r>
      <w:r w:rsidRPr="00AF0CC3">
        <w:rPr>
          <w:rFonts w:ascii="Times New Roman" w:hAnsi="Times New Roman" w:cs="Times New Roman"/>
          <w:color w:val="000000" w:themeColor="text1"/>
        </w:rPr>
        <w:t>interpretation of the findings transparently while maintaining analytical confidence.</w:t>
      </w:r>
    </w:p>
    <w:p w14:paraId="0FA9D3A9" w14:textId="77777777" w:rsidR="00FB53CF" w:rsidRPr="00AF0CC3" w:rsidRDefault="00FB53CF" w:rsidP="009F54DC">
      <w:pPr>
        <w:rPr>
          <w:rFonts w:ascii="Times New Roman" w:hAnsi="Times New Roman" w:cs="Times New Roman"/>
          <w:color w:val="000000" w:themeColor="text1"/>
        </w:rPr>
      </w:pPr>
    </w:p>
    <w:p w14:paraId="0129C4A7" w14:textId="30862986" w:rsidR="00FB53CF" w:rsidRPr="00AF0CC3" w:rsidRDefault="0041420F" w:rsidP="009F54DC">
      <w:pPr>
        <w:rPr>
          <w:rFonts w:ascii="Times New Roman" w:hAnsi="Times New Roman" w:cs="Times New Roman"/>
          <w:color w:val="000000" w:themeColor="text1"/>
        </w:rPr>
      </w:pPr>
      <w:r w:rsidRPr="00AF0CC3">
        <w:rPr>
          <w:rFonts w:ascii="Times New Roman" w:hAnsi="Times New Roman" w:cs="Times New Roman"/>
          <w:color w:val="000000" w:themeColor="text1"/>
        </w:rPr>
        <w:t>First, the study relies primarily on secondary documentary sources, including audit reports, procurement records, feasibility studies, and official project documentation. These sources provide systematic, verifiable evidence of formal governance processes but may not fully capture informal negotiations or undocumented political dynamics that influence infrastructure delivery. To mitigate this limitation, the study triangulates multiple independent sources and prioritizes audited documentation, reducing reliance on any single institutional narrative.</w:t>
      </w:r>
    </w:p>
    <w:p w14:paraId="3A69EE5F" w14:textId="77777777" w:rsidR="00FB53CF" w:rsidRPr="00AF0CC3" w:rsidRDefault="00FB53CF" w:rsidP="009F54DC">
      <w:pPr>
        <w:rPr>
          <w:rFonts w:ascii="Times New Roman" w:hAnsi="Times New Roman" w:cs="Times New Roman"/>
          <w:color w:val="000000" w:themeColor="text1"/>
        </w:rPr>
      </w:pPr>
    </w:p>
    <w:p w14:paraId="0CEA72BB" w14:textId="296E0B4B" w:rsidR="00FB53CF" w:rsidRPr="00AF0CC3" w:rsidRDefault="0001151B" w:rsidP="009F54DC">
      <w:pPr>
        <w:rPr>
          <w:rFonts w:ascii="Times New Roman" w:hAnsi="Times New Roman" w:cs="Times New Roman"/>
          <w:color w:val="000000" w:themeColor="text1"/>
        </w:rPr>
      </w:pPr>
      <w:r w:rsidRPr="00AF0CC3">
        <w:rPr>
          <w:rFonts w:ascii="Times New Roman" w:hAnsi="Times New Roman" w:cs="Times New Roman"/>
          <w:color w:val="000000" w:themeColor="text1"/>
        </w:rPr>
        <w:t>Second, the study uses a cross-sectional design, assessing governance quality and project performance at a specific point in time rather than tracking projects longitudinally. While this approach does not aim to establish strict causal sequences, it is appropriate for identifying robust, systematic associations between governance quality and delivery outcomes across a portfolio of projects, including stalled projects for which consistent time-series data are often unavailable.</w:t>
      </w:r>
    </w:p>
    <w:p w14:paraId="19402210" w14:textId="77777777" w:rsidR="00FB53CF" w:rsidRPr="00AF0CC3" w:rsidRDefault="00FB53CF" w:rsidP="009F54DC">
      <w:pPr>
        <w:rPr>
          <w:rFonts w:ascii="Times New Roman" w:hAnsi="Times New Roman" w:cs="Times New Roman"/>
          <w:color w:val="000000" w:themeColor="text1"/>
        </w:rPr>
      </w:pPr>
    </w:p>
    <w:p w14:paraId="4C678725" w14:textId="4246C449" w:rsidR="00FB53CF" w:rsidRPr="00AF0CC3" w:rsidRDefault="00460351" w:rsidP="009F54DC">
      <w:pPr>
        <w:rPr>
          <w:rFonts w:ascii="Times New Roman" w:hAnsi="Times New Roman" w:cs="Times New Roman"/>
          <w:color w:val="000000" w:themeColor="text1"/>
        </w:rPr>
      </w:pPr>
      <w:r w:rsidRPr="00AF0CC3">
        <w:rPr>
          <w:rFonts w:ascii="Times New Roman" w:hAnsi="Times New Roman" w:cs="Times New Roman"/>
          <w:color w:val="000000" w:themeColor="text1"/>
        </w:rPr>
        <w:lastRenderedPageBreak/>
        <w:t>Third, the Governance Quality Index simplifies a complex, multidimensional concept to measurable indicators aligned with international governance frameworks. While this abstraction cannot capture every nuance of governance practice, it enables consistent comparison across projects. To reduce omitted-variable bias, the empirical analysis incorporates relevant control variables grounded in the infrastructure economics and governance literature.</w:t>
      </w:r>
    </w:p>
    <w:p w14:paraId="3AB86D49" w14:textId="77777777" w:rsidR="00FB53CF" w:rsidRPr="00AF0CC3" w:rsidRDefault="00FB53CF" w:rsidP="009F54DC">
      <w:pPr>
        <w:rPr>
          <w:rFonts w:ascii="Times New Roman" w:hAnsi="Times New Roman" w:cs="Times New Roman"/>
          <w:color w:val="000000" w:themeColor="text1"/>
        </w:rPr>
      </w:pPr>
    </w:p>
    <w:p w14:paraId="50455100" w14:textId="4D357374" w:rsidR="00FB53CF" w:rsidRPr="00AF0CC3" w:rsidRDefault="00460351" w:rsidP="009F54DC">
      <w:pPr>
        <w:rPr>
          <w:rFonts w:ascii="Times New Roman" w:hAnsi="Times New Roman" w:cs="Times New Roman"/>
          <w:color w:val="000000" w:themeColor="text1"/>
        </w:rPr>
      </w:pPr>
      <w:r w:rsidRPr="00AF0CC3">
        <w:rPr>
          <w:rFonts w:ascii="Times New Roman" w:hAnsi="Times New Roman" w:cs="Times New Roman"/>
          <w:color w:val="000000" w:themeColor="text1"/>
        </w:rPr>
        <w:t>Fourth, the study focuses on water infrastructure projects within Kenya’s post-2010 constitutional context. This sectoral and geographic focus limits direct generalizability but enables deeper analysis within a shared institutional framework. The findings are therefore analytically generalizable to comparable contexts characterized by decentralization, climate exposure, and complex infrastructure governance.</w:t>
      </w:r>
    </w:p>
    <w:p w14:paraId="0E4151C8" w14:textId="77777777" w:rsidR="00FB53CF" w:rsidRPr="00AF0CC3" w:rsidRDefault="00FB53CF" w:rsidP="009F54DC">
      <w:pPr>
        <w:rPr>
          <w:rFonts w:ascii="Times New Roman" w:hAnsi="Times New Roman" w:cs="Times New Roman"/>
          <w:color w:val="000000" w:themeColor="text1"/>
        </w:rPr>
      </w:pPr>
    </w:p>
    <w:p w14:paraId="7AEB24E4" w14:textId="5B93B154" w:rsidR="00FB53CF" w:rsidRPr="00AF0CC3" w:rsidRDefault="00294E93" w:rsidP="009F54DC">
      <w:pPr>
        <w:rPr>
          <w:rFonts w:ascii="Times New Roman" w:hAnsi="Times New Roman" w:cs="Times New Roman"/>
          <w:color w:val="000000" w:themeColor="text1"/>
        </w:rPr>
      </w:pPr>
      <w:r w:rsidRPr="00AF0CC3">
        <w:rPr>
          <w:rFonts w:ascii="Times New Roman" w:hAnsi="Times New Roman" w:cs="Times New Roman"/>
          <w:color w:val="000000" w:themeColor="text1"/>
        </w:rPr>
        <w:t xml:space="preserve">Finally, climate risk is incorporated as a contextual and moderating variable rather than through detailed physical impact modeling. The study does not seek to predict future climate conditions or translate hydrological impacts into engineering </w:t>
      </w:r>
      <w:r w:rsidR="003C661D" w:rsidRPr="00AF0CC3">
        <w:rPr>
          <w:rFonts w:ascii="Times New Roman" w:hAnsi="Times New Roman" w:cs="Times New Roman"/>
          <w:color w:val="000000" w:themeColor="text1"/>
        </w:rPr>
        <w:t>parameters but</w:t>
      </w:r>
      <w:r w:rsidRPr="00AF0CC3">
        <w:rPr>
          <w:rFonts w:ascii="Times New Roman" w:hAnsi="Times New Roman" w:cs="Times New Roman"/>
          <w:color w:val="000000" w:themeColor="text1"/>
        </w:rPr>
        <w:t xml:space="preserve"> instead examines how governance arrangements shape the capacity of projects to anticipate, manage, and adapt to climate-related risks.</w:t>
      </w:r>
    </w:p>
    <w:p w14:paraId="29F34AB9" w14:textId="77777777" w:rsidR="00FB53CF" w:rsidRPr="00AF0CC3" w:rsidRDefault="00FB53CF" w:rsidP="009F54DC">
      <w:pPr>
        <w:rPr>
          <w:rFonts w:ascii="Times New Roman" w:hAnsi="Times New Roman" w:cs="Times New Roman"/>
          <w:color w:val="000000" w:themeColor="text1"/>
        </w:rPr>
      </w:pPr>
    </w:p>
    <w:p w14:paraId="76FC0485" w14:textId="77777777" w:rsidR="00087511" w:rsidRPr="00AF0CC3" w:rsidRDefault="00087511" w:rsidP="009F54DC">
      <w:pPr>
        <w:rPr>
          <w:rFonts w:ascii="Times New Roman" w:hAnsi="Times New Roman" w:cs="Times New Roman"/>
          <w:color w:val="000000" w:themeColor="text1"/>
        </w:rPr>
      </w:pPr>
      <w:r w:rsidRPr="00AF0CC3">
        <w:rPr>
          <w:rFonts w:ascii="Times New Roman" w:hAnsi="Times New Roman" w:cs="Times New Roman"/>
          <w:color w:val="000000" w:themeColor="text1"/>
        </w:rPr>
        <w:t xml:space="preserve">Collectively, these limitations reflect intentional trade-offs aligned with the study’s objective of explaining infrastructure performance through governance quality. They do not undermine the study’s feasibility or validity but rather define its analytical scope and contribution. </w:t>
      </w:r>
    </w:p>
    <w:p w14:paraId="634B58AA" w14:textId="77777777" w:rsidR="003C661D" w:rsidRPr="00AF0CC3" w:rsidRDefault="003C661D" w:rsidP="003C661D">
      <w:pPr>
        <w:rPr>
          <w:rFonts w:ascii="Times New Roman" w:hAnsi="Times New Roman" w:cs="Times New Roman"/>
          <w:color w:val="000000" w:themeColor="text1"/>
        </w:rPr>
      </w:pPr>
    </w:p>
    <w:p w14:paraId="5A9F2768" w14:textId="63E24FFA" w:rsidR="004D775F" w:rsidRPr="00AF0CC3" w:rsidRDefault="00087511" w:rsidP="00087511">
      <w:pPr>
        <w:pStyle w:val="Heading2"/>
        <w:rPr>
          <w:rFonts w:cs="Times New Roman"/>
          <w:color w:val="000000" w:themeColor="text1"/>
          <w:szCs w:val="24"/>
        </w:rPr>
      </w:pPr>
      <w:bookmarkStart w:id="46" w:name="_Toc234344749"/>
      <w:bookmarkStart w:id="47" w:name="_Toc234488980"/>
      <w:r w:rsidRPr="00AF0CC3">
        <w:rPr>
          <w:rFonts w:cs="Times New Roman"/>
          <w:color w:val="000000" w:themeColor="text1"/>
          <w:szCs w:val="24"/>
        </w:rPr>
        <w:t>Delimitations of the Study</w:t>
      </w:r>
      <w:bookmarkEnd w:id="46"/>
      <w:bookmarkEnd w:id="47"/>
    </w:p>
    <w:p w14:paraId="26B7B080" w14:textId="77777777" w:rsidR="004D775F" w:rsidRPr="00AF0CC3" w:rsidRDefault="004D775F" w:rsidP="00240FD0">
      <w:pPr>
        <w:spacing w:after="240" w:line="360" w:lineRule="auto"/>
        <w:rPr>
          <w:rFonts w:ascii="Times New Roman" w:hAnsi="Times New Roman" w:cs="Times New Roman"/>
          <w:color w:val="000000" w:themeColor="text1"/>
        </w:rPr>
      </w:pPr>
    </w:p>
    <w:p w14:paraId="6FFAF1AB" w14:textId="77777777" w:rsidR="004D775F" w:rsidRPr="00AF0CC3" w:rsidRDefault="004D775F" w:rsidP="00240FD0">
      <w:pPr>
        <w:spacing w:after="240" w:line="360" w:lineRule="auto"/>
        <w:rPr>
          <w:rFonts w:ascii="Times New Roman" w:hAnsi="Times New Roman" w:cs="Times New Roman"/>
          <w:color w:val="000000" w:themeColor="text1"/>
        </w:rPr>
      </w:pPr>
      <w:r w:rsidRPr="00AF0CC3">
        <w:rPr>
          <w:rFonts w:ascii="Times New Roman" w:hAnsi="Times New Roman" w:cs="Times New Roman"/>
          <w:color w:val="000000" w:themeColor="text1"/>
        </w:rPr>
        <w:t>To maintain the study's focus on analytical and functional methods, certain aspects of the research have been deliberately constrained.</w:t>
      </w:r>
    </w:p>
    <w:p w14:paraId="09161ECA" w14:textId="2F0D17A9" w:rsidR="004D775F" w:rsidRPr="00AF0CC3" w:rsidRDefault="004D775F" w:rsidP="00240FD0">
      <w:pPr>
        <w:spacing w:after="240" w:line="360" w:lineRule="auto"/>
        <w:rPr>
          <w:rFonts w:ascii="Times New Roman" w:hAnsi="Times New Roman" w:cs="Times New Roman"/>
          <w:color w:val="000000" w:themeColor="text1"/>
        </w:rPr>
      </w:pPr>
      <w:r w:rsidRPr="00AF0CC3">
        <w:rPr>
          <w:rFonts w:ascii="Times New Roman" w:hAnsi="Times New Roman" w:cs="Times New Roman"/>
          <w:color w:val="000000" w:themeColor="text1"/>
        </w:rPr>
        <w:t xml:space="preserve">First, it does not examine infrastructure sectors beyond water, such as transportation or energy. While governance challenges may be similar across sectors, water </w:t>
      </w:r>
      <w:r w:rsidR="008C001F" w:rsidRPr="00AF0CC3">
        <w:rPr>
          <w:rFonts w:ascii="Times New Roman" w:hAnsi="Times New Roman" w:cs="Times New Roman"/>
          <w:color w:val="000000" w:themeColor="text1"/>
        </w:rPr>
        <w:t xml:space="preserve">management </w:t>
      </w:r>
      <w:r w:rsidRPr="00AF0CC3">
        <w:rPr>
          <w:rFonts w:ascii="Times New Roman" w:hAnsi="Times New Roman" w:cs="Times New Roman"/>
          <w:color w:val="000000" w:themeColor="text1"/>
        </w:rPr>
        <w:t>infrastructure has distinct socio-ecological and institutional characteristics that warrant focused analysis.</w:t>
      </w:r>
    </w:p>
    <w:p w14:paraId="30A7F3FD" w14:textId="77777777" w:rsidR="004D775F" w:rsidRPr="00AF0CC3" w:rsidRDefault="004D775F" w:rsidP="00240FD0">
      <w:pPr>
        <w:spacing w:after="240" w:line="360" w:lineRule="auto"/>
        <w:rPr>
          <w:rFonts w:ascii="Times New Roman" w:hAnsi="Times New Roman" w:cs="Times New Roman"/>
          <w:color w:val="000000" w:themeColor="text1"/>
        </w:rPr>
      </w:pPr>
      <w:r w:rsidRPr="00AF0CC3">
        <w:rPr>
          <w:rFonts w:ascii="Times New Roman" w:hAnsi="Times New Roman" w:cs="Times New Roman"/>
          <w:color w:val="000000" w:themeColor="text1"/>
        </w:rPr>
        <w:t xml:space="preserve">Second, the study focuses on the timely, on-budget completion of infrastructure projects rather than on long-term operational performance after commissioning. The emphasis is on </w:t>
      </w:r>
      <w:r w:rsidRPr="00AF0CC3">
        <w:rPr>
          <w:rFonts w:ascii="Times New Roman" w:hAnsi="Times New Roman" w:cs="Times New Roman"/>
          <w:color w:val="000000" w:themeColor="text1"/>
        </w:rPr>
        <w:lastRenderedPageBreak/>
        <w:t>understanding why projects fail to reach completion or experience significant time and budget overruns, rather than on post-commissioning service quality.</w:t>
      </w:r>
    </w:p>
    <w:p w14:paraId="36480B20" w14:textId="77777777" w:rsidR="004D775F" w:rsidRPr="00AF0CC3" w:rsidRDefault="004D775F" w:rsidP="00240FD0">
      <w:pPr>
        <w:spacing w:after="240" w:line="360" w:lineRule="auto"/>
        <w:rPr>
          <w:rFonts w:ascii="Times New Roman" w:hAnsi="Times New Roman" w:cs="Times New Roman"/>
          <w:color w:val="000000" w:themeColor="text1"/>
        </w:rPr>
      </w:pPr>
      <w:r w:rsidRPr="00AF0CC3">
        <w:rPr>
          <w:rFonts w:ascii="Times New Roman" w:hAnsi="Times New Roman" w:cs="Times New Roman"/>
          <w:color w:val="000000" w:themeColor="text1"/>
        </w:rPr>
        <w:t>Third, the study relies primarily on documentary and administrative data. While stakeholder interviews could provide additional insights, they are not the primary data source because of inconsistent project practices. Given the politically sensitive nature of stalled infrastructure projects and the risk of retrospective rationalization, the study prioritized documentary evidence. This approach aligns with the study’s focus on institutional performance rather than on individual perceptions.</w:t>
      </w:r>
    </w:p>
    <w:p w14:paraId="04DF98C7" w14:textId="77777777" w:rsidR="004D775F" w:rsidRPr="00AF0CC3" w:rsidRDefault="004D775F" w:rsidP="00240FD0">
      <w:pPr>
        <w:spacing w:after="240" w:line="360" w:lineRule="auto"/>
        <w:rPr>
          <w:rFonts w:ascii="Times New Roman" w:hAnsi="Times New Roman" w:cs="Times New Roman"/>
          <w:color w:val="000000" w:themeColor="text1"/>
        </w:rPr>
      </w:pPr>
    </w:p>
    <w:p w14:paraId="10F4CF15" w14:textId="52B136ED" w:rsidR="004D775F" w:rsidRPr="00AF0CC3" w:rsidRDefault="004D775F" w:rsidP="00240FD0">
      <w:pPr>
        <w:pStyle w:val="Heading2"/>
        <w:spacing w:before="0" w:after="240" w:line="360" w:lineRule="auto"/>
        <w:rPr>
          <w:rFonts w:cs="Times New Roman"/>
          <w:b w:val="0"/>
          <w:bCs/>
          <w:color w:val="000000" w:themeColor="text1"/>
          <w:szCs w:val="24"/>
        </w:rPr>
      </w:pPr>
      <w:bookmarkStart w:id="48" w:name="_Toc234344750"/>
      <w:bookmarkStart w:id="49" w:name="_Toc234488981"/>
      <w:r w:rsidRPr="00AF0CC3">
        <w:rPr>
          <w:rFonts w:cs="Times New Roman"/>
          <w:bCs/>
          <w:color w:val="000000" w:themeColor="text1"/>
          <w:szCs w:val="24"/>
        </w:rPr>
        <w:t>Assumptions</w:t>
      </w:r>
      <w:bookmarkEnd w:id="48"/>
      <w:bookmarkEnd w:id="49"/>
    </w:p>
    <w:p w14:paraId="1AB9025E" w14:textId="77777777" w:rsidR="004D775F" w:rsidRPr="00AF0CC3" w:rsidRDefault="004D775F" w:rsidP="00240FD0">
      <w:pPr>
        <w:spacing w:after="240" w:line="360" w:lineRule="auto"/>
        <w:rPr>
          <w:rFonts w:ascii="Times New Roman" w:hAnsi="Times New Roman" w:cs="Times New Roman"/>
          <w:color w:val="000000" w:themeColor="text1"/>
        </w:rPr>
      </w:pPr>
      <w:r w:rsidRPr="00AF0CC3">
        <w:rPr>
          <w:rFonts w:ascii="Times New Roman" w:hAnsi="Times New Roman" w:cs="Times New Roman"/>
          <w:color w:val="000000" w:themeColor="text1"/>
        </w:rPr>
        <w:t>The study is based on the following key assumptions.</w:t>
      </w:r>
    </w:p>
    <w:p w14:paraId="469C8A4B" w14:textId="77777777" w:rsidR="004D775F" w:rsidRPr="00AF0CC3" w:rsidRDefault="004D775F" w:rsidP="00240FD0">
      <w:pPr>
        <w:spacing w:after="240" w:line="360" w:lineRule="auto"/>
        <w:rPr>
          <w:rFonts w:ascii="Times New Roman" w:hAnsi="Times New Roman" w:cs="Times New Roman"/>
          <w:color w:val="000000" w:themeColor="text1"/>
        </w:rPr>
      </w:pPr>
      <w:r w:rsidRPr="00AF0CC3">
        <w:rPr>
          <w:rFonts w:ascii="Times New Roman" w:hAnsi="Times New Roman" w:cs="Times New Roman"/>
          <w:color w:val="000000" w:themeColor="text1"/>
        </w:rPr>
        <w:t>First, it assumes that project documentation—such as feasibility studies, contracts, audit reports, and supervision records—reasonably reflects governance practices and decisions. Although documentation may be incomplete or imperfect, triangulation across multiple sources mitigates this limitation.</w:t>
      </w:r>
    </w:p>
    <w:p w14:paraId="7E723749" w14:textId="77777777" w:rsidR="004D775F" w:rsidRPr="00AF0CC3" w:rsidRDefault="004D775F" w:rsidP="00240FD0">
      <w:pPr>
        <w:spacing w:after="240" w:line="360" w:lineRule="auto"/>
        <w:rPr>
          <w:rFonts w:ascii="Times New Roman" w:hAnsi="Times New Roman" w:cs="Times New Roman"/>
          <w:color w:val="000000" w:themeColor="text1"/>
        </w:rPr>
      </w:pPr>
      <w:r w:rsidRPr="00AF0CC3">
        <w:rPr>
          <w:rFonts w:ascii="Times New Roman" w:hAnsi="Times New Roman" w:cs="Times New Roman"/>
          <w:color w:val="000000" w:themeColor="text1"/>
        </w:rPr>
        <w:t>Second, it assumes that observed project performance outcomes are meaningfully influenced by governance quality, even though other factors may also play a role. The study does not claim strict causality but seeks to identify robust associations consistent with theory.</w:t>
      </w:r>
    </w:p>
    <w:p w14:paraId="7EBFD5C4" w14:textId="77777777" w:rsidR="004D775F" w:rsidRPr="00AF0CC3" w:rsidRDefault="004D775F" w:rsidP="00240FD0">
      <w:pPr>
        <w:spacing w:after="240" w:line="360" w:lineRule="auto"/>
        <w:rPr>
          <w:rFonts w:ascii="Times New Roman" w:hAnsi="Times New Roman" w:cs="Times New Roman"/>
          <w:color w:val="000000" w:themeColor="text1"/>
        </w:rPr>
      </w:pPr>
      <w:r w:rsidRPr="00AF0CC3">
        <w:rPr>
          <w:rFonts w:ascii="Times New Roman" w:hAnsi="Times New Roman" w:cs="Times New Roman"/>
          <w:color w:val="000000" w:themeColor="text1"/>
        </w:rPr>
        <w:t>Third, it assumes that governance practices are sufficiently stable throughout the project lifecycle to enable meaningful measurement at the project level.</w:t>
      </w:r>
    </w:p>
    <w:p w14:paraId="2078AFEC" w14:textId="77777777" w:rsidR="004D775F" w:rsidRPr="00AF0CC3" w:rsidRDefault="004D775F" w:rsidP="00240FD0">
      <w:pPr>
        <w:spacing w:after="240" w:line="360" w:lineRule="auto"/>
        <w:rPr>
          <w:rFonts w:ascii="Times New Roman" w:hAnsi="Times New Roman" w:cs="Times New Roman"/>
          <w:color w:val="000000" w:themeColor="text1"/>
        </w:rPr>
      </w:pPr>
    </w:p>
    <w:p w14:paraId="5101C3FB" w14:textId="3EB77192" w:rsidR="004D775F" w:rsidRPr="00AF0CC3" w:rsidRDefault="004D775F" w:rsidP="00240FD0">
      <w:pPr>
        <w:pStyle w:val="Heading2"/>
        <w:spacing w:before="0" w:after="240" w:line="360" w:lineRule="auto"/>
        <w:rPr>
          <w:rFonts w:cs="Times New Roman"/>
          <w:b w:val="0"/>
          <w:bCs/>
          <w:color w:val="000000" w:themeColor="text1"/>
          <w:szCs w:val="24"/>
        </w:rPr>
      </w:pPr>
      <w:bookmarkStart w:id="50" w:name="_Toc234344751"/>
      <w:bookmarkStart w:id="51" w:name="_Toc234488982"/>
      <w:r w:rsidRPr="00AF0CC3">
        <w:rPr>
          <w:rFonts w:cs="Times New Roman"/>
          <w:bCs/>
          <w:color w:val="000000" w:themeColor="text1"/>
          <w:szCs w:val="24"/>
        </w:rPr>
        <w:t>Definition of Key Terms and Operational Clarification</w:t>
      </w:r>
      <w:bookmarkEnd w:id="50"/>
      <w:bookmarkEnd w:id="51"/>
    </w:p>
    <w:p w14:paraId="4BC84674" w14:textId="77777777" w:rsidR="004D775F" w:rsidRPr="00AF0CC3" w:rsidRDefault="004D775F" w:rsidP="00240FD0">
      <w:pPr>
        <w:spacing w:after="240" w:line="360" w:lineRule="auto"/>
        <w:rPr>
          <w:rFonts w:ascii="Times New Roman" w:hAnsi="Times New Roman" w:cs="Times New Roman"/>
          <w:color w:val="000000" w:themeColor="text1"/>
        </w:rPr>
      </w:pPr>
    </w:p>
    <w:p w14:paraId="5D43BAE9" w14:textId="1C094BB4" w:rsidR="004D775F" w:rsidRPr="00AF0CC3" w:rsidRDefault="004D775F" w:rsidP="00240FD0">
      <w:pPr>
        <w:spacing w:after="240" w:line="360" w:lineRule="auto"/>
        <w:rPr>
          <w:rFonts w:ascii="Times New Roman" w:hAnsi="Times New Roman" w:cs="Times New Roman"/>
          <w:color w:val="000000" w:themeColor="text1"/>
        </w:rPr>
      </w:pPr>
      <w:r w:rsidRPr="00AF0CC3">
        <w:rPr>
          <w:rFonts w:ascii="Times New Roman" w:hAnsi="Times New Roman" w:cs="Times New Roman"/>
          <w:color w:val="000000" w:themeColor="text1"/>
        </w:rPr>
        <w:t xml:space="preserve">Given the interdisciplinary nature of this study, several core concepts require clarification to ensure conceptual precision and analytical consistency. Where relevant, definitions are </w:t>
      </w:r>
      <w:r w:rsidRPr="00AF0CC3">
        <w:rPr>
          <w:rFonts w:ascii="Times New Roman" w:hAnsi="Times New Roman" w:cs="Times New Roman"/>
          <w:color w:val="000000" w:themeColor="text1"/>
        </w:rPr>
        <w:lastRenderedPageBreak/>
        <w:t xml:space="preserve">accompanied by brief explanations of how each concept is operationalised in the empirical analysis. </w:t>
      </w:r>
    </w:p>
    <w:p w14:paraId="0A6676A2" w14:textId="77777777" w:rsidR="004D775F" w:rsidRPr="00AF0CC3" w:rsidRDefault="004D775F" w:rsidP="00240FD0">
      <w:pPr>
        <w:spacing w:after="240" w:line="360" w:lineRule="auto"/>
        <w:rPr>
          <w:rFonts w:ascii="Times New Roman" w:hAnsi="Times New Roman" w:cs="Times New Roman"/>
          <w:color w:val="000000" w:themeColor="text1"/>
        </w:rPr>
      </w:pPr>
    </w:p>
    <w:p w14:paraId="17E1CD3E" w14:textId="07C18346" w:rsidR="004D775F" w:rsidRPr="00AF0CC3" w:rsidRDefault="004D775F" w:rsidP="00240FD0">
      <w:pPr>
        <w:spacing w:after="240" w:line="360" w:lineRule="auto"/>
        <w:rPr>
          <w:rFonts w:ascii="Times New Roman" w:hAnsi="Times New Roman" w:cs="Times New Roman"/>
          <w:b/>
          <w:bCs/>
          <w:color w:val="000000" w:themeColor="text1"/>
        </w:rPr>
      </w:pPr>
      <w:r w:rsidRPr="00AF0CC3">
        <w:rPr>
          <w:rFonts w:ascii="Times New Roman" w:hAnsi="Times New Roman" w:cs="Times New Roman"/>
          <w:b/>
          <w:bCs/>
          <w:color w:val="000000" w:themeColor="text1"/>
        </w:rPr>
        <w:t>Water Management Infrastructure</w:t>
      </w:r>
    </w:p>
    <w:p w14:paraId="4C8B7354" w14:textId="6F820A99" w:rsidR="004D775F" w:rsidRPr="00AF0CC3" w:rsidRDefault="004D775F" w:rsidP="00240FD0">
      <w:pPr>
        <w:spacing w:after="240" w:line="360" w:lineRule="auto"/>
        <w:rPr>
          <w:rFonts w:ascii="Times New Roman" w:hAnsi="Times New Roman" w:cs="Times New Roman"/>
          <w:color w:val="000000" w:themeColor="text1"/>
        </w:rPr>
      </w:pPr>
      <w:r w:rsidRPr="00AF0CC3">
        <w:rPr>
          <w:rFonts w:ascii="Times New Roman" w:hAnsi="Times New Roman" w:cs="Times New Roman"/>
          <w:color w:val="000000" w:themeColor="text1"/>
        </w:rPr>
        <w:t>Water management infrastructure comprises physical and organizational systems that regulate the availability, distribution, and control of water resources across varying climatic conditions. In this study, the term encompasses infrastructure for water abstraction (e.g., boreholes, intakes), storage (e.g., dams, reservoirs, water pans), conveyance (e.g., pipelines, canals), treatment, urban drainage, flood control, and watershed management. Operationally, the study focuses on discrete infrastructure projects within these categories that were implemented as part of national or county-level development program</w:t>
      </w:r>
      <w:r w:rsidR="005C6CFA">
        <w:rPr>
          <w:rFonts w:ascii="Times New Roman" w:hAnsi="Times New Roman" w:cs="Times New Roman"/>
          <w:color w:val="000000" w:themeColor="text1"/>
        </w:rPr>
        <w:t xml:space="preserve">s </w:t>
      </w:r>
      <w:r w:rsidRPr="00AF0CC3">
        <w:rPr>
          <w:rFonts w:ascii="Times New Roman" w:hAnsi="Times New Roman" w:cs="Times New Roman"/>
          <w:color w:val="000000" w:themeColor="text1"/>
        </w:rPr>
        <w:t>in Kenya.</w:t>
      </w:r>
    </w:p>
    <w:p w14:paraId="1CD43303" w14:textId="77777777" w:rsidR="004D775F" w:rsidRPr="00AF0CC3" w:rsidRDefault="004D775F" w:rsidP="00240FD0">
      <w:pPr>
        <w:spacing w:after="240" w:line="360" w:lineRule="auto"/>
        <w:rPr>
          <w:rFonts w:ascii="Times New Roman" w:hAnsi="Times New Roman" w:cs="Times New Roman"/>
          <w:b/>
          <w:bCs/>
          <w:color w:val="000000" w:themeColor="text1"/>
        </w:rPr>
      </w:pPr>
      <w:r w:rsidRPr="00AF0CC3">
        <w:rPr>
          <w:rFonts w:ascii="Times New Roman" w:hAnsi="Times New Roman" w:cs="Times New Roman"/>
          <w:b/>
          <w:bCs/>
          <w:color w:val="000000" w:themeColor="text1"/>
        </w:rPr>
        <w:t>Climate-Resilient Infrastructure</w:t>
      </w:r>
    </w:p>
    <w:p w14:paraId="13B5B73C" w14:textId="4CD15295" w:rsidR="004D775F" w:rsidRPr="00AF0CC3" w:rsidRDefault="004D775F" w:rsidP="00240FD0">
      <w:pPr>
        <w:spacing w:after="240" w:line="360" w:lineRule="auto"/>
        <w:rPr>
          <w:rFonts w:ascii="Times New Roman" w:hAnsi="Times New Roman" w:cs="Times New Roman"/>
          <w:color w:val="000000" w:themeColor="text1"/>
        </w:rPr>
      </w:pPr>
      <w:r w:rsidRPr="00AF0CC3">
        <w:rPr>
          <w:rFonts w:ascii="Times New Roman" w:hAnsi="Times New Roman" w:cs="Times New Roman"/>
          <w:color w:val="000000" w:themeColor="text1"/>
        </w:rPr>
        <w:t xml:space="preserve">Climate-resilient infrastructure is defined as infrastructure that is planned, delivered, and managed in ways that enable it to withstand, adapt to, and recover from climate-related shocks such as droughts and floods (Rodina, 2019; IPCC, 2022). In this study, climate resilience is not treated as a design attribute alone but as a performance characteristic observed over time. It is </w:t>
      </w:r>
      <w:r w:rsidR="005C6CFA">
        <w:rPr>
          <w:rFonts w:ascii="Times New Roman" w:hAnsi="Times New Roman" w:cs="Times New Roman"/>
          <w:color w:val="000000" w:themeColor="text1"/>
        </w:rPr>
        <w:t>operationalized</w:t>
      </w:r>
      <w:r w:rsidRPr="00AF0CC3">
        <w:rPr>
          <w:rFonts w:ascii="Times New Roman" w:hAnsi="Times New Roman" w:cs="Times New Roman"/>
          <w:color w:val="000000" w:themeColor="text1"/>
        </w:rPr>
        <w:t xml:space="preserve"> through indicators of service continuity, post-shock functionality, and recovery capacity following documented drought or flood events during or after project implementation.</w:t>
      </w:r>
    </w:p>
    <w:p w14:paraId="3D4334AA" w14:textId="77777777" w:rsidR="004D775F" w:rsidRPr="00AF0CC3" w:rsidRDefault="004D775F" w:rsidP="00240FD0">
      <w:pPr>
        <w:spacing w:after="240" w:line="360" w:lineRule="auto"/>
        <w:rPr>
          <w:rFonts w:ascii="Times New Roman" w:hAnsi="Times New Roman" w:cs="Times New Roman"/>
          <w:b/>
          <w:bCs/>
          <w:color w:val="000000" w:themeColor="text1"/>
        </w:rPr>
      </w:pPr>
      <w:r w:rsidRPr="00AF0CC3">
        <w:rPr>
          <w:rFonts w:ascii="Times New Roman" w:hAnsi="Times New Roman" w:cs="Times New Roman"/>
          <w:b/>
          <w:bCs/>
          <w:color w:val="000000" w:themeColor="text1"/>
        </w:rPr>
        <w:t>Social–Public–Private Partnership (S-PPP)</w:t>
      </w:r>
    </w:p>
    <w:p w14:paraId="56483C9E" w14:textId="342D652F" w:rsidR="004D775F" w:rsidRPr="00AF0CC3" w:rsidRDefault="004D775F" w:rsidP="00240FD0">
      <w:pPr>
        <w:spacing w:after="240" w:line="360" w:lineRule="auto"/>
        <w:rPr>
          <w:rFonts w:ascii="Times New Roman" w:hAnsi="Times New Roman" w:cs="Times New Roman"/>
          <w:color w:val="000000" w:themeColor="text1"/>
        </w:rPr>
      </w:pPr>
      <w:r w:rsidRPr="00AF0CC3">
        <w:rPr>
          <w:rFonts w:ascii="Times New Roman" w:hAnsi="Times New Roman" w:cs="Times New Roman"/>
          <w:color w:val="000000" w:themeColor="text1"/>
        </w:rPr>
        <w:t xml:space="preserve">A Social–Public–Private Partnership </w:t>
      </w:r>
      <w:r w:rsidR="00A34964">
        <w:rPr>
          <w:rFonts w:ascii="Times New Roman" w:hAnsi="Times New Roman" w:cs="Times New Roman"/>
          <w:color w:val="000000" w:themeColor="text1"/>
        </w:rPr>
        <w:t>is a governance arrangement in which public authorities, private-sector</w:t>
      </w:r>
      <w:r w:rsidRPr="00AF0CC3">
        <w:rPr>
          <w:rFonts w:ascii="Times New Roman" w:hAnsi="Times New Roman" w:cs="Times New Roman"/>
          <w:color w:val="000000" w:themeColor="text1"/>
        </w:rPr>
        <w:t xml:space="preserve"> actors, and social stakeholders—such as community </w:t>
      </w:r>
      <w:r w:rsidR="00A34964">
        <w:rPr>
          <w:rFonts w:ascii="Times New Roman" w:hAnsi="Times New Roman" w:cs="Times New Roman"/>
          <w:color w:val="000000" w:themeColor="text1"/>
        </w:rPr>
        <w:t>organizations</w:t>
      </w:r>
      <w:r w:rsidRPr="00AF0CC3">
        <w:rPr>
          <w:rFonts w:ascii="Times New Roman" w:hAnsi="Times New Roman" w:cs="Times New Roman"/>
          <w:color w:val="000000" w:themeColor="text1"/>
        </w:rPr>
        <w:t xml:space="preserve">, civil society groups, or development partners—jointly participate in infrastructure delivery. Unlike conventional PPP models that primarily </w:t>
      </w:r>
      <w:r w:rsidR="00A34964" w:rsidRPr="00AF0CC3">
        <w:rPr>
          <w:rFonts w:ascii="Times New Roman" w:hAnsi="Times New Roman" w:cs="Times New Roman"/>
          <w:color w:val="000000" w:themeColor="text1"/>
        </w:rPr>
        <w:t>emphasize</w:t>
      </w:r>
      <w:r w:rsidRPr="00AF0CC3">
        <w:rPr>
          <w:rFonts w:ascii="Times New Roman" w:hAnsi="Times New Roman" w:cs="Times New Roman"/>
          <w:color w:val="000000" w:themeColor="text1"/>
        </w:rPr>
        <w:t xml:space="preserve"> contractual relationships between public and private actors, S-PPPs explicitly incorporate social actors in decision-making, oversight, or implementation roles (Cleaver &amp; Whaley, 2018). In this study, S-PPPs are identified based on documented involvement of social actors beyond consultation, including roles in governance, monitoring, or service interface.</w:t>
      </w:r>
    </w:p>
    <w:p w14:paraId="2C4A5197" w14:textId="77777777" w:rsidR="004D775F" w:rsidRPr="00AF0CC3" w:rsidRDefault="004D775F" w:rsidP="00240FD0">
      <w:pPr>
        <w:spacing w:after="240" w:line="360" w:lineRule="auto"/>
        <w:rPr>
          <w:rFonts w:ascii="Times New Roman" w:hAnsi="Times New Roman" w:cs="Times New Roman"/>
          <w:color w:val="000000" w:themeColor="text1"/>
        </w:rPr>
      </w:pPr>
    </w:p>
    <w:p w14:paraId="3A28DFAE" w14:textId="77777777" w:rsidR="004D775F" w:rsidRPr="00AF0CC3" w:rsidRDefault="004D775F" w:rsidP="00240FD0">
      <w:pPr>
        <w:spacing w:after="240" w:line="360" w:lineRule="auto"/>
        <w:rPr>
          <w:rFonts w:ascii="Times New Roman" w:hAnsi="Times New Roman" w:cs="Times New Roman"/>
          <w:b/>
          <w:bCs/>
          <w:color w:val="000000" w:themeColor="text1"/>
        </w:rPr>
      </w:pPr>
      <w:r w:rsidRPr="00AF0CC3">
        <w:rPr>
          <w:rFonts w:ascii="Times New Roman" w:hAnsi="Times New Roman" w:cs="Times New Roman"/>
          <w:b/>
          <w:bCs/>
          <w:color w:val="000000" w:themeColor="text1"/>
        </w:rPr>
        <w:t>Governance of Social–Public–Private Partnerships</w:t>
      </w:r>
    </w:p>
    <w:p w14:paraId="4D19D72C" w14:textId="77777777" w:rsidR="004D775F" w:rsidRPr="00AF0CC3" w:rsidRDefault="004D775F" w:rsidP="00240FD0">
      <w:pPr>
        <w:spacing w:after="240" w:line="360" w:lineRule="auto"/>
        <w:rPr>
          <w:rFonts w:ascii="Times New Roman" w:hAnsi="Times New Roman" w:cs="Times New Roman"/>
          <w:color w:val="000000" w:themeColor="text1"/>
        </w:rPr>
      </w:pPr>
    </w:p>
    <w:p w14:paraId="73609F54" w14:textId="175B5C36" w:rsidR="004D775F" w:rsidRPr="00AF0CC3" w:rsidRDefault="004D775F" w:rsidP="00240FD0">
      <w:pPr>
        <w:spacing w:after="240" w:line="360" w:lineRule="auto"/>
        <w:rPr>
          <w:rFonts w:ascii="Times New Roman" w:hAnsi="Times New Roman" w:cs="Times New Roman"/>
          <w:color w:val="000000" w:themeColor="text1"/>
        </w:rPr>
      </w:pPr>
      <w:r w:rsidRPr="00AF0CC3">
        <w:rPr>
          <w:rFonts w:ascii="Times New Roman" w:hAnsi="Times New Roman" w:cs="Times New Roman"/>
          <w:color w:val="000000" w:themeColor="text1"/>
        </w:rPr>
        <w:t xml:space="preserve">Governance of Social–Public–Private Partnerships refers to the formal and informal institutional arrangements that shape how S-PPP projects are planned, financed, implemented, monitored, and adapted over time. This includes decision-making authority, accountability mechanisms, coordination structures, procurement and contract management practices, financial oversight, and adaptive capacity under uncertainty (Pahl-Wostl et al., 2020). Governance is treated as the primary explanatory variable in the study and is </w:t>
      </w:r>
      <w:r w:rsidR="00A34964">
        <w:rPr>
          <w:rFonts w:ascii="Times New Roman" w:hAnsi="Times New Roman" w:cs="Times New Roman"/>
          <w:color w:val="000000" w:themeColor="text1"/>
        </w:rPr>
        <w:t>operationalized</w:t>
      </w:r>
      <w:r w:rsidRPr="00AF0CC3">
        <w:rPr>
          <w:rFonts w:ascii="Times New Roman" w:hAnsi="Times New Roman" w:cs="Times New Roman"/>
          <w:color w:val="000000" w:themeColor="text1"/>
        </w:rPr>
        <w:t xml:space="preserve"> through a composite governance index described in Chapter Three.</w:t>
      </w:r>
    </w:p>
    <w:p w14:paraId="5CCD4C61" w14:textId="77777777" w:rsidR="004D775F" w:rsidRPr="00AF0CC3" w:rsidRDefault="004D775F" w:rsidP="00240FD0">
      <w:pPr>
        <w:spacing w:after="240" w:line="360" w:lineRule="auto"/>
        <w:rPr>
          <w:rFonts w:ascii="Times New Roman" w:hAnsi="Times New Roman" w:cs="Times New Roman"/>
          <w:color w:val="000000" w:themeColor="text1"/>
        </w:rPr>
      </w:pPr>
    </w:p>
    <w:p w14:paraId="4AF8109C" w14:textId="77777777" w:rsidR="004D775F" w:rsidRPr="00AF0CC3" w:rsidRDefault="004D775F" w:rsidP="00240FD0">
      <w:pPr>
        <w:spacing w:after="240" w:line="360" w:lineRule="auto"/>
        <w:rPr>
          <w:rFonts w:ascii="Times New Roman" w:hAnsi="Times New Roman" w:cs="Times New Roman"/>
          <w:b/>
          <w:bCs/>
          <w:color w:val="000000" w:themeColor="text1"/>
        </w:rPr>
      </w:pPr>
      <w:r w:rsidRPr="00AF0CC3">
        <w:rPr>
          <w:rFonts w:ascii="Times New Roman" w:hAnsi="Times New Roman" w:cs="Times New Roman"/>
          <w:b/>
          <w:bCs/>
          <w:color w:val="000000" w:themeColor="text1"/>
        </w:rPr>
        <w:t>Governance Quality</w:t>
      </w:r>
    </w:p>
    <w:p w14:paraId="29A215AD" w14:textId="5F045AB0" w:rsidR="004D775F" w:rsidRPr="00AF0CC3" w:rsidRDefault="004D775F" w:rsidP="00240FD0">
      <w:pPr>
        <w:spacing w:after="240" w:line="360" w:lineRule="auto"/>
        <w:rPr>
          <w:rFonts w:ascii="Times New Roman" w:hAnsi="Times New Roman" w:cs="Times New Roman"/>
          <w:color w:val="000000" w:themeColor="text1"/>
        </w:rPr>
      </w:pPr>
      <w:r w:rsidRPr="00AF0CC3">
        <w:rPr>
          <w:rFonts w:ascii="Times New Roman" w:hAnsi="Times New Roman" w:cs="Times New Roman"/>
          <w:color w:val="000000" w:themeColor="text1"/>
        </w:rPr>
        <w:t xml:space="preserve">Governance quality denotes the effectiveness </w:t>
      </w:r>
      <w:r w:rsidR="007C0170">
        <w:rPr>
          <w:rFonts w:ascii="Times New Roman" w:hAnsi="Times New Roman" w:cs="Times New Roman"/>
          <w:color w:val="000000" w:themeColor="text1"/>
        </w:rPr>
        <w:t>of governance structures in enabling</w:t>
      </w:r>
      <w:r w:rsidRPr="00AF0CC3">
        <w:rPr>
          <w:rFonts w:ascii="Times New Roman" w:hAnsi="Times New Roman" w:cs="Times New Roman"/>
          <w:color w:val="000000" w:themeColor="text1"/>
        </w:rPr>
        <w:t xml:space="preserve"> timely, transparent, coordinated, and accountable infrastructure delivery. In this study, Governance quality is operationalized </w:t>
      </w:r>
      <w:r w:rsidR="007C0170">
        <w:rPr>
          <w:rFonts w:ascii="Times New Roman" w:hAnsi="Times New Roman" w:cs="Times New Roman"/>
          <w:color w:val="000000" w:themeColor="text1"/>
        </w:rPr>
        <w:t>through a Governance Quality Index (GQI) aligned</w:t>
      </w:r>
      <w:r w:rsidRPr="00AF0CC3">
        <w:rPr>
          <w:rFonts w:ascii="Times New Roman" w:hAnsi="Times New Roman" w:cs="Times New Roman"/>
          <w:color w:val="000000" w:themeColor="text1"/>
        </w:rPr>
        <w:t xml:space="preserve"> with OECD PPP governance principles and the World Bank PPP lifecycle framework.</w:t>
      </w:r>
    </w:p>
    <w:p w14:paraId="4A2661FE" w14:textId="77777777" w:rsidR="004D775F" w:rsidRPr="00AF0CC3" w:rsidRDefault="004D775F" w:rsidP="00240FD0">
      <w:pPr>
        <w:spacing w:after="240" w:line="360" w:lineRule="auto"/>
        <w:rPr>
          <w:rFonts w:ascii="Times New Roman" w:hAnsi="Times New Roman" w:cs="Times New Roman"/>
          <w:color w:val="000000" w:themeColor="text1"/>
        </w:rPr>
      </w:pPr>
      <w:r w:rsidRPr="00AF0CC3">
        <w:rPr>
          <w:rFonts w:ascii="Times New Roman" w:hAnsi="Times New Roman" w:cs="Times New Roman"/>
          <w:color w:val="000000" w:themeColor="text1"/>
        </w:rPr>
        <w:t>The index comprises five dimensions:</w:t>
      </w:r>
    </w:p>
    <w:p w14:paraId="3D8A2670" w14:textId="77777777" w:rsidR="004D775F" w:rsidRPr="00AF0CC3" w:rsidRDefault="004D775F" w:rsidP="00240FD0">
      <w:pPr>
        <w:spacing w:after="240" w:line="360" w:lineRule="auto"/>
        <w:rPr>
          <w:rFonts w:ascii="Times New Roman" w:hAnsi="Times New Roman" w:cs="Times New Roman"/>
          <w:color w:val="000000" w:themeColor="text1"/>
        </w:rPr>
      </w:pPr>
      <w:r w:rsidRPr="00AF0CC3">
        <w:rPr>
          <w:rFonts w:ascii="Times New Roman" w:hAnsi="Times New Roman" w:cs="Times New Roman"/>
          <w:color w:val="000000" w:themeColor="text1"/>
        </w:rPr>
        <w:t>•</w:t>
      </w:r>
      <w:r w:rsidRPr="00AF0CC3">
        <w:rPr>
          <w:rFonts w:ascii="Times New Roman" w:hAnsi="Times New Roman" w:cs="Times New Roman"/>
          <w:color w:val="000000" w:themeColor="text1"/>
        </w:rPr>
        <w:tab/>
        <w:t>Project preparation and appraisal</w:t>
      </w:r>
    </w:p>
    <w:p w14:paraId="77F1765E" w14:textId="77777777" w:rsidR="004D775F" w:rsidRPr="00AF0CC3" w:rsidRDefault="004D775F" w:rsidP="00240FD0">
      <w:pPr>
        <w:spacing w:after="240" w:line="360" w:lineRule="auto"/>
        <w:rPr>
          <w:rFonts w:ascii="Times New Roman" w:hAnsi="Times New Roman" w:cs="Times New Roman"/>
          <w:color w:val="000000" w:themeColor="text1"/>
        </w:rPr>
      </w:pPr>
      <w:r w:rsidRPr="00AF0CC3">
        <w:rPr>
          <w:rFonts w:ascii="Times New Roman" w:hAnsi="Times New Roman" w:cs="Times New Roman"/>
          <w:color w:val="000000" w:themeColor="text1"/>
        </w:rPr>
        <w:t>Assesses the quality of feasibility studies, cost–benefit analysis, environmental and social assessment, and readiness at procurement entry.</w:t>
      </w:r>
    </w:p>
    <w:p w14:paraId="0556F2A2" w14:textId="77777777" w:rsidR="004D775F" w:rsidRPr="00AF0CC3" w:rsidRDefault="004D775F" w:rsidP="00240FD0">
      <w:pPr>
        <w:spacing w:after="240" w:line="360" w:lineRule="auto"/>
        <w:rPr>
          <w:rFonts w:ascii="Times New Roman" w:hAnsi="Times New Roman" w:cs="Times New Roman"/>
          <w:color w:val="000000" w:themeColor="text1"/>
        </w:rPr>
      </w:pPr>
      <w:r w:rsidRPr="00AF0CC3">
        <w:rPr>
          <w:rFonts w:ascii="Times New Roman" w:hAnsi="Times New Roman" w:cs="Times New Roman"/>
          <w:color w:val="000000" w:themeColor="text1"/>
        </w:rPr>
        <w:t>•</w:t>
      </w:r>
      <w:r w:rsidRPr="00AF0CC3">
        <w:rPr>
          <w:rFonts w:ascii="Times New Roman" w:hAnsi="Times New Roman" w:cs="Times New Roman"/>
          <w:color w:val="000000" w:themeColor="text1"/>
        </w:rPr>
        <w:tab/>
        <w:t>Risk allocation and fiscal discipline</w:t>
      </w:r>
    </w:p>
    <w:p w14:paraId="73A6D557" w14:textId="77777777" w:rsidR="004D775F" w:rsidRPr="00AF0CC3" w:rsidRDefault="004D775F" w:rsidP="00240FD0">
      <w:pPr>
        <w:spacing w:after="240" w:line="360" w:lineRule="auto"/>
        <w:rPr>
          <w:rFonts w:ascii="Times New Roman" w:hAnsi="Times New Roman" w:cs="Times New Roman"/>
          <w:color w:val="000000" w:themeColor="text1"/>
        </w:rPr>
      </w:pPr>
      <w:r w:rsidRPr="00AF0CC3">
        <w:rPr>
          <w:rFonts w:ascii="Times New Roman" w:hAnsi="Times New Roman" w:cs="Times New Roman"/>
          <w:color w:val="000000" w:themeColor="text1"/>
        </w:rPr>
        <w:t>Evaluates ability to identify, analyze, and allocate risk while maintaining fiscal sustainability.</w:t>
      </w:r>
    </w:p>
    <w:p w14:paraId="6253560D" w14:textId="77777777" w:rsidR="004D775F" w:rsidRPr="00AF0CC3" w:rsidRDefault="004D775F" w:rsidP="00240FD0">
      <w:pPr>
        <w:spacing w:after="240" w:line="360" w:lineRule="auto"/>
        <w:rPr>
          <w:rFonts w:ascii="Times New Roman" w:hAnsi="Times New Roman" w:cs="Times New Roman"/>
          <w:color w:val="000000" w:themeColor="text1"/>
        </w:rPr>
      </w:pPr>
      <w:r w:rsidRPr="00AF0CC3">
        <w:rPr>
          <w:rFonts w:ascii="Times New Roman" w:hAnsi="Times New Roman" w:cs="Times New Roman"/>
          <w:color w:val="000000" w:themeColor="text1"/>
        </w:rPr>
        <w:t>•</w:t>
      </w:r>
      <w:r w:rsidRPr="00AF0CC3">
        <w:rPr>
          <w:rFonts w:ascii="Times New Roman" w:hAnsi="Times New Roman" w:cs="Times New Roman"/>
          <w:color w:val="000000" w:themeColor="text1"/>
        </w:rPr>
        <w:tab/>
        <w:t>Procurement and contracting</w:t>
      </w:r>
    </w:p>
    <w:p w14:paraId="32191CD8" w14:textId="77777777" w:rsidR="004D775F" w:rsidRPr="00AF0CC3" w:rsidRDefault="004D775F" w:rsidP="00240FD0">
      <w:pPr>
        <w:spacing w:after="240" w:line="360" w:lineRule="auto"/>
        <w:rPr>
          <w:rFonts w:ascii="Times New Roman" w:hAnsi="Times New Roman" w:cs="Times New Roman"/>
          <w:color w:val="000000" w:themeColor="text1"/>
        </w:rPr>
      </w:pPr>
      <w:r w:rsidRPr="00AF0CC3">
        <w:rPr>
          <w:rFonts w:ascii="Times New Roman" w:hAnsi="Times New Roman" w:cs="Times New Roman"/>
          <w:color w:val="000000" w:themeColor="text1"/>
        </w:rPr>
        <w:t>Measures transparency, competitiveness, and clarity of contractual arrangements.</w:t>
      </w:r>
    </w:p>
    <w:p w14:paraId="0874686F" w14:textId="77777777" w:rsidR="004D775F" w:rsidRPr="00AF0CC3" w:rsidRDefault="004D775F" w:rsidP="00240FD0">
      <w:pPr>
        <w:spacing w:after="240" w:line="360" w:lineRule="auto"/>
        <w:rPr>
          <w:rFonts w:ascii="Times New Roman" w:hAnsi="Times New Roman" w:cs="Times New Roman"/>
          <w:color w:val="000000" w:themeColor="text1"/>
        </w:rPr>
      </w:pPr>
      <w:r w:rsidRPr="00AF0CC3">
        <w:rPr>
          <w:rFonts w:ascii="Times New Roman" w:hAnsi="Times New Roman" w:cs="Times New Roman"/>
          <w:color w:val="000000" w:themeColor="text1"/>
        </w:rPr>
        <w:lastRenderedPageBreak/>
        <w:t>•</w:t>
      </w:r>
      <w:r w:rsidRPr="00AF0CC3">
        <w:rPr>
          <w:rFonts w:ascii="Times New Roman" w:hAnsi="Times New Roman" w:cs="Times New Roman"/>
          <w:color w:val="000000" w:themeColor="text1"/>
        </w:rPr>
        <w:tab/>
        <w:t>Contract management and implementation</w:t>
      </w:r>
    </w:p>
    <w:p w14:paraId="74D71541" w14:textId="77777777" w:rsidR="004D775F" w:rsidRPr="00AF0CC3" w:rsidRDefault="004D775F" w:rsidP="00240FD0">
      <w:pPr>
        <w:spacing w:after="240" w:line="360" w:lineRule="auto"/>
        <w:rPr>
          <w:rFonts w:ascii="Times New Roman" w:hAnsi="Times New Roman" w:cs="Times New Roman"/>
          <w:color w:val="000000" w:themeColor="text1"/>
        </w:rPr>
      </w:pPr>
      <w:r w:rsidRPr="00AF0CC3">
        <w:rPr>
          <w:rFonts w:ascii="Times New Roman" w:hAnsi="Times New Roman" w:cs="Times New Roman"/>
          <w:color w:val="000000" w:themeColor="text1"/>
        </w:rPr>
        <w:t>Captures supervision capacity, payments, variation management, and dispute resolution.</w:t>
      </w:r>
    </w:p>
    <w:p w14:paraId="7A5761E2" w14:textId="77777777" w:rsidR="004D775F" w:rsidRPr="00AF0CC3" w:rsidRDefault="004D775F" w:rsidP="00240FD0">
      <w:pPr>
        <w:spacing w:after="240" w:line="360" w:lineRule="auto"/>
        <w:rPr>
          <w:rFonts w:ascii="Times New Roman" w:hAnsi="Times New Roman" w:cs="Times New Roman"/>
          <w:color w:val="000000" w:themeColor="text1"/>
        </w:rPr>
      </w:pPr>
      <w:r w:rsidRPr="00AF0CC3">
        <w:rPr>
          <w:rFonts w:ascii="Times New Roman" w:hAnsi="Times New Roman" w:cs="Times New Roman"/>
          <w:color w:val="000000" w:themeColor="text1"/>
        </w:rPr>
        <w:t>•</w:t>
      </w:r>
      <w:r w:rsidRPr="00AF0CC3">
        <w:rPr>
          <w:rFonts w:ascii="Times New Roman" w:hAnsi="Times New Roman" w:cs="Times New Roman"/>
          <w:color w:val="000000" w:themeColor="text1"/>
        </w:rPr>
        <w:tab/>
        <w:t>Accountability and oversight</w:t>
      </w:r>
    </w:p>
    <w:p w14:paraId="0553244D" w14:textId="77777777" w:rsidR="004D775F" w:rsidRPr="00AF0CC3" w:rsidRDefault="004D775F" w:rsidP="00240FD0">
      <w:pPr>
        <w:spacing w:after="240" w:line="360" w:lineRule="auto"/>
        <w:rPr>
          <w:rFonts w:ascii="Times New Roman" w:hAnsi="Times New Roman" w:cs="Times New Roman"/>
          <w:color w:val="000000" w:themeColor="text1"/>
        </w:rPr>
      </w:pPr>
      <w:r w:rsidRPr="00AF0CC3">
        <w:rPr>
          <w:rFonts w:ascii="Times New Roman" w:hAnsi="Times New Roman" w:cs="Times New Roman"/>
          <w:color w:val="000000" w:themeColor="text1"/>
        </w:rPr>
        <w:t>Assesses audit mechanisms, reporting, enforcement of corrective action, and transparency.</w:t>
      </w:r>
    </w:p>
    <w:p w14:paraId="61A44190" w14:textId="1DE159B2" w:rsidR="004D775F" w:rsidRPr="00AF0CC3" w:rsidRDefault="004D775F" w:rsidP="00240FD0">
      <w:pPr>
        <w:spacing w:after="240" w:line="360" w:lineRule="auto"/>
        <w:rPr>
          <w:rFonts w:ascii="Times New Roman" w:hAnsi="Times New Roman" w:cs="Times New Roman"/>
          <w:color w:val="000000" w:themeColor="text1"/>
        </w:rPr>
      </w:pPr>
      <w:r w:rsidRPr="00AF0CC3">
        <w:rPr>
          <w:rFonts w:ascii="Times New Roman" w:hAnsi="Times New Roman" w:cs="Times New Roman"/>
          <w:color w:val="000000" w:themeColor="text1"/>
        </w:rPr>
        <w:t xml:space="preserve">Each dimension is scored using a standardized rubric and aggregated into a composite index. Each dimension is scored using documentary evidence and key informant assessments, allowing comparison across projects and </w:t>
      </w:r>
      <w:r w:rsidR="007C0170">
        <w:rPr>
          <w:rFonts w:ascii="Times New Roman" w:hAnsi="Times New Roman" w:cs="Times New Roman"/>
          <w:color w:val="000000" w:themeColor="text1"/>
        </w:rPr>
        <w:t>over time</w:t>
      </w:r>
      <w:r w:rsidRPr="00AF0CC3">
        <w:rPr>
          <w:rFonts w:ascii="Times New Roman" w:hAnsi="Times New Roman" w:cs="Times New Roman"/>
          <w:color w:val="000000" w:themeColor="text1"/>
        </w:rPr>
        <w:t xml:space="preserve">. Higher values indicate stronger governance quality. </w:t>
      </w:r>
    </w:p>
    <w:p w14:paraId="757415DD" w14:textId="77777777" w:rsidR="004D775F" w:rsidRPr="00AF0CC3" w:rsidRDefault="004D775F" w:rsidP="00240FD0">
      <w:pPr>
        <w:spacing w:after="240" w:line="360" w:lineRule="auto"/>
        <w:rPr>
          <w:rFonts w:ascii="Times New Roman" w:hAnsi="Times New Roman" w:cs="Times New Roman"/>
          <w:color w:val="000000" w:themeColor="text1"/>
        </w:rPr>
      </w:pPr>
    </w:p>
    <w:p w14:paraId="0177B65A" w14:textId="77777777" w:rsidR="004D775F" w:rsidRPr="00AF0CC3" w:rsidRDefault="004D775F" w:rsidP="00240FD0">
      <w:pPr>
        <w:spacing w:after="240" w:line="360" w:lineRule="auto"/>
        <w:rPr>
          <w:rFonts w:ascii="Times New Roman" w:hAnsi="Times New Roman" w:cs="Times New Roman"/>
          <w:b/>
          <w:bCs/>
          <w:color w:val="000000" w:themeColor="text1"/>
        </w:rPr>
      </w:pPr>
      <w:r w:rsidRPr="00AF0CC3">
        <w:rPr>
          <w:rFonts w:ascii="Times New Roman" w:hAnsi="Times New Roman" w:cs="Times New Roman"/>
          <w:b/>
          <w:bCs/>
          <w:color w:val="000000" w:themeColor="text1"/>
        </w:rPr>
        <w:t>Infrastructure Performance</w:t>
      </w:r>
    </w:p>
    <w:p w14:paraId="689B3FEF" w14:textId="6FF33FD2" w:rsidR="004D775F" w:rsidRPr="00AF0CC3" w:rsidRDefault="004D775F" w:rsidP="00240FD0">
      <w:pPr>
        <w:spacing w:after="240" w:line="360" w:lineRule="auto"/>
        <w:rPr>
          <w:rFonts w:ascii="Times New Roman" w:hAnsi="Times New Roman" w:cs="Times New Roman"/>
          <w:color w:val="000000" w:themeColor="text1"/>
        </w:rPr>
      </w:pPr>
      <w:r w:rsidRPr="00AF0CC3">
        <w:rPr>
          <w:rFonts w:ascii="Times New Roman" w:hAnsi="Times New Roman" w:cs="Times New Roman"/>
          <w:color w:val="000000" w:themeColor="text1"/>
        </w:rPr>
        <w:t xml:space="preserve">Infrastructure performance refers to the extent to which water management infrastructure projects achieve intended delivery and functional outcomes. Performance is </w:t>
      </w:r>
      <w:r w:rsidR="007C0170">
        <w:rPr>
          <w:rFonts w:ascii="Times New Roman" w:hAnsi="Times New Roman" w:cs="Times New Roman"/>
          <w:color w:val="000000" w:themeColor="text1"/>
        </w:rPr>
        <w:t>operationalized</w:t>
      </w:r>
      <w:r w:rsidRPr="00AF0CC3">
        <w:rPr>
          <w:rFonts w:ascii="Times New Roman" w:hAnsi="Times New Roman" w:cs="Times New Roman"/>
          <w:color w:val="000000" w:themeColor="text1"/>
        </w:rPr>
        <w:t xml:space="preserve"> using three primary indicators:</w:t>
      </w:r>
    </w:p>
    <w:p w14:paraId="26F0983B" w14:textId="516DC061" w:rsidR="004D775F" w:rsidRPr="00AF0CC3" w:rsidRDefault="004D775F" w:rsidP="00240FD0">
      <w:pPr>
        <w:spacing w:after="240" w:line="360" w:lineRule="auto"/>
        <w:rPr>
          <w:rFonts w:ascii="Times New Roman" w:hAnsi="Times New Roman" w:cs="Times New Roman"/>
          <w:color w:val="000000" w:themeColor="text1"/>
        </w:rPr>
      </w:pPr>
      <w:r w:rsidRPr="00AF0CC3">
        <w:rPr>
          <w:rFonts w:ascii="Times New Roman" w:hAnsi="Times New Roman" w:cs="Times New Roman"/>
          <w:color w:val="000000" w:themeColor="text1"/>
        </w:rPr>
        <w:t xml:space="preserve">(1) project completion time, measured as </w:t>
      </w:r>
      <w:r w:rsidR="007C0170">
        <w:rPr>
          <w:rFonts w:ascii="Times New Roman" w:hAnsi="Times New Roman" w:cs="Times New Roman"/>
          <w:color w:val="000000" w:themeColor="text1"/>
        </w:rPr>
        <w:t xml:space="preserve">the </w:t>
      </w:r>
      <w:r w:rsidRPr="00AF0CC3">
        <w:rPr>
          <w:rFonts w:ascii="Times New Roman" w:hAnsi="Times New Roman" w:cs="Times New Roman"/>
          <w:color w:val="000000" w:themeColor="text1"/>
        </w:rPr>
        <w:t>schedule variance between planned and actual completion.</w:t>
      </w:r>
    </w:p>
    <w:p w14:paraId="770CDDA8" w14:textId="77777777" w:rsidR="004D775F" w:rsidRPr="00AF0CC3" w:rsidRDefault="004D775F" w:rsidP="00240FD0">
      <w:pPr>
        <w:spacing w:after="240" w:line="360" w:lineRule="auto"/>
        <w:rPr>
          <w:rFonts w:ascii="Times New Roman" w:hAnsi="Times New Roman" w:cs="Times New Roman"/>
          <w:color w:val="000000" w:themeColor="text1"/>
        </w:rPr>
      </w:pPr>
      <w:r w:rsidRPr="00AF0CC3">
        <w:rPr>
          <w:rFonts w:ascii="Times New Roman" w:hAnsi="Times New Roman" w:cs="Times New Roman"/>
          <w:color w:val="000000" w:themeColor="text1"/>
        </w:rPr>
        <w:t>(2) budget performance, measured as cost overrun relative to approved budgets; and</w:t>
      </w:r>
    </w:p>
    <w:p w14:paraId="43A06826" w14:textId="77777777" w:rsidR="004D775F" w:rsidRPr="00AF0CC3" w:rsidRDefault="004D775F" w:rsidP="00240FD0">
      <w:pPr>
        <w:spacing w:after="240" w:line="360" w:lineRule="auto"/>
        <w:rPr>
          <w:rFonts w:ascii="Times New Roman" w:hAnsi="Times New Roman" w:cs="Times New Roman"/>
          <w:color w:val="000000" w:themeColor="text1"/>
        </w:rPr>
      </w:pPr>
      <w:r w:rsidRPr="00AF0CC3">
        <w:rPr>
          <w:rFonts w:ascii="Times New Roman" w:hAnsi="Times New Roman" w:cs="Times New Roman"/>
          <w:color w:val="000000" w:themeColor="text1"/>
        </w:rPr>
        <w:t xml:space="preserve">(3) Project Stalling: Prolonged cessation of construction without delivery of functional services. </w:t>
      </w:r>
    </w:p>
    <w:p w14:paraId="7BC845DB" w14:textId="77777777" w:rsidR="004D775F" w:rsidRPr="00AF0CC3" w:rsidRDefault="004D775F" w:rsidP="00240FD0">
      <w:pPr>
        <w:spacing w:after="240" w:line="360" w:lineRule="auto"/>
        <w:rPr>
          <w:rFonts w:ascii="Times New Roman" w:hAnsi="Times New Roman" w:cs="Times New Roman"/>
          <w:color w:val="000000" w:themeColor="text1"/>
        </w:rPr>
      </w:pPr>
    </w:p>
    <w:p w14:paraId="4D2CCA69" w14:textId="77777777" w:rsidR="004D775F" w:rsidRPr="00AF0CC3" w:rsidRDefault="004D775F" w:rsidP="00240FD0">
      <w:pPr>
        <w:spacing w:after="240" w:line="360" w:lineRule="auto"/>
        <w:rPr>
          <w:rFonts w:ascii="Times New Roman" w:hAnsi="Times New Roman" w:cs="Times New Roman"/>
          <w:b/>
          <w:bCs/>
          <w:color w:val="000000" w:themeColor="text1"/>
        </w:rPr>
      </w:pPr>
      <w:r w:rsidRPr="00AF0CC3">
        <w:rPr>
          <w:rFonts w:ascii="Times New Roman" w:hAnsi="Times New Roman" w:cs="Times New Roman"/>
          <w:b/>
          <w:bCs/>
          <w:color w:val="000000" w:themeColor="text1"/>
        </w:rPr>
        <w:t>Project Completion Time</w:t>
      </w:r>
    </w:p>
    <w:p w14:paraId="4A5DEEB1" w14:textId="64ACE0CC" w:rsidR="004D775F" w:rsidRPr="00AF0CC3" w:rsidRDefault="004D775F" w:rsidP="00240FD0">
      <w:pPr>
        <w:spacing w:after="240" w:line="360" w:lineRule="auto"/>
        <w:rPr>
          <w:rFonts w:ascii="Times New Roman" w:hAnsi="Times New Roman" w:cs="Times New Roman"/>
          <w:color w:val="000000" w:themeColor="text1"/>
        </w:rPr>
      </w:pPr>
      <w:r w:rsidRPr="00AF0CC3">
        <w:rPr>
          <w:rFonts w:ascii="Times New Roman" w:hAnsi="Times New Roman" w:cs="Times New Roman"/>
          <w:color w:val="000000" w:themeColor="text1"/>
        </w:rPr>
        <w:t xml:space="preserve">Project completion time is the period between the official project start date and the practical completion date. In this study, it is </w:t>
      </w:r>
      <w:r w:rsidR="007C0170" w:rsidRPr="00AF0CC3">
        <w:rPr>
          <w:rFonts w:ascii="Times New Roman" w:hAnsi="Times New Roman" w:cs="Times New Roman"/>
          <w:color w:val="000000" w:themeColor="text1"/>
        </w:rPr>
        <w:t>operationalized</w:t>
      </w:r>
      <w:r w:rsidRPr="00AF0CC3">
        <w:rPr>
          <w:rFonts w:ascii="Times New Roman" w:hAnsi="Times New Roman" w:cs="Times New Roman"/>
          <w:color w:val="000000" w:themeColor="text1"/>
        </w:rPr>
        <w:t xml:space="preserve"> as schedule variance, calculated as the percentage difference between planned and actual project duration. Schedule variance is used as a proxy for delivery efficiency and governance effectiveness during implementation.</w:t>
      </w:r>
    </w:p>
    <w:p w14:paraId="109AE042" w14:textId="77777777" w:rsidR="004D775F" w:rsidRPr="00AF0CC3" w:rsidRDefault="004D775F" w:rsidP="00240FD0">
      <w:pPr>
        <w:spacing w:after="240" w:line="360" w:lineRule="auto"/>
        <w:rPr>
          <w:rFonts w:ascii="Times New Roman" w:hAnsi="Times New Roman" w:cs="Times New Roman"/>
          <w:b/>
          <w:bCs/>
          <w:color w:val="000000" w:themeColor="text1"/>
        </w:rPr>
      </w:pPr>
      <w:r w:rsidRPr="00AF0CC3">
        <w:rPr>
          <w:rFonts w:ascii="Times New Roman" w:hAnsi="Times New Roman" w:cs="Times New Roman"/>
          <w:b/>
          <w:bCs/>
          <w:color w:val="000000" w:themeColor="text1"/>
        </w:rPr>
        <w:t>Budget Overrun</w:t>
      </w:r>
    </w:p>
    <w:p w14:paraId="209A034B" w14:textId="38F7DAD2" w:rsidR="004D775F" w:rsidRPr="00AF0CC3" w:rsidRDefault="004D775F" w:rsidP="00240FD0">
      <w:pPr>
        <w:spacing w:after="240" w:line="360" w:lineRule="auto"/>
        <w:rPr>
          <w:rFonts w:ascii="Times New Roman" w:hAnsi="Times New Roman" w:cs="Times New Roman"/>
          <w:color w:val="000000" w:themeColor="text1"/>
        </w:rPr>
      </w:pPr>
      <w:r w:rsidRPr="00AF0CC3">
        <w:rPr>
          <w:rFonts w:ascii="Times New Roman" w:hAnsi="Times New Roman" w:cs="Times New Roman"/>
          <w:color w:val="000000" w:themeColor="text1"/>
        </w:rPr>
        <w:lastRenderedPageBreak/>
        <w:t xml:space="preserve">Budget overrun refers to the extent to which a project’s final cost exceeds its originally approved budget. It is </w:t>
      </w:r>
      <w:r w:rsidR="007C0170">
        <w:rPr>
          <w:rFonts w:ascii="Times New Roman" w:hAnsi="Times New Roman" w:cs="Times New Roman"/>
          <w:color w:val="000000" w:themeColor="text1"/>
        </w:rPr>
        <w:t>operationalized</w:t>
      </w:r>
      <w:r w:rsidRPr="00AF0CC3">
        <w:rPr>
          <w:rFonts w:ascii="Times New Roman" w:hAnsi="Times New Roman" w:cs="Times New Roman"/>
          <w:color w:val="000000" w:themeColor="text1"/>
        </w:rPr>
        <w:t xml:space="preserve"> as a percentage difference between approved and final project costs. Budget overruns are used as indicators of governance effectiveness in procurement, contract management, financial oversight, and risk allocation.</w:t>
      </w:r>
    </w:p>
    <w:p w14:paraId="4F7D1A61" w14:textId="77777777" w:rsidR="004D775F" w:rsidRPr="00AF0CC3" w:rsidRDefault="004D775F" w:rsidP="00240FD0">
      <w:pPr>
        <w:spacing w:after="240" w:line="360" w:lineRule="auto"/>
        <w:rPr>
          <w:rFonts w:ascii="Times New Roman" w:hAnsi="Times New Roman" w:cs="Times New Roman"/>
          <w:b/>
          <w:bCs/>
          <w:color w:val="000000" w:themeColor="text1"/>
        </w:rPr>
      </w:pPr>
      <w:r w:rsidRPr="00AF0CC3">
        <w:rPr>
          <w:rFonts w:ascii="Times New Roman" w:hAnsi="Times New Roman" w:cs="Times New Roman"/>
          <w:b/>
          <w:bCs/>
          <w:color w:val="000000" w:themeColor="text1"/>
        </w:rPr>
        <w:t>Stalled project</w:t>
      </w:r>
    </w:p>
    <w:p w14:paraId="0D69D5AE" w14:textId="4EDF4855" w:rsidR="004D775F" w:rsidRPr="00AF0CC3" w:rsidRDefault="00D21E27" w:rsidP="00240FD0">
      <w:pPr>
        <w:spacing w:after="240" w:line="360" w:lineRule="auto"/>
        <w:rPr>
          <w:rFonts w:ascii="Times New Roman" w:hAnsi="Times New Roman" w:cs="Times New Roman"/>
          <w:color w:val="000000" w:themeColor="text1"/>
        </w:rPr>
      </w:pPr>
      <w:r w:rsidRPr="00AF0CC3">
        <w:rPr>
          <w:rFonts w:ascii="Times New Roman" w:hAnsi="Times New Roman" w:cs="Times New Roman"/>
          <w:color w:val="000000" w:themeColor="text1"/>
        </w:rPr>
        <w:t xml:space="preserve">A condition in which construction activities cease or remain inactive for an extended period beyond planned completion without delivery of functional </w:t>
      </w:r>
      <w:r w:rsidR="006F7195" w:rsidRPr="00AF0CC3">
        <w:rPr>
          <w:rFonts w:ascii="Times New Roman" w:hAnsi="Times New Roman" w:cs="Times New Roman"/>
          <w:color w:val="000000" w:themeColor="text1"/>
        </w:rPr>
        <w:t xml:space="preserve">services. For this study, a </w:t>
      </w:r>
      <w:r w:rsidR="004D775F" w:rsidRPr="00AF0CC3">
        <w:rPr>
          <w:rFonts w:ascii="Times New Roman" w:hAnsi="Times New Roman" w:cs="Times New Roman"/>
          <w:color w:val="000000" w:themeColor="text1"/>
        </w:rPr>
        <w:t>project is classified as stalled if construction activities have ceased or remained inactive for more than 24 months beyond the planned completion date, without delivery of functional services. Stalling reflects institutional breakdown rather than routine delay.</w:t>
      </w:r>
    </w:p>
    <w:p w14:paraId="6F4DD72A" w14:textId="6577F972" w:rsidR="00EC4E43" w:rsidRPr="00AF0CC3" w:rsidRDefault="00EC4E43" w:rsidP="00240FD0">
      <w:pPr>
        <w:spacing w:after="240" w:line="360" w:lineRule="auto"/>
        <w:rPr>
          <w:rFonts w:ascii="Times New Roman" w:hAnsi="Times New Roman" w:cs="Times New Roman"/>
          <w:color w:val="000000" w:themeColor="text1"/>
        </w:rPr>
      </w:pPr>
      <w:r w:rsidRPr="00AF0CC3">
        <w:rPr>
          <w:rFonts w:ascii="Times New Roman" w:hAnsi="Times New Roman" w:cs="Times New Roman"/>
          <w:color w:val="000000" w:themeColor="text1"/>
        </w:rPr>
        <w:t>The 24-month threshold distinguishes temporary implementation delays from structural project stalling. Although development lenders do not prescribe a universal numeric definition, prolonged inactivity that extends beyond two fiscal cycles is commonly treated in public audit practice and development project supervision frameworks as a material implementation failure rather than a routine delay. In the Kenyan context, multi-year inactivity across consecutive fiscal years is frequently flagged in audit reports as indicative of serious governance and implementation breakdown. The threshold adopted in this study, therefore, aligns with established fiscal reporting cycles and norms for infrastructure supervision.</w:t>
      </w:r>
    </w:p>
    <w:p w14:paraId="303730E7" w14:textId="77777777" w:rsidR="004D775F" w:rsidRPr="00AF0CC3" w:rsidRDefault="004D775F" w:rsidP="00240FD0">
      <w:pPr>
        <w:spacing w:after="240" w:line="360" w:lineRule="auto"/>
        <w:rPr>
          <w:rFonts w:ascii="Times New Roman" w:hAnsi="Times New Roman" w:cs="Times New Roman"/>
          <w:b/>
          <w:bCs/>
          <w:color w:val="000000" w:themeColor="text1"/>
        </w:rPr>
      </w:pPr>
      <w:r w:rsidRPr="00AF0CC3">
        <w:rPr>
          <w:rFonts w:ascii="Times New Roman" w:hAnsi="Times New Roman" w:cs="Times New Roman"/>
          <w:b/>
          <w:bCs/>
          <w:color w:val="000000" w:themeColor="text1"/>
        </w:rPr>
        <w:t>Inter-Institutional Coordination</w:t>
      </w:r>
    </w:p>
    <w:p w14:paraId="505BECB4" w14:textId="77777777" w:rsidR="004D775F" w:rsidRPr="00AF0CC3" w:rsidRDefault="004D775F" w:rsidP="00240FD0">
      <w:pPr>
        <w:spacing w:after="240" w:line="360" w:lineRule="auto"/>
        <w:rPr>
          <w:rFonts w:ascii="Times New Roman" w:hAnsi="Times New Roman" w:cs="Times New Roman"/>
          <w:color w:val="000000" w:themeColor="text1"/>
        </w:rPr>
      </w:pPr>
      <w:r w:rsidRPr="00AF0CC3">
        <w:rPr>
          <w:rFonts w:ascii="Times New Roman" w:hAnsi="Times New Roman" w:cs="Times New Roman"/>
          <w:color w:val="000000" w:themeColor="text1"/>
        </w:rPr>
        <w:t xml:space="preserve">Inter-institutional coordination refers to the effectiveness of collaboration and alignment among institutions involved in infrastructure delivery, particularly between national government entities, county governments, utilities, and development partners. </w:t>
      </w:r>
    </w:p>
    <w:p w14:paraId="7194869C" w14:textId="77777777" w:rsidR="004D775F" w:rsidRPr="00AF0CC3" w:rsidRDefault="004D775F" w:rsidP="00240FD0">
      <w:pPr>
        <w:spacing w:after="240" w:line="360" w:lineRule="auto"/>
        <w:rPr>
          <w:rFonts w:ascii="Times New Roman" w:hAnsi="Times New Roman" w:cs="Times New Roman"/>
          <w:b/>
          <w:bCs/>
          <w:color w:val="000000" w:themeColor="text1"/>
        </w:rPr>
      </w:pPr>
      <w:r w:rsidRPr="00AF0CC3">
        <w:rPr>
          <w:rFonts w:ascii="Times New Roman" w:hAnsi="Times New Roman" w:cs="Times New Roman"/>
          <w:b/>
          <w:bCs/>
          <w:color w:val="000000" w:themeColor="text1"/>
        </w:rPr>
        <w:t>Blended Finance</w:t>
      </w:r>
    </w:p>
    <w:p w14:paraId="69FD0AFA" w14:textId="77777777" w:rsidR="004D775F" w:rsidRPr="00AF0CC3" w:rsidRDefault="004D775F" w:rsidP="00240FD0">
      <w:pPr>
        <w:spacing w:after="240" w:line="360" w:lineRule="auto"/>
        <w:rPr>
          <w:rFonts w:ascii="Times New Roman" w:hAnsi="Times New Roman" w:cs="Times New Roman"/>
          <w:color w:val="000000" w:themeColor="text1"/>
        </w:rPr>
      </w:pPr>
    </w:p>
    <w:p w14:paraId="2B9AFFD9" w14:textId="335D90B3" w:rsidR="004D775F" w:rsidRPr="00AF0CC3" w:rsidRDefault="004D775F" w:rsidP="00240FD0">
      <w:pPr>
        <w:spacing w:after="240" w:line="360" w:lineRule="auto"/>
        <w:rPr>
          <w:rFonts w:ascii="Times New Roman" w:hAnsi="Times New Roman" w:cs="Times New Roman"/>
          <w:color w:val="000000" w:themeColor="text1"/>
        </w:rPr>
      </w:pPr>
      <w:r w:rsidRPr="00AF0CC3">
        <w:rPr>
          <w:rFonts w:ascii="Times New Roman" w:hAnsi="Times New Roman" w:cs="Times New Roman"/>
          <w:color w:val="000000" w:themeColor="text1"/>
        </w:rPr>
        <w:t xml:space="preserve">Blended finance refers to the strategic use of public or concessional funds to </w:t>
      </w:r>
      <w:r w:rsidR="003E379E" w:rsidRPr="00AF0CC3">
        <w:rPr>
          <w:rFonts w:ascii="Times New Roman" w:hAnsi="Times New Roman" w:cs="Times New Roman"/>
          <w:color w:val="000000" w:themeColor="text1"/>
        </w:rPr>
        <w:t>mobilize</w:t>
      </w:r>
      <w:r w:rsidRPr="00AF0CC3">
        <w:rPr>
          <w:rFonts w:ascii="Times New Roman" w:hAnsi="Times New Roman" w:cs="Times New Roman"/>
          <w:color w:val="000000" w:themeColor="text1"/>
        </w:rPr>
        <w:t xml:space="preserve"> additional private capital for development (OECD, 2020). In this study, blended finance is treated as a </w:t>
      </w:r>
      <w:r w:rsidRPr="00AF0CC3">
        <w:rPr>
          <w:rFonts w:ascii="Times New Roman" w:hAnsi="Times New Roman" w:cs="Times New Roman"/>
          <w:color w:val="000000" w:themeColor="text1"/>
        </w:rPr>
        <w:lastRenderedPageBreak/>
        <w:t>contextual variable rather than the primary focus, allowing examination of how governance mediates the relationship between financing structure and performance outcomes.</w:t>
      </w:r>
    </w:p>
    <w:p w14:paraId="0B12CE3B" w14:textId="77777777" w:rsidR="008E7707" w:rsidRPr="00AF0CC3" w:rsidRDefault="008E7707" w:rsidP="00240FD0">
      <w:pPr>
        <w:spacing w:after="240" w:line="360" w:lineRule="auto"/>
        <w:rPr>
          <w:rFonts w:ascii="Times New Roman" w:hAnsi="Times New Roman" w:cs="Times New Roman"/>
          <w:color w:val="000000" w:themeColor="text1"/>
        </w:rPr>
      </w:pPr>
    </w:p>
    <w:p w14:paraId="6895509E" w14:textId="3B0CA62C" w:rsidR="008E7707" w:rsidRPr="00AF0CC3" w:rsidRDefault="00637222" w:rsidP="00240FD0">
      <w:pPr>
        <w:pStyle w:val="Heading2"/>
        <w:spacing w:after="240"/>
        <w:rPr>
          <w:rFonts w:cs="Times New Roman"/>
          <w:b w:val="0"/>
          <w:bCs/>
          <w:color w:val="000000" w:themeColor="text1"/>
          <w:szCs w:val="24"/>
        </w:rPr>
      </w:pPr>
      <w:bookmarkStart w:id="52" w:name="_Toc234344752"/>
      <w:bookmarkStart w:id="53" w:name="_Toc234488983"/>
      <w:r w:rsidRPr="00AF0CC3">
        <w:rPr>
          <w:rFonts w:cs="Times New Roman"/>
          <w:bCs/>
          <w:color w:val="000000" w:themeColor="text1"/>
          <w:szCs w:val="24"/>
        </w:rPr>
        <w:t>Conceptual Framework</w:t>
      </w:r>
      <w:bookmarkEnd w:id="52"/>
      <w:bookmarkEnd w:id="53"/>
    </w:p>
    <w:p w14:paraId="719BD82F" w14:textId="095A5E27" w:rsidR="008E7707" w:rsidRPr="00AF0CC3" w:rsidRDefault="00292C85" w:rsidP="00240FD0">
      <w:pPr>
        <w:spacing w:after="240" w:line="360" w:lineRule="auto"/>
        <w:rPr>
          <w:rFonts w:ascii="Times New Roman" w:hAnsi="Times New Roman" w:cs="Times New Roman"/>
          <w:color w:val="000000" w:themeColor="text1"/>
        </w:rPr>
      </w:pPr>
      <w:r w:rsidRPr="00AF0CC3">
        <w:rPr>
          <w:rFonts w:ascii="Times New Roman" w:hAnsi="Times New Roman" w:cs="Times New Roman"/>
          <w:color w:val="000000" w:themeColor="text1"/>
        </w:rPr>
        <w:t xml:space="preserve">This study conceptualizes water </w:t>
      </w:r>
      <w:r w:rsidR="005F704D" w:rsidRPr="00AF0CC3">
        <w:rPr>
          <w:rFonts w:ascii="Times New Roman" w:hAnsi="Times New Roman" w:cs="Times New Roman"/>
          <w:color w:val="000000" w:themeColor="text1"/>
        </w:rPr>
        <w:t xml:space="preserve">management </w:t>
      </w:r>
      <w:r w:rsidRPr="00AF0CC3">
        <w:rPr>
          <w:rFonts w:ascii="Times New Roman" w:hAnsi="Times New Roman" w:cs="Times New Roman"/>
          <w:color w:val="000000" w:themeColor="text1"/>
        </w:rPr>
        <w:t xml:space="preserve">infrastructure performance as an outcome of governance quality across the project lifecycle. Governance quality influences how risks are identified, allocated, and managed, shaping whether projects progress, experience </w:t>
      </w:r>
      <w:r w:rsidR="006A7618" w:rsidRPr="00AF0CC3">
        <w:rPr>
          <w:rFonts w:ascii="Times New Roman" w:hAnsi="Times New Roman" w:cs="Times New Roman"/>
          <w:color w:val="000000" w:themeColor="text1"/>
        </w:rPr>
        <w:t>delays, or stall</w:t>
      </w:r>
      <w:r w:rsidRPr="00AF0CC3">
        <w:rPr>
          <w:rFonts w:ascii="Times New Roman" w:hAnsi="Times New Roman" w:cs="Times New Roman"/>
          <w:color w:val="000000" w:themeColor="text1"/>
        </w:rPr>
        <w:t>. Climate risk is treated as a moderating factor that interacts with governance quality rather than as an independent determinant.</w:t>
      </w:r>
    </w:p>
    <w:p w14:paraId="547A10AD" w14:textId="48641BB1" w:rsidR="008E7707" w:rsidRPr="00AF0CC3" w:rsidRDefault="00D650DE" w:rsidP="00240FD0">
      <w:pPr>
        <w:spacing w:after="240" w:line="360" w:lineRule="auto"/>
        <w:rPr>
          <w:rFonts w:ascii="Times New Roman" w:hAnsi="Times New Roman" w:cs="Times New Roman"/>
          <w:color w:val="000000" w:themeColor="text1"/>
        </w:rPr>
      </w:pPr>
      <w:r w:rsidRPr="00AF0CC3">
        <w:rPr>
          <w:rFonts w:ascii="Times New Roman" w:hAnsi="Times New Roman" w:cs="Times New Roman"/>
          <w:color w:val="000000" w:themeColor="text1"/>
        </w:rPr>
        <w:t>Figure 1.1 presents the conceptual framework guiding the study.</w:t>
      </w:r>
    </w:p>
    <w:p w14:paraId="3C5A4C71" w14:textId="77777777" w:rsidR="007D3372" w:rsidRPr="00AF0CC3" w:rsidRDefault="007D3372" w:rsidP="00240FD0">
      <w:pPr>
        <w:spacing w:after="240" w:line="360" w:lineRule="auto"/>
        <w:rPr>
          <w:rFonts w:ascii="Times New Roman" w:hAnsi="Times New Roman" w:cs="Times New Roman"/>
          <w:color w:val="000000" w:themeColor="text1"/>
        </w:rPr>
      </w:pPr>
    </w:p>
    <w:p w14:paraId="192C7CFB" w14:textId="77777777" w:rsidR="00D43B59" w:rsidRPr="00AF0CC3" w:rsidRDefault="007D3372" w:rsidP="00D43B59">
      <w:pPr>
        <w:keepNext/>
        <w:spacing w:after="240" w:line="360" w:lineRule="auto"/>
        <w:rPr>
          <w:rFonts w:ascii="Times New Roman" w:hAnsi="Times New Roman" w:cs="Times New Roman"/>
          <w:color w:val="000000" w:themeColor="text1"/>
        </w:rPr>
      </w:pPr>
      <w:r w:rsidRPr="00AF0CC3">
        <w:rPr>
          <w:rFonts w:ascii="Times New Roman" w:hAnsi="Times New Roman" w:cs="Times New Roman"/>
          <w:noProof/>
          <w:color w:val="000000" w:themeColor="text1"/>
        </w:rPr>
        <w:drawing>
          <wp:inline distT="0" distB="0" distL="0" distR="0" wp14:anchorId="658B27A4" wp14:editId="03DF3E23">
            <wp:extent cx="4780280" cy="3184861"/>
            <wp:effectExtent l="0" t="0" r="1270" b="0"/>
            <wp:docPr id="146821060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4793273" cy="3193518"/>
                    </a:xfrm>
                    <a:prstGeom prst="rect">
                      <a:avLst/>
                    </a:prstGeom>
                    <a:noFill/>
                  </pic:spPr>
                </pic:pic>
              </a:graphicData>
            </a:graphic>
          </wp:inline>
        </w:drawing>
      </w:r>
    </w:p>
    <w:p w14:paraId="2BDFFE14" w14:textId="12FCD3CB" w:rsidR="00B01EC4" w:rsidRPr="00AF0CC3" w:rsidRDefault="00D43B59" w:rsidP="00D43B59">
      <w:pPr>
        <w:pStyle w:val="Caption"/>
        <w:rPr>
          <w:rFonts w:ascii="Times New Roman" w:hAnsi="Times New Roman" w:cs="Times New Roman"/>
          <w:color w:val="000000" w:themeColor="text1"/>
          <w:sz w:val="24"/>
          <w:szCs w:val="24"/>
        </w:rPr>
      </w:pPr>
      <w:bookmarkStart w:id="54" w:name="_Toc234481923"/>
      <w:r w:rsidRPr="00AF0CC3">
        <w:rPr>
          <w:rFonts w:ascii="Times New Roman" w:hAnsi="Times New Roman" w:cs="Times New Roman"/>
          <w:color w:val="000000" w:themeColor="text1"/>
          <w:sz w:val="24"/>
          <w:szCs w:val="24"/>
        </w:rPr>
        <w:t xml:space="preserve">Figure </w:t>
      </w:r>
      <w:r w:rsidR="00BF2261" w:rsidRPr="00AF0CC3">
        <w:rPr>
          <w:rFonts w:ascii="Times New Roman" w:hAnsi="Times New Roman" w:cs="Times New Roman"/>
          <w:color w:val="000000" w:themeColor="text1"/>
          <w:sz w:val="24"/>
          <w:szCs w:val="24"/>
        </w:rPr>
        <w:fldChar w:fldCharType="begin"/>
      </w:r>
      <w:r w:rsidR="00BF2261" w:rsidRPr="00AF0CC3">
        <w:rPr>
          <w:rFonts w:ascii="Times New Roman" w:hAnsi="Times New Roman" w:cs="Times New Roman"/>
          <w:color w:val="000000" w:themeColor="text1"/>
          <w:sz w:val="24"/>
          <w:szCs w:val="24"/>
        </w:rPr>
        <w:instrText xml:space="preserve"> STYLEREF 1 \s </w:instrText>
      </w:r>
      <w:r w:rsidR="00BF2261" w:rsidRPr="00AF0CC3">
        <w:rPr>
          <w:rFonts w:ascii="Times New Roman" w:hAnsi="Times New Roman" w:cs="Times New Roman"/>
          <w:color w:val="000000" w:themeColor="text1"/>
          <w:sz w:val="24"/>
          <w:szCs w:val="24"/>
        </w:rPr>
        <w:fldChar w:fldCharType="separate"/>
      </w:r>
      <w:r w:rsidR="00052921" w:rsidRPr="00AF0CC3">
        <w:rPr>
          <w:rFonts w:ascii="Times New Roman" w:hAnsi="Times New Roman" w:cs="Times New Roman"/>
          <w:noProof/>
          <w:color w:val="000000" w:themeColor="text1"/>
          <w:sz w:val="24"/>
          <w:szCs w:val="24"/>
        </w:rPr>
        <w:t>1</w:t>
      </w:r>
      <w:r w:rsidR="00BF2261" w:rsidRPr="00AF0CC3">
        <w:rPr>
          <w:rFonts w:ascii="Times New Roman" w:hAnsi="Times New Roman" w:cs="Times New Roman"/>
          <w:color w:val="000000" w:themeColor="text1"/>
          <w:sz w:val="24"/>
          <w:szCs w:val="24"/>
        </w:rPr>
        <w:fldChar w:fldCharType="end"/>
      </w:r>
      <w:r w:rsidR="00BF2261" w:rsidRPr="00AF0CC3">
        <w:rPr>
          <w:rFonts w:ascii="Times New Roman" w:hAnsi="Times New Roman" w:cs="Times New Roman"/>
          <w:color w:val="000000" w:themeColor="text1"/>
          <w:sz w:val="24"/>
          <w:szCs w:val="24"/>
        </w:rPr>
        <w:t>.</w:t>
      </w:r>
      <w:r w:rsidR="00BF2261" w:rsidRPr="00AF0CC3">
        <w:rPr>
          <w:rFonts w:ascii="Times New Roman" w:hAnsi="Times New Roman" w:cs="Times New Roman"/>
          <w:color w:val="000000" w:themeColor="text1"/>
          <w:sz w:val="24"/>
          <w:szCs w:val="24"/>
        </w:rPr>
        <w:fldChar w:fldCharType="begin"/>
      </w:r>
      <w:r w:rsidR="00BF2261" w:rsidRPr="00AF0CC3">
        <w:rPr>
          <w:rFonts w:ascii="Times New Roman" w:hAnsi="Times New Roman" w:cs="Times New Roman"/>
          <w:color w:val="000000" w:themeColor="text1"/>
          <w:sz w:val="24"/>
          <w:szCs w:val="24"/>
        </w:rPr>
        <w:instrText xml:space="preserve"> SEQ Figure \* ARABIC \s 1 </w:instrText>
      </w:r>
      <w:r w:rsidR="00BF2261" w:rsidRPr="00AF0CC3">
        <w:rPr>
          <w:rFonts w:ascii="Times New Roman" w:hAnsi="Times New Roman" w:cs="Times New Roman"/>
          <w:color w:val="000000" w:themeColor="text1"/>
          <w:sz w:val="24"/>
          <w:szCs w:val="24"/>
        </w:rPr>
        <w:fldChar w:fldCharType="separate"/>
      </w:r>
      <w:r w:rsidR="00052921" w:rsidRPr="00AF0CC3">
        <w:rPr>
          <w:rFonts w:ascii="Times New Roman" w:hAnsi="Times New Roman" w:cs="Times New Roman"/>
          <w:noProof/>
          <w:color w:val="000000" w:themeColor="text1"/>
          <w:sz w:val="24"/>
          <w:szCs w:val="24"/>
        </w:rPr>
        <w:t>1</w:t>
      </w:r>
      <w:r w:rsidR="00BF2261" w:rsidRPr="00AF0CC3">
        <w:rPr>
          <w:rFonts w:ascii="Times New Roman" w:hAnsi="Times New Roman" w:cs="Times New Roman"/>
          <w:color w:val="000000" w:themeColor="text1"/>
          <w:sz w:val="24"/>
          <w:szCs w:val="24"/>
        </w:rPr>
        <w:fldChar w:fldCharType="end"/>
      </w:r>
      <w:r w:rsidRPr="00AF0CC3">
        <w:rPr>
          <w:rFonts w:ascii="Times New Roman" w:hAnsi="Times New Roman" w:cs="Times New Roman"/>
          <w:color w:val="000000" w:themeColor="text1"/>
          <w:sz w:val="24"/>
          <w:szCs w:val="24"/>
        </w:rPr>
        <w:t>Conceptual framework of the study</w:t>
      </w:r>
      <w:bookmarkEnd w:id="54"/>
    </w:p>
    <w:p w14:paraId="79E29728" w14:textId="77777777" w:rsidR="006D2D82" w:rsidRPr="00AF0CC3" w:rsidRDefault="006D2D82" w:rsidP="00240FD0">
      <w:pPr>
        <w:spacing w:after="240" w:line="360" w:lineRule="auto"/>
        <w:rPr>
          <w:rFonts w:ascii="Times New Roman" w:hAnsi="Times New Roman" w:cs="Times New Roman"/>
          <w:color w:val="000000" w:themeColor="text1"/>
        </w:rPr>
      </w:pPr>
    </w:p>
    <w:p w14:paraId="5C14C624" w14:textId="77777777" w:rsidR="00E540A8" w:rsidRPr="00AF0CC3" w:rsidRDefault="00177C96" w:rsidP="00240FD0">
      <w:pPr>
        <w:spacing w:after="240" w:line="360" w:lineRule="auto"/>
        <w:rPr>
          <w:rFonts w:ascii="Times New Roman" w:hAnsi="Times New Roman" w:cs="Times New Roman"/>
          <w:color w:val="000000" w:themeColor="text1"/>
        </w:rPr>
      </w:pPr>
      <w:r w:rsidRPr="00AF0CC3">
        <w:rPr>
          <w:rFonts w:ascii="Times New Roman" w:hAnsi="Times New Roman" w:cs="Times New Roman"/>
          <w:color w:val="000000" w:themeColor="text1"/>
        </w:rPr>
        <w:lastRenderedPageBreak/>
        <w:t xml:space="preserve">Figure 1.1 depicts the causal pathway through which governance quality influences the outcomes of water </w:t>
      </w:r>
      <w:r w:rsidR="00F224EC" w:rsidRPr="00AF0CC3">
        <w:rPr>
          <w:rFonts w:ascii="Times New Roman" w:hAnsi="Times New Roman" w:cs="Times New Roman"/>
          <w:color w:val="000000" w:themeColor="text1"/>
        </w:rPr>
        <w:t xml:space="preserve">management </w:t>
      </w:r>
      <w:r w:rsidRPr="00AF0CC3">
        <w:rPr>
          <w:rFonts w:ascii="Times New Roman" w:hAnsi="Times New Roman" w:cs="Times New Roman"/>
          <w:color w:val="000000" w:themeColor="text1"/>
        </w:rPr>
        <w:t>infrastructure projects. Governance quality shapes how risks are identified, allocated, and managed throughout the project lifecycle, affecting implementation dynamics such as procurement discipline, contract management, and the ability to respond to emerging challenges.</w:t>
      </w:r>
    </w:p>
    <w:p w14:paraId="5631FEC4" w14:textId="317B23AF" w:rsidR="006D2D82" w:rsidRPr="00AF0CC3" w:rsidRDefault="00177C96" w:rsidP="00240FD0">
      <w:pPr>
        <w:spacing w:after="240" w:line="360" w:lineRule="auto"/>
        <w:rPr>
          <w:rFonts w:ascii="Times New Roman" w:hAnsi="Times New Roman" w:cs="Times New Roman"/>
          <w:color w:val="000000" w:themeColor="text1"/>
        </w:rPr>
      </w:pPr>
      <w:r w:rsidRPr="00AF0CC3">
        <w:rPr>
          <w:rFonts w:ascii="Times New Roman" w:hAnsi="Times New Roman" w:cs="Times New Roman"/>
          <w:color w:val="000000" w:themeColor="text1"/>
        </w:rPr>
        <w:t xml:space="preserve"> These dynamics determine whether projects are completed on time and within budget, experience delays and cost overruns, or stall. </w:t>
      </w:r>
      <w:r w:rsidR="00A9245D" w:rsidRPr="00AF0CC3">
        <w:rPr>
          <w:rFonts w:ascii="Times New Roman" w:hAnsi="Times New Roman" w:cs="Times New Roman"/>
          <w:color w:val="000000" w:themeColor="text1"/>
        </w:rPr>
        <w:t>Climate risk is incorporated as a conditional factor that amplifies existing governance strengths or weaknesses rather than acting as an independent cause of project failure</w:t>
      </w:r>
      <w:r w:rsidRPr="00AF0CC3">
        <w:rPr>
          <w:rFonts w:ascii="Times New Roman" w:hAnsi="Times New Roman" w:cs="Times New Roman"/>
          <w:color w:val="000000" w:themeColor="text1"/>
        </w:rPr>
        <w:t>. Consistent with this framework, the empirical analysis models governance quality as the primary independent variable and examines its interaction with climate risk to explain time and cost overruns and the probability of project stalling.</w:t>
      </w:r>
      <w:r w:rsidR="00520EC4" w:rsidRPr="00AF0CC3">
        <w:rPr>
          <w:rFonts w:ascii="Times New Roman" w:hAnsi="Times New Roman" w:cs="Times New Roman"/>
          <w:color w:val="000000" w:themeColor="text1"/>
        </w:rPr>
        <w:t xml:space="preserve"> </w:t>
      </w:r>
    </w:p>
    <w:p w14:paraId="414D0335" w14:textId="77777777" w:rsidR="00520EC4" w:rsidRPr="00AF0CC3" w:rsidRDefault="00520EC4" w:rsidP="00240FD0">
      <w:pPr>
        <w:spacing w:after="240" w:line="360" w:lineRule="auto"/>
        <w:rPr>
          <w:rFonts w:ascii="Times New Roman" w:hAnsi="Times New Roman" w:cs="Times New Roman"/>
          <w:color w:val="000000" w:themeColor="text1"/>
        </w:rPr>
      </w:pPr>
    </w:p>
    <w:p w14:paraId="17CE68F3" w14:textId="4D808318" w:rsidR="00A55953" w:rsidRPr="00AF0CC3" w:rsidRDefault="00BE074C" w:rsidP="00240FD0">
      <w:pPr>
        <w:spacing w:after="240" w:line="360" w:lineRule="auto"/>
        <w:rPr>
          <w:rFonts w:ascii="Times New Roman" w:hAnsi="Times New Roman" w:cs="Times New Roman"/>
          <w:color w:val="000000" w:themeColor="text1"/>
        </w:rPr>
      </w:pPr>
      <w:r w:rsidRPr="00AF0CC3">
        <w:rPr>
          <w:rFonts w:ascii="Times New Roman" w:hAnsi="Times New Roman" w:cs="Times New Roman"/>
          <w:color w:val="000000" w:themeColor="text1"/>
        </w:rPr>
        <w:t xml:space="preserve">The conceptual framework informs the econometric analysis by specifying the Governance Quality Index (GQI) as the primary independent variable, </w:t>
      </w:r>
      <w:r w:rsidR="0012301B" w:rsidRPr="00AF0CC3">
        <w:rPr>
          <w:rFonts w:ascii="Times New Roman" w:hAnsi="Times New Roman" w:cs="Times New Roman"/>
          <w:color w:val="000000" w:themeColor="text1"/>
        </w:rPr>
        <w:t>and project stalling, time overruns, and cost overruns as the dependent performance outcomes, with project characteristics and climate risk as control and moderating variables,</w:t>
      </w:r>
      <w:r w:rsidRPr="00AF0CC3">
        <w:rPr>
          <w:rFonts w:ascii="Times New Roman" w:hAnsi="Times New Roman" w:cs="Times New Roman"/>
          <w:color w:val="000000" w:themeColor="text1"/>
        </w:rPr>
        <w:t xml:space="preserve"> estimated using logistic and ordinary least squares regression models</w:t>
      </w:r>
      <w:r w:rsidR="00C31FC3" w:rsidRPr="00AF0CC3">
        <w:rPr>
          <w:rFonts w:ascii="Times New Roman" w:hAnsi="Times New Roman" w:cs="Times New Roman"/>
          <w:color w:val="000000" w:themeColor="text1"/>
        </w:rPr>
        <w:t>.</w:t>
      </w:r>
    </w:p>
    <w:p w14:paraId="53598812" w14:textId="77777777" w:rsidR="00BE074C" w:rsidRPr="00AF0CC3" w:rsidRDefault="00BE074C" w:rsidP="00240FD0">
      <w:pPr>
        <w:spacing w:after="240" w:line="360" w:lineRule="auto"/>
        <w:rPr>
          <w:rFonts w:ascii="Times New Roman" w:hAnsi="Times New Roman" w:cs="Times New Roman"/>
          <w:color w:val="000000" w:themeColor="text1"/>
        </w:rPr>
      </w:pPr>
    </w:p>
    <w:p w14:paraId="7455F84D" w14:textId="3F3F5DC9" w:rsidR="004D775F" w:rsidRPr="00AF0CC3" w:rsidRDefault="00EF62B2" w:rsidP="00240FD0">
      <w:pPr>
        <w:pStyle w:val="Heading2"/>
        <w:spacing w:before="0" w:after="240" w:line="360" w:lineRule="auto"/>
        <w:rPr>
          <w:rFonts w:cs="Times New Roman"/>
          <w:b w:val="0"/>
          <w:bCs/>
          <w:color w:val="000000" w:themeColor="text1"/>
          <w:szCs w:val="24"/>
        </w:rPr>
      </w:pPr>
      <w:bookmarkStart w:id="55" w:name="_Toc234344753"/>
      <w:bookmarkStart w:id="56" w:name="_Toc234488984"/>
      <w:r w:rsidRPr="00AF0CC3">
        <w:rPr>
          <w:rFonts w:cs="Times New Roman"/>
          <w:bCs/>
          <w:color w:val="000000" w:themeColor="text1"/>
          <w:szCs w:val="24"/>
        </w:rPr>
        <w:t>Operationalization</w:t>
      </w:r>
      <w:r w:rsidR="004D775F" w:rsidRPr="00AF0CC3">
        <w:rPr>
          <w:rFonts w:cs="Times New Roman"/>
          <w:bCs/>
          <w:color w:val="000000" w:themeColor="text1"/>
          <w:szCs w:val="24"/>
        </w:rPr>
        <w:t xml:space="preserve"> of Key Concepts</w:t>
      </w:r>
      <w:bookmarkEnd w:id="55"/>
      <w:bookmarkEnd w:id="56"/>
    </w:p>
    <w:p w14:paraId="2123A553" w14:textId="7D1A3D11" w:rsidR="004D775F" w:rsidRPr="00AF0CC3" w:rsidRDefault="004D775F" w:rsidP="00240FD0">
      <w:pPr>
        <w:spacing w:after="240" w:line="360" w:lineRule="auto"/>
        <w:rPr>
          <w:rFonts w:ascii="Times New Roman" w:hAnsi="Times New Roman" w:cs="Times New Roman"/>
          <w:color w:val="000000" w:themeColor="text1"/>
        </w:rPr>
      </w:pPr>
      <w:r w:rsidRPr="00AF0CC3">
        <w:rPr>
          <w:rFonts w:ascii="Times New Roman" w:hAnsi="Times New Roman" w:cs="Times New Roman"/>
          <w:color w:val="000000" w:themeColor="text1"/>
        </w:rPr>
        <w:t xml:space="preserve">To enable systematic analysis, the study </w:t>
      </w:r>
      <w:r w:rsidR="00EF62B2" w:rsidRPr="00AF0CC3">
        <w:rPr>
          <w:rFonts w:ascii="Times New Roman" w:hAnsi="Times New Roman" w:cs="Times New Roman"/>
          <w:color w:val="000000" w:themeColor="text1"/>
        </w:rPr>
        <w:t>operationalizes</w:t>
      </w:r>
      <w:r w:rsidRPr="00AF0CC3">
        <w:rPr>
          <w:rFonts w:ascii="Times New Roman" w:hAnsi="Times New Roman" w:cs="Times New Roman"/>
          <w:color w:val="000000" w:themeColor="text1"/>
        </w:rPr>
        <w:t xml:space="preserve"> key theoretical constructs into measurable indicators.</w:t>
      </w:r>
    </w:p>
    <w:p w14:paraId="6F8A24A9" w14:textId="560BA284" w:rsidR="004D775F" w:rsidRPr="00AF0CC3" w:rsidRDefault="004D775F" w:rsidP="00240FD0">
      <w:pPr>
        <w:pStyle w:val="ListParagraph"/>
        <w:numPr>
          <w:ilvl w:val="0"/>
          <w:numId w:val="3"/>
        </w:numPr>
        <w:spacing w:after="240" w:line="360" w:lineRule="auto"/>
        <w:rPr>
          <w:rFonts w:ascii="Times New Roman" w:hAnsi="Times New Roman" w:cs="Times New Roman"/>
          <w:color w:val="000000" w:themeColor="text1"/>
        </w:rPr>
      </w:pPr>
      <w:r w:rsidRPr="00AF0CC3">
        <w:rPr>
          <w:rFonts w:ascii="Times New Roman" w:hAnsi="Times New Roman" w:cs="Times New Roman"/>
          <w:color w:val="000000" w:themeColor="text1"/>
        </w:rPr>
        <w:t xml:space="preserve">Governance is operationalized through a composite governance index comprising five dimensions: project preparation and appraisal; risk allocation and fiscal discipline; procurement and contracting quality; implementation and contract management; and accountability and oversight, as well as adaptive decision-making capacity. Each dimension is measured using a combination of documentary indicators (e.g., audit </w:t>
      </w:r>
      <w:r w:rsidRPr="00AF0CC3">
        <w:rPr>
          <w:rFonts w:ascii="Times New Roman" w:hAnsi="Times New Roman" w:cs="Times New Roman"/>
          <w:color w:val="000000" w:themeColor="text1"/>
        </w:rPr>
        <w:lastRenderedPageBreak/>
        <w:t xml:space="preserve">reports, procurement timelines, contract variations). Scores are </w:t>
      </w:r>
      <w:r w:rsidR="00EF62B2" w:rsidRPr="00AF0CC3">
        <w:rPr>
          <w:rFonts w:ascii="Times New Roman" w:hAnsi="Times New Roman" w:cs="Times New Roman"/>
          <w:color w:val="000000" w:themeColor="text1"/>
        </w:rPr>
        <w:t>standardized</w:t>
      </w:r>
      <w:r w:rsidRPr="00AF0CC3">
        <w:rPr>
          <w:rFonts w:ascii="Times New Roman" w:hAnsi="Times New Roman" w:cs="Times New Roman"/>
          <w:color w:val="000000" w:themeColor="text1"/>
        </w:rPr>
        <w:t xml:space="preserve"> to allow comparison across projects.</w:t>
      </w:r>
    </w:p>
    <w:p w14:paraId="21AD5A7D" w14:textId="17689403" w:rsidR="004D775F" w:rsidRPr="00AF0CC3" w:rsidRDefault="004D775F" w:rsidP="00240FD0">
      <w:pPr>
        <w:spacing w:after="240" w:line="360" w:lineRule="auto"/>
        <w:rPr>
          <w:rFonts w:ascii="Times New Roman" w:hAnsi="Times New Roman" w:cs="Times New Roman"/>
          <w:color w:val="000000" w:themeColor="text1"/>
        </w:rPr>
      </w:pPr>
      <w:r w:rsidRPr="00AF0CC3">
        <w:rPr>
          <w:rFonts w:ascii="Times New Roman" w:hAnsi="Times New Roman" w:cs="Times New Roman"/>
          <w:color w:val="000000" w:themeColor="text1"/>
        </w:rPr>
        <w:t xml:space="preserve">Infrastructure performance is </w:t>
      </w:r>
      <w:r w:rsidR="00EF62B2" w:rsidRPr="00AF0CC3">
        <w:rPr>
          <w:rFonts w:ascii="Times New Roman" w:hAnsi="Times New Roman" w:cs="Times New Roman"/>
          <w:color w:val="000000" w:themeColor="text1"/>
        </w:rPr>
        <w:t>operationalized</w:t>
      </w:r>
      <w:r w:rsidRPr="00AF0CC3">
        <w:rPr>
          <w:rFonts w:ascii="Times New Roman" w:hAnsi="Times New Roman" w:cs="Times New Roman"/>
          <w:color w:val="000000" w:themeColor="text1"/>
        </w:rPr>
        <w:t xml:space="preserve"> through three core outcome variables:</w:t>
      </w:r>
    </w:p>
    <w:p w14:paraId="127520E4" w14:textId="2BB6436E" w:rsidR="004D775F" w:rsidRPr="00AF0CC3" w:rsidRDefault="004D775F" w:rsidP="00240FD0">
      <w:pPr>
        <w:pStyle w:val="ListParagraph"/>
        <w:numPr>
          <w:ilvl w:val="0"/>
          <w:numId w:val="3"/>
        </w:numPr>
        <w:spacing w:after="240" w:line="360" w:lineRule="auto"/>
        <w:rPr>
          <w:rFonts w:ascii="Times New Roman" w:hAnsi="Times New Roman" w:cs="Times New Roman"/>
          <w:color w:val="000000" w:themeColor="text1"/>
        </w:rPr>
      </w:pPr>
      <w:r w:rsidRPr="00AF0CC3">
        <w:rPr>
          <w:rFonts w:ascii="Times New Roman" w:hAnsi="Times New Roman" w:cs="Times New Roman"/>
          <w:color w:val="000000" w:themeColor="text1"/>
        </w:rPr>
        <w:t xml:space="preserve">Project completion time is measured as the schedule variance between the planned and actual completion dates. </w:t>
      </w:r>
    </w:p>
    <w:p w14:paraId="327B7623" w14:textId="54D287F2" w:rsidR="004D775F" w:rsidRPr="00AF0CC3" w:rsidRDefault="004D775F" w:rsidP="00240FD0">
      <w:pPr>
        <w:pStyle w:val="ListParagraph"/>
        <w:numPr>
          <w:ilvl w:val="0"/>
          <w:numId w:val="3"/>
        </w:numPr>
        <w:spacing w:after="240" w:line="360" w:lineRule="auto"/>
        <w:rPr>
          <w:rFonts w:ascii="Times New Roman" w:hAnsi="Times New Roman" w:cs="Times New Roman"/>
          <w:color w:val="000000" w:themeColor="text1"/>
        </w:rPr>
      </w:pPr>
      <w:r w:rsidRPr="00AF0CC3">
        <w:rPr>
          <w:rFonts w:ascii="Times New Roman" w:hAnsi="Times New Roman" w:cs="Times New Roman"/>
          <w:color w:val="000000" w:themeColor="text1"/>
        </w:rPr>
        <w:t xml:space="preserve">Budget performance is measured as cost overrun relative to approved budgets. </w:t>
      </w:r>
    </w:p>
    <w:p w14:paraId="456FF61B" w14:textId="3294E559" w:rsidR="004D775F" w:rsidRPr="00AF0CC3" w:rsidRDefault="004D775F" w:rsidP="00240FD0">
      <w:pPr>
        <w:pStyle w:val="ListParagraph"/>
        <w:numPr>
          <w:ilvl w:val="0"/>
          <w:numId w:val="3"/>
        </w:numPr>
        <w:spacing w:after="240" w:line="360" w:lineRule="auto"/>
        <w:rPr>
          <w:rFonts w:ascii="Times New Roman" w:hAnsi="Times New Roman" w:cs="Times New Roman"/>
          <w:color w:val="000000" w:themeColor="text1"/>
        </w:rPr>
      </w:pPr>
      <w:r w:rsidRPr="00AF0CC3">
        <w:rPr>
          <w:rFonts w:ascii="Times New Roman" w:hAnsi="Times New Roman" w:cs="Times New Roman"/>
          <w:color w:val="000000" w:themeColor="text1"/>
        </w:rPr>
        <w:t>Project stalling is operationalized as a prolonged cessation of construction activity exceeding 24 months beyond the planned completion date, without delivery of functional services, as evidenced by official project documentation.</w:t>
      </w:r>
    </w:p>
    <w:p w14:paraId="73413808" w14:textId="77777777" w:rsidR="004D775F" w:rsidRPr="00AF0CC3" w:rsidRDefault="004D775F" w:rsidP="00240FD0">
      <w:pPr>
        <w:spacing w:after="240" w:line="360" w:lineRule="auto"/>
        <w:rPr>
          <w:rFonts w:ascii="Times New Roman" w:hAnsi="Times New Roman" w:cs="Times New Roman"/>
          <w:color w:val="000000" w:themeColor="text1"/>
        </w:rPr>
      </w:pPr>
    </w:p>
    <w:p w14:paraId="280F7D06" w14:textId="79C4B1F4" w:rsidR="004D775F" w:rsidRPr="00AF0CC3" w:rsidRDefault="004D775F" w:rsidP="00240FD0">
      <w:pPr>
        <w:pStyle w:val="Heading2"/>
        <w:spacing w:before="0" w:after="240" w:line="360" w:lineRule="auto"/>
        <w:rPr>
          <w:rFonts w:cs="Times New Roman"/>
          <w:b w:val="0"/>
          <w:bCs/>
          <w:color w:val="000000" w:themeColor="text1"/>
          <w:szCs w:val="24"/>
        </w:rPr>
      </w:pPr>
      <w:bookmarkStart w:id="57" w:name="_Toc234344754"/>
      <w:bookmarkStart w:id="58" w:name="_Toc234488985"/>
      <w:r w:rsidRPr="00AF0CC3">
        <w:rPr>
          <w:rFonts w:cs="Times New Roman"/>
          <w:bCs/>
          <w:color w:val="000000" w:themeColor="text1"/>
          <w:szCs w:val="24"/>
        </w:rPr>
        <w:t>Structure of the Dissertation</w:t>
      </w:r>
      <w:bookmarkEnd w:id="57"/>
      <w:bookmarkEnd w:id="58"/>
    </w:p>
    <w:p w14:paraId="753C1B3B" w14:textId="77777777" w:rsidR="004D775F" w:rsidRPr="00AF0CC3" w:rsidRDefault="004D775F" w:rsidP="00240FD0">
      <w:pPr>
        <w:spacing w:after="240" w:line="360" w:lineRule="auto"/>
        <w:rPr>
          <w:rFonts w:ascii="Times New Roman" w:hAnsi="Times New Roman" w:cs="Times New Roman"/>
          <w:color w:val="000000" w:themeColor="text1"/>
        </w:rPr>
      </w:pPr>
    </w:p>
    <w:p w14:paraId="1DED8E49" w14:textId="156C0458" w:rsidR="004D775F" w:rsidRPr="00AF0CC3" w:rsidRDefault="004D775F" w:rsidP="00240FD0">
      <w:pPr>
        <w:spacing w:after="240" w:line="360" w:lineRule="auto"/>
        <w:rPr>
          <w:rFonts w:ascii="Times New Roman" w:hAnsi="Times New Roman" w:cs="Times New Roman"/>
          <w:color w:val="000000" w:themeColor="text1"/>
        </w:rPr>
      </w:pPr>
      <w:r w:rsidRPr="00AF0CC3">
        <w:rPr>
          <w:rFonts w:ascii="Times New Roman" w:hAnsi="Times New Roman" w:cs="Times New Roman"/>
          <w:color w:val="000000" w:themeColor="text1"/>
        </w:rPr>
        <w:t>The dissertation is structured into five chapters. Chapter One introduces the research problem, context, objectives, and conceptual framing. Chapter Two reviews the relevant theoretical and empirical literature on infrastructure governance, project performance, and climate resilience, and identifies gaps addressed by the study. Chapter Three outlines the research methodology, including project selection, data sources, variable operationalization, and analytical techniques. Chapter Four presents empirical findings and quantitative results. Chapter Five discusses the findings in relation to theory and practice, drawing conclusions and outlining implications for policy, financing, and future research.</w:t>
      </w:r>
    </w:p>
    <w:p w14:paraId="3D785711" w14:textId="028D49C7" w:rsidR="004D775F" w:rsidRPr="00AF0CC3" w:rsidRDefault="004D775F" w:rsidP="00240FD0">
      <w:pPr>
        <w:pStyle w:val="Heading2"/>
        <w:spacing w:before="0" w:after="240" w:line="360" w:lineRule="auto"/>
        <w:rPr>
          <w:rFonts w:cs="Times New Roman"/>
          <w:b w:val="0"/>
          <w:bCs/>
          <w:color w:val="000000" w:themeColor="text1"/>
          <w:szCs w:val="24"/>
        </w:rPr>
      </w:pPr>
      <w:bookmarkStart w:id="59" w:name="_Toc234344755"/>
      <w:bookmarkStart w:id="60" w:name="_Toc234488986"/>
      <w:r w:rsidRPr="00AF0CC3">
        <w:rPr>
          <w:rFonts w:cs="Times New Roman"/>
          <w:bCs/>
          <w:color w:val="000000" w:themeColor="text1"/>
          <w:szCs w:val="24"/>
        </w:rPr>
        <w:t>Researcher Positionality</w:t>
      </w:r>
      <w:bookmarkEnd w:id="59"/>
      <w:bookmarkEnd w:id="60"/>
    </w:p>
    <w:p w14:paraId="4CB10B21" w14:textId="77777777" w:rsidR="004D775F" w:rsidRPr="00AF0CC3" w:rsidRDefault="004D775F" w:rsidP="00240FD0">
      <w:pPr>
        <w:spacing w:after="240" w:line="360" w:lineRule="auto"/>
        <w:rPr>
          <w:rFonts w:ascii="Times New Roman" w:hAnsi="Times New Roman" w:cs="Times New Roman"/>
          <w:color w:val="000000" w:themeColor="text1"/>
        </w:rPr>
      </w:pPr>
      <w:r w:rsidRPr="00AF0CC3">
        <w:rPr>
          <w:rFonts w:ascii="Times New Roman" w:hAnsi="Times New Roman" w:cs="Times New Roman"/>
          <w:color w:val="000000" w:themeColor="text1"/>
        </w:rPr>
        <w:t>The researcher brings extensive professional experience in project finance and international development operations. This background informs the study’s sensitivity to the practical realities of infrastructure financing, procurement, and implementation, particularly under conditions of institutional complexity and climate uncertainty.</w:t>
      </w:r>
    </w:p>
    <w:p w14:paraId="3F04D6AB" w14:textId="5B0CCC8F" w:rsidR="004D775F" w:rsidRPr="00AF0CC3" w:rsidRDefault="004D775F" w:rsidP="00240FD0">
      <w:pPr>
        <w:spacing w:after="240" w:line="360" w:lineRule="auto"/>
        <w:rPr>
          <w:rFonts w:ascii="Times New Roman" w:hAnsi="Times New Roman" w:cs="Times New Roman"/>
          <w:color w:val="000000" w:themeColor="text1"/>
        </w:rPr>
      </w:pPr>
      <w:r w:rsidRPr="00AF0CC3">
        <w:rPr>
          <w:rFonts w:ascii="Times New Roman" w:hAnsi="Times New Roman" w:cs="Times New Roman"/>
          <w:color w:val="000000" w:themeColor="text1"/>
        </w:rPr>
        <w:lastRenderedPageBreak/>
        <w:t xml:space="preserve">The study, therefore, adopts a reflexive approach to ensure that professional experience enhances rather than biases analysis. Methodological choices </w:t>
      </w:r>
      <w:r w:rsidR="003E379E" w:rsidRPr="00AF0CC3">
        <w:rPr>
          <w:rFonts w:ascii="Times New Roman" w:hAnsi="Times New Roman" w:cs="Times New Roman"/>
          <w:color w:val="000000" w:themeColor="text1"/>
        </w:rPr>
        <w:t>prioritize</w:t>
      </w:r>
      <w:r w:rsidRPr="00AF0CC3">
        <w:rPr>
          <w:rFonts w:ascii="Times New Roman" w:hAnsi="Times New Roman" w:cs="Times New Roman"/>
          <w:color w:val="000000" w:themeColor="text1"/>
        </w:rPr>
        <w:t xml:space="preserve"> transparency, triangulation, and systematic evidence over anecdotal interpretation. The researcher’s positionality is treated as an asset for contextual understanding, while empirical findings are grounded in independently verifiable data and established analytical frameworks.</w:t>
      </w:r>
    </w:p>
    <w:p w14:paraId="37AC2441" w14:textId="77777777" w:rsidR="004D775F" w:rsidRPr="00AF0CC3" w:rsidRDefault="004D775F" w:rsidP="00240FD0">
      <w:pPr>
        <w:spacing w:after="240" w:line="360" w:lineRule="auto"/>
        <w:rPr>
          <w:rFonts w:ascii="Times New Roman" w:hAnsi="Times New Roman" w:cs="Times New Roman"/>
          <w:color w:val="000000" w:themeColor="text1"/>
        </w:rPr>
      </w:pPr>
    </w:p>
    <w:p w14:paraId="61F7AC0D" w14:textId="5235B757" w:rsidR="004D775F" w:rsidRPr="00AF0CC3" w:rsidRDefault="004D775F" w:rsidP="00240FD0">
      <w:pPr>
        <w:pStyle w:val="Heading2"/>
        <w:spacing w:before="0" w:after="240" w:line="360" w:lineRule="auto"/>
        <w:rPr>
          <w:rFonts w:cs="Times New Roman"/>
          <w:b w:val="0"/>
          <w:bCs/>
          <w:color w:val="000000" w:themeColor="text1"/>
          <w:szCs w:val="24"/>
        </w:rPr>
      </w:pPr>
      <w:bookmarkStart w:id="61" w:name="_Toc234344756"/>
      <w:bookmarkStart w:id="62" w:name="_Toc234488987"/>
      <w:r w:rsidRPr="00AF0CC3">
        <w:rPr>
          <w:rFonts w:cs="Times New Roman"/>
          <w:bCs/>
          <w:color w:val="000000" w:themeColor="text1"/>
          <w:szCs w:val="24"/>
        </w:rPr>
        <w:t>Chapter Summary</w:t>
      </w:r>
      <w:bookmarkEnd w:id="61"/>
      <w:bookmarkEnd w:id="62"/>
    </w:p>
    <w:p w14:paraId="759051C6" w14:textId="77777777" w:rsidR="004D775F" w:rsidRPr="00AF0CC3" w:rsidRDefault="004D775F" w:rsidP="00240FD0">
      <w:pPr>
        <w:spacing w:after="240" w:line="360" w:lineRule="auto"/>
        <w:rPr>
          <w:rFonts w:ascii="Times New Roman" w:hAnsi="Times New Roman" w:cs="Times New Roman"/>
          <w:color w:val="000000" w:themeColor="text1"/>
        </w:rPr>
      </w:pPr>
      <w:r w:rsidRPr="00AF0CC3">
        <w:rPr>
          <w:rFonts w:ascii="Times New Roman" w:hAnsi="Times New Roman" w:cs="Times New Roman"/>
          <w:color w:val="000000" w:themeColor="text1"/>
        </w:rPr>
        <w:t>This chapter has established the global, regional, and national context for examining water infrastructure performance in Kenya, articulated the research problem, and outlined the objectives, questions, and the study's significance. It has been argued that persistent underperformance and project stalling in the water sector are best understood as governance failures rather than financing or technical shortcomings.</w:t>
      </w:r>
    </w:p>
    <w:p w14:paraId="1D3DB56D" w14:textId="4ED47A19" w:rsidR="00280EE8" w:rsidRPr="00AF0CC3" w:rsidRDefault="004D775F" w:rsidP="00C67413">
      <w:pPr>
        <w:spacing w:after="240" w:line="360" w:lineRule="auto"/>
        <w:rPr>
          <w:rFonts w:ascii="Times New Roman" w:hAnsi="Times New Roman" w:cs="Times New Roman"/>
          <w:color w:val="000000" w:themeColor="text1"/>
        </w:rPr>
      </w:pPr>
      <w:r w:rsidRPr="00AF0CC3">
        <w:rPr>
          <w:rFonts w:ascii="Times New Roman" w:hAnsi="Times New Roman" w:cs="Times New Roman"/>
          <w:color w:val="000000" w:themeColor="text1"/>
        </w:rPr>
        <w:t>The next chapter critically reviews the literature on infrastructure governance, project performance, and climate risk, identifying the gaps that this study seeks to address.</w:t>
      </w:r>
    </w:p>
    <w:p w14:paraId="3D7320F9" w14:textId="77777777" w:rsidR="003D7AD0" w:rsidRPr="00AF0CC3" w:rsidRDefault="003D7AD0" w:rsidP="00C67413">
      <w:pPr>
        <w:spacing w:after="240" w:line="360" w:lineRule="auto"/>
        <w:rPr>
          <w:rFonts w:ascii="Times New Roman" w:hAnsi="Times New Roman" w:cs="Times New Roman"/>
          <w:color w:val="000000" w:themeColor="text1"/>
        </w:rPr>
      </w:pPr>
    </w:p>
    <w:p w14:paraId="0D2150D1" w14:textId="77777777" w:rsidR="003D7AD0" w:rsidRPr="00AF0CC3" w:rsidRDefault="003D7AD0" w:rsidP="00C67413">
      <w:pPr>
        <w:spacing w:after="240" w:line="360" w:lineRule="auto"/>
        <w:rPr>
          <w:rFonts w:ascii="Times New Roman" w:hAnsi="Times New Roman" w:cs="Times New Roman"/>
          <w:color w:val="000000" w:themeColor="text1"/>
        </w:rPr>
      </w:pPr>
    </w:p>
    <w:p w14:paraId="00AFC018" w14:textId="77777777" w:rsidR="003D7AD0" w:rsidRPr="00AF0CC3" w:rsidRDefault="003D7AD0" w:rsidP="00C67413">
      <w:pPr>
        <w:spacing w:after="240" w:line="360" w:lineRule="auto"/>
        <w:rPr>
          <w:rFonts w:ascii="Times New Roman" w:hAnsi="Times New Roman" w:cs="Times New Roman"/>
          <w:color w:val="000000" w:themeColor="text1"/>
        </w:rPr>
      </w:pPr>
    </w:p>
    <w:p w14:paraId="37BDE9C5" w14:textId="77777777" w:rsidR="003D7AD0" w:rsidRPr="00AF0CC3" w:rsidRDefault="003D7AD0" w:rsidP="00C67413">
      <w:pPr>
        <w:spacing w:after="240" w:line="360" w:lineRule="auto"/>
        <w:rPr>
          <w:rFonts w:ascii="Times New Roman" w:hAnsi="Times New Roman" w:cs="Times New Roman"/>
          <w:color w:val="000000" w:themeColor="text1"/>
        </w:rPr>
      </w:pPr>
    </w:p>
    <w:p w14:paraId="37787511" w14:textId="77777777" w:rsidR="003D7AD0" w:rsidRPr="00AF0CC3" w:rsidRDefault="003D7AD0" w:rsidP="00C67413">
      <w:pPr>
        <w:spacing w:after="240" w:line="360" w:lineRule="auto"/>
        <w:rPr>
          <w:rFonts w:ascii="Times New Roman" w:hAnsi="Times New Roman" w:cs="Times New Roman"/>
          <w:color w:val="000000" w:themeColor="text1"/>
        </w:rPr>
      </w:pPr>
    </w:p>
    <w:p w14:paraId="7F44E889" w14:textId="77777777" w:rsidR="003D7AD0" w:rsidRPr="00AF0CC3" w:rsidRDefault="003D7AD0" w:rsidP="00C67413">
      <w:pPr>
        <w:spacing w:after="240" w:line="360" w:lineRule="auto"/>
        <w:rPr>
          <w:rFonts w:ascii="Times New Roman" w:hAnsi="Times New Roman" w:cs="Times New Roman"/>
          <w:color w:val="000000" w:themeColor="text1"/>
        </w:rPr>
      </w:pPr>
    </w:p>
    <w:p w14:paraId="7368180D" w14:textId="77777777" w:rsidR="003D7AD0" w:rsidRPr="00AF0CC3" w:rsidRDefault="003D7AD0" w:rsidP="00C67413">
      <w:pPr>
        <w:spacing w:after="240" w:line="360" w:lineRule="auto"/>
        <w:rPr>
          <w:rFonts w:ascii="Times New Roman" w:hAnsi="Times New Roman" w:cs="Times New Roman"/>
          <w:color w:val="000000" w:themeColor="text1"/>
        </w:rPr>
      </w:pPr>
    </w:p>
    <w:p w14:paraId="16B6363B" w14:textId="77777777" w:rsidR="003D7AD0" w:rsidRPr="00AF0CC3" w:rsidRDefault="003D7AD0" w:rsidP="00C67413">
      <w:pPr>
        <w:spacing w:after="240" w:line="360" w:lineRule="auto"/>
        <w:rPr>
          <w:rFonts w:ascii="Times New Roman" w:hAnsi="Times New Roman" w:cs="Times New Roman"/>
          <w:color w:val="000000" w:themeColor="text1"/>
        </w:rPr>
      </w:pPr>
    </w:p>
    <w:p w14:paraId="7FAC4BD7" w14:textId="77777777" w:rsidR="003D7AD0" w:rsidRPr="00AF0CC3" w:rsidRDefault="003D7AD0" w:rsidP="00C67413">
      <w:pPr>
        <w:spacing w:after="240" w:line="360" w:lineRule="auto"/>
        <w:rPr>
          <w:rFonts w:ascii="Times New Roman" w:hAnsi="Times New Roman" w:cs="Times New Roman"/>
          <w:color w:val="000000" w:themeColor="text1"/>
        </w:rPr>
      </w:pPr>
    </w:p>
    <w:p w14:paraId="6E09F243" w14:textId="1442ED21" w:rsidR="00A25E6A" w:rsidRPr="00AF0CC3" w:rsidRDefault="00833AED" w:rsidP="001B0311">
      <w:pPr>
        <w:pStyle w:val="Heading1"/>
        <w:rPr>
          <w:rFonts w:cs="Times New Roman"/>
          <w:color w:val="000000" w:themeColor="text1"/>
          <w:szCs w:val="24"/>
        </w:rPr>
      </w:pPr>
      <w:bookmarkStart w:id="63" w:name="_Toc234344757"/>
      <w:bookmarkStart w:id="64" w:name="_Toc234488988"/>
      <w:bookmarkStart w:id="65" w:name="_Toc223623367"/>
      <w:r w:rsidRPr="00AF0CC3">
        <w:rPr>
          <w:rFonts w:cs="Times New Roman"/>
          <w:color w:val="000000" w:themeColor="text1"/>
          <w:szCs w:val="24"/>
        </w:rPr>
        <w:lastRenderedPageBreak/>
        <w:t>LITERATURE REVIEW</w:t>
      </w:r>
      <w:bookmarkEnd w:id="63"/>
      <w:bookmarkEnd w:id="64"/>
      <w:r w:rsidRPr="00AF0CC3">
        <w:rPr>
          <w:rFonts w:cs="Times New Roman"/>
          <w:color w:val="000000" w:themeColor="text1"/>
          <w:szCs w:val="24"/>
        </w:rPr>
        <w:t xml:space="preserve"> </w:t>
      </w:r>
    </w:p>
    <w:p w14:paraId="2D7F8F08" w14:textId="49EB96EE" w:rsidR="00833AED" w:rsidRPr="00AF0CC3" w:rsidRDefault="00833AED" w:rsidP="00A25E6A">
      <w:pPr>
        <w:rPr>
          <w:rFonts w:ascii="Times New Roman" w:hAnsi="Times New Roman" w:cs="Times New Roman"/>
          <w:b/>
          <w:bCs/>
          <w:color w:val="000000" w:themeColor="text1"/>
        </w:rPr>
      </w:pPr>
      <w:r w:rsidRPr="00AF0CC3">
        <w:rPr>
          <w:rFonts w:ascii="Times New Roman" w:hAnsi="Times New Roman" w:cs="Times New Roman"/>
          <w:color w:val="000000" w:themeColor="text1"/>
        </w:rPr>
        <w:t xml:space="preserve">GOVERNANCE AND PERFORMANCE OF WATER </w:t>
      </w:r>
      <w:bookmarkEnd w:id="65"/>
      <w:r w:rsidR="00124A17" w:rsidRPr="00AF0CC3">
        <w:rPr>
          <w:rFonts w:ascii="Times New Roman" w:hAnsi="Times New Roman" w:cs="Times New Roman"/>
          <w:color w:val="000000" w:themeColor="text1"/>
        </w:rPr>
        <w:t>MANAGEMENT PROJECTS</w:t>
      </w:r>
    </w:p>
    <w:p w14:paraId="119EE0E1" w14:textId="77777777" w:rsidR="00833AED" w:rsidRPr="00AF0CC3" w:rsidRDefault="00833AED" w:rsidP="00833AED">
      <w:pPr>
        <w:spacing w:line="240" w:lineRule="auto"/>
        <w:rPr>
          <w:rFonts w:ascii="Times New Roman" w:hAnsi="Times New Roman" w:cs="Times New Roman"/>
          <w:color w:val="000000" w:themeColor="text1"/>
        </w:rPr>
      </w:pPr>
    </w:p>
    <w:p w14:paraId="1725C958" w14:textId="0807300F" w:rsidR="00833AED" w:rsidRPr="00AF0CC3" w:rsidRDefault="00833AED" w:rsidP="007B7006">
      <w:pPr>
        <w:pStyle w:val="Heading2"/>
        <w:rPr>
          <w:rFonts w:cs="Times New Roman"/>
          <w:b w:val="0"/>
          <w:bCs/>
          <w:color w:val="000000" w:themeColor="text1"/>
          <w:szCs w:val="24"/>
        </w:rPr>
      </w:pPr>
      <w:bookmarkStart w:id="66" w:name="_Toc223623368"/>
      <w:bookmarkStart w:id="67" w:name="_Toc234344758"/>
      <w:bookmarkStart w:id="68" w:name="_Toc234488989"/>
      <w:r w:rsidRPr="00AF0CC3">
        <w:rPr>
          <w:rFonts w:cs="Times New Roman"/>
          <w:bCs/>
          <w:color w:val="000000" w:themeColor="text1"/>
          <w:szCs w:val="24"/>
        </w:rPr>
        <w:t>Introduction</w:t>
      </w:r>
      <w:bookmarkEnd w:id="66"/>
      <w:bookmarkEnd w:id="67"/>
      <w:bookmarkEnd w:id="68"/>
    </w:p>
    <w:p w14:paraId="1FA9F1E3" w14:textId="77777777" w:rsidR="00833AED" w:rsidRPr="00AF0CC3" w:rsidRDefault="00833AED" w:rsidP="00833AED">
      <w:pPr>
        <w:spacing w:line="240" w:lineRule="auto"/>
        <w:rPr>
          <w:rFonts w:ascii="Times New Roman" w:hAnsi="Times New Roman" w:cs="Times New Roman"/>
          <w:color w:val="000000" w:themeColor="text1"/>
        </w:rPr>
      </w:pPr>
    </w:p>
    <w:p w14:paraId="55B15ECA" w14:textId="77777777" w:rsidR="00833AED" w:rsidRPr="00AF0CC3" w:rsidRDefault="00833AED" w:rsidP="00833AED">
      <w:pPr>
        <w:spacing w:line="240" w:lineRule="auto"/>
        <w:rPr>
          <w:rFonts w:ascii="Times New Roman" w:hAnsi="Times New Roman" w:cs="Times New Roman"/>
          <w:color w:val="000000" w:themeColor="text1"/>
        </w:rPr>
      </w:pPr>
      <w:r w:rsidRPr="00AF0CC3">
        <w:rPr>
          <w:rFonts w:ascii="Times New Roman" w:hAnsi="Times New Roman" w:cs="Times New Roman"/>
          <w:color w:val="000000" w:themeColor="text1"/>
        </w:rPr>
        <w:t>This chapter takes a closer look at how governance quality shapes the performance of water management infrastructure projects, drawing together debates that are often treated separately. Building directly on the problem articulated in Chapter One, the review moves beyond general descriptions of infrastructure underperformance to examine how theory and empirical research explain persistent delays, cost escalation, and, most importantly, project stalling.</w:t>
      </w:r>
    </w:p>
    <w:p w14:paraId="108E569C" w14:textId="77777777" w:rsidR="00833AED" w:rsidRPr="00AF0CC3" w:rsidRDefault="00833AED" w:rsidP="00833AED">
      <w:pPr>
        <w:spacing w:line="240" w:lineRule="auto"/>
        <w:rPr>
          <w:rFonts w:ascii="Times New Roman" w:hAnsi="Times New Roman" w:cs="Times New Roman"/>
          <w:color w:val="000000" w:themeColor="text1"/>
        </w:rPr>
      </w:pPr>
    </w:p>
    <w:p w14:paraId="3F9D4F60" w14:textId="77777777" w:rsidR="00833AED" w:rsidRPr="00AF0CC3" w:rsidRDefault="00833AED" w:rsidP="00833AED">
      <w:pPr>
        <w:spacing w:line="240" w:lineRule="auto"/>
        <w:rPr>
          <w:rFonts w:ascii="Times New Roman" w:hAnsi="Times New Roman" w:cs="Times New Roman"/>
          <w:color w:val="000000" w:themeColor="text1"/>
        </w:rPr>
      </w:pPr>
      <w:r w:rsidRPr="00AF0CC3">
        <w:rPr>
          <w:rFonts w:ascii="Times New Roman" w:hAnsi="Times New Roman" w:cs="Times New Roman"/>
          <w:color w:val="000000" w:themeColor="text1"/>
        </w:rPr>
        <w:t>The scholarship on infrastructure governance spans economics, political science, development studies, public administration, project management, and water governance. Rather than cataloging contributions across these fields, the chapter synthesizes theoretical perspectives, evaluates empirical findings, and identifies points of convergence and tension. The objective is not to demonstrate breadth of reading but to clarify how existing knowledge informs and constrains the analytical choices made in this study.</w:t>
      </w:r>
    </w:p>
    <w:p w14:paraId="10FAF244" w14:textId="77777777" w:rsidR="00833AED" w:rsidRPr="00AF0CC3" w:rsidRDefault="00833AED" w:rsidP="00833AED">
      <w:pPr>
        <w:spacing w:line="240" w:lineRule="auto"/>
        <w:rPr>
          <w:rFonts w:ascii="Times New Roman" w:hAnsi="Times New Roman" w:cs="Times New Roman"/>
          <w:color w:val="000000" w:themeColor="text1"/>
        </w:rPr>
      </w:pPr>
    </w:p>
    <w:p w14:paraId="062CCCC2" w14:textId="77777777" w:rsidR="00833AED" w:rsidRPr="00AF0CC3" w:rsidRDefault="00833AED" w:rsidP="00833AED">
      <w:pPr>
        <w:spacing w:line="240" w:lineRule="auto"/>
        <w:rPr>
          <w:rFonts w:ascii="Times New Roman" w:hAnsi="Times New Roman" w:cs="Times New Roman"/>
          <w:color w:val="000000" w:themeColor="text1"/>
        </w:rPr>
      </w:pPr>
      <w:r w:rsidRPr="00AF0CC3">
        <w:rPr>
          <w:rFonts w:ascii="Times New Roman" w:hAnsi="Times New Roman" w:cs="Times New Roman"/>
          <w:color w:val="000000" w:themeColor="text1"/>
        </w:rPr>
        <w:t xml:space="preserve">Two observations guide the structure of the review. First, although infrastructure underperformance is widely documented, explanations remain fragmented across theoretical traditions. Institutional weaknesses, delegation failures, contractual rigidities, and adaptive constraints are often analyzed separately, even though they interact in practice. </w:t>
      </w:r>
    </w:p>
    <w:p w14:paraId="7FB7EED6" w14:textId="77777777" w:rsidR="00833AED" w:rsidRPr="00AF0CC3" w:rsidRDefault="00833AED" w:rsidP="00833AED">
      <w:pPr>
        <w:spacing w:line="240" w:lineRule="auto"/>
        <w:rPr>
          <w:rFonts w:ascii="Times New Roman" w:hAnsi="Times New Roman" w:cs="Times New Roman"/>
          <w:color w:val="000000" w:themeColor="text1"/>
        </w:rPr>
      </w:pPr>
      <w:r w:rsidRPr="00AF0CC3">
        <w:rPr>
          <w:rFonts w:ascii="Times New Roman" w:hAnsi="Times New Roman" w:cs="Times New Roman"/>
          <w:color w:val="000000" w:themeColor="text1"/>
        </w:rPr>
        <w:t>A second tension structures this review. Water management infrastructure occupies an ambiguous position in the broader infrastructure literature. It is frequently examined through the prism of service delivery, sustainability, or climate adaptation, yet far less often as a site of large-scale capital project failure. As a result, stalled dams, irrigation schemes, and bulk supply systems are treated as administrative anomalies rather than as analytically revealing outcomes.</w:t>
      </w:r>
    </w:p>
    <w:p w14:paraId="4E528911" w14:textId="77777777" w:rsidR="00833AED" w:rsidRPr="00AF0CC3" w:rsidRDefault="00833AED" w:rsidP="00833AED">
      <w:pPr>
        <w:spacing w:line="240" w:lineRule="auto"/>
        <w:rPr>
          <w:rFonts w:ascii="Times New Roman" w:hAnsi="Times New Roman" w:cs="Times New Roman"/>
          <w:color w:val="000000" w:themeColor="text1"/>
        </w:rPr>
      </w:pPr>
    </w:p>
    <w:p w14:paraId="4F613ECC" w14:textId="77777777" w:rsidR="00833AED" w:rsidRPr="00AF0CC3" w:rsidRDefault="00833AED" w:rsidP="00833AED">
      <w:pPr>
        <w:spacing w:line="240" w:lineRule="auto"/>
        <w:rPr>
          <w:rFonts w:ascii="Times New Roman" w:hAnsi="Times New Roman" w:cs="Times New Roman"/>
          <w:color w:val="000000" w:themeColor="text1"/>
        </w:rPr>
      </w:pPr>
      <w:r w:rsidRPr="00AF0CC3">
        <w:rPr>
          <w:rFonts w:ascii="Times New Roman" w:hAnsi="Times New Roman" w:cs="Times New Roman"/>
          <w:color w:val="000000" w:themeColor="text1"/>
        </w:rPr>
        <w:t>This chapter proceeds analytically rather than descriptively. It asks four guiding questions:</w:t>
      </w:r>
    </w:p>
    <w:p w14:paraId="60B2E7FB" w14:textId="77777777" w:rsidR="00833AED" w:rsidRPr="00AF0CC3" w:rsidRDefault="00833AED" w:rsidP="00833AED">
      <w:pPr>
        <w:spacing w:line="240" w:lineRule="auto"/>
        <w:rPr>
          <w:rFonts w:ascii="Times New Roman" w:hAnsi="Times New Roman" w:cs="Times New Roman"/>
          <w:color w:val="000000" w:themeColor="text1"/>
        </w:rPr>
      </w:pPr>
    </w:p>
    <w:p w14:paraId="4A7A7A26" w14:textId="77777777" w:rsidR="00833AED" w:rsidRPr="00AF0CC3" w:rsidRDefault="00833AED" w:rsidP="00833AED">
      <w:pPr>
        <w:numPr>
          <w:ilvl w:val="0"/>
          <w:numId w:val="6"/>
        </w:numPr>
        <w:spacing w:line="240" w:lineRule="auto"/>
        <w:contextualSpacing/>
        <w:rPr>
          <w:rFonts w:ascii="Times New Roman" w:hAnsi="Times New Roman" w:cs="Times New Roman"/>
          <w:color w:val="000000" w:themeColor="text1"/>
        </w:rPr>
      </w:pPr>
      <w:r w:rsidRPr="00AF0CC3">
        <w:rPr>
          <w:rFonts w:ascii="Times New Roman" w:hAnsi="Times New Roman" w:cs="Times New Roman"/>
          <w:color w:val="000000" w:themeColor="text1"/>
        </w:rPr>
        <w:t>What does theory suggest about the relationship between governance and infrastructure outcomes?</w:t>
      </w:r>
    </w:p>
    <w:p w14:paraId="57ACE835" w14:textId="77777777" w:rsidR="00833AED" w:rsidRPr="00AF0CC3" w:rsidRDefault="00833AED" w:rsidP="00833AED">
      <w:pPr>
        <w:numPr>
          <w:ilvl w:val="0"/>
          <w:numId w:val="6"/>
        </w:numPr>
        <w:spacing w:line="240" w:lineRule="auto"/>
        <w:contextualSpacing/>
        <w:rPr>
          <w:rFonts w:ascii="Times New Roman" w:hAnsi="Times New Roman" w:cs="Times New Roman"/>
          <w:color w:val="000000" w:themeColor="text1"/>
        </w:rPr>
      </w:pPr>
      <w:r w:rsidRPr="00AF0CC3">
        <w:rPr>
          <w:rFonts w:ascii="Times New Roman" w:hAnsi="Times New Roman" w:cs="Times New Roman"/>
          <w:color w:val="000000" w:themeColor="text1"/>
        </w:rPr>
        <w:t>What patterns emerge from empirical evidence on infrastructure failure?</w:t>
      </w:r>
    </w:p>
    <w:p w14:paraId="1F552261" w14:textId="77777777" w:rsidR="00833AED" w:rsidRPr="00AF0CC3" w:rsidRDefault="00833AED" w:rsidP="00833AED">
      <w:pPr>
        <w:numPr>
          <w:ilvl w:val="0"/>
          <w:numId w:val="6"/>
        </w:numPr>
        <w:spacing w:line="240" w:lineRule="auto"/>
        <w:contextualSpacing/>
        <w:rPr>
          <w:rFonts w:ascii="Times New Roman" w:hAnsi="Times New Roman" w:cs="Times New Roman"/>
          <w:color w:val="000000" w:themeColor="text1"/>
        </w:rPr>
      </w:pPr>
      <w:r w:rsidRPr="00AF0CC3">
        <w:rPr>
          <w:rFonts w:ascii="Times New Roman" w:hAnsi="Times New Roman" w:cs="Times New Roman"/>
          <w:color w:val="000000" w:themeColor="text1"/>
        </w:rPr>
        <w:t>Where does literature fail to explain project stalling specifically?</w:t>
      </w:r>
    </w:p>
    <w:p w14:paraId="2014B703" w14:textId="77777777" w:rsidR="00833AED" w:rsidRPr="00AF0CC3" w:rsidRDefault="00833AED" w:rsidP="00833AED">
      <w:pPr>
        <w:numPr>
          <w:ilvl w:val="0"/>
          <w:numId w:val="6"/>
        </w:numPr>
        <w:spacing w:line="240" w:lineRule="auto"/>
        <w:contextualSpacing/>
        <w:rPr>
          <w:rFonts w:ascii="Times New Roman" w:hAnsi="Times New Roman" w:cs="Times New Roman"/>
          <w:color w:val="000000" w:themeColor="text1"/>
        </w:rPr>
      </w:pPr>
      <w:r w:rsidRPr="00AF0CC3">
        <w:rPr>
          <w:rFonts w:ascii="Times New Roman" w:hAnsi="Times New Roman" w:cs="Times New Roman"/>
          <w:color w:val="000000" w:themeColor="text1"/>
        </w:rPr>
        <w:t>How can these gaps be reframed to inform a testable research design?</w:t>
      </w:r>
    </w:p>
    <w:p w14:paraId="55BDA469" w14:textId="77777777" w:rsidR="00833AED" w:rsidRPr="00AF0CC3" w:rsidRDefault="00833AED" w:rsidP="00833AED">
      <w:pPr>
        <w:spacing w:line="240" w:lineRule="auto"/>
        <w:rPr>
          <w:rFonts w:ascii="Times New Roman" w:hAnsi="Times New Roman" w:cs="Times New Roman"/>
          <w:color w:val="000000" w:themeColor="text1"/>
        </w:rPr>
      </w:pPr>
    </w:p>
    <w:p w14:paraId="6759446E" w14:textId="77777777" w:rsidR="00833AED" w:rsidRPr="00AF0CC3" w:rsidRDefault="00833AED" w:rsidP="00833AED">
      <w:pPr>
        <w:spacing w:line="240" w:lineRule="auto"/>
        <w:rPr>
          <w:rFonts w:ascii="Times New Roman" w:hAnsi="Times New Roman" w:cs="Times New Roman"/>
          <w:color w:val="000000" w:themeColor="text1"/>
        </w:rPr>
      </w:pPr>
      <w:r w:rsidRPr="00AF0CC3">
        <w:rPr>
          <w:rFonts w:ascii="Times New Roman" w:hAnsi="Times New Roman" w:cs="Times New Roman"/>
          <w:color w:val="000000" w:themeColor="text1"/>
        </w:rPr>
        <w:lastRenderedPageBreak/>
        <w:t>This chapter uses “water infrastructure” to refer to large-scale capital projects in storage, irrigation, bulk supply, and treatment systems, distinguishing them from routine water service delivery activities.</w:t>
      </w:r>
    </w:p>
    <w:p w14:paraId="66A32C91" w14:textId="77777777" w:rsidR="00833AED" w:rsidRPr="00AF0CC3" w:rsidRDefault="00833AED" w:rsidP="00833AED">
      <w:pPr>
        <w:spacing w:line="240" w:lineRule="auto"/>
        <w:rPr>
          <w:rFonts w:ascii="Times New Roman" w:hAnsi="Times New Roman" w:cs="Times New Roman"/>
          <w:color w:val="000000" w:themeColor="text1"/>
        </w:rPr>
      </w:pPr>
      <w:r w:rsidRPr="00AF0CC3">
        <w:rPr>
          <w:rFonts w:ascii="Times New Roman" w:hAnsi="Times New Roman" w:cs="Times New Roman"/>
          <w:color w:val="000000" w:themeColor="text1"/>
        </w:rPr>
        <w:t xml:space="preserve">The review is deliberately critical rather than descriptive. It assesses what the literature convincingly explains, identifies where explanatory gaps persist, and explains why those gaps matter for understanding time overruns, cost overruns, and ultimately stalled water management infrastructure projects in Kenya. </w:t>
      </w:r>
    </w:p>
    <w:p w14:paraId="1CF19324" w14:textId="77777777" w:rsidR="00833AED" w:rsidRPr="00AF0CC3" w:rsidRDefault="00833AED" w:rsidP="00833AED">
      <w:pPr>
        <w:spacing w:line="240" w:lineRule="auto"/>
        <w:rPr>
          <w:rFonts w:ascii="Times New Roman" w:hAnsi="Times New Roman" w:cs="Times New Roman"/>
          <w:color w:val="000000" w:themeColor="text1"/>
        </w:rPr>
      </w:pPr>
      <w:r w:rsidRPr="00AF0CC3">
        <w:rPr>
          <w:rFonts w:ascii="Times New Roman" w:hAnsi="Times New Roman" w:cs="Times New Roman"/>
          <w:color w:val="000000" w:themeColor="text1"/>
        </w:rPr>
        <w:t>Peer-reviewed journal research forms the core analytical foundation of the chapter. Selected policy and institutional documents are used sparingly to contextualize governance frameworks and prevailing infrastructure practice. The chapter concludes by synthesizing the literature, identifying clearly defined gaps, and providing a conceptual foundation for the empirical analysis that follows.</w:t>
      </w:r>
    </w:p>
    <w:p w14:paraId="7AA68518" w14:textId="6437E4C1" w:rsidR="00833AED" w:rsidRPr="00AF0CC3" w:rsidRDefault="00833AED" w:rsidP="00833AED">
      <w:pPr>
        <w:spacing w:line="240" w:lineRule="auto"/>
        <w:rPr>
          <w:rFonts w:ascii="Times New Roman" w:hAnsi="Times New Roman" w:cs="Times New Roman"/>
          <w:color w:val="000000" w:themeColor="text1"/>
        </w:rPr>
      </w:pPr>
      <w:r w:rsidRPr="00AF0CC3">
        <w:rPr>
          <w:rFonts w:ascii="Times New Roman" w:hAnsi="Times New Roman" w:cs="Times New Roman"/>
          <w:color w:val="000000" w:themeColor="text1"/>
        </w:rPr>
        <w:t xml:space="preserve">The chapter is organized into five sections. Section 2.2 lays </w:t>
      </w:r>
      <w:r w:rsidR="00973A93" w:rsidRPr="00AF0CC3">
        <w:rPr>
          <w:rFonts w:ascii="Times New Roman" w:hAnsi="Times New Roman" w:cs="Times New Roman"/>
          <w:color w:val="000000" w:themeColor="text1"/>
        </w:rPr>
        <w:t>theoretical</w:t>
      </w:r>
      <w:r w:rsidRPr="00AF0CC3">
        <w:rPr>
          <w:rFonts w:ascii="Times New Roman" w:hAnsi="Times New Roman" w:cs="Times New Roman"/>
          <w:color w:val="000000" w:themeColor="text1"/>
        </w:rPr>
        <w:t xml:space="preserve"> groundwork connecting governance to infrastructure outcomes. Sections 2.3 to 2.7 review empirical evidence from global, developing-country, and PPP contexts. Section 2.8 incorporates climate risk through a governance perspective, followed by Section 2.9, which places the discussion within Kenya’s institutional framework. The chapter then identifies key gaps in </w:t>
      </w:r>
      <w:r w:rsidR="00973A93" w:rsidRPr="00AF0CC3">
        <w:rPr>
          <w:rFonts w:ascii="Times New Roman" w:hAnsi="Times New Roman" w:cs="Times New Roman"/>
          <w:color w:val="000000" w:themeColor="text1"/>
        </w:rPr>
        <w:t>literature</w:t>
      </w:r>
      <w:r w:rsidRPr="00AF0CC3">
        <w:rPr>
          <w:rFonts w:ascii="Times New Roman" w:hAnsi="Times New Roman" w:cs="Times New Roman"/>
          <w:color w:val="000000" w:themeColor="text1"/>
        </w:rPr>
        <w:t xml:space="preserve"> (Section 2.10). It explains how this study addresses them (Section 2.11), ending with a summary that transitions into the methodological framework of Chapter Three.</w:t>
      </w:r>
    </w:p>
    <w:p w14:paraId="614CF2B0" w14:textId="77777777" w:rsidR="00833AED" w:rsidRPr="00AF0CC3" w:rsidRDefault="00833AED" w:rsidP="00833AED">
      <w:pPr>
        <w:spacing w:line="240" w:lineRule="auto"/>
        <w:rPr>
          <w:rFonts w:ascii="Times New Roman" w:hAnsi="Times New Roman" w:cs="Times New Roman"/>
          <w:color w:val="000000" w:themeColor="text1"/>
        </w:rPr>
      </w:pPr>
      <w:r w:rsidRPr="00AF0CC3">
        <w:rPr>
          <w:rFonts w:ascii="Times New Roman" w:hAnsi="Times New Roman" w:cs="Times New Roman"/>
          <w:color w:val="000000" w:themeColor="text1"/>
        </w:rPr>
        <w:t>What becomes clear at the outset is that infrastructure failure is rarely the result of technical incompetence and financial mobilization alone. It reflects patterns embedded in institutional decision-making, incentive structures, and oversight mechanisms. The literature must therefore be read not merely for what it reports, but also for what it implicitly assumes about how governance quality shapes project trajectories.</w:t>
      </w:r>
    </w:p>
    <w:p w14:paraId="60072546" w14:textId="77777777" w:rsidR="00833AED" w:rsidRPr="00AF0CC3" w:rsidRDefault="00833AED" w:rsidP="00833AED">
      <w:pPr>
        <w:spacing w:line="240" w:lineRule="auto"/>
        <w:rPr>
          <w:rFonts w:ascii="Times New Roman" w:hAnsi="Times New Roman" w:cs="Times New Roman"/>
          <w:color w:val="000000" w:themeColor="text1"/>
        </w:rPr>
      </w:pPr>
    </w:p>
    <w:p w14:paraId="0D2DD862" w14:textId="3537B036" w:rsidR="00833AED" w:rsidRPr="00AF0CC3" w:rsidRDefault="00833AED" w:rsidP="008C18C2">
      <w:pPr>
        <w:pStyle w:val="Heading2"/>
        <w:rPr>
          <w:rFonts w:cs="Times New Roman"/>
          <w:color w:val="000000" w:themeColor="text1"/>
          <w:szCs w:val="24"/>
        </w:rPr>
      </w:pPr>
      <w:bookmarkStart w:id="69" w:name="_Toc223623369"/>
      <w:bookmarkStart w:id="70" w:name="_Toc234344759"/>
      <w:bookmarkStart w:id="71" w:name="_Toc234488990"/>
      <w:r w:rsidRPr="00AF0CC3">
        <w:rPr>
          <w:rFonts w:cs="Times New Roman"/>
          <w:color w:val="000000" w:themeColor="text1"/>
          <w:szCs w:val="24"/>
        </w:rPr>
        <w:t>Theoretical Foundations of Infrastructure Governance</w:t>
      </w:r>
      <w:bookmarkEnd w:id="69"/>
      <w:bookmarkEnd w:id="70"/>
      <w:bookmarkEnd w:id="71"/>
    </w:p>
    <w:p w14:paraId="32D2D4EF" w14:textId="77777777" w:rsidR="00833AED" w:rsidRPr="00AF0CC3" w:rsidRDefault="00833AED" w:rsidP="00833AED">
      <w:pPr>
        <w:spacing w:line="240" w:lineRule="auto"/>
        <w:rPr>
          <w:rFonts w:ascii="Times New Roman" w:hAnsi="Times New Roman" w:cs="Times New Roman"/>
          <w:color w:val="000000" w:themeColor="text1"/>
        </w:rPr>
      </w:pPr>
    </w:p>
    <w:p w14:paraId="5D3FAA8A" w14:textId="77777777" w:rsidR="00833AED" w:rsidRPr="00AF0CC3" w:rsidRDefault="00833AED" w:rsidP="00833AED">
      <w:pPr>
        <w:spacing w:line="240" w:lineRule="auto"/>
        <w:rPr>
          <w:rFonts w:ascii="Times New Roman" w:hAnsi="Times New Roman" w:cs="Times New Roman"/>
          <w:color w:val="000000" w:themeColor="text1"/>
        </w:rPr>
      </w:pPr>
      <w:r w:rsidRPr="00AF0CC3">
        <w:rPr>
          <w:rFonts w:ascii="Times New Roman" w:hAnsi="Times New Roman" w:cs="Times New Roman"/>
          <w:color w:val="000000" w:themeColor="text1"/>
        </w:rPr>
        <w:t>Understanding stalled water management infrastructure requires theoretical grounding that links governance quality to project-level outcomes. Four complementary perspectives structure this analysis: institutional theory, principal–agent theory, transaction cost economics, and adaptive governance. Each perspective illuminates a distinct dimension of governance failure, and together they provide the conceptual architecture for examining how weaknesses accumulate across the project lifecycle.</w:t>
      </w:r>
    </w:p>
    <w:p w14:paraId="6E7E688A" w14:textId="77777777" w:rsidR="00833AED" w:rsidRPr="00AF0CC3" w:rsidRDefault="00833AED" w:rsidP="00833AED">
      <w:pPr>
        <w:spacing w:line="240" w:lineRule="auto"/>
        <w:rPr>
          <w:rFonts w:ascii="Times New Roman" w:hAnsi="Times New Roman" w:cs="Times New Roman"/>
          <w:color w:val="000000" w:themeColor="text1"/>
        </w:rPr>
      </w:pPr>
    </w:p>
    <w:p w14:paraId="027D725E" w14:textId="08C6E0AE" w:rsidR="00833AED" w:rsidRPr="00AF0CC3" w:rsidRDefault="00833AED" w:rsidP="008C18C2">
      <w:pPr>
        <w:pStyle w:val="Heading3"/>
        <w:rPr>
          <w:rFonts w:cs="Times New Roman"/>
          <w:color w:val="000000" w:themeColor="text1"/>
          <w:szCs w:val="24"/>
        </w:rPr>
      </w:pPr>
      <w:bookmarkStart w:id="72" w:name="_Toc223623370"/>
      <w:bookmarkStart w:id="73" w:name="_Toc234344760"/>
      <w:bookmarkStart w:id="74" w:name="_Toc234488991"/>
      <w:r w:rsidRPr="00AF0CC3">
        <w:rPr>
          <w:rFonts w:cs="Times New Roman"/>
          <w:color w:val="000000" w:themeColor="text1"/>
          <w:szCs w:val="24"/>
        </w:rPr>
        <w:t>Institutional Theory and Infrastructure Outcomes</w:t>
      </w:r>
      <w:bookmarkEnd w:id="72"/>
      <w:bookmarkEnd w:id="73"/>
      <w:bookmarkEnd w:id="74"/>
    </w:p>
    <w:p w14:paraId="219939EC" w14:textId="77777777" w:rsidR="00833AED" w:rsidRPr="00AF0CC3" w:rsidRDefault="00833AED" w:rsidP="00833AED">
      <w:pPr>
        <w:spacing w:line="240" w:lineRule="auto"/>
        <w:rPr>
          <w:rFonts w:ascii="Times New Roman" w:hAnsi="Times New Roman" w:cs="Times New Roman"/>
          <w:color w:val="000000" w:themeColor="text1"/>
        </w:rPr>
      </w:pPr>
    </w:p>
    <w:p w14:paraId="0E4FC7F0" w14:textId="77777777" w:rsidR="00833AED" w:rsidRPr="00AF0CC3" w:rsidRDefault="00833AED" w:rsidP="00833AED">
      <w:pPr>
        <w:spacing w:line="240" w:lineRule="auto"/>
        <w:rPr>
          <w:rFonts w:ascii="Times New Roman" w:hAnsi="Times New Roman" w:cs="Times New Roman"/>
          <w:color w:val="000000" w:themeColor="text1"/>
        </w:rPr>
      </w:pPr>
      <w:r w:rsidRPr="00AF0CC3">
        <w:rPr>
          <w:rFonts w:ascii="Times New Roman" w:hAnsi="Times New Roman" w:cs="Times New Roman"/>
          <w:color w:val="000000" w:themeColor="text1"/>
        </w:rPr>
        <w:t xml:space="preserve">Institutional theory offers a foundational lens for understanding why infrastructure projects underperform even when technical expertise and financing are available. North (1990) conceptualizes governance as the formal rules, informal norms, and enforcement mechanisms that shape incentives and structure behavior. Applied to infrastructure, this perspective shifts </w:t>
      </w:r>
      <w:r w:rsidRPr="00AF0CC3">
        <w:rPr>
          <w:rFonts w:ascii="Times New Roman" w:hAnsi="Times New Roman" w:cs="Times New Roman"/>
          <w:color w:val="000000" w:themeColor="text1"/>
        </w:rPr>
        <w:lastRenderedPageBreak/>
        <w:t>attention from engineering capability to the institutional environment within which projects are conceived, approved, and implemented.</w:t>
      </w:r>
    </w:p>
    <w:p w14:paraId="25B60B52" w14:textId="77777777" w:rsidR="00833AED" w:rsidRPr="00AF0CC3" w:rsidRDefault="00833AED" w:rsidP="00833AED">
      <w:pPr>
        <w:spacing w:line="240" w:lineRule="auto"/>
        <w:rPr>
          <w:rFonts w:ascii="Times New Roman" w:hAnsi="Times New Roman" w:cs="Times New Roman"/>
          <w:color w:val="000000" w:themeColor="text1"/>
        </w:rPr>
      </w:pPr>
    </w:p>
    <w:p w14:paraId="53DD070E" w14:textId="77777777" w:rsidR="00833AED" w:rsidRPr="00AF0CC3" w:rsidRDefault="00833AED" w:rsidP="00833AED">
      <w:pPr>
        <w:spacing w:line="240" w:lineRule="auto"/>
        <w:rPr>
          <w:rFonts w:ascii="Times New Roman" w:hAnsi="Times New Roman" w:cs="Times New Roman"/>
          <w:color w:val="000000" w:themeColor="text1"/>
        </w:rPr>
      </w:pPr>
      <w:r w:rsidRPr="00AF0CC3">
        <w:rPr>
          <w:rFonts w:ascii="Times New Roman" w:hAnsi="Times New Roman" w:cs="Times New Roman"/>
          <w:color w:val="000000" w:themeColor="text1"/>
        </w:rPr>
        <w:t>From this vantage point, recurrent cost overruns and delays are not anomalies; they are symptoms of institutional arrangements that fail to discipline decision-making. Where institutions are weak, projects often proceed with unresolved risks, political incentives override long-term discipline, and oversight bodies struggle to intervene effectively. Empirical research supports this interpretation. Studies by Flyvbjerg (2014) and Ansar et al. (2018) show that weak governance environments are associated with systematic cost escalation and schedule slippage, even when technical capacity is not inherently deficient.</w:t>
      </w:r>
    </w:p>
    <w:p w14:paraId="61647BC0" w14:textId="77777777" w:rsidR="00833AED" w:rsidRPr="00AF0CC3" w:rsidRDefault="00833AED" w:rsidP="00833AED">
      <w:pPr>
        <w:spacing w:line="240" w:lineRule="auto"/>
        <w:rPr>
          <w:rFonts w:ascii="Times New Roman" w:hAnsi="Times New Roman" w:cs="Times New Roman"/>
          <w:color w:val="000000" w:themeColor="text1"/>
        </w:rPr>
      </w:pPr>
    </w:p>
    <w:p w14:paraId="66EC6285" w14:textId="77777777" w:rsidR="00833AED" w:rsidRPr="00AF0CC3" w:rsidRDefault="00833AED" w:rsidP="00833AED">
      <w:pPr>
        <w:spacing w:line="240" w:lineRule="auto"/>
        <w:rPr>
          <w:rFonts w:ascii="Times New Roman" w:hAnsi="Times New Roman" w:cs="Times New Roman"/>
          <w:color w:val="000000" w:themeColor="text1"/>
        </w:rPr>
      </w:pPr>
      <w:r w:rsidRPr="00AF0CC3">
        <w:rPr>
          <w:rFonts w:ascii="Times New Roman" w:hAnsi="Times New Roman" w:cs="Times New Roman"/>
          <w:color w:val="000000" w:themeColor="text1"/>
        </w:rPr>
        <w:t>In developing countries’ contexts, institutional fragility often manifests as fragmented authority, limited regulatory capacity, and blurred lines of accountability. Projects may be approved under political pressure, with feasibility studies treated as formalities rather than decision tools. Once implementation begins, correcting early omissions becomes politically and administratively costly. Institutional weaknesses manageable at the appraisal stage reappear during construction as disputes, injunctions, or funding crises.</w:t>
      </w:r>
    </w:p>
    <w:p w14:paraId="158C6621" w14:textId="77777777" w:rsidR="00833AED" w:rsidRPr="00AF0CC3" w:rsidRDefault="00833AED" w:rsidP="00833AED">
      <w:pPr>
        <w:spacing w:line="240" w:lineRule="auto"/>
        <w:rPr>
          <w:rFonts w:ascii="Times New Roman" w:hAnsi="Times New Roman" w:cs="Times New Roman"/>
          <w:color w:val="000000" w:themeColor="text1"/>
        </w:rPr>
      </w:pPr>
    </w:p>
    <w:p w14:paraId="4636C359" w14:textId="77777777" w:rsidR="00833AED" w:rsidRPr="00AF0CC3" w:rsidRDefault="00833AED" w:rsidP="00833AED">
      <w:pPr>
        <w:spacing w:line="240" w:lineRule="auto"/>
        <w:rPr>
          <w:rFonts w:ascii="Times New Roman" w:hAnsi="Times New Roman" w:cs="Times New Roman"/>
          <w:color w:val="000000" w:themeColor="text1"/>
        </w:rPr>
      </w:pPr>
      <w:r w:rsidRPr="00AF0CC3">
        <w:rPr>
          <w:rFonts w:ascii="Times New Roman" w:hAnsi="Times New Roman" w:cs="Times New Roman"/>
          <w:color w:val="000000" w:themeColor="text1"/>
        </w:rPr>
        <w:t>Institutional theory is particularly relevant to water infrastructure. Decisions about dams, irrigation schemes, and urban supply systems reshape access to land and water, often triggering conflict and political contestation. Where institutions are weak, these pressures distort project selection, compromise preparation, and undermine delivery discipline.</w:t>
      </w:r>
    </w:p>
    <w:p w14:paraId="3DF1127C" w14:textId="77777777" w:rsidR="00833AED" w:rsidRPr="00AF0CC3" w:rsidRDefault="00833AED" w:rsidP="00833AED">
      <w:pPr>
        <w:spacing w:line="240" w:lineRule="auto"/>
        <w:rPr>
          <w:rFonts w:ascii="Times New Roman" w:hAnsi="Times New Roman" w:cs="Times New Roman"/>
          <w:color w:val="000000" w:themeColor="text1"/>
        </w:rPr>
      </w:pPr>
    </w:p>
    <w:p w14:paraId="645F0120" w14:textId="77777777" w:rsidR="00833AED" w:rsidRPr="00AF0CC3" w:rsidRDefault="00833AED" w:rsidP="00833AED">
      <w:pPr>
        <w:spacing w:line="240" w:lineRule="auto"/>
        <w:rPr>
          <w:rFonts w:ascii="Times New Roman" w:hAnsi="Times New Roman" w:cs="Times New Roman"/>
          <w:color w:val="000000" w:themeColor="text1"/>
        </w:rPr>
      </w:pPr>
      <w:r w:rsidRPr="00AF0CC3">
        <w:rPr>
          <w:rFonts w:ascii="Times New Roman" w:hAnsi="Times New Roman" w:cs="Times New Roman"/>
          <w:color w:val="000000" w:themeColor="text1"/>
        </w:rPr>
        <w:t>Institutional theory helps explain why poor outcomes endure over time, although it provides less concrete guidance on how governance translates into specific project-level performance patterns. This limitation motivates engagement with theories that examine delegation, contracting, and organizational incentives more directly.</w:t>
      </w:r>
    </w:p>
    <w:p w14:paraId="2BBF79DF" w14:textId="77777777" w:rsidR="00A63EB8" w:rsidRPr="00AF0CC3" w:rsidRDefault="00A63EB8" w:rsidP="00A63EB8">
      <w:pPr>
        <w:spacing w:line="240" w:lineRule="auto"/>
        <w:rPr>
          <w:rFonts w:ascii="Times New Roman" w:hAnsi="Times New Roman" w:cs="Times New Roman"/>
          <w:color w:val="000000" w:themeColor="text1"/>
        </w:rPr>
      </w:pPr>
      <w:r w:rsidRPr="00AF0CC3">
        <w:rPr>
          <w:rFonts w:ascii="Times New Roman" w:hAnsi="Times New Roman" w:cs="Times New Roman"/>
          <w:color w:val="000000" w:themeColor="text1"/>
        </w:rPr>
        <w:t>One limitation of the existing infrastructure governance literature is its tendency to conceptualize governance primarily in terms of discrete administrative functions rather than broader institutional capability. Governance is commonly discussed through individual activities such as procurement oversight, financial management, stakeholder engagement, regulatory compliance, audit systems, and accountability mechanisms (OECD, 2020; World Bank, 2017). Although these functions are important, examining them independently provides only a partial understanding of how governance influences infrastructure delivery.</w:t>
      </w:r>
    </w:p>
    <w:p w14:paraId="6BB32B9D" w14:textId="77777777" w:rsidR="00A63EB8" w:rsidRPr="00AF0CC3" w:rsidRDefault="00A63EB8" w:rsidP="00A63EB8">
      <w:pPr>
        <w:spacing w:line="240" w:lineRule="auto"/>
        <w:rPr>
          <w:rFonts w:ascii="Times New Roman" w:hAnsi="Times New Roman" w:cs="Times New Roman"/>
          <w:color w:val="000000" w:themeColor="text1"/>
        </w:rPr>
      </w:pPr>
    </w:p>
    <w:p w14:paraId="539D0A70" w14:textId="77777777" w:rsidR="00A63EB8" w:rsidRPr="00AF0CC3" w:rsidRDefault="00A63EB8" w:rsidP="00A63EB8">
      <w:pPr>
        <w:spacing w:line="240" w:lineRule="auto"/>
        <w:rPr>
          <w:rFonts w:ascii="Times New Roman" w:hAnsi="Times New Roman" w:cs="Times New Roman"/>
          <w:color w:val="000000" w:themeColor="text1"/>
        </w:rPr>
      </w:pPr>
      <w:r w:rsidRPr="00AF0CC3">
        <w:rPr>
          <w:rFonts w:ascii="Times New Roman" w:hAnsi="Times New Roman" w:cs="Times New Roman"/>
          <w:color w:val="000000" w:themeColor="text1"/>
        </w:rPr>
        <w:t xml:space="preserve">Institutional theory suggests that organizational performance depends not only on the existence of formal governance structures but also on institutions' capacity to coordinate resources, adapt to changing circumstances, enforce rules consistently, and sustain implementation over time (Scott, 2014). Similarly, state capability literature argues that development outcomes are determined less by the formal design of institutions than by their practical ability to perform </w:t>
      </w:r>
      <w:r w:rsidRPr="00AF0CC3">
        <w:rPr>
          <w:rFonts w:ascii="Times New Roman" w:hAnsi="Times New Roman" w:cs="Times New Roman"/>
          <w:color w:val="000000" w:themeColor="text1"/>
        </w:rPr>
        <w:lastRenderedPageBreak/>
        <w:t>essential governance functions effectively (Andrews, Pritchett, &amp; Woolcock, 2017). This distinction between governance functions and governance capability has received comparatively limited attention within infrastructure governance research.</w:t>
      </w:r>
    </w:p>
    <w:p w14:paraId="4AA653D0" w14:textId="77777777" w:rsidR="00A63EB8" w:rsidRPr="00AF0CC3" w:rsidRDefault="00A63EB8" w:rsidP="00A63EB8">
      <w:pPr>
        <w:spacing w:line="240" w:lineRule="auto"/>
        <w:rPr>
          <w:rFonts w:ascii="Times New Roman" w:hAnsi="Times New Roman" w:cs="Times New Roman"/>
          <w:color w:val="000000" w:themeColor="text1"/>
        </w:rPr>
      </w:pPr>
    </w:p>
    <w:p w14:paraId="69EA2655" w14:textId="47737576" w:rsidR="00A63EB8" w:rsidRPr="00AF0CC3" w:rsidRDefault="00A63EB8" w:rsidP="00A63EB8">
      <w:pPr>
        <w:spacing w:line="240" w:lineRule="auto"/>
        <w:rPr>
          <w:rFonts w:ascii="Times New Roman" w:hAnsi="Times New Roman" w:cs="Times New Roman"/>
          <w:color w:val="000000" w:themeColor="text1"/>
        </w:rPr>
      </w:pPr>
      <w:r w:rsidRPr="00AF0CC3">
        <w:rPr>
          <w:rFonts w:ascii="Times New Roman" w:hAnsi="Times New Roman" w:cs="Times New Roman"/>
          <w:color w:val="000000" w:themeColor="text1"/>
        </w:rPr>
        <w:t xml:space="preserve">Viewing governance as institutional capability shifts analytical attention from individual governance mechanisms towards the collective ability of institutions to deliver infrastructure successfully. Procurement systems, contract supervision, documentation management, financial controls, institutional coordination, risk management, and accountability mechanisms should therefore not be regarded as independent administrative activities but as mutually reinforcing components of broader governance capability. </w:t>
      </w:r>
      <w:r w:rsidR="00973A93" w:rsidRPr="00AF0CC3">
        <w:rPr>
          <w:rFonts w:ascii="Times New Roman" w:hAnsi="Times New Roman" w:cs="Times New Roman"/>
          <w:color w:val="000000" w:themeColor="text1"/>
        </w:rPr>
        <w:t>Weaknesses</w:t>
      </w:r>
      <w:r w:rsidRPr="00AF0CC3">
        <w:rPr>
          <w:rFonts w:ascii="Times New Roman" w:hAnsi="Times New Roman" w:cs="Times New Roman"/>
          <w:color w:val="000000" w:themeColor="text1"/>
        </w:rPr>
        <w:t xml:space="preserve"> in one governance function may reduce the effectiveness of others, thereby affecting overall institutional performance.</w:t>
      </w:r>
    </w:p>
    <w:p w14:paraId="56CD6790" w14:textId="77777777" w:rsidR="00A63EB8" w:rsidRPr="00AF0CC3" w:rsidRDefault="00A63EB8" w:rsidP="00A63EB8">
      <w:pPr>
        <w:spacing w:line="240" w:lineRule="auto"/>
        <w:rPr>
          <w:rFonts w:ascii="Times New Roman" w:hAnsi="Times New Roman" w:cs="Times New Roman"/>
          <w:color w:val="000000" w:themeColor="text1"/>
        </w:rPr>
      </w:pPr>
    </w:p>
    <w:p w14:paraId="210AF39A" w14:textId="77777777" w:rsidR="00A63EB8" w:rsidRPr="00AF0CC3" w:rsidRDefault="00A63EB8" w:rsidP="00A63EB8">
      <w:pPr>
        <w:spacing w:line="240" w:lineRule="auto"/>
        <w:rPr>
          <w:rFonts w:ascii="Times New Roman" w:hAnsi="Times New Roman" w:cs="Times New Roman"/>
          <w:color w:val="000000" w:themeColor="text1"/>
        </w:rPr>
      </w:pPr>
      <w:r w:rsidRPr="00AF0CC3">
        <w:rPr>
          <w:rFonts w:ascii="Times New Roman" w:hAnsi="Times New Roman" w:cs="Times New Roman"/>
          <w:color w:val="000000" w:themeColor="text1"/>
        </w:rPr>
        <w:t>This perspective is particularly relevant for complex infrastructure projects involving multiple implementing agencies, contractors, regulators, financiers, and oversight institutions. Such projects require continuous coordination across organizational boundaries, effective management of uncertainty, timely decision-making, and the capacity to respond to emerging implementation challenges. Governance capability therefore reflects the ability of institutions to integrate diverse governance functions into a coherent system capable of supporting successful infrastructure delivery.</w:t>
      </w:r>
    </w:p>
    <w:p w14:paraId="3C303130" w14:textId="77777777" w:rsidR="00A63EB8" w:rsidRPr="00AF0CC3" w:rsidRDefault="00A63EB8" w:rsidP="00A63EB8">
      <w:pPr>
        <w:spacing w:line="240" w:lineRule="auto"/>
        <w:rPr>
          <w:rFonts w:ascii="Times New Roman" w:hAnsi="Times New Roman" w:cs="Times New Roman"/>
          <w:color w:val="000000" w:themeColor="text1"/>
        </w:rPr>
      </w:pPr>
    </w:p>
    <w:p w14:paraId="56E994AC" w14:textId="1FDBDAE7" w:rsidR="00DB3A10" w:rsidRPr="00AF0CC3" w:rsidRDefault="00A63EB8" w:rsidP="00A63EB8">
      <w:pPr>
        <w:spacing w:line="240" w:lineRule="auto"/>
        <w:rPr>
          <w:rFonts w:ascii="Times New Roman" w:hAnsi="Times New Roman" w:cs="Times New Roman"/>
          <w:color w:val="000000" w:themeColor="text1"/>
        </w:rPr>
      </w:pPr>
      <w:r w:rsidRPr="00AF0CC3">
        <w:rPr>
          <w:rFonts w:ascii="Times New Roman" w:hAnsi="Times New Roman" w:cs="Times New Roman"/>
          <w:color w:val="000000" w:themeColor="text1"/>
        </w:rPr>
        <w:t>The present study adopts this broader perspective by conceptualizing governance quality as an institutional capability rather than merely a collection of administrative functions. The Governance Quality Index developed in this research operationalizes this capability through multiple interrelated governance dimensions measured at the project level. This approach responds to an important gap within the existing literature by providing a systematic framework for assessing governance capability empirically rather than relying solely on qualitative institutional descriptions or macro-level governance indicators.</w:t>
      </w:r>
    </w:p>
    <w:p w14:paraId="4FCCB2D9" w14:textId="77777777" w:rsidR="00DB3A10" w:rsidRPr="00AF0CC3" w:rsidRDefault="00DB3A10" w:rsidP="00833AED">
      <w:pPr>
        <w:spacing w:line="240" w:lineRule="auto"/>
        <w:rPr>
          <w:rFonts w:ascii="Times New Roman" w:hAnsi="Times New Roman" w:cs="Times New Roman"/>
          <w:color w:val="000000" w:themeColor="text1"/>
        </w:rPr>
      </w:pPr>
    </w:p>
    <w:p w14:paraId="4EB13DE2" w14:textId="77777777" w:rsidR="00DB3A10" w:rsidRPr="00AF0CC3" w:rsidRDefault="00DB3A10" w:rsidP="00833AED">
      <w:pPr>
        <w:spacing w:line="240" w:lineRule="auto"/>
        <w:rPr>
          <w:rFonts w:ascii="Times New Roman" w:hAnsi="Times New Roman" w:cs="Times New Roman"/>
          <w:color w:val="000000" w:themeColor="text1"/>
        </w:rPr>
      </w:pPr>
    </w:p>
    <w:p w14:paraId="2BBB1FEA" w14:textId="77777777" w:rsidR="00833AED" w:rsidRPr="00AF0CC3" w:rsidRDefault="00833AED" w:rsidP="00833AED">
      <w:pPr>
        <w:spacing w:line="240" w:lineRule="auto"/>
        <w:rPr>
          <w:rFonts w:ascii="Times New Roman" w:hAnsi="Times New Roman" w:cs="Times New Roman"/>
          <w:color w:val="000000" w:themeColor="text1"/>
        </w:rPr>
      </w:pPr>
    </w:p>
    <w:p w14:paraId="44C40E14" w14:textId="0276FA8E" w:rsidR="00833AED" w:rsidRPr="00AF0CC3" w:rsidRDefault="00833AED" w:rsidP="008C18C2">
      <w:pPr>
        <w:pStyle w:val="Heading3"/>
        <w:rPr>
          <w:rFonts w:cs="Times New Roman"/>
          <w:color w:val="000000" w:themeColor="text1"/>
          <w:szCs w:val="24"/>
        </w:rPr>
      </w:pPr>
      <w:bookmarkStart w:id="75" w:name="_Toc223623371"/>
      <w:bookmarkStart w:id="76" w:name="_Toc234344761"/>
      <w:bookmarkStart w:id="77" w:name="_Toc234488992"/>
      <w:r w:rsidRPr="00AF0CC3">
        <w:rPr>
          <w:rFonts w:cs="Times New Roman"/>
          <w:color w:val="000000" w:themeColor="text1"/>
          <w:szCs w:val="24"/>
        </w:rPr>
        <w:t>Principal–Agent Theory and Delegation in Infrastructure Projects</w:t>
      </w:r>
      <w:bookmarkEnd w:id="75"/>
      <w:bookmarkEnd w:id="76"/>
      <w:bookmarkEnd w:id="77"/>
    </w:p>
    <w:p w14:paraId="305CE657" w14:textId="77777777" w:rsidR="00833AED" w:rsidRPr="00AF0CC3" w:rsidRDefault="00833AED" w:rsidP="00833AED">
      <w:pPr>
        <w:spacing w:line="240" w:lineRule="auto"/>
        <w:rPr>
          <w:rFonts w:ascii="Times New Roman" w:hAnsi="Times New Roman" w:cs="Times New Roman"/>
          <w:color w:val="000000" w:themeColor="text1"/>
        </w:rPr>
      </w:pPr>
    </w:p>
    <w:p w14:paraId="76FD5F9C" w14:textId="77777777" w:rsidR="00833AED" w:rsidRPr="00AF0CC3" w:rsidRDefault="00833AED" w:rsidP="00833AED">
      <w:pPr>
        <w:spacing w:line="240" w:lineRule="auto"/>
        <w:rPr>
          <w:rFonts w:ascii="Times New Roman" w:hAnsi="Times New Roman" w:cs="Times New Roman"/>
          <w:color w:val="000000" w:themeColor="text1"/>
        </w:rPr>
      </w:pPr>
      <w:r w:rsidRPr="00AF0CC3">
        <w:rPr>
          <w:rFonts w:ascii="Times New Roman" w:hAnsi="Times New Roman" w:cs="Times New Roman"/>
          <w:color w:val="000000" w:themeColor="text1"/>
        </w:rPr>
        <w:t>Principal–agent theory examines delegation under conditions of asymmetric knowledge and conflicting motivations. In infrastructure projects, governments act as principals, delegating design, construction, and sometimes operations to contractors, consultants, or private partners. Agents typically possess superior technical information and greater operational control, creating scope for opportunism.</w:t>
      </w:r>
    </w:p>
    <w:p w14:paraId="7149D2DD" w14:textId="77777777" w:rsidR="00833AED" w:rsidRPr="00AF0CC3" w:rsidRDefault="00833AED" w:rsidP="00833AED">
      <w:pPr>
        <w:spacing w:line="240" w:lineRule="auto"/>
        <w:rPr>
          <w:rFonts w:ascii="Times New Roman" w:hAnsi="Times New Roman" w:cs="Times New Roman"/>
          <w:color w:val="000000" w:themeColor="text1"/>
        </w:rPr>
      </w:pPr>
    </w:p>
    <w:p w14:paraId="382B5768" w14:textId="77777777" w:rsidR="00833AED" w:rsidRPr="00AF0CC3" w:rsidRDefault="00833AED" w:rsidP="00833AED">
      <w:pPr>
        <w:spacing w:line="240" w:lineRule="auto"/>
        <w:rPr>
          <w:rFonts w:ascii="Times New Roman" w:hAnsi="Times New Roman" w:cs="Times New Roman"/>
          <w:color w:val="000000" w:themeColor="text1"/>
        </w:rPr>
      </w:pPr>
      <w:r w:rsidRPr="00AF0CC3">
        <w:rPr>
          <w:rFonts w:ascii="Times New Roman" w:hAnsi="Times New Roman" w:cs="Times New Roman"/>
          <w:color w:val="000000" w:themeColor="text1"/>
        </w:rPr>
        <w:lastRenderedPageBreak/>
        <w:t>The infrastructure literature demonstrates how weak monitoring, poorly specified contracts, and political interference exacerbate principal–agent problems. Contractors may strategically underbid to anticipate renegotiation. Public officials may lack either authority or the incentives to enforce performance standards. Flyvbjerg (2014) characterizes these dynamics as systematic, linking them to optimism bias and strategic misrepresentation during project appraisal.</w:t>
      </w:r>
    </w:p>
    <w:p w14:paraId="71C4F2A4" w14:textId="77777777" w:rsidR="00833AED" w:rsidRPr="00AF0CC3" w:rsidRDefault="00833AED" w:rsidP="00833AED">
      <w:pPr>
        <w:spacing w:line="240" w:lineRule="auto"/>
        <w:rPr>
          <w:rFonts w:ascii="Times New Roman" w:hAnsi="Times New Roman" w:cs="Times New Roman"/>
          <w:color w:val="000000" w:themeColor="text1"/>
        </w:rPr>
      </w:pPr>
    </w:p>
    <w:p w14:paraId="2B9D70D2" w14:textId="77777777" w:rsidR="00833AED" w:rsidRPr="00AF0CC3" w:rsidRDefault="00833AED" w:rsidP="00833AED">
      <w:pPr>
        <w:spacing w:line="240" w:lineRule="auto"/>
        <w:rPr>
          <w:rFonts w:ascii="Times New Roman" w:hAnsi="Times New Roman" w:cs="Times New Roman"/>
          <w:color w:val="000000" w:themeColor="text1"/>
        </w:rPr>
      </w:pPr>
      <w:r w:rsidRPr="00AF0CC3">
        <w:rPr>
          <w:rFonts w:ascii="Times New Roman" w:hAnsi="Times New Roman" w:cs="Times New Roman"/>
          <w:color w:val="000000" w:themeColor="text1"/>
        </w:rPr>
        <w:t>Empirical evidence consistently links weak oversight and enforcement to cost escalation and delay. When payment mechanisms are unreliable, contractors may slow progress or submit claims as rational defensive strategies. When political actors intervene to shield projects from scrutiny, contractual penalties lose credibility.</w:t>
      </w:r>
    </w:p>
    <w:p w14:paraId="51FDE9DA" w14:textId="77777777" w:rsidR="00833AED" w:rsidRPr="00AF0CC3" w:rsidRDefault="00833AED" w:rsidP="00833AED">
      <w:pPr>
        <w:spacing w:line="240" w:lineRule="auto"/>
        <w:rPr>
          <w:rFonts w:ascii="Times New Roman" w:hAnsi="Times New Roman" w:cs="Times New Roman"/>
          <w:color w:val="000000" w:themeColor="text1"/>
        </w:rPr>
      </w:pPr>
    </w:p>
    <w:p w14:paraId="15012791" w14:textId="77777777" w:rsidR="00833AED" w:rsidRPr="00AF0CC3" w:rsidRDefault="00833AED" w:rsidP="00833AED">
      <w:pPr>
        <w:spacing w:line="240" w:lineRule="auto"/>
        <w:rPr>
          <w:rFonts w:ascii="Times New Roman" w:hAnsi="Times New Roman" w:cs="Times New Roman"/>
          <w:color w:val="000000" w:themeColor="text1"/>
        </w:rPr>
      </w:pPr>
      <w:r w:rsidRPr="00AF0CC3">
        <w:rPr>
          <w:rFonts w:ascii="Times New Roman" w:hAnsi="Times New Roman" w:cs="Times New Roman"/>
          <w:color w:val="000000" w:themeColor="text1"/>
        </w:rPr>
        <w:t>In water management infrastructure, these dynamics are amplified by long project durations, technical complexity, and high political visibility. Supervising agencies often operate under capacity constraints, and the imperative to demonstrate progress may override caution. Projects can continue despite accumulating governance weaknesses, increasing the likelihood that delays deepen into stalling.</w:t>
      </w:r>
    </w:p>
    <w:p w14:paraId="68579135" w14:textId="77777777" w:rsidR="00833AED" w:rsidRPr="00AF0CC3" w:rsidRDefault="00833AED" w:rsidP="00833AED">
      <w:pPr>
        <w:spacing w:line="240" w:lineRule="auto"/>
        <w:rPr>
          <w:rFonts w:ascii="Times New Roman" w:hAnsi="Times New Roman" w:cs="Times New Roman"/>
          <w:color w:val="000000" w:themeColor="text1"/>
        </w:rPr>
      </w:pPr>
    </w:p>
    <w:p w14:paraId="026A8C8D" w14:textId="77777777" w:rsidR="00833AED" w:rsidRPr="00AF0CC3" w:rsidRDefault="00833AED" w:rsidP="00833AED">
      <w:pPr>
        <w:spacing w:line="240" w:lineRule="auto"/>
        <w:rPr>
          <w:rFonts w:ascii="Times New Roman" w:hAnsi="Times New Roman" w:cs="Times New Roman"/>
          <w:color w:val="000000" w:themeColor="text1"/>
        </w:rPr>
      </w:pPr>
      <w:r w:rsidRPr="00AF0CC3">
        <w:rPr>
          <w:rFonts w:ascii="Times New Roman" w:hAnsi="Times New Roman" w:cs="Times New Roman"/>
          <w:color w:val="000000" w:themeColor="text1"/>
        </w:rPr>
        <w:t>Principal–agent theory, however, tends to conceptualize governance as a bilateral relationship. In practice, water projects involve multiple principal ministries, regulators, counties, and utility companies, as well as overlapping mandates. Accountability is rarely singular or linear. This complexity requires a complementary framework that accounts for contractual design and uncertainty.</w:t>
      </w:r>
    </w:p>
    <w:p w14:paraId="4C9EBF16" w14:textId="77777777" w:rsidR="00833AED" w:rsidRPr="00AF0CC3" w:rsidRDefault="00833AED" w:rsidP="00833AED">
      <w:pPr>
        <w:spacing w:line="240" w:lineRule="auto"/>
        <w:rPr>
          <w:rFonts w:ascii="Times New Roman" w:hAnsi="Times New Roman" w:cs="Times New Roman"/>
          <w:color w:val="000000" w:themeColor="text1"/>
        </w:rPr>
      </w:pPr>
    </w:p>
    <w:p w14:paraId="01157BE0" w14:textId="35366FDA" w:rsidR="00833AED" w:rsidRPr="00AF0CC3" w:rsidRDefault="00833AED" w:rsidP="008C18C2">
      <w:pPr>
        <w:pStyle w:val="Heading3"/>
        <w:rPr>
          <w:rFonts w:cs="Times New Roman"/>
          <w:color w:val="000000" w:themeColor="text1"/>
          <w:szCs w:val="24"/>
        </w:rPr>
      </w:pPr>
      <w:bookmarkStart w:id="78" w:name="_Toc223623372"/>
      <w:bookmarkStart w:id="79" w:name="_Toc234344762"/>
      <w:bookmarkStart w:id="80" w:name="_Toc234488993"/>
      <w:r w:rsidRPr="00AF0CC3">
        <w:rPr>
          <w:rFonts w:cs="Times New Roman"/>
          <w:color w:val="000000" w:themeColor="text1"/>
          <w:szCs w:val="24"/>
        </w:rPr>
        <w:t>Transaction Cost Economics and Long-Term Infrastructure Contracts</w:t>
      </w:r>
      <w:bookmarkEnd w:id="78"/>
      <w:bookmarkEnd w:id="79"/>
      <w:bookmarkEnd w:id="80"/>
    </w:p>
    <w:p w14:paraId="303DF26E" w14:textId="77777777" w:rsidR="00833AED" w:rsidRPr="00AF0CC3" w:rsidRDefault="00833AED" w:rsidP="00833AED">
      <w:pPr>
        <w:spacing w:line="240" w:lineRule="auto"/>
        <w:rPr>
          <w:rFonts w:ascii="Times New Roman" w:hAnsi="Times New Roman" w:cs="Times New Roman"/>
          <w:color w:val="000000" w:themeColor="text1"/>
        </w:rPr>
      </w:pPr>
    </w:p>
    <w:p w14:paraId="538A2653" w14:textId="2099895E" w:rsidR="00833AED" w:rsidRPr="00AF0CC3" w:rsidRDefault="00833AED" w:rsidP="00833AED">
      <w:pPr>
        <w:spacing w:line="240" w:lineRule="auto"/>
        <w:rPr>
          <w:rFonts w:ascii="Times New Roman" w:hAnsi="Times New Roman" w:cs="Times New Roman"/>
          <w:color w:val="000000" w:themeColor="text1"/>
        </w:rPr>
      </w:pPr>
      <w:r w:rsidRPr="00AF0CC3">
        <w:rPr>
          <w:rFonts w:ascii="Times New Roman" w:hAnsi="Times New Roman" w:cs="Times New Roman"/>
          <w:color w:val="000000" w:themeColor="text1"/>
        </w:rPr>
        <w:t xml:space="preserve">Transaction cost economics (TCE) examines how contracts are structured to manage uncertainty, asset specificity, and opportunism. Infrastructure investments are characterized by high asset specificity. Once constructed, dams and treatment plants cannot be easily repurposed over long time </w:t>
      </w:r>
      <w:r w:rsidR="00973A93" w:rsidRPr="00AF0CC3">
        <w:rPr>
          <w:rFonts w:ascii="Times New Roman" w:hAnsi="Times New Roman" w:cs="Times New Roman"/>
          <w:color w:val="000000" w:themeColor="text1"/>
        </w:rPr>
        <w:t>horizons and</w:t>
      </w:r>
      <w:r w:rsidRPr="00AF0CC3">
        <w:rPr>
          <w:rFonts w:ascii="Times New Roman" w:hAnsi="Times New Roman" w:cs="Times New Roman"/>
          <w:color w:val="000000" w:themeColor="text1"/>
        </w:rPr>
        <w:t xml:space="preserve"> are exposed to regulatory and environmental volatility.</w:t>
      </w:r>
    </w:p>
    <w:p w14:paraId="75ED249D" w14:textId="77777777" w:rsidR="00833AED" w:rsidRPr="00AF0CC3" w:rsidRDefault="00833AED" w:rsidP="00833AED">
      <w:pPr>
        <w:spacing w:line="240" w:lineRule="auto"/>
        <w:rPr>
          <w:rFonts w:ascii="Times New Roman" w:hAnsi="Times New Roman" w:cs="Times New Roman"/>
          <w:color w:val="000000" w:themeColor="text1"/>
        </w:rPr>
      </w:pPr>
    </w:p>
    <w:p w14:paraId="25A2971E" w14:textId="77777777" w:rsidR="00833AED" w:rsidRPr="00AF0CC3" w:rsidRDefault="00833AED" w:rsidP="00833AED">
      <w:pPr>
        <w:spacing w:line="240" w:lineRule="auto"/>
        <w:rPr>
          <w:rFonts w:ascii="Times New Roman" w:hAnsi="Times New Roman" w:cs="Times New Roman"/>
          <w:color w:val="000000" w:themeColor="text1"/>
        </w:rPr>
      </w:pPr>
      <w:r w:rsidRPr="00AF0CC3">
        <w:rPr>
          <w:rFonts w:ascii="Times New Roman" w:hAnsi="Times New Roman" w:cs="Times New Roman"/>
          <w:color w:val="000000" w:themeColor="text1"/>
        </w:rPr>
        <w:t>TCE suggests that when contracts inadequately allocate risks or fail to anticipate contingencies, transaction costs escalate. Renegotiation becomes frequent, disputes proliferate, and implementation slows. Evidence from public–private partnerships indicates that renegotiation is common when governments overestimate institutional capacity or underestimate political and climate-related risks (Romero &amp; Van de Poel, 2022; Yescombe, 2018).</w:t>
      </w:r>
    </w:p>
    <w:p w14:paraId="698C2BF1" w14:textId="77777777" w:rsidR="00833AED" w:rsidRPr="00AF0CC3" w:rsidRDefault="00833AED" w:rsidP="00833AED">
      <w:pPr>
        <w:spacing w:line="240" w:lineRule="auto"/>
        <w:rPr>
          <w:rFonts w:ascii="Times New Roman" w:hAnsi="Times New Roman" w:cs="Times New Roman"/>
          <w:color w:val="000000" w:themeColor="text1"/>
        </w:rPr>
      </w:pPr>
    </w:p>
    <w:p w14:paraId="417EB8C8" w14:textId="77777777" w:rsidR="00833AED" w:rsidRPr="00AF0CC3" w:rsidRDefault="00833AED" w:rsidP="00833AED">
      <w:pPr>
        <w:spacing w:line="240" w:lineRule="auto"/>
        <w:rPr>
          <w:rFonts w:ascii="Times New Roman" w:hAnsi="Times New Roman" w:cs="Times New Roman"/>
          <w:color w:val="000000" w:themeColor="text1"/>
        </w:rPr>
      </w:pPr>
      <w:r w:rsidRPr="00AF0CC3">
        <w:rPr>
          <w:rFonts w:ascii="Times New Roman" w:hAnsi="Times New Roman" w:cs="Times New Roman"/>
          <w:color w:val="000000" w:themeColor="text1"/>
        </w:rPr>
        <w:t xml:space="preserve">Water management infrastructure is particularly vulnerable to these dynamics. Hydrological variability, evolving climate conditions, and community resistance create uncertainty that cannot </w:t>
      </w:r>
      <w:r w:rsidRPr="00AF0CC3">
        <w:rPr>
          <w:rFonts w:ascii="Times New Roman" w:hAnsi="Times New Roman" w:cs="Times New Roman"/>
          <w:color w:val="000000" w:themeColor="text1"/>
        </w:rPr>
        <w:lastRenderedPageBreak/>
        <w:t>be fully specified ex ante. When contracts assign risks such as land acquisition or environmental approvals to parties unable to manage them, disputes are likely to arise.</w:t>
      </w:r>
    </w:p>
    <w:p w14:paraId="3583B0A4" w14:textId="77777777" w:rsidR="00833AED" w:rsidRPr="00AF0CC3" w:rsidRDefault="00833AED" w:rsidP="00833AED">
      <w:pPr>
        <w:spacing w:line="240" w:lineRule="auto"/>
        <w:rPr>
          <w:rFonts w:ascii="Times New Roman" w:hAnsi="Times New Roman" w:cs="Times New Roman"/>
          <w:color w:val="000000" w:themeColor="text1"/>
        </w:rPr>
      </w:pPr>
    </w:p>
    <w:p w14:paraId="181C5135" w14:textId="77777777" w:rsidR="00833AED" w:rsidRPr="00AF0CC3" w:rsidRDefault="00833AED" w:rsidP="00833AED">
      <w:pPr>
        <w:spacing w:line="240" w:lineRule="auto"/>
        <w:rPr>
          <w:rFonts w:ascii="Times New Roman" w:hAnsi="Times New Roman" w:cs="Times New Roman"/>
          <w:color w:val="000000" w:themeColor="text1"/>
        </w:rPr>
      </w:pPr>
      <w:r w:rsidRPr="00AF0CC3">
        <w:rPr>
          <w:rFonts w:ascii="Times New Roman" w:hAnsi="Times New Roman" w:cs="Times New Roman"/>
          <w:color w:val="000000" w:themeColor="text1"/>
        </w:rPr>
        <w:t>In Kenya, audit reports repeatedly document transaction-cost–related problems in water management projects, including excessive variation orders, delayed payments, and unresolved contractor claims. These issues extend beyond budgetary inefficiency; they disrupt implementation sequencing and may ultimately halt construction.</w:t>
      </w:r>
    </w:p>
    <w:p w14:paraId="116418A0" w14:textId="77777777" w:rsidR="00833AED" w:rsidRPr="00AF0CC3" w:rsidRDefault="00833AED" w:rsidP="00833AED">
      <w:pPr>
        <w:spacing w:line="240" w:lineRule="auto"/>
        <w:rPr>
          <w:rFonts w:ascii="Times New Roman" w:hAnsi="Times New Roman" w:cs="Times New Roman"/>
          <w:color w:val="000000" w:themeColor="text1"/>
        </w:rPr>
      </w:pPr>
    </w:p>
    <w:p w14:paraId="481178B5" w14:textId="77777777" w:rsidR="00833AED" w:rsidRPr="00AF0CC3" w:rsidRDefault="00833AED" w:rsidP="00833AED">
      <w:pPr>
        <w:spacing w:line="240" w:lineRule="auto"/>
        <w:rPr>
          <w:rFonts w:ascii="Times New Roman" w:hAnsi="Times New Roman" w:cs="Times New Roman"/>
          <w:color w:val="000000" w:themeColor="text1"/>
        </w:rPr>
      </w:pPr>
      <w:r w:rsidRPr="00AF0CC3">
        <w:rPr>
          <w:rFonts w:ascii="Times New Roman" w:hAnsi="Times New Roman" w:cs="Times New Roman"/>
          <w:color w:val="000000" w:themeColor="text1"/>
        </w:rPr>
        <w:t>While TCE offers insight into contractual fragility, it prioritizes efficiency logic and underplays political bargaining. In essential service sectors such as water, risk allocation often reflects power dynamics and fiscal constraints rather than optimal economic design.</w:t>
      </w:r>
    </w:p>
    <w:p w14:paraId="615095A3" w14:textId="77777777" w:rsidR="00833AED" w:rsidRPr="00AF0CC3" w:rsidRDefault="00833AED" w:rsidP="00833AED">
      <w:pPr>
        <w:spacing w:line="240" w:lineRule="auto"/>
        <w:rPr>
          <w:rFonts w:ascii="Times New Roman" w:hAnsi="Times New Roman" w:cs="Times New Roman"/>
          <w:color w:val="000000" w:themeColor="text1"/>
        </w:rPr>
      </w:pPr>
    </w:p>
    <w:p w14:paraId="6B897EE8" w14:textId="08BD68A3" w:rsidR="00833AED" w:rsidRPr="00AF0CC3" w:rsidRDefault="00833AED" w:rsidP="008C18C2">
      <w:pPr>
        <w:pStyle w:val="Heading3"/>
        <w:rPr>
          <w:rFonts w:cs="Times New Roman"/>
          <w:color w:val="000000" w:themeColor="text1"/>
          <w:szCs w:val="24"/>
        </w:rPr>
      </w:pPr>
      <w:bookmarkStart w:id="81" w:name="_Toc223623373"/>
      <w:bookmarkStart w:id="82" w:name="_Toc234344763"/>
      <w:bookmarkStart w:id="83" w:name="_Toc234488994"/>
      <w:r w:rsidRPr="00AF0CC3">
        <w:rPr>
          <w:rFonts w:cs="Times New Roman"/>
          <w:color w:val="000000" w:themeColor="text1"/>
          <w:szCs w:val="24"/>
        </w:rPr>
        <w:t>Adaptive Governance and Infrastructure under Uncertainty</w:t>
      </w:r>
      <w:bookmarkEnd w:id="81"/>
      <w:bookmarkEnd w:id="82"/>
      <w:bookmarkEnd w:id="83"/>
    </w:p>
    <w:p w14:paraId="14D66B51" w14:textId="77777777" w:rsidR="00833AED" w:rsidRPr="00AF0CC3" w:rsidRDefault="00833AED" w:rsidP="00833AED">
      <w:pPr>
        <w:spacing w:line="240" w:lineRule="auto"/>
        <w:rPr>
          <w:rFonts w:ascii="Times New Roman" w:hAnsi="Times New Roman" w:cs="Times New Roman"/>
          <w:color w:val="000000" w:themeColor="text1"/>
        </w:rPr>
      </w:pPr>
    </w:p>
    <w:p w14:paraId="00DFBE99" w14:textId="77777777" w:rsidR="00833AED" w:rsidRPr="00AF0CC3" w:rsidRDefault="00833AED" w:rsidP="00833AED">
      <w:pPr>
        <w:spacing w:line="240" w:lineRule="auto"/>
        <w:rPr>
          <w:rFonts w:ascii="Times New Roman" w:hAnsi="Times New Roman" w:cs="Times New Roman"/>
          <w:color w:val="000000" w:themeColor="text1"/>
        </w:rPr>
      </w:pPr>
      <w:r w:rsidRPr="00AF0CC3">
        <w:rPr>
          <w:rFonts w:ascii="Times New Roman" w:hAnsi="Times New Roman" w:cs="Times New Roman"/>
          <w:color w:val="000000" w:themeColor="text1"/>
        </w:rPr>
        <w:t>Adaptive governance theory shifts attention to how institutions respond to uncertainty and change. In water management, uncertainty stems from climate variability, socioeconomic transformation, and evolving regulatory conditions. Infrastructure planning that assumes static conditions risks misalignment with dynamic realities.</w:t>
      </w:r>
    </w:p>
    <w:p w14:paraId="229FA197" w14:textId="77777777" w:rsidR="00833AED" w:rsidRPr="00AF0CC3" w:rsidRDefault="00833AED" w:rsidP="00833AED">
      <w:pPr>
        <w:spacing w:line="240" w:lineRule="auto"/>
        <w:rPr>
          <w:rFonts w:ascii="Times New Roman" w:hAnsi="Times New Roman" w:cs="Times New Roman"/>
          <w:color w:val="000000" w:themeColor="text1"/>
        </w:rPr>
      </w:pPr>
    </w:p>
    <w:p w14:paraId="6106E590" w14:textId="77777777" w:rsidR="00833AED" w:rsidRPr="00AF0CC3" w:rsidRDefault="00833AED" w:rsidP="00833AED">
      <w:pPr>
        <w:spacing w:line="240" w:lineRule="auto"/>
        <w:rPr>
          <w:rFonts w:ascii="Times New Roman" w:hAnsi="Times New Roman" w:cs="Times New Roman"/>
          <w:color w:val="000000" w:themeColor="text1"/>
        </w:rPr>
      </w:pPr>
      <w:r w:rsidRPr="00AF0CC3">
        <w:rPr>
          <w:rFonts w:ascii="Times New Roman" w:hAnsi="Times New Roman" w:cs="Times New Roman"/>
          <w:color w:val="000000" w:themeColor="text1"/>
        </w:rPr>
        <w:t>Pahl-Wostl et al. (2020) distinguish between single-loop learning, adjusting within existing frameworks, and double-loop learning, which revisits underlying assumptions and institutional arrangements. Adaptive capacity depends not only on technical flexibility but also on institutional willingness to learn and adjust.</w:t>
      </w:r>
    </w:p>
    <w:p w14:paraId="60A1A422" w14:textId="77777777" w:rsidR="00833AED" w:rsidRPr="00AF0CC3" w:rsidRDefault="00833AED" w:rsidP="00833AED">
      <w:pPr>
        <w:spacing w:line="240" w:lineRule="auto"/>
        <w:rPr>
          <w:rFonts w:ascii="Times New Roman" w:hAnsi="Times New Roman" w:cs="Times New Roman"/>
          <w:color w:val="000000" w:themeColor="text1"/>
        </w:rPr>
      </w:pPr>
    </w:p>
    <w:p w14:paraId="34229434" w14:textId="77777777" w:rsidR="00833AED" w:rsidRPr="00AF0CC3" w:rsidRDefault="00833AED" w:rsidP="00833AED">
      <w:pPr>
        <w:spacing w:line="240" w:lineRule="auto"/>
        <w:rPr>
          <w:rFonts w:ascii="Times New Roman" w:hAnsi="Times New Roman" w:cs="Times New Roman"/>
          <w:color w:val="000000" w:themeColor="text1"/>
        </w:rPr>
      </w:pPr>
      <w:r w:rsidRPr="00AF0CC3">
        <w:rPr>
          <w:rFonts w:ascii="Times New Roman" w:hAnsi="Times New Roman" w:cs="Times New Roman"/>
          <w:color w:val="000000" w:themeColor="text1"/>
        </w:rPr>
        <w:t>Empirical research suggests that adaptive governance enhances infrastructure resilience by enabling early risk identification and iterative redesign. However, adaptation is not purely technocratic. Cleaver and Whaley (2018) caution that power relations and informal norms shape learning processes. In many bureaucratic settings, acknowledging design flaws carries reputational and political costs. Institutions may therefore resist adjustment until crises emerge.</w:t>
      </w:r>
    </w:p>
    <w:p w14:paraId="2D9C5F4A" w14:textId="77777777" w:rsidR="00833AED" w:rsidRPr="00AF0CC3" w:rsidRDefault="00833AED" w:rsidP="00833AED">
      <w:pPr>
        <w:spacing w:line="240" w:lineRule="auto"/>
        <w:rPr>
          <w:rFonts w:ascii="Times New Roman" w:hAnsi="Times New Roman" w:cs="Times New Roman"/>
          <w:color w:val="000000" w:themeColor="text1"/>
        </w:rPr>
      </w:pPr>
    </w:p>
    <w:p w14:paraId="63006FE6" w14:textId="77777777" w:rsidR="00833AED" w:rsidRPr="00AF0CC3" w:rsidRDefault="00833AED" w:rsidP="00833AED">
      <w:pPr>
        <w:spacing w:line="240" w:lineRule="auto"/>
        <w:rPr>
          <w:rFonts w:ascii="Times New Roman" w:hAnsi="Times New Roman" w:cs="Times New Roman"/>
          <w:color w:val="000000" w:themeColor="text1"/>
        </w:rPr>
      </w:pPr>
      <w:r w:rsidRPr="00AF0CC3">
        <w:rPr>
          <w:rFonts w:ascii="Times New Roman" w:hAnsi="Times New Roman" w:cs="Times New Roman"/>
          <w:color w:val="000000" w:themeColor="text1"/>
        </w:rPr>
        <w:t>In Kenya’s water infrastructure sector, uncertainty is pervasive. Climate variability is intensifying, and institutional mandates are divided across levels of government. Although policy discourse increasingly references resilience, implementation practices often favor maintaining momentum over revisiting flawed premises. Adaptation is deferred, and small governance failures accumulate. When compounded by external stressors, these failures may tip projects into prolonged inactivity.</w:t>
      </w:r>
    </w:p>
    <w:p w14:paraId="22D1B87A" w14:textId="77777777" w:rsidR="00833AED" w:rsidRPr="00AF0CC3" w:rsidRDefault="00833AED" w:rsidP="00833AED">
      <w:pPr>
        <w:spacing w:line="240" w:lineRule="auto"/>
        <w:rPr>
          <w:rFonts w:ascii="Times New Roman" w:hAnsi="Times New Roman" w:cs="Times New Roman"/>
          <w:color w:val="000000" w:themeColor="text1"/>
        </w:rPr>
      </w:pPr>
    </w:p>
    <w:p w14:paraId="629EE5B4" w14:textId="77777777" w:rsidR="00833AED" w:rsidRPr="00AF0CC3" w:rsidRDefault="00833AED" w:rsidP="00833AED">
      <w:pPr>
        <w:spacing w:line="240" w:lineRule="auto"/>
        <w:rPr>
          <w:rFonts w:ascii="Times New Roman" w:hAnsi="Times New Roman" w:cs="Times New Roman"/>
          <w:color w:val="000000" w:themeColor="text1"/>
        </w:rPr>
      </w:pPr>
      <w:r w:rsidRPr="00AF0CC3">
        <w:rPr>
          <w:rFonts w:ascii="Times New Roman" w:hAnsi="Times New Roman" w:cs="Times New Roman"/>
          <w:color w:val="000000" w:themeColor="text1"/>
        </w:rPr>
        <w:lastRenderedPageBreak/>
        <w:t>While broader political-economy frameworks offer additional insight into infrastructure decision-making, the theories employed here are selected because they map directly onto project-level governance mechanisms and can be operationalized for empirical testing in this study.</w:t>
      </w:r>
    </w:p>
    <w:p w14:paraId="04DF0BE0" w14:textId="77777777" w:rsidR="00833AED" w:rsidRPr="00AF0CC3" w:rsidRDefault="00833AED" w:rsidP="00833AED">
      <w:pPr>
        <w:spacing w:line="240" w:lineRule="auto"/>
        <w:rPr>
          <w:rFonts w:ascii="Times New Roman" w:hAnsi="Times New Roman" w:cs="Times New Roman"/>
          <w:color w:val="000000" w:themeColor="text1"/>
        </w:rPr>
      </w:pPr>
    </w:p>
    <w:p w14:paraId="7BD74FE9" w14:textId="77777777" w:rsidR="00833AED" w:rsidRPr="00AF0CC3" w:rsidRDefault="00833AED" w:rsidP="00833AED">
      <w:pPr>
        <w:spacing w:line="240" w:lineRule="auto"/>
        <w:rPr>
          <w:rFonts w:ascii="Times New Roman" w:hAnsi="Times New Roman" w:cs="Times New Roman"/>
          <w:color w:val="000000" w:themeColor="text1"/>
        </w:rPr>
      </w:pPr>
      <w:r w:rsidRPr="00AF0CC3">
        <w:rPr>
          <w:rFonts w:ascii="Times New Roman" w:hAnsi="Times New Roman" w:cs="Times New Roman"/>
          <w:color w:val="000000" w:themeColor="text1"/>
        </w:rPr>
        <w:t xml:space="preserve">Although presented separately, these theoretical perspectives are fundamentally complementary rather than competitive. Institutional theory describes the macro-incentive environment that influences infrastructure decisions. Principal–agent theory explains delegation failures and monitoring asymmetries during implementation. Transaction cost economics highlights the impact of contractual rigidity and renegotiation under uncertainty. Adaptive governance explores how institutions respond to environmental stress and evolving risks. </w:t>
      </w:r>
    </w:p>
    <w:p w14:paraId="0E219F0D" w14:textId="77777777" w:rsidR="00833AED" w:rsidRPr="00AF0CC3" w:rsidRDefault="00833AED" w:rsidP="00833AED">
      <w:pPr>
        <w:spacing w:line="240" w:lineRule="auto"/>
        <w:rPr>
          <w:rFonts w:ascii="Times New Roman" w:hAnsi="Times New Roman" w:cs="Times New Roman"/>
          <w:color w:val="000000" w:themeColor="text1"/>
        </w:rPr>
      </w:pPr>
      <w:r w:rsidRPr="00AF0CC3">
        <w:rPr>
          <w:rFonts w:ascii="Times New Roman" w:hAnsi="Times New Roman" w:cs="Times New Roman"/>
          <w:color w:val="000000" w:themeColor="text1"/>
        </w:rPr>
        <w:t>Together, they create a layered explanation: institutional incentives influence delegation structures; delegation structures influence contractual design; contractual design affects implementation dynamics; and adaptive capacity determines whether shocks are absorbed or amplified. Project stalling emerges when weaknesses across these layers accumulate rather than being corrected.</w:t>
      </w:r>
    </w:p>
    <w:p w14:paraId="26132F60" w14:textId="77777777" w:rsidR="00833AED" w:rsidRPr="00AF0CC3" w:rsidRDefault="00833AED" w:rsidP="00833AED">
      <w:pPr>
        <w:spacing w:after="200" w:line="240" w:lineRule="auto"/>
        <w:rPr>
          <w:rFonts w:ascii="Times New Roman" w:eastAsia="Times New Roman" w:hAnsi="Times New Roman" w:cs="Times New Roman"/>
          <w:color w:val="000000" w:themeColor="text1"/>
          <w:kern w:val="0"/>
          <w14:ligatures w14:val="none"/>
        </w:rPr>
      </w:pPr>
    </w:p>
    <w:p w14:paraId="19E48824" w14:textId="6F8A248A" w:rsidR="00052921" w:rsidRPr="00AF0CC3" w:rsidRDefault="00052921" w:rsidP="00052921">
      <w:pPr>
        <w:pStyle w:val="Caption"/>
        <w:keepNext/>
        <w:rPr>
          <w:rFonts w:ascii="Times New Roman" w:hAnsi="Times New Roman" w:cs="Times New Roman"/>
          <w:sz w:val="24"/>
          <w:szCs w:val="24"/>
        </w:rPr>
      </w:pPr>
      <w:bookmarkStart w:id="84" w:name="_Toc234437356"/>
      <w:r w:rsidRPr="00AF0CC3">
        <w:rPr>
          <w:rFonts w:ascii="Times New Roman" w:hAnsi="Times New Roman" w:cs="Times New Roman"/>
          <w:sz w:val="24"/>
          <w:szCs w:val="24"/>
        </w:rPr>
        <w:t xml:space="preserve">Table </w:t>
      </w:r>
      <w:r w:rsidR="007F4206" w:rsidRPr="00AF0CC3">
        <w:rPr>
          <w:rFonts w:ascii="Times New Roman" w:hAnsi="Times New Roman" w:cs="Times New Roman"/>
          <w:sz w:val="24"/>
          <w:szCs w:val="24"/>
        </w:rPr>
        <w:fldChar w:fldCharType="begin"/>
      </w:r>
      <w:r w:rsidR="007F4206" w:rsidRPr="00AF0CC3">
        <w:rPr>
          <w:rFonts w:ascii="Times New Roman" w:hAnsi="Times New Roman" w:cs="Times New Roman"/>
          <w:sz w:val="24"/>
          <w:szCs w:val="24"/>
        </w:rPr>
        <w:instrText xml:space="preserve"> STYLEREF 1 \s </w:instrText>
      </w:r>
      <w:r w:rsidR="007F4206" w:rsidRPr="00AF0CC3">
        <w:rPr>
          <w:rFonts w:ascii="Times New Roman" w:hAnsi="Times New Roman" w:cs="Times New Roman"/>
          <w:sz w:val="24"/>
          <w:szCs w:val="24"/>
        </w:rPr>
        <w:fldChar w:fldCharType="separate"/>
      </w:r>
      <w:r w:rsidR="007F4206" w:rsidRPr="00AF0CC3">
        <w:rPr>
          <w:rFonts w:ascii="Times New Roman" w:hAnsi="Times New Roman" w:cs="Times New Roman"/>
          <w:noProof/>
          <w:sz w:val="24"/>
          <w:szCs w:val="24"/>
        </w:rPr>
        <w:t>2</w:t>
      </w:r>
      <w:r w:rsidR="007F4206" w:rsidRPr="00AF0CC3">
        <w:rPr>
          <w:rFonts w:ascii="Times New Roman" w:hAnsi="Times New Roman" w:cs="Times New Roman"/>
          <w:noProof/>
          <w:sz w:val="24"/>
          <w:szCs w:val="24"/>
        </w:rPr>
        <w:fldChar w:fldCharType="end"/>
      </w:r>
      <w:r w:rsidR="007F4206" w:rsidRPr="00AF0CC3">
        <w:rPr>
          <w:rFonts w:ascii="Times New Roman" w:hAnsi="Times New Roman" w:cs="Times New Roman"/>
          <w:sz w:val="24"/>
          <w:szCs w:val="24"/>
        </w:rPr>
        <w:noBreakHyphen/>
      </w:r>
      <w:r w:rsidR="007F4206" w:rsidRPr="00AF0CC3">
        <w:rPr>
          <w:rFonts w:ascii="Times New Roman" w:hAnsi="Times New Roman" w:cs="Times New Roman"/>
          <w:sz w:val="24"/>
          <w:szCs w:val="24"/>
        </w:rPr>
        <w:fldChar w:fldCharType="begin"/>
      </w:r>
      <w:r w:rsidR="007F4206" w:rsidRPr="00AF0CC3">
        <w:rPr>
          <w:rFonts w:ascii="Times New Roman" w:hAnsi="Times New Roman" w:cs="Times New Roman"/>
          <w:sz w:val="24"/>
          <w:szCs w:val="24"/>
        </w:rPr>
        <w:instrText xml:space="preserve"> SEQ Table \* ARABIC \s 1 </w:instrText>
      </w:r>
      <w:r w:rsidR="007F4206" w:rsidRPr="00AF0CC3">
        <w:rPr>
          <w:rFonts w:ascii="Times New Roman" w:hAnsi="Times New Roman" w:cs="Times New Roman"/>
          <w:sz w:val="24"/>
          <w:szCs w:val="24"/>
        </w:rPr>
        <w:fldChar w:fldCharType="separate"/>
      </w:r>
      <w:r w:rsidR="007F4206" w:rsidRPr="00AF0CC3">
        <w:rPr>
          <w:rFonts w:ascii="Times New Roman" w:hAnsi="Times New Roman" w:cs="Times New Roman"/>
          <w:noProof/>
          <w:sz w:val="24"/>
          <w:szCs w:val="24"/>
        </w:rPr>
        <w:t>1</w:t>
      </w:r>
      <w:r w:rsidR="007F4206" w:rsidRPr="00AF0CC3">
        <w:rPr>
          <w:rFonts w:ascii="Times New Roman" w:hAnsi="Times New Roman" w:cs="Times New Roman"/>
          <w:noProof/>
          <w:sz w:val="24"/>
          <w:szCs w:val="24"/>
        </w:rPr>
        <w:fldChar w:fldCharType="end"/>
      </w:r>
      <w:r w:rsidRPr="00AF0CC3">
        <w:rPr>
          <w:rFonts w:ascii="Times New Roman" w:hAnsi="Times New Roman" w:cs="Times New Roman"/>
          <w:sz w:val="24"/>
          <w:szCs w:val="24"/>
        </w:rPr>
        <w:t>Summary of Theoretical Perspectives on Infrastructure Governance</w:t>
      </w:r>
      <w:bookmarkEnd w:id="84"/>
    </w:p>
    <w:tbl>
      <w:tblPr>
        <w:tblW w:w="99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160"/>
        <w:gridCol w:w="2340"/>
        <w:gridCol w:w="2250"/>
        <w:gridCol w:w="3150"/>
      </w:tblGrid>
      <w:tr w:rsidR="00833AED" w:rsidRPr="00AF0CC3" w14:paraId="3BF7A622" w14:textId="77777777" w:rsidTr="00052921">
        <w:tc>
          <w:tcPr>
            <w:tcW w:w="2160" w:type="dxa"/>
            <w:hideMark/>
          </w:tcPr>
          <w:p w14:paraId="490D45F9" w14:textId="77777777" w:rsidR="00833AED" w:rsidRPr="00AF0CC3" w:rsidRDefault="00833AED" w:rsidP="00833AED">
            <w:pPr>
              <w:spacing w:after="200" w:line="240" w:lineRule="auto"/>
              <w:rPr>
                <w:rFonts w:ascii="Times New Roman" w:eastAsia="Times New Roman" w:hAnsi="Times New Roman" w:cs="Times New Roman"/>
                <w:b/>
                <w:bCs/>
                <w:color w:val="000000" w:themeColor="text1"/>
                <w:kern w:val="0"/>
                <w14:ligatures w14:val="none"/>
              </w:rPr>
            </w:pPr>
            <w:r w:rsidRPr="00AF0CC3">
              <w:rPr>
                <w:rFonts w:ascii="Times New Roman" w:eastAsia="Times New Roman" w:hAnsi="Times New Roman" w:cs="Times New Roman"/>
                <w:b/>
                <w:bCs/>
                <w:color w:val="000000" w:themeColor="text1"/>
                <w:kern w:val="0"/>
                <w14:ligatures w14:val="none"/>
              </w:rPr>
              <w:t>Theoretical Perspective</w:t>
            </w:r>
          </w:p>
        </w:tc>
        <w:tc>
          <w:tcPr>
            <w:tcW w:w="2340" w:type="dxa"/>
            <w:hideMark/>
          </w:tcPr>
          <w:p w14:paraId="1D4241F8" w14:textId="77777777" w:rsidR="00833AED" w:rsidRPr="00AF0CC3" w:rsidRDefault="00833AED" w:rsidP="00833AED">
            <w:pPr>
              <w:spacing w:after="200" w:line="240" w:lineRule="auto"/>
              <w:rPr>
                <w:rFonts w:ascii="Times New Roman" w:eastAsia="Times New Roman" w:hAnsi="Times New Roman" w:cs="Times New Roman"/>
                <w:b/>
                <w:bCs/>
                <w:color w:val="000000" w:themeColor="text1"/>
                <w:kern w:val="0"/>
                <w14:ligatures w14:val="none"/>
              </w:rPr>
            </w:pPr>
            <w:r w:rsidRPr="00AF0CC3">
              <w:rPr>
                <w:rFonts w:ascii="Times New Roman" w:eastAsia="Times New Roman" w:hAnsi="Times New Roman" w:cs="Times New Roman"/>
                <w:b/>
                <w:bCs/>
                <w:color w:val="000000" w:themeColor="text1"/>
                <w:kern w:val="0"/>
                <w14:ligatures w14:val="none"/>
              </w:rPr>
              <w:t>Core Focus</w:t>
            </w:r>
          </w:p>
        </w:tc>
        <w:tc>
          <w:tcPr>
            <w:tcW w:w="2250" w:type="dxa"/>
            <w:hideMark/>
          </w:tcPr>
          <w:p w14:paraId="11E978C6" w14:textId="77777777" w:rsidR="00833AED" w:rsidRPr="00AF0CC3" w:rsidRDefault="00833AED" w:rsidP="00833AED">
            <w:pPr>
              <w:spacing w:after="200" w:line="240" w:lineRule="auto"/>
              <w:rPr>
                <w:rFonts w:ascii="Times New Roman" w:eastAsia="Times New Roman" w:hAnsi="Times New Roman" w:cs="Times New Roman"/>
                <w:b/>
                <w:bCs/>
                <w:color w:val="000000" w:themeColor="text1"/>
                <w:kern w:val="0"/>
                <w14:ligatures w14:val="none"/>
              </w:rPr>
            </w:pPr>
            <w:r w:rsidRPr="00AF0CC3">
              <w:rPr>
                <w:rFonts w:ascii="Times New Roman" w:eastAsia="Times New Roman" w:hAnsi="Times New Roman" w:cs="Times New Roman"/>
                <w:b/>
                <w:bCs/>
                <w:color w:val="000000" w:themeColor="text1"/>
                <w:kern w:val="0"/>
                <w14:ligatures w14:val="none"/>
              </w:rPr>
              <w:t>Relevance to Governance Quality (GQI)</w:t>
            </w:r>
          </w:p>
        </w:tc>
        <w:tc>
          <w:tcPr>
            <w:tcW w:w="3150" w:type="dxa"/>
            <w:hideMark/>
          </w:tcPr>
          <w:p w14:paraId="44CB07D1" w14:textId="77777777" w:rsidR="00833AED" w:rsidRPr="00AF0CC3" w:rsidRDefault="00833AED" w:rsidP="00833AED">
            <w:pPr>
              <w:spacing w:after="200" w:line="240" w:lineRule="auto"/>
              <w:rPr>
                <w:rFonts w:ascii="Times New Roman" w:eastAsia="Times New Roman" w:hAnsi="Times New Roman" w:cs="Times New Roman"/>
                <w:b/>
                <w:bCs/>
                <w:color w:val="000000" w:themeColor="text1"/>
                <w:kern w:val="0"/>
                <w14:ligatures w14:val="none"/>
              </w:rPr>
            </w:pPr>
            <w:r w:rsidRPr="00AF0CC3">
              <w:rPr>
                <w:rFonts w:ascii="Times New Roman" w:eastAsia="Times New Roman" w:hAnsi="Times New Roman" w:cs="Times New Roman"/>
                <w:b/>
                <w:bCs/>
                <w:color w:val="000000" w:themeColor="text1"/>
                <w:kern w:val="0"/>
                <w14:ligatures w14:val="none"/>
              </w:rPr>
              <w:t>Link to Project Stall</w:t>
            </w:r>
          </w:p>
        </w:tc>
      </w:tr>
      <w:tr w:rsidR="00833AED" w:rsidRPr="00AF0CC3" w14:paraId="0072133C" w14:textId="77777777" w:rsidTr="00052921">
        <w:tc>
          <w:tcPr>
            <w:tcW w:w="2160" w:type="dxa"/>
            <w:hideMark/>
          </w:tcPr>
          <w:p w14:paraId="26AD2B96" w14:textId="77777777" w:rsidR="00833AED" w:rsidRPr="00AF0CC3" w:rsidRDefault="00833AED" w:rsidP="00833AED">
            <w:pPr>
              <w:spacing w:after="200" w:line="240" w:lineRule="auto"/>
              <w:rPr>
                <w:rFonts w:ascii="Times New Roman" w:eastAsia="Times New Roman" w:hAnsi="Times New Roman" w:cs="Times New Roman"/>
                <w:b/>
                <w:bCs/>
                <w:color w:val="000000" w:themeColor="text1"/>
                <w:kern w:val="0"/>
                <w14:ligatures w14:val="none"/>
              </w:rPr>
            </w:pPr>
            <w:r w:rsidRPr="00AF0CC3">
              <w:rPr>
                <w:rFonts w:ascii="Times New Roman" w:eastAsia="Times New Roman" w:hAnsi="Times New Roman" w:cs="Times New Roman"/>
                <w:b/>
                <w:bCs/>
                <w:color w:val="000000" w:themeColor="text1"/>
                <w:kern w:val="0"/>
                <w14:ligatures w14:val="none"/>
              </w:rPr>
              <w:t xml:space="preserve">Institutional Theory </w:t>
            </w:r>
          </w:p>
        </w:tc>
        <w:tc>
          <w:tcPr>
            <w:tcW w:w="2340" w:type="dxa"/>
            <w:hideMark/>
          </w:tcPr>
          <w:p w14:paraId="5C6DED09" w14:textId="77777777" w:rsidR="00833AED" w:rsidRPr="00AF0CC3" w:rsidRDefault="00833AED" w:rsidP="00833AED">
            <w:pPr>
              <w:spacing w:after="200" w:line="240" w:lineRule="auto"/>
              <w:rPr>
                <w:rFonts w:ascii="Times New Roman" w:eastAsia="Times New Roman" w:hAnsi="Times New Roman" w:cs="Times New Roman"/>
                <w:color w:val="000000" w:themeColor="text1"/>
                <w:kern w:val="0"/>
                <w14:ligatures w14:val="none"/>
              </w:rPr>
            </w:pPr>
            <w:r w:rsidRPr="00AF0CC3">
              <w:rPr>
                <w:rFonts w:ascii="Times New Roman" w:eastAsia="Times New Roman" w:hAnsi="Times New Roman" w:cs="Times New Roman"/>
                <w:color w:val="000000" w:themeColor="text1"/>
                <w:kern w:val="0"/>
                <w14:ligatures w14:val="none"/>
              </w:rPr>
              <w:t>Role of formal rules, informal norms, and enforcement structures in shaping incentives.</w:t>
            </w:r>
          </w:p>
        </w:tc>
        <w:tc>
          <w:tcPr>
            <w:tcW w:w="2250" w:type="dxa"/>
            <w:hideMark/>
          </w:tcPr>
          <w:p w14:paraId="002B606B" w14:textId="77777777" w:rsidR="00833AED" w:rsidRPr="00AF0CC3" w:rsidRDefault="00833AED" w:rsidP="00833AED">
            <w:pPr>
              <w:spacing w:after="200" w:line="240" w:lineRule="auto"/>
              <w:rPr>
                <w:rFonts w:ascii="Times New Roman" w:eastAsia="Times New Roman" w:hAnsi="Times New Roman" w:cs="Times New Roman"/>
                <w:color w:val="000000" w:themeColor="text1"/>
                <w:kern w:val="0"/>
                <w14:ligatures w14:val="none"/>
              </w:rPr>
            </w:pPr>
            <w:r w:rsidRPr="00AF0CC3">
              <w:rPr>
                <w:rFonts w:ascii="Times New Roman" w:eastAsia="Times New Roman" w:hAnsi="Times New Roman" w:cs="Times New Roman"/>
                <w:color w:val="000000" w:themeColor="text1"/>
                <w:kern w:val="0"/>
                <w14:ligatures w14:val="none"/>
              </w:rPr>
              <w:t>Explains how weak institutional frameworks undermine preparation, oversight, and accountability.</w:t>
            </w:r>
          </w:p>
        </w:tc>
        <w:tc>
          <w:tcPr>
            <w:tcW w:w="3150" w:type="dxa"/>
            <w:hideMark/>
          </w:tcPr>
          <w:p w14:paraId="1B1E9CCD" w14:textId="77777777" w:rsidR="00833AED" w:rsidRPr="00AF0CC3" w:rsidRDefault="00833AED" w:rsidP="00833AED">
            <w:pPr>
              <w:spacing w:after="200" w:line="240" w:lineRule="auto"/>
              <w:rPr>
                <w:rFonts w:ascii="Times New Roman" w:eastAsia="Times New Roman" w:hAnsi="Times New Roman" w:cs="Times New Roman"/>
                <w:color w:val="000000" w:themeColor="text1"/>
                <w:kern w:val="0"/>
                <w14:ligatures w14:val="none"/>
              </w:rPr>
            </w:pPr>
            <w:r w:rsidRPr="00AF0CC3">
              <w:rPr>
                <w:rFonts w:ascii="Times New Roman" w:eastAsia="Times New Roman" w:hAnsi="Times New Roman" w:cs="Times New Roman"/>
                <w:color w:val="000000" w:themeColor="text1"/>
                <w:kern w:val="0"/>
                <w14:ligatures w14:val="none"/>
              </w:rPr>
              <w:t>Weak institutional enforcement allows early-stage risks to persist, increasing the probability of stalling.</w:t>
            </w:r>
          </w:p>
        </w:tc>
      </w:tr>
      <w:tr w:rsidR="00833AED" w:rsidRPr="00AF0CC3" w14:paraId="516D92DD" w14:textId="77777777" w:rsidTr="00052921">
        <w:tc>
          <w:tcPr>
            <w:tcW w:w="2160" w:type="dxa"/>
            <w:hideMark/>
          </w:tcPr>
          <w:p w14:paraId="33588D7C" w14:textId="77777777" w:rsidR="00833AED" w:rsidRPr="00AF0CC3" w:rsidRDefault="00833AED" w:rsidP="00833AED">
            <w:pPr>
              <w:spacing w:after="200" w:line="240" w:lineRule="auto"/>
              <w:rPr>
                <w:rFonts w:ascii="Times New Roman" w:eastAsia="Times New Roman" w:hAnsi="Times New Roman" w:cs="Times New Roman"/>
                <w:b/>
                <w:bCs/>
                <w:color w:val="000000" w:themeColor="text1"/>
                <w:kern w:val="0"/>
                <w14:ligatures w14:val="none"/>
              </w:rPr>
            </w:pPr>
            <w:r w:rsidRPr="00AF0CC3">
              <w:rPr>
                <w:rFonts w:ascii="Times New Roman" w:eastAsia="Times New Roman" w:hAnsi="Times New Roman" w:cs="Times New Roman"/>
                <w:b/>
                <w:bCs/>
                <w:color w:val="000000" w:themeColor="text1"/>
                <w:kern w:val="0"/>
                <w14:ligatures w14:val="none"/>
              </w:rPr>
              <w:t>Principal–Agent Theory</w:t>
            </w:r>
          </w:p>
        </w:tc>
        <w:tc>
          <w:tcPr>
            <w:tcW w:w="2340" w:type="dxa"/>
            <w:hideMark/>
          </w:tcPr>
          <w:p w14:paraId="673899B9" w14:textId="77777777" w:rsidR="00833AED" w:rsidRPr="00AF0CC3" w:rsidRDefault="00833AED" w:rsidP="00833AED">
            <w:pPr>
              <w:spacing w:after="200" w:line="240" w:lineRule="auto"/>
              <w:rPr>
                <w:rFonts w:ascii="Times New Roman" w:eastAsia="Times New Roman" w:hAnsi="Times New Roman" w:cs="Times New Roman"/>
                <w:color w:val="000000" w:themeColor="text1"/>
                <w:kern w:val="0"/>
                <w14:ligatures w14:val="none"/>
              </w:rPr>
            </w:pPr>
            <w:r w:rsidRPr="00AF0CC3">
              <w:rPr>
                <w:rFonts w:ascii="Times New Roman" w:eastAsia="Times New Roman" w:hAnsi="Times New Roman" w:cs="Times New Roman"/>
                <w:color w:val="000000" w:themeColor="text1"/>
                <w:kern w:val="0"/>
                <w14:ligatures w14:val="none"/>
              </w:rPr>
              <w:t>Delegation under information asymmetry and divergent incentives.</w:t>
            </w:r>
          </w:p>
        </w:tc>
        <w:tc>
          <w:tcPr>
            <w:tcW w:w="2250" w:type="dxa"/>
            <w:hideMark/>
          </w:tcPr>
          <w:p w14:paraId="016E4516" w14:textId="77777777" w:rsidR="00833AED" w:rsidRPr="00AF0CC3" w:rsidRDefault="00833AED" w:rsidP="00833AED">
            <w:pPr>
              <w:spacing w:after="200" w:line="240" w:lineRule="auto"/>
              <w:rPr>
                <w:rFonts w:ascii="Times New Roman" w:eastAsia="Times New Roman" w:hAnsi="Times New Roman" w:cs="Times New Roman"/>
                <w:color w:val="000000" w:themeColor="text1"/>
                <w:kern w:val="0"/>
                <w14:ligatures w14:val="none"/>
              </w:rPr>
            </w:pPr>
            <w:r w:rsidRPr="00AF0CC3">
              <w:rPr>
                <w:rFonts w:ascii="Times New Roman" w:eastAsia="Times New Roman" w:hAnsi="Times New Roman" w:cs="Times New Roman"/>
                <w:color w:val="000000" w:themeColor="text1"/>
                <w:kern w:val="0"/>
                <w14:ligatures w14:val="none"/>
              </w:rPr>
              <w:t>Highlights monitoring, incentive alignment, and enforcement failures at the project level.</w:t>
            </w:r>
          </w:p>
        </w:tc>
        <w:tc>
          <w:tcPr>
            <w:tcW w:w="3150" w:type="dxa"/>
            <w:hideMark/>
          </w:tcPr>
          <w:p w14:paraId="7E5D03F4" w14:textId="77777777" w:rsidR="00833AED" w:rsidRPr="00AF0CC3" w:rsidRDefault="00833AED" w:rsidP="00833AED">
            <w:pPr>
              <w:spacing w:after="200" w:line="240" w:lineRule="auto"/>
              <w:rPr>
                <w:rFonts w:ascii="Times New Roman" w:eastAsia="Times New Roman" w:hAnsi="Times New Roman" w:cs="Times New Roman"/>
                <w:color w:val="000000" w:themeColor="text1"/>
                <w:kern w:val="0"/>
                <w14:ligatures w14:val="none"/>
              </w:rPr>
            </w:pPr>
            <w:r w:rsidRPr="00AF0CC3">
              <w:rPr>
                <w:rFonts w:ascii="Times New Roman" w:eastAsia="Times New Roman" w:hAnsi="Times New Roman" w:cs="Times New Roman"/>
                <w:color w:val="000000" w:themeColor="text1"/>
                <w:kern w:val="0"/>
                <w14:ligatures w14:val="none"/>
              </w:rPr>
              <w:t>Strategic misrepresentation and weak supervision escalate delays into prolonged inactivity.</w:t>
            </w:r>
          </w:p>
        </w:tc>
      </w:tr>
      <w:tr w:rsidR="00833AED" w:rsidRPr="00AF0CC3" w14:paraId="077C305E" w14:textId="77777777" w:rsidTr="00052921">
        <w:tc>
          <w:tcPr>
            <w:tcW w:w="2160" w:type="dxa"/>
            <w:hideMark/>
          </w:tcPr>
          <w:p w14:paraId="73A80AF6" w14:textId="77777777" w:rsidR="00833AED" w:rsidRPr="00AF0CC3" w:rsidRDefault="00833AED" w:rsidP="00833AED">
            <w:pPr>
              <w:spacing w:after="200" w:line="240" w:lineRule="auto"/>
              <w:rPr>
                <w:rFonts w:ascii="Times New Roman" w:eastAsia="Times New Roman" w:hAnsi="Times New Roman" w:cs="Times New Roman"/>
                <w:b/>
                <w:bCs/>
                <w:color w:val="000000" w:themeColor="text1"/>
                <w:kern w:val="0"/>
                <w14:ligatures w14:val="none"/>
              </w:rPr>
            </w:pPr>
            <w:r w:rsidRPr="00AF0CC3">
              <w:rPr>
                <w:rFonts w:ascii="Times New Roman" w:eastAsia="Times New Roman" w:hAnsi="Times New Roman" w:cs="Times New Roman"/>
                <w:b/>
                <w:bCs/>
                <w:color w:val="000000" w:themeColor="text1"/>
                <w:kern w:val="0"/>
                <w14:ligatures w14:val="none"/>
              </w:rPr>
              <w:t>Transaction Cost Economics</w:t>
            </w:r>
          </w:p>
        </w:tc>
        <w:tc>
          <w:tcPr>
            <w:tcW w:w="2340" w:type="dxa"/>
            <w:hideMark/>
          </w:tcPr>
          <w:p w14:paraId="10B9880A" w14:textId="77777777" w:rsidR="00833AED" w:rsidRPr="00AF0CC3" w:rsidRDefault="00833AED" w:rsidP="00833AED">
            <w:pPr>
              <w:spacing w:after="200" w:line="240" w:lineRule="auto"/>
              <w:rPr>
                <w:rFonts w:ascii="Times New Roman" w:eastAsia="Times New Roman" w:hAnsi="Times New Roman" w:cs="Times New Roman"/>
                <w:color w:val="000000" w:themeColor="text1"/>
                <w:kern w:val="0"/>
                <w14:ligatures w14:val="none"/>
              </w:rPr>
            </w:pPr>
            <w:r w:rsidRPr="00AF0CC3">
              <w:rPr>
                <w:rFonts w:ascii="Times New Roman" w:eastAsia="Times New Roman" w:hAnsi="Times New Roman" w:cs="Times New Roman"/>
                <w:color w:val="000000" w:themeColor="text1"/>
                <w:kern w:val="0"/>
                <w14:ligatures w14:val="none"/>
              </w:rPr>
              <w:t>Contractual design under uncertainty and asset specificity.</w:t>
            </w:r>
          </w:p>
        </w:tc>
        <w:tc>
          <w:tcPr>
            <w:tcW w:w="2250" w:type="dxa"/>
            <w:hideMark/>
          </w:tcPr>
          <w:p w14:paraId="38A4A719" w14:textId="77777777" w:rsidR="00833AED" w:rsidRPr="00AF0CC3" w:rsidRDefault="00833AED" w:rsidP="00833AED">
            <w:pPr>
              <w:spacing w:after="200" w:line="240" w:lineRule="auto"/>
              <w:rPr>
                <w:rFonts w:ascii="Times New Roman" w:eastAsia="Times New Roman" w:hAnsi="Times New Roman" w:cs="Times New Roman"/>
                <w:color w:val="000000" w:themeColor="text1"/>
                <w:kern w:val="0"/>
                <w14:ligatures w14:val="none"/>
              </w:rPr>
            </w:pPr>
            <w:r w:rsidRPr="00AF0CC3">
              <w:rPr>
                <w:rFonts w:ascii="Times New Roman" w:eastAsia="Times New Roman" w:hAnsi="Times New Roman" w:cs="Times New Roman"/>
                <w:color w:val="000000" w:themeColor="text1"/>
                <w:kern w:val="0"/>
                <w14:ligatures w14:val="none"/>
              </w:rPr>
              <w:t>Emphasizes risk allocation, renegotiation, and contractual rigidity in infrastructure delivery.</w:t>
            </w:r>
          </w:p>
        </w:tc>
        <w:tc>
          <w:tcPr>
            <w:tcW w:w="3150" w:type="dxa"/>
            <w:hideMark/>
          </w:tcPr>
          <w:p w14:paraId="1FAB3E27" w14:textId="77777777" w:rsidR="00833AED" w:rsidRPr="00AF0CC3" w:rsidRDefault="00833AED" w:rsidP="00833AED">
            <w:pPr>
              <w:spacing w:after="200" w:line="240" w:lineRule="auto"/>
              <w:rPr>
                <w:rFonts w:ascii="Times New Roman" w:eastAsia="Times New Roman" w:hAnsi="Times New Roman" w:cs="Times New Roman"/>
                <w:color w:val="000000" w:themeColor="text1"/>
                <w:kern w:val="0"/>
                <w14:ligatures w14:val="none"/>
              </w:rPr>
            </w:pPr>
            <w:r w:rsidRPr="00AF0CC3">
              <w:rPr>
                <w:rFonts w:ascii="Times New Roman" w:eastAsia="Times New Roman" w:hAnsi="Times New Roman" w:cs="Times New Roman"/>
                <w:color w:val="000000" w:themeColor="text1"/>
                <w:kern w:val="0"/>
                <w14:ligatures w14:val="none"/>
              </w:rPr>
              <w:t>Misallocated risks and frequent renegotiations increase the likelihood of suspension or stalled implementation.</w:t>
            </w:r>
          </w:p>
        </w:tc>
      </w:tr>
      <w:tr w:rsidR="00833AED" w:rsidRPr="00AF0CC3" w14:paraId="3F1A9E79" w14:textId="77777777" w:rsidTr="00052921">
        <w:tc>
          <w:tcPr>
            <w:tcW w:w="2160" w:type="dxa"/>
            <w:hideMark/>
          </w:tcPr>
          <w:p w14:paraId="42584397" w14:textId="77777777" w:rsidR="00833AED" w:rsidRPr="00AF0CC3" w:rsidRDefault="00833AED" w:rsidP="00833AED">
            <w:pPr>
              <w:spacing w:after="200" w:line="240" w:lineRule="auto"/>
              <w:rPr>
                <w:rFonts w:ascii="Times New Roman" w:eastAsia="Times New Roman" w:hAnsi="Times New Roman" w:cs="Times New Roman"/>
                <w:b/>
                <w:bCs/>
                <w:color w:val="000000" w:themeColor="text1"/>
                <w:kern w:val="0"/>
                <w14:ligatures w14:val="none"/>
              </w:rPr>
            </w:pPr>
            <w:r w:rsidRPr="00AF0CC3">
              <w:rPr>
                <w:rFonts w:ascii="Times New Roman" w:eastAsia="Times New Roman" w:hAnsi="Times New Roman" w:cs="Times New Roman"/>
                <w:b/>
                <w:bCs/>
                <w:color w:val="000000" w:themeColor="text1"/>
                <w:kern w:val="0"/>
                <w14:ligatures w14:val="none"/>
              </w:rPr>
              <w:lastRenderedPageBreak/>
              <w:t>Adaptive Governance</w:t>
            </w:r>
          </w:p>
        </w:tc>
        <w:tc>
          <w:tcPr>
            <w:tcW w:w="2340" w:type="dxa"/>
            <w:hideMark/>
          </w:tcPr>
          <w:p w14:paraId="4F25CF99" w14:textId="77777777" w:rsidR="00833AED" w:rsidRPr="00AF0CC3" w:rsidRDefault="00833AED" w:rsidP="00833AED">
            <w:pPr>
              <w:spacing w:after="200" w:line="240" w:lineRule="auto"/>
              <w:rPr>
                <w:rFonts w:ascii="Times New Roman" w:eastAsia="Times New Roman" w:hAnsi="Times New Roman" w:cs="Times New Roman"/>
                <w:color w:val="000000" w:themeColor="text1"/>
                <w:kern w:val="0"/>
                <w14:ligatures w14:val="none"/>
              </w:rPr>
            </w:pPr>
            <w:r w:rsidRPr="00AF0CC3">
              <w:rPr>
                <w:rFonts w:ascii="Times New Roman" w:eastAsia="Times New Roman" w:hAnsi="Times New Roman" w:cs="Times New Roman"/>
                <w:color w:val="000000" w:themeColor="text1"/>
                <w:kern w:val="0"/>
                <w14:ligatures w14:val="none"/>
              </w:rPr>
              <w:t>Institutional learning and flexibility under environmental uncertainty.</w:t>
            </w:r>
          </w:p>
        </w:tc>
        <w:tc>
          <w:tcPr>
            <w:tcW w:w="2250" w:type="dxa"/>
            <w:hideMark/>
          </w:tcPr>
          <w:p w14:paraId="7899EEF4" w14:textId="77777777" w:rsidR="00833AED" w:rsidRPr="00AF0CC3" w:rsidRDefault="00833AED" w:rsidP="00833AED">
            <w:pPr>
              <w:spacing w:after="200" w:line="240" w:lineRule="auto"/>
              <w:rPr>
                <w:rFonts w:ascii="Times New Roman" w:eastAsia="Times New Roman" w:hAnsi="Times New Roman" w:cs="Times New Roman"/>
                <w:color w:val="000000" w:themeColor="text1"/>
                <w:kern w:val="0"/>
                <w14:ligatures w14:val="none"/>
              </w:rPr>
            </w:pPr>
            <w:r w:rsidRPr="00AF0CC3">
              <w:rPr>
                <w:rFonts w:ascii="Times New Roman" w:eastAsia="Times New Roman" w:hAnsi="Times New Roman" w:cs="Times New Roman"/>
                <w:color w:val="000000" w:themeColor="text1"/>
                <w:kern w:val="0"/>
                <w14:ligatures w14:val="none"/>
              </w:rPr>
              <w:t>Focuses on institutional capacity to respond to climate and contextual shocks.</w:t>
            </w:r>
          </w:p>
        </w:tc>
        <w:tc>
          <w:tcPr>
            <w:tcW w:w="3150" w:type="dxa"/>
            <w:hideMark/>
          </w:tcPr>
          <w:p w14:paraId="447106B1" w14:textId="77777777" w:rsidR="00833AED" w:rsidRPr="00AF0CC3" w:rsidRDefault="00833AED" w:rsidP="00833AED">
            <w:pPr>
              <w:spacing w:after="200" w:line="240" w:lineRule="auto"/>
              <w:rPr>
                <w:rFonts w:ascii="Times New Roman" w:eastAsia="Times New Roman" w:hAnsi="Times New Roman" w:cs="Times New Roman"/>
                <w:color w:val="000000" w:themeColor="text1"/>
                <w:kern w:val="0"/>
                <w14:ligatures w14:val="none"/>
              </w:rPr>
            </w:pPr>
            <w:r w:rsidRPr="00AF0CC3">
              <w:rPr>
                <w:rFonts w:ascii="Times New Roman" w:eastAsia="Times New Roman" w:hAnsi="Times New Roman" w:cs="Times New Roman"/>
                <w:color w:val="000000" w:themeColor="text1"/>
                <w:kern w:val="0"/>
                <w14:ligatures w14:val="none"/>
              </w:rPr>
              <w:t>Limited adaptive capacity amplifies shocks, transforming delay into project stalling.</w:t>
            </w:r>
          </w:p>
        </w:tc>
      </w:tr>
    </w:tbl>
    <w:p w14:paraId="7B3E708E" w14:textId="77777777" w:rsidR="00833AED" w:rsidRPr="00AF0CC3" w:rsidRDefault="00833AED" w:rsidP="00833AED">
      <w:pPr>
        <w:spacing w:line="240" w:lineRule="auto"/>
        <w:rPr>
          <w:rFonts w:ascii="Times New Roman" w:hAnsi="Times New Roman" w:cs="Times New Roman"/>
          <w:color w:val="000000" w:themeColor="text1"/>
        </w:rPr>
      </w:pPr>
    </w:p>
    <w:p w14:paraId="2570E74E" w14:textId="77777777" w:rsidR="00833AED" w:rsidRPr="00AF0CC3" w:rsidRDefault="00833AED" w:rsidP="00833AED">
      <w:pPr>
        <w:spacing w:line="240" w:lineRule="auto"/>
        <w:rPr>
          <w:rFonts w:ascii="Times New Roman" w:hAnsi="Times New Roman" w:cs="Times New Roman"/>
          <w:color w:val="000000" w:themeColor="text1"/>
        </w:rPr>
      </w:pPr>
      <w:r w:rsidRPr="00AF0CC3">
        <w:rPr>
          <w:rFonts w:ascii="Times New Roman" w:hAnsi="Times New Roman" w:cs="Times New Roman"/>
          <w:color w:val="000000" w:themeColor="text1"/>
        </w:rPr>
        <w:t>Table 2.1 synthesizes the principal theoretical lenses used to explain infrastructure performance outcomes. It demonstrates that institutional theory, principal–agent theory, transaction cost economics, and adaptive governance converge on governance quality as the underlying driver of delivery trajectories. While each theory emphasizes different mechanisms, rules, incentives, contracts, or learning, they collectively indicate that project failure is rarely accidental. This synthesis provides the conceptual grounding for the empirical operationalization of governance quality in Chapter Three.</w:t>
      </w:r>
    </w:p>
    <w:p w14:paraId="77666E94" w14:textId="77777777" w:rsidR="00833AED" w:rsidRPr="00AF0CC3" w:rsidRDefault="00833AED" w:rsidP="00833AED">
      <w:pPr>
        <w:spacing w:line="240" w:lineRule="auto"/>
        <w:rPr>
          <w:rFonts w:ascii="Times New Roman" w:hAnsi="Times New Roman" w:cs="Times New Roman"/>
          <w:color w:val="000000" w:themeColor="text1"/>
        </w:rPr>
      </w:pPr>
    </w:p>
    <w:p w14:paraId="68755CA7" w14:textId="77777777" w:rsidR="00D63C6D" w:rsidRPr="00AF0CC3" w:rsidRDefault="00833AED" w:rsidP="00D63C6D">
      <w:pPr>
        <w:keepNext/>
        <w:spacing w:line="240" w:lineRule="auto"/>
        <w:rPr>
          <w:rFonts w:ascii="Times New Roman" w:hAnsi="Times New Roman" w:cs="Times New Roman"/>
        </w:rPr>
      </w:pPr>
      <w:r w:rsidRPr="00AF0CC3">
        <w:rPr>
          <w:rFonts w:ascii="Times New Roman" w:hAnsi="Times New Roman" w:cs="Times New Roman"/>
          <w:noProof/>
          <w:color w:val="000000" w:themeColor="text1"/>
        </w:rPr>
        <w:drawing>
          <wp:inline distT="0" distB="0" distL="0" distR="0" wp14:anchorId="5F805B09" wp14:editId="5A3150A5">
            <wp:extent cx="5943600" cy="3895725"/>
            <wp:effectExtent l="0" t="0" r="0" b="9525"/>
            <wp:docPr id="1439171152" name="Graph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39171152" name=""/>
                    <pic:cNvPicPr/>
                  </pic:nvPicPr>
                  <pic:blipFill>
                    <a:blip r:embed="rId17">
                      <a:extLst>
                        <a:ext uri="{96DAC541-7B7A-43D3-8B79-37D633B846F1}">
                          <asvg:svgBlip xmlns:asvg="http://schemas.microsoft.com/office/drawing/2016/SVG/main" r:embed="rId18"/>
                        </a:ext>
                      </a:extLst>
                    </a:blip>
                    <a:stretch>
                      <a:fillRect/>
                    </a:stretch>
                  </pic:blipFill>
                  <pic:spPr>
                    <a:xfrm>
                      <a:off x="0" y="0"/>
                      <a:ext cx="5943600" cy="3895725"/>
                    </a:xfrm>
                    <a:prstGeom prst="rect">
                      <a:avLst/>
                    </a:prstGeom>
                  </pic:spPr>
                </pic:pic>
              </a:graphicData>
            </a:graphic>
          </wp:inline>
        </w:drawing>
      </w:r>
    </w:p>
    <w:p w14:paraId="680B9499" w14:textId="3AF019E1" w:rsidR="00AE3506" w:rsidRPr="00AF0CC3" w:rsidRDefault="00D63C6D" w:rsidP="00D63C6D">
      <w:pPr>
        <w:pStyle w:val="Caption"/>
        <w:rPr>
          <w:rFonts w:ascii="Times New Roman" w:hAnsi="Times New Roman" w:cs="Times New Roman"/>
          <w:color w:val="000000" w:themeColor="text1"/>
          <w:sz w:val="24"/>
          <w:szCs w:val="24"/>
        </w:rPr>
      </w:pPr>
      <w:bookmarkStart w:id="85" w:name="_Toc234481924"/>
      <w:r w:rsidRPr="00AF0CC3">
        <w:rPr>
          <w:rFonts w:ascii="Times New Roman" w:hAnsi="Times New Roman" w:cs="Times New Roman"/>
          <w:sz w:val="24"/>
          <w:szCs w:val="24"/>
        </w:rPr>
        <w:t xml:space="preserve">Figure </w:t>
      </w:r>
      <w:r w:rsidR="00052921" w:rsidRPr="00AF0CC3">
        <w:rPr>
          <w:rFonts w:ascii="Times New Roman" w:hAnsi="Times New Roman" w:cs="Times New Roman"/>
          <w:sz w:val="24"/>
          <w:szCs w:val="24"/>
        </w:rPr>
        <w:fldChar w:fldCharType="begin"/>
      </w:r>
      <w:r w:rsidR="00052921" w:rsidRPr="00AF0CC3">
        <w:rPr>
          <w:rFonts w:ascii="Times New Roman" w:hAnsi="Times New Roman" w:cs="Times New Roman"/>
          <w:sz w:val="24"/>
          <w:szCs w:val="24"/>
        </w:rPr>
        <w:instrText xml:space="preserve"> STYLEREF 1 \s </w:instrText>
      </w:r>
      <w:r w:rsidR="00052921" w:rsidRPr="00AF0CC3">
        <w:rPr>
          <w:rFonts w:ascii="Times New Roman" w:hAnsi="Times New Roman" w:cs="Times New Roman"/>
          <w:sz w:val="24"/>
          <w:szCs w:val="24"/>
        </w:rPr>
        <w:fldChar w:fldCharType="separate"/>
      </w:r>
      <w:r w:rsidR="00052921" w:rsidRPr="00AF0CC3">
        <w:rPr>
          <w:rFonts w:ascii="Times New Roman" w:hAnsi="Times New Roman" w:cs="Times New Roman"/>
          <w:noProof/>
          <w:sz w:val="24"/>
          <w:szCs w:val="24"/>
        </w:rPr>
        <w:t>2</w:t>
      </w:r>
      <w:r w:rsidR="00052921" w:rsidRPr="00AF0CC3">
        <w:rPr>
          <w:rFonts w:ascii="Times New Roman" w:hAnsi="Times New Roman" w:cs="Times New Roman"/>
          <w:noProof/>
          <w:sz w:val="24"/>
          <w:szCs w:val="24"/>
        </w:rPr>
        <w:fldChar w:fldCharType="end"/>
      </w:r>
      <w:r w:rsidR="00BF2261" w:rsidRPr="00AF0CC3">
        <w:rPr>
          <w:rFonts w:ascii="Times New Roman" w:hAnsi="Times New Roman" w:cs="Times New Roman"/>
          <w:sz w:val="24"/>
          <w:szCs w:val="24"/>
        </w:rPr>
        <w:t>.</w:t>
      </w:r>
      <w:r w:rsidR="00052921" w:rsidRPr="00AF0CC3">
        <w:rPr>
          <w:rFonts w:ascii="Times New Roman" w:hAnsi="Times New Roman" w:cs="Times New Roman"/>
          <w:sz w:val="24"/>
          <w:szCs w:val="24"/>
        </w:rPr>
        <w:fldChar w:fldCharType="begin"/>
      </w:r>
      <w:r w:rsidR="00052921" w:rsidRPr="00AF0CC3">
        <w:rPr>
          <w:rFonts w:ascii="Times New Roman" w:hAnsi="Times New Roman" w:cs="Times New Roman"/>
          <w:sz w:val="24"/>
          <w:szCs w:val="24"/>
        </w:rPr>
        <w:instrText xml:space="preserve"> SEQ Figure \* ARABIC \s 1 </w:instrText>
      </w:r>
      <w:r w:rsidR="00052921" w:rsidRPr="00AF0CC3">
        <w:rPr>
          <w:rFonts w:ascii="Times New Roman" w:hAnsi="Times New Roman" w:cs="Times New Roman"/>
          <w:sz w:val="24"/>
          <w:szCs w:val="24"/>
        </w:rPr>
        <w:fldChar w:fldCharType="separate"/>
      </w:r>
      <w:r w:rsidR="00052921" w:rsidRPr="00AF0CC3">
        <w:rPr>
          <w:rFonts w:ascii="Times New Roman" w:hAnsi="Times New Roman" w:cs="Times New Roman"/>
          <w:noProof/>
          <w:sz w:val="24"/>
          <w:szCs w:val="24"/>
        </w:rPr>
        <w:t>1</w:t>
      </w:r>
      <w:r w:rsidR="00052921" w:rsidRPr="00AF0CC3">
        <w:rPr>
          <w:rFonts w:ascii="Times New Roman" w:hAnsi="Times New Roman" w:cs="Times New Roman"/>
          <w:noProof/>
          <w:sz w:val="24"/>
          <w:szCs w:val="24"/>
        </w:rPr>
        <w:fldChar w:fldCharType="end"/>
      </w:r>
      <w:r w:rsidRPr="00AF0CC3">
        <w:rPr>
          <w:rFonts w:ascii="Times New Roman" w:hAnsi="Times New Roman" w:cs="Times New Roman"/>
          <w:sz w:val="24"/>
          <w:szCs w:val="24"/>
        </w:rPr>
        <w:t>Governance Quality → Mechanisms → Project Outcomes</w:t>
      </w:r>
      <w:bookmarkEnd w:id="85"/>
    </w:p>
    <w:p w14:paraId="4499DB61" w14:textId="77777777" w:rsidR="00833AED" w:rsidRPr="00AF0CC3" w:rsidRDefault="00833AED" w:rsidP="00833AED">
      <w:pPr>
        <w:spacing w:line="240" w:lineRule="auto"/>
        <w:rPr>
          <w:rFonts w:ascii="Times New Roman" w:hAnsi="Times New Roman" w:cs="Times New Roman"/>
          <w:color w:val="000000" w:themeColor="text1"/>
        </w:rPr>
      </w:pPr>
    </w:p>
    <w:p w14:paraId="5D81DEBF" w14:textId="77777777" w:rsidR="00833AED" w:rsidRPr="00AF0CC3" w:rsidRDefault="00833AED" w:rsidP="00833AED">
      <w:pPr>
        <w:spacing w:line="240" w:lineRule="auto"/>
        <w:rPr>
          <w:rFonts w:ascii="Times New Roman" w:hAnsi="Times New Roman" w:cs="Times New Roman"/>
          <w:color w:val="000000" w:themeColor="text1"/>
        </w:rPr>
      </w:pPr>
      <w:r w:rsidRPr="00AF0CC3">
        <w:rPr>
          <w:rFonts w:ascii="Times New Roman" w:hAnsi="Times New Roman" w:cs="Times New Roman"/>
          <w:color w:val="000000" w:themeColor="text1"/>
        </w:rPr>
        <w:t xml:space="preserve">Figure 2.1 conceptualizes infrastructure underperformance as the cumulative outcome of governance-related weaknesses rather than isolated implementation shocks. Weak institutional arrangements compromise project preparation, leading to inadequate feasibility analysis, unresolved land and environmental risks, and overly optimistic scheduling. These early </w:t>
      </w:r>
      <w:r w:rsidRPr="00AF0CC3">
        <w:rPr>
          <w:rFonts w:ascii="Times New Roman" w:hAnsi="Times New Roman" w:cs="Times New Roman"/>
          <w:color w:val="000000" w:themeColor="text1"/>
        </w:rPr>
        <w:lastRenderedPageBreak/>
        <w:t>vulnerabilities propagate into procurement and implementation, where limited oversight, payment delays, and contractual disputes become more likely. Delays and cost overruns may follow, but in more severe cases, the accumulation of unresolved risks culminates in project stalling. The figure underscores the central argument of this study: poor performance in water infrastructure is institutional in origin rather than accidental.</w:t>
      </w:r>
    </w:p>
    <w:p w14:paraId="5A4B1C4D" w14:textId="77777777" w:rsidR="00833AED" w:rsidRPr="00AF0CC3" w:rsidRDefault="00833AED" w:rsidP="00833AED">
      <w:pPr>
        <w:spacing w:line="240" w:lineRule="auto"/>
        <w:rPr>
          <w:rFonts w:ascii="Times New Roman" w:hAnsi="Times New Roman" w:cs="Times New Roman"/>
          <w:color w:val="000000" w:themeColor="text1"/>
        </w:rPr>
      </w:pPr>
    </w:p>
    <w:p w14:paraId="0E89AACA" w14:textId="77777777" w:rsidR="00833AED" w:rsidRPr="00AF0CC3" w:rsidRDefault="00833AED" w:rsidP="00833AED">
      <w:pPr>
        <w:spacing w:line="240" w:lineRule="auto"/>
        <w:rPr>
          <w:rFonts w:ascii="Times New Roman" w:hAnsi="Times New Roman" w:cs="Times New Roman"/>
          <w:color w:val="000000" w:themeColor="text1"/>
        </w:rPr>
      </w:pPr>
      <w:r w:rsidRPr="00AF0CC3">
        <w:rPr>
          <w:rFonts w:ascii="Times New Roman" w:hAnsi="Times New Roman" w:cs="Times New Roman"/>
          <w:color w:val="000000" w:themeColor="text1"/>
        </w:rPr>
        <w:t>Collectively, these theoretical lenses converge on a common insight: infrastructure outcomes are structured long before implementation failures. Governance structures dictate how risk is identified, distributed, and managed across time. The challenge, then, is not choosing between theories, but operationalizing their insights in a way that allows empirical testing at the project level.</w:t>
      </w:r>
    </w:p>
    <w:p w14:paraId="5269C1AD" w14:textId="77777777" w:rsidR="00833AED" w:rsidRPr="00AF0CC3" w:rsidRDefault="00833AED" w:rsidP="00833AED">
      <w:pPr>
        <w:spacing w:line="240" w:lineRule="auto"/>
        <w:rPr>
          <w:rFonts w:ascii="Times New Roman" w:hAnsi="Times New Roman" w:cs="Times New Roman"/>
          <w:color w:val="000000" w:themeColor="text1"/>
        </w:rPr>
      </w:pPr>
    </w:p>
    <w:p w14:paraId="3E37EFD3" w14:textId="77777777" w:rsidR="00833AED" w:rsidRPr="00AF0CC3" w:rsidRDefault="00833AED" w:rsidP="00833AED">
      <w:pPr>
        <w:spacing w:line="240" w:lineRule="auto"/>
        <w:rPr>
          <w:rFonts w:ascii="Times New Roman" w:hAnsi="Times New Roman" w:cs="Times New Roman"/>
          <w:color w:val="000000" w:themeColor="text1"/>
        </w:rPr>
      </w:pPr>
    </w:p>
    <w:p w14:paraId="02F853AA" w14:textId="77777777" w:rsidR="00833AED" w:rsidRPr="00AF0CC3" w:rsidRDefault="00833AED" w:rsidP="00833AED">
      <w:pPr>
        <w:spacing w:line="240" w:lineRule="auto"/>
        <w:rPr>
          <w:rFonts w:ascii="Times New Roman" w:hAnsi="Times New Roman" w:cs="Times New Roman"/>
          <w:color w:val="000000" w:themeColor="text1"/>
        </w:rPr>
      </w:pPr>
    </w:p>
    <w:p w14:paraId="0BAE445A" w14:textId="063DA19A" w:rsidR="00833AED" w:rsidRPr="00AF0CC3" w:rsidRDefault="00833AED" w:rsidP="008C18C2">
      <w:pPr>
        <w:pStyle w:val="Heading2"/>
        <w:rPr>
          <w:rFonts w:cs="Times New Roman"/>
          <w:color w:val="000000" w:themeColor="text1"/>
          <w:szCs w:val="24"/>
        </w:rPr>
      </w:pPr>
      <w:bookmarkStart w:id="86" w:name="_Toc223623374"/>
      <w:bookmarkStart w:id="87" w:name="_Toc234344764"/>
      <w:bookmarkStart w:id="88" w:name="_Toc234488995"/>
      <w:r w:rsidRPr="00AF0CC3">
        <w:rPr>
          <w:rFonts w:cs="Times New Roman"/>
          <w:color w:val="000000" w:themeColor="text1"/>
          <w:szCs w:val="24"/>
        </w:rPr>
        <w:t>Global Evidence on Infrastructure Performance and Systematic Failure</w:t>
      </w:r>
      <w:bookmarkEnd w:id="86"/>
      <w:bookmarkEnd w:id="87"/>
      <w:bookmarkEnd w:id="88"/>
    </w:p>
    <w:p w14:paraId="3780EEE4" w14:textId="77777777" w:rsidR="00833AED" w:rsidRPr="00AF0CC3" w:rsidRDefault="00833AED" w:rsidP="00833AED">
      <w:pPr>
        <w:spacing w:line="240" w:lineRule="auto"/>
        <w:rPr>
          <w:rFonts w:ascii="Times New Roman" w:hAnsi="Times New Roman" w:cs="Times New Roman"/>
          <w:color w:val="000000" w:themeColor="text1"/>
        </w:rPr>
      </w:pPr>
    </w:p>
    <w:p w14:paraId="68596227" w14:textId="77777777" w:rsidR="00833AED" w:rsidRPr="00AF0CC3" w:rsidRDefault="00833AED" w:rsidP="00833AED">
      <w:pPr>
        <w:spacing w:line="240" w:lineRule="auto"/>
        <w:rPr>
          <w:rFonts w:ascii="Times New Roman" w:hAnsi="Times New Roman" w:cs="Times New Roman"/>
          <w:color w:val="000000" w:themeColor="text1"/>
        </w:rPr>
      </w:pPr>
      <w:r w:rsidRPr="00AF0CC3">
        <w:rPr>
          <w:rFonts w:ascii="Times New Roman" w:hAnsi="Times New Roman" w:cs="Times New Roman"/>
          <w:color w:val="000000" w:themeColor="text1"/>
        </w:rPr>
        <w:t>This section matters for the present study because it establishes that infrastructure underperformance is not episodic or region-specific, but structurally patterned, thereby raising the question of why some projects deteriorate further into full stalling.</w:t>
      </w:r>
    </w:p>
    <w:p w14:paraId="48177212" w14:textId="77777777" w:rsidR="00833AED" w:rsidRPr="00AF0CC3" w:rsidRDefault="00833AED" w:rsidP="00833AED">
      <w:pPr>
        <w:spacing w:line="240" w:lineRule="auto"/>
        <w:rPr>
          <w:rFonts w:ascii="Times New Roman" w:hAnsi="Times New Roman" w:cs="Times New Roman"/>
          <w:color w:val="000000" w:themeColor="text1"/>
        </w:rPr>
      </w:pPr>
      <w:r w:rsidRPr="00AF0CC3">
        <w:rPr>
          <w:rFonts w:ascii="Times New Roman" w:hAnsi="Times New Roman" w:cs="Times New Roman"/>
          <w:color w:val="000000" w:themeColor="text1"/>
        </w:rPr>
        <w:t>A substantial and increasingly methodologically sophisticated body of empirical research documents the persistent underperformance of major infrastructure projects across regions and sectors. What is striking is not merely the occurrence of delays or cost escalation but the regularity with which these outcomes arise despite decades of reform in procurement systems, project management methodologies, and financing frameworks. Infrastructure failure is not episodic; it is patterned.</w:t>
      </w:r>
    </w:p>
    <w:p w14:paraId="467FF8B3" w14:textId="77777777" w:rsidR="00833AED" w:rsidRPr="00AF0CC3" w:rsidRDefault="00833AED" w:rsidP="00833AED">
      <w:pPr>
        <w:spacing w:line="240" w:lineRule="auto"/>
        <w:rPr>
          <w:rFonts w:ascii="Times New Roman" w:hAnsi="Times New Roman" w:cs="Times New Roman"/>
          <w:color w:val="000000" w:themeColor="text1"/>
        </w:rPr>
      </w:pPr>
    </w:p>
    <w:p w14:paraId="3674D4E7" w14:textId="77777777" w:rsidR="00833AED" w:rsidRPr="00AF0CC3" w:rsidRDefault="00833AED" w:rsidP="00833AED">
      <w:pPr>
        <w:spacing w:line="240" w:lineRule="auto"/>
        <w:rPr>
          <w:rFonts w:ascii="Times New Roman" w:hAnsi="Times New Roman" w:cs="Times New Roman"/>
          <w:color w:val="000000" w:themeColor="text1"/>
        </w:rPr>
      </w:pPr>
      <w:r w:rsidRPr="00AF0CC3">
        <w:rPr>
          <w:rFonts w:ascii="Times New Roman" w:hAnsi="Times New Roman" w:cs="Times New Roman"/>
          <w:color w:val="000000" w:themeColor="text1"/>
        </w:rPr>
        <w:t>Flyvbjerg’s work remains foundational in this regard. Drawing on large datasets spanning transport, energy, and water infrastructure, Flyvbjerg (2014) shows that cost overruns and schedule delays are not random deviations from forecasts but systematic features of infrastructure delivery. Average cost overruns remain high across sectors and political systems, even in advanced technical environments. The implication is that technical sophistication alone does not resolve delivery failures. Institutional incentives and governance arrangements matter at least as much as engineering precision.</w:t>
      </w:r>
    </w:p>
    <w:p w14:paraId="3B186EA5" w14:textId="77777777" w:rsidR="00833AED" w:rsidRPr="00AF0CC3" w:rsidRDefault="00833AED" w:rsidP="00833AED">
      <w:pPr>
        <w:spacing w:line="240" w:lineRule="auto"/>
        <w:rPr>
          <w:rFonts w:ascii="Times New Roman" w:hAnsi="Times New Roman" w:cs="Times New Roman"/>
          <w:color w:val="000000" w:themeColor="text1"/>
        </w:rPr>
      </w:pPr>
    </w:p>
    <w:p w14:paraId="335989C8" w14:textId="77777777" w:rsidR="00833AED" w:rsidRPr="00AF0CC3" w:rsidRDefault="00833AED" w:rsidP="00833AED">
      <w:pPr>
        <w:spacing w:line="240" w:lineRule="auto"/>
        <w:rPr>
          <w:rFonts w:ascii="Times New Roman" w:hAnsi="Times New Roman" w:cs="Times New Roman"/>
          <w:color w:val="000000" w:themeColor="text1"/>
        </w:rPr>
      </w:pPr>
      <w:r w:rsidRPr="00AF0CC3">
        <w:rPr>
          <w:rFonts w:ascii="Times New Roman" w:hAnsi="Times New Roman" w:cs="Times New Roman"/>
          <w:color w:val="000000" w:themeColor="text1"/>
        </w:rPr>
        <w:t xml:space="preserve">More recent work extends this analysis beyond project-level inefficiency to macroeconomic consequences. Ansar et al. (2018), examining large-scale infrastructure investment in China, argue that poorly governed infrastructure booms can generate economic fragility rather than sustained growth. Their findings show that when infrastructure expansion proceeds without disciplined appraisal and risk governance, debt accumulates without commensurate productivity </w:t>
      </w:r>
      <w:r w:rsidRPr="00AF0CC3">
        <w:rPr>
          <w:rFonts w:ascii="Times New Roman" w:hAnsi="Times New Roman" w:cs="Times New Roman"/>
          <w:color w:val="000000" w:themeColor="text1"/>
        </w:rPr>
        <w:lastRenderedPageBreak/>
        <w:t>gains. Although China’s institutional configuration differs from Kenya’s, the structural lesson is transferable. Infrastructure failure is not a function of weak states alone; it is a function of weak governance, and its consequences scale with financial exposure.</w:t>
      </w:r>
    </w:p>
    <w:p w14:paraId="0D078F55" w14:textId="77777777" w:rsidR="00833AED" w:rsidRPr="00AF0CC3" w:rsidRDefault="00833AED" w:rsidP="00833AED">
      <w:pPr>
        <w:spacing w:line="240" w:lineRule="auto"/>
        <w:rPr>
          <w:rFonts w:ascii="Times New Roman" w:hAnsi="Times New Roman" w:cs="Times New Roman"/>
          <w:color w:val="000000" w:themeColor="text1"/>
        </w:rPr>
      </w:pPr>
    </w:p>
    <w:p w14:paraId="761262E7" w14:textId="77777777" w:rsidR="00833AED" w:rsidRPr="00AF0CC3" w:rsidRDefault="00833AED" w:rsidP="00833AED">
      <w:pPr>
        <w:spacing w:line="240" w:lineRule="auto"/>
        <w:rPr>
          <w:rFonts w:ascii="Times New Roman" w:hAnsi="Times New Roman" w:cs="Times New Roman"/>
          <w:color w:val="000000" w:themeColor="text1"/>
        </w:rPr>
      </w:pPr>
      <w:r w:rsidRPr="00AF0CC3">
        <w:rPr>
          <w:rFonts w:ascii="Times New Roman" w:hAnsi="Times New Roman" w:cs="Times New Roman"/>
          <w:color w:val="000000" w:themeColor="text1"/>
        </w:rPr>
        <w:t>A critical limitation of much of the global literature, however, is its reliance on average outcomes. Projects are typically evaluated using mean cost overruns or median schedule deviations. Such aggregation obscures distributional extremes, particularly the subset of projects that not only underperform but also fail to progress. Stalled projects frequently disappear from datasets once construction halts. They are treated as outliers rather than as analytically revealing cases.</w:t>
      </w:r>
    </w:p>
    <w:p w14:paraId="3A692C82" w14:textId="77777777" w:rsidR="00833AED" w:rsidRPr="00AF0CC3" w:rsidRDefault="00833AED" w:rsidP="00833AED">
      <w:pPr>
        <w:spacing w:line="240" w:lineRule="auto"/>
        <w:rPr>
          <w:rFonts w:ascii="Times New Roman" w:hAnsi="Times New Roman" w:cs="Times New Roman"/>
          <w:color w:val="000000" w:themeColor="text1"/>
        </w:rPr>
      </w:pPr>
    </w:p>
    <w:p w14:paraId="6FDD42FA" w14:textId="1833789E" w:rsidR="00833AED" w:rsidRPr="00AF0CC3" w:rsidRDefault="00833AED" w:rsidP="00833AED">
      <w:pPr>
        <w:spacing w:line="240" w:lineRule="auto"/>
        <w:rPr>
          <w:rFonts w:ascii="Times New Roman" w:hAnsi="Times New Roman" w:cs="Times New Roman"/>
          <w:color w:val="000000" w:themeColor="text1"/>
        </w:rPr>
      </w:pPr>
      <w:r w:rsidRPr="00AF0CC3">
        <w:rPr>
          <w:rFonts w:ascii="Times New Roman" w:hAnsi="Times New Roman" w:cs="Times New Roman"/>
          <w:color w:val="000000" w:themeColor="text1"/>
        </w:rPr>
        <w:t xml:space="preserve">This omission is not trivial, particularly in sectors where failure carries long-term fiscal and social consequences. From a fiscal and governance perspective, stalled projects constitute a distinct category of failure. They absorb sunk costs, continue to generate debt-service obligations, and often require additional expenditure to restart, redesign, or formally terminate. However, they receive far less systematic attention than delayed or </w:t>
      </w:r>
      <w:r w:rsidR="00973A93" w:rsidRPr="00AF0CC3">
        <w:rPr>
          <w:rFonts w:ascii="Times New Roman" w:hAnsi="Times New Roman" w:cs="Times New Roman"/>
          <w:color w:val="000000" w:themeColor="text1"/>
        </w:rPr>
        <w:t>over budget</w:t>
      </w:r>
      <w:r w:rsidRPr="00AF0CC3">
        <w:rPr>
          <w:rFonts w:ascii="Times New Roman" w:hAnsi="Times New Roman" w:cs="Times New Roman"/>
          <w:color w:val="000000" w:themeColor="text1"/>
        </w:rPr>
        <w:t xml:space="preserve"> projects. This study positions project stalling as a central outcome because global evidence suggests it is the most institutionally revealing form of infrastructure breakdown.</w:t>
      </w:r>
    </w:p>
    <w:p w14:paraId="165F632A" w14:textId="77777777" w:rsidR="00833AED" w:rsidRPr="00AF0CC3" w:rsidRDefault="00833AED" w:rsidP="00833AED">
      <w:pPr>
        <w:spacing w:line="240" w:lineRule="auto"/>
        <w:rPr>
          <w:rFonts w:ascii="Times New Roman" w:hAnsi="Times New Roman" w:cs="Times New Roman"/>
          <w:color w:val="000000" w:themeColor="text1"/>
        </w:rPr>
      </w:pPr>
    </w:p>
    <w:p w14:paraId="646BFCED" w14:textId="77777777" w:rsidR="00833AED" w:rsidRPr="00AF0CC3" w:rsidRDefault="00833AED" w:rsidP="00833AED">
      <w:pPr>
        <w:spacing w:line="240" w:lineRule="auto"/>
        <w:rPr>
          <w:rFonts w:ascii="Times New Roman" w:hAnsi="Times New Roman" w:cs="Times New Roman"/>
          <w:color w:val="000000" w:themeColor="text1"/>
        </w:rPr>
      </w:pPr>
      <w:r w:rsidRPr="00AF0CC3">
        <w:rPr>
          <w:rFonts w:ascii="Times New Roman" w:hAnsi="Times New Roman" w:cs="Times New Roman"/>
          <w:color w:val="000000" w:themeColor="text1"/>
        </w:rPr>
        <w:t>Cantarelli et al. (2012) deepen this argument by demonstrating that political and institutional incentives, rather than technical uncertainty, are central drivers of infrastructure underperformance. Projects shaped by strategic misrepresentation are more likely to experience escalating delays and cost overruns. Yet even in this important contribution, datasets systematically exclude projects that fail to reach completion. This reinforces a broader blind spot in the literature: stalled or abandoned projects remain under-theorized despite being the most severe manifestation of governance failure.</w:t>
      </w:r>
    </w:p>
    <w:p w14:paraId="1DD2F28E" w14:textId="77777777" w:rsidR="00833AED" w:rsidRPr="00AF0CC3" w:rsidRDefault="00833AED" w:rsidP="00833AED">
      <w:pPr>
        <w:spacing w:line="240" w:lineRule="auto"/>
        <w:rPr>
          <w:rFonts w:ascii="Times New Roman" w:hAnsi="Times New Roman" w:cs="Times New Roman"/>
          <w:color w:val="000000" w:themeColor="text1"/>
        </w:rPr>
      </w:pPr>
    </w:p>
    <w:p w14:paraId="40AFFEFD" w14:textId="77777777" w:rsidR="00833AED" w:rsidRPr="00AF0CC3" w:rsidRDefault="00833AED" w:rsidP="00833AED">
      <w:pPr>
        <w:spacing w:line="240" w:lineRule="auto"/>
        <w:rPr>
          <w:rFonts w:ascii="Times New Roman" w:hAnsi="Times New Roman" w:cs="Times New Roman"/>
          <w:color w:val="000000" w:themeColor="text1"/>
        </w:rPr>
      </w:pPr>
      <w:r w:rsidRPr="00AF0CC3">
        <w:rPr>
          <w:rFonts w:ascii="Times New Roman" w:hAnsi="Times New Roman" w:cs="Times New Roman"/>
          <w:color w:val="000000" w:themeColor="text1"/>
        </w:rPr>
        <w:t>Global evidence shows the persistence of similar failure patterns across institutional contexts. This suggests that underperformance is not episodic but structural, rooted in recurring governance dynamics rather than isolated shocks. The absence of a systematic analysis of stalled projects, therefore, represents more than a technical oversight and limits our understanding of the most consequential form of infrastructure breakdown.</w:t>
      </w:r>
    </w:p>
    <w:p w14:paraId="3AD5FBBD" w14:textId="77777777" w:rsidR="00833AED" w:rsidRPr="00AF0CC3" w:rsidRDefault="00833AED" w:rsidP="00833AED">
      <w:pPr>
        <w:spacing w:line="240" w:lineRule="auto"/>
        <w:rPr>
          <w:rFonts w:ascii="Times New Roman" w:hAnsi="Times New Roman" w:cs="Times New Roman"/>
          <w:color w:val="000000" w:themeColor="text1"/>
        </w:rPr>
      </w:pPr>
    </w:p>
    <w:p w14:paraId="3B9BE116" w14:textId="30BAB100" w:rsidR="00052921" w:rsidRPr="00AF0CC3" w:rsidRDefault="00052921" w:rsidP="00052921">
      <w:pPr>
        <w:pStyle w:val="Caption"/>
        <w:keepNext/>
        <w:rPr>
          <w:rFonts w:ascii="Times New Roman" w:hAnsi="Times New Roman" w:cs="Times New Roman"/>
          <w:sz w:val="24"/>
          <w:szCs w:val="24"/>
        </w:rPr>
      </w:pPr>
      <w:bookmarkStart w:id="89" w:name="_Toc234437357"/>
      <w:r w:rsidRPr="00AF0CC3">
        <w:rPr>
          <w:rFonts w:ascii="Times New Roman" w:hAnsi="Times New Roman" w:cs="Times New Roman"/>
          <w:sz w:val="24"/>
          <w:szCs w:val="24"/>
        </w:rPr>
        <w:t xml:space="preserve">Table </w:t>
      </w:r>
      <w:r w:rsidR="007F4206" w:rsidRPr="00AF0CC3">
        <w:rPr>
          <w:rFonts w:ascii="Times New Roman" w:hAnsi="Times New Roman" w:cs="Times New Roman"/>
          <w:sz w:val="24"/>
          <w:szCs w:val="24"/>
        </w:rPr>
        <w:fldChar w:fldCharType="begin"/>
      </w:r>
      <w:r w:rsidR="007F4206" w:rsidRPr="00AF0CC3">
        <w:rPr>
          <w:rFonts w:ascii="Times New Roman" w:hAnsi="Times New Roman" w:cs="Times New Roman"/>
          <w:sz w:val="24"/>
          <w:szCs w:val="24"/>
        </w:rPr>
        <w:instrText xml:space="preserve"> STYLEREF 1 \s </w:instrText>
      </w:r>
      <w:r w:rsidR="007F4206" w:rsidRPr="00AF0CC3">
        <w:rPr>
          <w:rFonts w:ascii="Times New Roman" w:hAnsi="Times New Roman" w:cs="Times New Roman"/>
          <w:sz w:val="24"/>
          <w:szCs w:val="24"/>
        </w:rPr>
        <w:fldChar w:fldCharType="separate"/>
      </w:r>
      <w:r w:rsidR="007F4206" w:rsidRPr="00AF0CC3">
        <w:rPr>
          <w:rFonts w:ascii="Times New Roman" w:hAnsi="Times New Roman" w:cs="Times New Roman"/>
          <w:noProof/>
          <w:sz w:val="24"/>
          <w:szCs w:val="24"/>
        </w:rPr>
        <w:t>2</w:t>
      </w:r>
      <w:r w:rsidR="007F4206" w:rsidRPr="00AF0CC3">
        <w:rPr>
          <w:rFonts w:ascii="Times New Roman" w:hAnsi="Times New Roman" w:cs="Times New Roman"/>
          <w:noProof/>
          <w:sz w:val="24"/>
          <w:szCs w:val="24"/>
        </w:rPr>
        <w:fldChar w:fldCharType="end"/>
      </w:r>
      <w:r w:rsidR="007F4206" w:rsidRPr="00AF0CC3">
        <w:rPr>
          <w:rFonts w:ascii="Times New Roman" w:hAnsi="Times New Roman" w:cs="Times New Roman"/>
          <w:sz w:val="24"/>
          <w:szCs w:val="24"/>
        </w:rPr>
        <w:noBreakHyphen/>
      </w:r>
      <w:r w:rsidR="007F4206" w:rsidRPr="00AF0CC3">
        <w:rPr>
          <w:rFonts w:ascii="Times New Roman" w:hAnsi="Times New Roman" w:cs="Times New Roman"/>
          <w:sz w:val="24"/>
          <w:szCs w:val="24"/>
        </w:rPr>
        <w:fldChar w:fldCharType="begin"/>
      </w:r>
      <w:r w:rsidR="007F4206" w:rsidRPr="00AF0CC3">
        <w:rPr>
          <w:rFonts w:ascii="Times New Roman" w:hAnsi="Times New Roman" w:cs="Times New Roman"/>
          <w:sz w:val="24"/>
          <w:szCs w:val="24"/>
        </w:rPr>
        <w:instrText xml:space="preserve"> SEQ Table \* ARABIC \s 1 </w:instrText>
      </w:r>
      <w:r w:rsidR="007F4206" w:rsidRPr="00AF0CC3">
        <w:rPr>
          <w:rFonts w:ascii="Times New Roman" w:hAnsi="Times New Roman" w:cs="Times New Roman"/>
          <w:sz w:val="24"/>
          <w:szCs w:val="24"/>
        </w:rPr>
        <w:fldChar w:fldCharType="separate"/>
      </w:r>
      <w:r w:rsidR="007F4206" w:rsidRPr="00AF0CC3">
        <w:rPr>
          <w:rFonts w:ascii="Times New Roman" w:hAnsi="Times New Roman" w:cs="Times New Roman"/>
          <w:noProof/>
          <w:sz w:val="24"/>
          <w:szCs w:val="24"/>
        </w:rPr>
        <w:t>2</w:t>
      </w:r>
      <w:r w:rsidR="007F4206" w:rsidRPr="00AF0CC3">
        <w:rPr>
          <w:rFonts w:ascii="Times New Roman" w:hAnsi="Times New Roman" w:cs="Times New Roman"/>
          <w:noProof/>
          <w:sz w:val="24"/>
          <w:szCs w:val="24"/>
        </w:rPr>
        <w:fldChar w:fldCharType="end"/>
      </w:r>
      <w:r w:rsidRPr="00AF0CC3">
        <w:rPr>
          <w:rFonts w:ascii="Times New Roman" w:hAnsi="Times New Roman" w:cs="Times New Roman"/>
          <w:sz w:val="24"/>
          <w:szCs w:val="24"/>
        </w:rPr>
        <w:t xml:space="preserve"> Distinguishing Delay from Project Stalling</w:t>
      </w:r>
      <w:bookmarkEnd w:id="89"/>
    </w:p>
    <w:tbl>
      <w:tblPr>
        <w:tblW w:w="0" w:type="auto"/>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2694"/>
        <w:gridCol w:w="3092"/>
        <w:gridCol w:w="3564"/>
      </w:tblGrid>
      <w:tr w:rsidR="00833AED" w:rsidRPr="00AF0CC3" w14:paraId="02791C41" w14:textId="77777777" w:rsidTr="00E73C98">
        <w:trPr>
          <w:tblHeader/>
          <w:tblCellSpacing w:w="15" w:type="dxa"/>
        </w:trPr>
        <w:tc>
          <w:tcPr>
            <w:tcW w:w="0" w:type="auto"/>
            <w:vAlign w:val="center"/>
            <w:hideMark/>
          </w:tcPr>
          <w:p w14:paraId="05E59B13" w14:textId="77777777" w:rsidR="00833AED" w:rsidRPr="00AF0CC3" w:rsidRDefault="00833AED" w:rsidP="00833AED">
            <w:pPr>
              <w:spacing w:after="0" w:line="240" w:lineRule="auto"/>
              <w:jc w:val="center"/>
              <w:rPr>
                <w:rFonts w:ascii="Times New Roman" w:eastAsia="Times New Roman" w:hAnsi="Times New Roman" w:cs="Times New Roman"/>
                <w:b/>
                <w:bCs/>
                <w:color w:val="000000" w:themeColor="text1"/>
                <w:kern w:val="0"/>
                <w14:ligatures w14:val="none"/>
              </w:rPr>
            </w:pPr>
            <w:r w:rsidRPr="00AF0CC3">
              <w:rPr>
                <w:rFonts w:ascii="Times New Roman" w:eastAsia="Times New Roman" w:hAnsi="Times New Roman" w:cs="Times New Roman"/>
                <w:b/>
                <w:bCs/>
                <w:color w:val="000000" w:themeColor="text1"/>
                <w:kern w:val="0"/>
                <w14:ligatures w14:val="none"/>
              </w:rPr>
              <w:t>Dimension</w:t>
            </w:r>
          </w:p>
        </w:tc>
        <w:tc>
          <w:tcPr>
            <w:tcW w:w="0" w:type="auto"/>
            <w:vAlign w:val="center"/>
            <w:hideMark/>
          </w:tcPr>
          <w:p w14:paraId="547AD66F" w14:textId="77777777" w:rsidR="00833AED" w:rsidRPr="00AF0CC3" w:rsidRDefault="00833AED" w:rsidP="00833AED">
            <w:pPr>
              <w:spacing w:after="0" w:line="240" w:lineRule="auto"/>
              <w:jc w:val="center"/>
              <w:rPr>
                <w:rFonts w:ascii="Times New Roman" w:eastAsia="Times New Roman" w:hAnsi="Times New Roman" w:cs="Times New Roman"/>
                <w:b/>
                <w:bCs/>
                <w:color w:val="000000" w:themeColor="text1"/>
                <w:kern w:val="0"/>
                <w14:ligatures w14:val="none"/>
              </w:rPr>
            </w:pPr>
            <w:r w:rsidRPr="00AF0CC3">
              <w:rPr>
                <w:rFonts w:ascii="Times New Roman" w:eastAsia="Times New Roman" w:hAnsi="Times New Roman" w:cs="Times New Roman"/>
                <w:b/>
                <w:bCs/>
                <w:color w:val="000000" w:themeColor="text1"/>
                <w:kern w:val="0"/>
                <w14:ligatures w14:val="none"/>
              </w:rPr>
              <w:t>Delay</w:t>
            </w:r>
          </w:p>
        </w:tc>
        <w:tc>
          <w:tcPr>
            <w:tcW w:w="0" w:type="auto"/>
            <w:vAlign w:val="center"/>
            <w:hideMark/>
          </w:tcPr>
          <w:p w14:paraId="07813273" w14:textId="77777777" w:rsidR="00833AED" w:rsidRPr="00AF0CC3" w:rsidRDefault="00833AED" w:rsidP="00833AED">
            <w:pPr>
              <w:spacing w:after="0" w:line="240" w:lineRule="auto"/>
              <w:jc w:val="center"/>
              <w:rPr>
                <w:rFonts w:ascii="Times New Roman" w:eastAsia="Times New Roman" w:hAnsi="Times New Roman" w:cs="Times New Roman"/>
                <w:b/>
                <w:bCs/>
                <w:color w:val="000000" w:themeColor="text1"/>
                <w:kern w:val="0"/>
                <w14:ligatures w14:val="none"/>
              </w:rPr>
            </w:pPr>
            <w:r w:rsidRPr="00AF0CC3">
              <w:rPr>
                <w:rFonts w:ascii="Times New Roman" w:eastAsia="Times New Roman" w:hAnsi="Times New Roman" w:cs="Times New Roman"/>
                <w:b/>
                <w:bCs/>
                <w:color w:val="000000" w:themeColor="text1"/>
                <w:kern w:val="0"/>
                <w14:ligatures w14:val="none"/>
              </w:rPr>
              <w:t>Project Stalling</w:t>
            </w:r>
          </w:p>
        </w:tc>
      </w:tr>
      <w:tr w:rsidR="00833AED" w:rsidRPr="00AF0CC3" w14:paraId="4B8F32D2" w14:textId="77777777" w:rsidTr="00E73C98">
        <w:trPr>
          <w:tblCellSpacing w:w="15" w:type="dxa"/>
        </w:trPr>
        <w:tc>
          <w:tcPr>
            <w:tcW w:w="0" w:type="auto"/>
            <w:vAlign w:val="center"/>
            <w:hideMark/>
          </w:tcPr>
          <w:p w14:paraId="7B3D9F1C" w14:textId="77777777" w:rsidR="00833AED" w:rsidRPr="00AF0CC3" w:rsidRDefault="00833AED" w:rsidP="00833AED">
            <w:pPr>
              <w:spacing w:after="0" w:line="240" w:lineRule="auto"/>
              <w:rPr>
                <w:rFonts w:ascii="Times New Roman" w:eastAsia="Times New Roman" w:hAnsi="Times New Roman" w:cs="Times New Roman"/>
                <w:color w:val="000000" w:themeColor="text1"/>
                <w:kern w:val="0"/>
                <w14:ligatures w14:val="none"/>
              </w:rPr>
            </w:pPr>
            <w:r w:rsidRPr="00AF0CC3">
              <w:rPr>
                <w:rFonts w:ascii="Times New Roman" w:eastAsia="Times New Roman" w:hAnsi="Times New Roman" w:cs="Times New Roman"/>
                <w:color w:val="000000" w:themeColor="text1"/>
                <w:kern w:val="0"/>
                <w14:ligatures w14:val="none"/>
              </w:rPr>
              <w:t>Duration</w:t>
            </w:r>
          </w:p>
        </w:tc>
        <w:tc>
          <w:tcPr>
            <w:tcW w:w="0" w:type="auto"/>
            <w:vAlign w:val="center"/>
            <w:hideMark/>
          </w:tcPr>
          <w:p w14:paraId="060DE98B" w14:textId="77777777" w:rsidR="00833AED" w:rsidRPr="00AF0CC3" w:rsidRDefault="00833AED" w:rsidP="00833AED">
            <w:pPr>
              <w:spacing w:after="0" w:line="240" w:lineRule="auto"/>
              <w:rPr>
                <w:rFonts w:ascii="Times New Roman" w:eastAsia="Times New Roman" w:hAnsi="Times New Roman" w:cs="Times New Roman"/>
                <w:color w:val="000000" w:themeColor="text1"/>
                <w:kern w:val="0"/>
                <w14:ligatures w14:val="none"/>
              </w:rPr>
            </w:pPr>
            <w:r w:rsidRPr="00AF0CC3">
              <w:rPr>
                <w:rFonts w:ascii="Times New Roman" w:eastAsia="Times New Roman" w:hAnsi="Times New Roman" w:cs="Times New Roman"/>
                <w:color w:val="000000" w:themeColor="text1"/>
                <w:kern w:val="0"/>
                <w14:ligatures w14:val="none"/>
              </w:rPr>
              <w:t>Temporary schedule extension</w:t>
            </w:r>
          </w:p>
        </w:tc>
        <w:tc>
          <w:tcPr>
            <w:tcW w:w="0" w:type="auto"/>
            <w:vAlign w:val="center"/>
            <w:hideMark/>
          </w:tcPr>
          <w:p w14:paraId="5EC520FB" w14:textId="77777777" w:rsidR="00833AED" w:rsidRPr="00AF0CC3" w:rsidRDefault="00833AED" w:rsidP="00833AED">
            <w:pPr>
              <w:spacing w:after="0" w:line="240" w:lineRule="auto"/>
              <w:rPr>
                <w:rFonts w:ascii="Times New Roman" w:eastAsia="Times New Roman" w:hAnsi="Times New Roman" w:cs="Times New Roman"/>
                <w:color w:val="000000" w:themeColor="text1"/>
                <w:kern w:val="0"/>
                <w14:ligatures w14:val="none"/>
              </w:rPr>
            </w:pPr>
            <w:r w:rsidRPr="00AF0CC3">
              <w:rPr>
                <w:rFonts w:ascii="Times New Roman" w:eastAsia="Times New Roman" w:hAnsi="Times New Roman" w:cs="Times New Roman"/>
                <w:color w:val="000000" w:themeColor="text1"/>
                <w:kern w:val="0"/>
                <w14:ligatures w14:val="none"/>
              </w:rPr>
              <w:t>Prolonged cessation of construction</w:t>
            </w:r>
          </w:p>
        </w:tc>
      </w:tr>
      <w:tr w:rsidR="00833AED" w:rsidRPr="00AF0CC3" w14:paraId="7141A27E" w14:textId="77777777" w:rsidTr="00E73C98">
        <w:trPr>
          <w:tblCellSpacing w:w="15" w:type="dxa"/>
        </w:trPr>
        <w:tc>
          <w:tcPr>
            <w:tcW w:w="0" w:type="auto"/>
            <w:vAlign w:val="center"/>
            <w:hideMark/>
          </w:tcPr>
          <w:p w14:paraId="4F9D82DF" w14:textId="77777777" w:rsidR="00833AED" w:rsidRPr="00AF0CC3" w:rsidRDefault="00833AED" w:rsidP="00833AED">
            <w:pPr>
              <w:spacing w:after="0" w:line="240" w:lineRule="auto"/>
              <w:rPr>
                <w:rFonts w:ascii="Times New Roman" w:eastAsia="Times New Roman" w:hAnsi="Times New Roman" w:cs="Times New Roman"/>
                <w:color w:val="000000" w:themeColor="text1"/>
                <w:kern w:val="0"/>
                <w14:ligatures w14:val="none"/>
              </w:rPr>
            </w:pPr>
            <w:r w:rsidRPr="00AF0CC3">
              <w:rPr>
                <w:rFonts w:ascii="Times New Roman" w:eastAsia="Times New Roman" w:hAnsi="Times New Roman" w:cs="Times New Roman"/>
                <w:color w:val="000000" w:themeColor="text1"/>
                <w:kern w:val="0"/>
                <w14:ligatures w14:val="none"/>
              </w:rPr>
              <w:t>Fiscal Impact</w:t>
            </w:r>
          </w:p>
        </w:tc>
        <w:tc>
          <w:tcPr>
            <w:tcW w:w="0" w:type="auto"/>
            <w:vAlign w:val="center"/>
            <w:hideMark/>
          </w:tcPr>
          <w:p w14:paraId="68B28405" w14:textId="77777777" w:rsidR="00833AED" w:rsidRPr="00AF0CC3" w:rsidRDefault="00833AED" w:rsidP="00833AED">
            <w:pPr>
              <w:spacing w:after="0" w:line="240" w:lineRule="auto"/>
              <w:rPr>
                <w:rFonts w:ascii="Times New Roman" w:eastAsia="Times New Roman" w:hAnsi="Times New Roman" w:cs="Times New Roman"/>
                <w:color w:val="000000" w:themeColor="text1"/>
                <w:kern w:val="0"/>
                <w14:ligatures w14:val="none"/>
              </w:rPr>
            </w:pPr>
            <w:r w:rsidRPr="00AF0CC3">
              <w:rPr>
                <w:rFonts w:ascii="Times New Roman" w:eastAsia="Times New Roman" w:hAnsi="Times New Roman" w:cs="Times New Roman"/>
                <w:color w:val="000000" w:themeColor="text1"/>
                <w:kern w:val="0"/>
                <w14:ligatures w14:val="none"/>
              </w:rPr>
              <w:t>Increased cost exposure</w:t>
            </w:r>
          </w:p>
        </w:tc>
        <w:tc>
          <w:tcPr>
            <w:tcW w:w="0" w:type="auto"/>
            <w:vAlign w:val="center"/>
            <w:hideMark/>
          </w:tcPr>
          <w:p w14:paraId="237F99F2" w14:textId="77777777" w:rsidR="00833AED" w:rsidRPr="00AF0CC3" w:rsidRDefault="00833AED" w:rsidP="00833AED">
            <w:pPr>
              <w:spacing w:after="0" w:line="240" w:lineRule="auto"/>
              <w:rPr>
                <w:rFonts w:ascii="Times New Roman" w:eastAsia="Times New Roman" w:hAnsi="Times New Roman" w:cs="Times New Roman"/>
                <w:color w:val="000000" w:themeColor="text1"/>
                <w:kern w:val="0"/>
                <w14:ligatures w14:val="none"/>
              </w:rPr>
            </w:pPr>
            <w:r w:rsidRPr="00AF0CC3">
              <w:rPr>
                <w:rFonts w:ascii="Times New Roman" w:eastAsia="Times New Roman" w:hAnsi="Times New Roman" w:cs="Times New Roman"/>
                <w:color w:val="000000" w:themeColor="text1"/>
                <w:kern w:val="0"/>
                <w14:ligatures w14:val="none"/>
              </w:rPr>
              <w:t>Sunk cost with no service delivery</w:t>
            </w:r>
          </w:p>
        </w:tc>
      </w:tr>
      <w:tr w:rsidR="00833AED" w:rsidRPr="00AF0CC3" w14:paraId="2675A008" w14:textId="77777777" w:rsidTr="00E73C98">
        <w:trPr>
          <w:tblCellSpacing w:w="15" w:type="dxa"/>
        </w:trPr>
        <w:tc>
          <w:tcPr>
            <w:tcW w:w="0" w:type="auto"/>
            <w:vAlign w:val="center"/>
            <w:hideMark/>
          </w:tcPr>
          <w:p w14:paraId="7E03A3D8" w14:textId="77777777" w:rsidR="00833AED" w:rsidRPr="00AF0CC3" w:rsidRDefault="00833AED" w:rsidP="00833AED">
            <w:pPr>
              <w:spacing w:after="0" w:line="240" w:lineRule="auto"/>
              <w:rPr>
                <w:rFonts w:ascii="Times New Roman" w:eastAsia="Times New Roman" w:hAnsi="Times New Roman" w:cs="Times New Roman"/>
                <w:color w:val="000000" w:themeColor="text1"/>
                <w:kern w:val="0"/>
                <w14:ligatures w14:val="none"/>
              </w:rPr>
            </w:pPr>
            <w:r w:rsidRPr="00AF0CC3">
              <w:rPr>
                <w:rFonts w:ascii="Times New Roman" w:eastAsia="Times New Roman" w:hAnsi="Times New Roman" w:cs="Times New Roman"/>
                <w:color w:val="000000" w:themeColor="text1"/>
                <w:kern w:val="0"/>
                <w14:ligatures w14:val="none"/>
              </w:rPr>
              <w:t>Institutional Implication</w:t>
            </w:r>
          </w:p>
        </w:tc>
        <w:tc>
          <w:tcPr>
            <w:tcW w:w="0" w:type="auto"/>
            <w:vAlign w:val="center"/>
            <w:hideMark/>
          </w:tcPr>
          <w:p w14:paraId="6CB1A135" w14:textId="77777777" w:rsidR="00833AED" w:rsidRPr="00AF0CC3" w:rsidRDefault="00833AED" w:rsidP="00833AED">
            <w:pPr>
              <w:spacing w:after="0" w:line="240" w:lineRule="auto"/>
              <w:rPr>
                <w:rFonts w:ascii="Times New Roman" w:eastAsia="Times New Roman" w:hAnsi="Times New Roman" w:cs="Times New Roman"/>
                <w:color w:val="000000" w:themeColor="text1"/>
                <w:kern w:val="0"/>
                <w14:ligatures w14:val="none"/>
              </w:rPr>
            </w:pPr>
            <w:r w:rsidRPr="00AF0CC3">
              <w:rPr>
                <w:rFonts w:ascii="Times New Roman" w:eastAsia="Times New Roman" w:hAnsi="Times New Roman" w:cs="Times New Roman"/>
                <w:color w:val="000000" w:themeColor="text1"/>
                <w:kern w:val="0"/>
                <w14:ligatures w14:val="none"/>
              </w:rPr>
              <w:t>Recoverable implementation weakness</w:t>
            </w:r>
          </w:p>
        </w:tc>
        <w:tc>
          <w:tcPr>
            <w:tcW w:w="0" w:type="auto"/>
            <w:vAlign w:val="center"/>
            <w:hideMark/>
          </w:tcPr>
          <w:p w14:paraId="75826550" w14:textId="77777777" w:rsidR="00833AED" w:rsidRPr="00AF0CC3" w:rsidRDefault="00833AED" w:rsidP="00833AED">
            <w:pPr>
              <w:spacing w:after="0" w:line="240" w:lineRule="auto"/>
              <w:rPr>
                <w:rFonts w:ascii="Times New Roman" w:eastAsia="Times New Roman" w:hAnsi="Times New Roman" w:cs="Times New Roman"/>
                <w:color w:val="000000" w:themeColor="text1"/>
                <w:kern w:val="0"/>
                <w14:ligatures w14:val="none"/>
              </w:rPr>
            </w:pPr>
            <w:r w:rsidRPr="00AF0CC3">
              <w:rPr>
                <w:rFonts w:ascii="Times New Roman" w:eastAsia="Times New Roman" w:hAnsi="Times New Roman" w:cs="Times New Roman"/>
                <w:color w:val="000000" w:themeColor="text1"/>
                <w:kern w:val="0"/>
                <w14:ligatures w14:val="none"/>
              </w:rPr>
              <w:t>Breakdown in coordination and governance</w:t>
            </w:r>
          </w:p>
        </w:tc>
      </w:tr>
      <w:tr w:rsidR="00833AED" w:rsidRPr="00AF0CC3" w14:paraId="41F1684F" w14:textId="77777777" w:rsidTr="00E73C98">
        <w:trPr>
          <w:tblCellSpacing w:w="15" w:type="dxa"/>
        </w:trPr>
        <w:tc>
          <w:tcPr>
            <w:tcW w:w="0" w:type="auto"/>
            <w:vAlign w:val="center"/>
            <w:hideMark/>
          </w:tcPr>
          <w:p w14:paraId="09891107" w14:textId="77777777" w:rsidR="00833AED" w:rsidRPr="00AF0CC3" w:rsidRDefault="00833AED" w:rsidP="00833AED">
            <w:pPr>
              <w:spacing w:after="0" w:line="240" w:lineRule="auto"/>
              <w:rPr>
                <w:rFonts w:ascii="Times New Roman" w:eastAsia="Times New Roman" w:hAnsi="Times New Roman" w:cs="Times New Roman"/>
                <w:color w:val="000000" w:themeColor="text1"/>
                <w:kern w:val="0"/>
                <w14:ligatures w14:val="none"/>
              </w:rPr>
            </w:pPr>
            <w:r w:rsidRPr="00AF0CC3">
              <w:rPr>
                <w:rFonts w:ascii="Times New Roman" w:eastAsia="Times New Roman" w:hAnsi="Times New Roman" w:cs="Times New Roman"/>
                <w:color w:val="000000" w:themeColor="text1"/>
                <w:kern w:val="0"/>
                <w14:ligatures w14:val="none"/>
              </w:rPr>
              <w:lastRenderedPageBreak/>
              <w:t>Political Character</w:t>
            </w:r>
          </w:p>
        </w:tc>
        <w:tc>
          <w:tcPr>
            <w:tcW w:w="0" w:type="auto"/>
            <w:vAlign w:val="center"/>
            <w:hideMark/>
          </w:tcPr>
          <w:p w14:paraId="6A5EDCE8" w14:textId="77777777" w:rsidR="00833AED" w:rsidRPr="00AF0CC3" w:rsidRDefault="00833AED" w:rsidP="00833AED">
            <w:pPr>
              <w:spacing w:after="0" w:line="240" w:lineRule="auto"/>
              <w:rPr>
                <w:rFonts w:ascii="Times New Roman" w:eastAsia="Times New Roman" w:hAnsi="Times New Roman" w:cs="Times New Roman"/>
                <w:color w:val="000000" w:themeColor="text1"/>
                <w:kern w:val="0"/>
                <w14:ligatures w14:val="none"/>
              </w:rPr>
            </w:pPr>
            <w:r w:rsidRPr="00AF0CC3">
              <w:rPr>
                <w:rFonts w:ascii="Times New Roman" w:eastAsia="Times New Roman" w:hAnsi="Times New Roman" w:cs="Times New Roman"/>
                <w:color w:val="000000" w:themeColor="text1"/>
                <w:kern w:val="0"/>
                <w14:ligatures w14:val="none"/>
              </w:rPr>
              <w:t>Technical or managerial slippage</w:t>
            </w:r>
          </w:p>
        </w:tc>
        <w:tc>
          <w:tcPr>
            <w:tcW w:w="0" w:type="auto"/>
            <w:vAlign w:val="center"/>
            <w:hideMark/>
          </w:tcPr>
          <w:p w14:paraId="544DA64B" w14:textId="77777777" w:rsidR="00833AED" w:rsidRPr="00AF0CC3" w:rsidRDefault="00833AED" w:rsidP="00833AED">
            <w:pPr>
              <w:spacing w:after="0" w:line="240" w:lineRule="auto"/>
              <w:rPr>
                <w:rFonts w:ascii="Times New Roman" w:eastAsia="Times New Roman" w:hAnsi="Times New Roman" w:cs="Times New Roman"/>
                <w:color w:val="000000" w:themeColor="text1"/>
                <w:kern w:val="0"/>
                <w14:ligatures w14:val="none"/>
              </w:rPr>
            </w:pPr>
            <w:r w:rsidRPr="00AF0CC3">
              <w:rPr>
                <w:rFonts w:ascii="Times New Roman" w:eastAsia="Times New Roman" w:hAnsi="Times New Roman" w:cs="Times New Roman"/>
                <w:color w:val="000000" w:themeColor="text1"/>
                <w:kern w:val="0"/>
                <w14:ligatures w14:val="none"/>
              </w:rPr>
              <w:t>Institutional inertia or political disengagement</w:t>
            </w:r>
          </w:p>
        </w:tc>
      </w:tr>
      <w:tr w:rsidR="00833AED" w:rsidRPr="00AF0CC3" w14:paraId="70D7DC86" w14:textId="77777777" w:rsidTr="00E73C98">
        <w:trPr>
          <w:tblCellSpacing w:w="15" w:type="dxa"/>
        </w:trPr>
        <w:tc>
          <w:tcPr>
            <w:tcW w:w="0" w:type="auto"/>
            <w:vAlign w:val="center"/>
            <w:hideMark/>
          </w:tcPr>
          <w:p w14:paraId="653B691A" w14:textId="77777777" w:rsidR="00833AED" w:rsidRPr="00AF0CC3" w:rsidRDefault="00833AED" w:rsidP="00833AED">
            <w:pPr>
              <w:spacing w:after="0" w:line="240" w:lineRule="auto"/>
              <w:rPr>
                <w:rFonts w:ascii="Times New Roman" w:eastAsia="Times New Roman" w:hAnsi="Times New Roman" w:cs="Times New Roman"/>
                <w:color w:val="000000" w:themeColor="text1"/>
                <w:kern w:val="0"/>
                <w14:ligatures w14:val="none"/>
              </w:rPr>
            </w:pPr>
            <w:r w:rsidRPr="00AF0CC3">
              <w:rPr>
                <w:rFonts w:ascii="Times New Roman" w:eastAsia="Times New Roman" w:hAnsi="Times New Roman" w:cs="Times New Roman"/>
                <w:color w:val="000000" w:themeColor="text1"/>
                <w:kern w:val="0"/>
                <w14:ligatures w14:val="none"/>
              </w:rPr>
              <w:t>Analytical Treatment in Literature</w:t>
            </w:r>
          </w:p>
        </w:tc>
        <w:tc>
          <w:tcPr>
            <w:tcW w:w="0" w:type="auto"/>
            <w:vAlign w:val="center"/>
            <w:hideMark/>
          </w:tcPr>
          <w:p w14:paraId="333BF272" w14:textId="77777777" w:rsidR="00833AED" w:rsidRPr="00AF0CC3" w:rsidRDefault="00833AED" w:rsidP="00833AED">
            <w:pPr>
              <w:spacing w:after="0" w:line="240" w:lineRule="auto"/>
              <w:rPr>
                <w:rFonts w:ascii="Times New Roman" w:eastAsia="Times New Roman" w:hAnsi="Times New Roman" w:cs="Times New Roman"/>
                <w:color w:val="000000" w:themeColor="text1"/>
                <w:kern w:val="0"/>
                <w14:ligatures w14:val="none"/>
              </w:rPr>
            </w:pPr>
            <w:r w:rsidRPr="00AF0CC3">
              <w:rPr>
                <w:rFonts w:ascii="Times New Roman" w:eastAsia="Times New Roman" w:hAnsi="Times New Roman" w:cs="Times New Roman"/>
                <w:color w:val="000000" w:themeColor="text1"/>
                <w:kern w:val="0"/>
                <w14:ligatures w14:val="none"/>
              </w:rPr>
              <w:t>Widely modeled</w:t>
            </w:r>
          </w:p>
        </w:tc>
        <w:tc>
          <w:tcPr>
            <w:tcW w:w="0" w:type="auto"/>
            <w:vAlign w:val="center"/>
            <w:hideMark/>
          </w:tcPr>
          <w:p w14:paraId="1DD0DDC0" w14:textId="77777777" w:rsidR="00833AED" w:rsidRPr="00AF0CC3" w:rsidRDefault="00833AED" w:rsidP="00833AED">
            <w:pPr>
              <w:spacing w:after="0" w:line="240" w:lineRule="auto"/>
              <w:rPr>
                <w:rFonts w:ascii="Times New Roman" w:eastAsia="Times New Roman" w:hAnsi="Times New Roman" w:cs="Times New Roman"/>
                <w:color w:val="000000" w:themeColor="text1"/>
                <w:kern w:val="0"/>
                <w14:ligatures w14:val="none"/>
              </w:rPr>
            </w:pPr>
            <w:r w:rsidRPr="00AF0CC3">
              <w:rPr>
                <w:rFonts w:ascii="Times New Roman" w:eastAsia="Times New Roman" w:hAnsi="Times New Roman" w:cs="Times New Roman"/>
                <w:color w:val="000000" w:themeColor="text1"/>
                <w:kern w:val="0"/>
                <w14:ligatures w14:val="none"/>
              </w:rPr>
              <w:t>Rarely operationalized</w:t>
            </w:r>
          </w:p>
        </w:tc>
      </w:tr>
    </w:tbl>
    <w:p w14:paraId="2433EF5A" w14:textId="77777777" w:rsidR="00833AED" w:rsidRPr="00AF0CC3" w:rsidRDefault="00833AED" w:rsidP="00833AED">
      <w:pPr>
        <w:spacing w:line="240" w:lineRule="auto"/>
        <w:rPr>
          <w:rFonts w:ascii="Times New Roman" w:hAnsi="Times New Roman" w:cs="Times New Roman"/>
          <w:color w:val="000000" w:themeColor="text1"/>
        </w:rPr>
      </w:pPr>
    </w:p>
    <w:p w14:paraId="77720E1C" w14:textId="77777777" w:rsidR="00833AED" w:rsidRPr="00AF0CC3" w:rsidRDefault="00833AED" w:rsidP="00833AED">
      <w:pPr>
        <w:spacing w:line="240" w:lineRule="auto"/>
        <w:rPr>
          <w:rFonts w:ascii="Times New Roman" w:hAnsi="Times New Roman" w:cs="Times New Roman"/>
          <w:color w:val="000000" w:themeColor="text1"/>
        </w:rPr>
      </w:pPr>
      <w:r w:rsidRPr="00AF0CC3">
        <w:rPr>
          <w:rFonts w:ascii="Times New Roman" w:hAnsi="Times New Roman" w:cs="Times New Roman"/>
          <w:color w:val="000000" w:themeColor="text1"/>
        </w:rPr>
        <w:t>The distinction is not semantic. Delay may be symptomatic of implementation inefficiency, stalling signals cumulative institutional breakdown. Treating them as equivalent obscures the tipping point at which governance weaknesses become self-reinforcing.</w:t>
      </w:r>
    </w:p>
    <w:p w14:paraId="6D942DC6" w14:textId="77777777" w:rsidR="00833AED" w:rsidRPr="00AF0CC3" w:rsidRDefault="00833AED" w:rsidP="00833AED">
      <w:pPr>
        <w:spacing w:line="240" w:lineRule="auto"/>
        <w:rPr>
          <w:rFonts w:ascii="Times New Roman" w:hAnsi="Times New Roman" w:cs="Times New Roman"/>
          <w:color w:val="000000" w:themeColor="text1"/>
        </w:rPr>
      </w:pPr>
    </w:p>
    <w:p w14:paraId="68ACEA75" w14:textId="77777777" w:rsidR="00833AED" w:rsidRPr="00AF0CC3" w:rsidRDefault="00833AED" w:rsidP="00833AED">
      <w:pPr>
        <w:spacing w:line="240" w:lineRule="auto"/>
        <w:rPr>
          <w:rFonts w:ascii="Times New Roman" w:hAnsi="Times New Roman" w:cs="Times New Roman"/>
          <w:color w:val="000000" w:themeColor="text1"/>
        </w:rPr>
      </w:pPr>
    </w:p>
    <w:p w14:paraId="4CAB6923" w14:textId="7D19B4F8" w:rsidR="00833AED" w:rsidRPr="00AF0CC3" w:rsidRDefault="00833AED" w:rsidP="000D0770">
      <w:pPr>
        <w:pStyle w:val="Heading2"/>
        <w:rPr>
          <w:rFonts w:cs="Times New Roman"/>
          <w:color w:val="000000" w:themeColor="text1"/>
          <w:szCs w:val="24"/>
        </w:rPr>
      </w:pPr>
      <w:bookmarkStart w:id="90" w:name="_Toc223623375"/>
      <w:bookmarkStart w:id="91" w:name="_Toc234344765"/>
      <w:bookmarkStart w:id="92" w:name="_Toc234488996"/>
      <w:r w:rsidRPr="00AF0CC3">
        <w:rPr>
          <w:rFonts w:cs="Times New Roman"/>
          <w:color w:val="000000" w:themeColor="text1"/>
          <w:szCs w:val="24"/>
        </w:rPr>
        <w:t>Infrastructure Governance in Developing Country Contexts</w:t>
      </w:r>
      <w:bookmarkEnd w:id="90"/>
      <w:bookmarkEnd w:id="91"/>
      <w:bookmarkEnd w:id="92"/>
    </w:p>
    <w:p w14:paraId="66ED4D5D" w14:textId="77777777" w:rsidR="00833AED" w:rsidRPr="00AF0CC3" w:rsidRDefault="00833AED" w:rsidP="00833AED">
      <w:pPr>
        <w:spacing w:line="240" w:lineRule="auto"/>
        <w:rPr>
          <w:rFonts w:ascii="Times New Roman" w:hAnsi="Times New Roman" w:cs="Times New Roman"/>
          <w:color w:val="000000" w:themeColor="text1"/>
        </w:rPr>
      </w:pPr>
    </w:p>
    <w:p w14:paraId="38BDC6F9" w14:textId="77777777" w:rsidR="00833AED" w:rsidRPr="00AF0CC3" w:rsidRDefault="00833AED" w:rsidP="00833AED">
      <w:pPr>
        <w:spacing w:line="240" w:lineRule="auto"/>
        <w:rPr>
          <w:rFonts w:ascii="Times New Roman" w:hAnsi="Times New Roman" w:cs="Times New Roman"/>
          <w:color w:val="000000" w:themeColor="text1"/>
        </w:rPr>
      </w:pPr>
      <w:r w:rsidRPr="00AF0CC3">
        <w:rPr>
          <w:rFonts w:ascii="Times New Roman" w:hAnsi="Times New Roman" w:cs="Times New Roman"/>
          <w:color w:val="000000" w:themeColor="text1"/>
        </w:rPr>
        <w:t>If global evidence establishes the pattern of underperformance, developing-country contexts illuminate the institutional mechanisms through which governance weaknesses become operational constraints.</w:t>
      </w:r>
    </w:p>
    <w:p w14:paraId="6386FE4B" w14:textId="77777777" w:rsidR="00833AED" w:rsidRPr="00AF0CC3" w:rsidRDefault="00833AED" w:rsidP="00833AED">
      <w:pPr>
        <w:spacing w:line="240" w:lineRule="auto"/>
        <w:rPr>
          <w:rFonts w:ascii="Times New Roman" w:hAnsi="Times New Roman" w:cs="Times New Roman"/>
          <w:color w:val="000000" w:themeColor="text1"/>
        </w:rPr>
      </w:pPr>
      <w:r w:rsidRPr="00AF0CC3">
        <w:rPr>
          <w:rFonts w:ascii="Times New Roman" w:hAnsi="Times New Roman" w:cs="Times New Roman"/>
          <w:color w:val="000000" w:themeColor="text1"/>
        </w:rPr>
        <w:t>Evidence from developing-country contexts underscores the centrality of governance capacity in shaping infrastructure timelines. While financing constraints are often cited as the primary obstacle, empirical studies consistently show that institutional weaknesses play a decisive role in determining whether projects remain on schedule.</w:t>
      </w:r>
    </w:p>
    <w:p w14:paraId="4CD67A28" w14:textId="77777777" w:rsidR="00833AED" w:rsidRPr="00AF0CC3" w:rsidRDefault="00833AED" w:rsidP="00833AED">
      <w:pPr>
        <w:spacing w:line="240" w:lineRule="auto"/>
        <w:rPr>
          <w:rFonts w:ascii="Times New Roman" w:hAnsi="Times New Roman" w:cs="Times New Roman"/>
          <w:color w:val="000000" w:themeColor="text1"/>
        </w:rPr>
      </w:pPr>
    </w:p>
    <w:p w14:paraId="5B19347C" w14:textId="77777777" w:rsidR="00833AED" w:rsidRPr="00AF0CC3" w:rsidRDefault="00833AED" w:rsidP="00833AED">
      <w:pPr>
        <w:spacing w:line="240" w:lineRule="auto"/>
        <w:rPr>
          <w:rFonts w:ascii="Times New Roman" w:hAnsi="Times New Roman" w:cs="Times New Roman"/>
          <w:color w:val="000000" w:themeColor="text1"/>
        </w:rPr>
      </w:pPr>
      <w:r w:rsidRPr="00AF0CC3">
        <w:rPr>
          <w:rFonts w:ascii="Times New Roman" w:hAnsi="Times New Roman" w:cs="Times New Roman"/>
          <w:color w:val="000000" w:themeColor="text1"/>
        </w:rPr>
        <w:t>Ahsan and Gunawan (2010) find that weak planning, inadequate supervision, and limited institutional coordination significantly increase the likelihood of delays in public-sector projects. However, their analysis treats delay as the terminal outcome and offers limited insight into whether prolonged implementation challenges evolve into full project stalling or abandonment. This limitation highlights the need for frameworks that distinguish between incremental slippage and structural delivery failure.</w:t>
      </w:r>
    </w:p>
    <w:p w14:paraId="70FF5EB9" w14:textId="77777777" w:rsidR="00833AED" w:rsidRPr="00AF0CC3" w:rsidRDefault="00833AED" w:rsidP="00833AED">
      <w:pPr>
        <w:spacing w:line="240" w:lineRule="auto"/>
        <w:rPr>
          <w:rFonts w:ascii="Times New Roman" w:hAnsi="Times New Roman" w:cs="Times New Roman"/>
          <w:color w:val="000000" w:themeColor="text1"/>
        </w:rPr>
      </w:pPr>
    </w:p>
    <w:p w14:paraId="0FE1CBB5" w14:textId="77777777" w:rsidR="00833AED" w:rsidRPr="00AF0CC3" w:rsidRDefault="00833AED" w:rsidP="00833AED">
      <w:pPr>
        <w:spacing w:line="240" w:lineRule="auto"/>
        <w:rPr>
          <w:rFonts w:ascii="Times New Roman" w:hAnsi="Times New Roman" w:cs="Times New Roman"/>
          <w:color w:val="000000" w:themeColor="text1"/>
        </w:rPr>
      </w:pPr>
      <w:r w:rsidRPr="00AF0CC3">
        <w:rPr>
          <w:rFonts w:ascii="Times New Roman" w:hAnsi="Times New Roman" w:cs="Times New Roman"/>
          <w:color w:val="000000" w:themeColor="text1"/>
        </w:rPr>
        <w:t>Although infrastructure underperformance is a global phenomenon, it is consistently more severe and persistent in developing countries. Literature attributes this pattern to institutional fragility, political interference, and capacity constraints. However, these explanations are often invoked descriptively rather than analytically. Institutional fragility is cited but rarely measured at the level of individual projects.</w:t>
      </w:r>
    </w:p>
    <w:p w14:paraId="645092D4" w14:textId="77777777" w:rsidR="00833AED" w:rsidRPr="00AF0CC3" w:rsidRDefault="00833AED" w:rsidP="00833AED">
      <w:pPr>
        <w:spacing w:line="240" w:lineRule="auto"/>
        <w:rPr>
          <w:rFonts w:ascii="Times New Roman" w:hAnsi="Times New Roman" w:cs="Times New Roman"/>
          <w:color w:val="000000" w:themeColor="text1"/>
        </w:rPr>
      </w:pPr>
    </w:p>
    <w:p w14:paraId="021DB213" w14:textId="77777777" w:rsidR="00833AED" w:rsidRPr="00AF0CC3" w:rsidRDefault="00833AED" w:rsidP="00833AED">
      <w:pPr>
        <w:spacing w:line="240" w:lineRule="auto"/>
        <w:rPr>
          <w:rFonts w:ascii="Times New Roman" w:hAnsi="Times New Roman" w:cs="Times New Roman"/>
          <w:color w:val="000000" w:themeColor="text1"/>
        </w:rPr>
      </w:pPr>
      <w:r w:rsidRPr="00AF0CC3">
        <w:rPr>
          <w:rFonts w:ascii="Times New Roman" w:hAnsi="Times New Roman" w:cs="Times New Roman"/>
          <w:color w:val="000000" w:themeColor="text1"/>
        </w:rPr>
        <w:t xml:space="preserve">Odeck (2014) further demonstrates that schedule overruns are shaped by managerial and institutional conditions rather than pure technical uncertainty. Governance-related variables significantly predict time overruns. However, the study does not examine how delays evolve across the project lifecycle or whether prolonged delay culminates in stalling. This omission </w:t>
      </w:r>
      <w:r w:rsidRPr="00AF0CC3">
        <w:rPr>
          <w:rFonts w:ascii="Times New Roman" w:hAnsi="Times New Roman" w:cs="Times New Roman"/>
          <w:color w:val="000000" w:themeColor="text1"/>
        </w:rPr>
        <w:lastRenderedPageBreak/>
        <w:t>reinforces the need for lifecycle-based analysis capable of distinguishing recoverable delay from persistent inactivity.</w:t>
      </w:r>
    </w:p>
    <w:p w14:paraId="48453B53" w14:textId="77777777" w:rsidR="00833AED" w:rsidRPr="00AF0CC3" w:rsidRDefault="00833AED" w:rsidP="00833AED">
      <w:pPr>
        <w:spacing w:line="240" w:lineRule="auto"/>
        <w:rPr>
          <w:rFonts w:ascii="Times New Roman" w:hAnsi="Times New Roman" w:cs="Times New Roman"/>
          <w:color w:val="000000" w:themeColor="text1"/>
        </w:rPr>
      </w:pPr>
    </w:p>
    <w:p w14:paraId="2301B061" w14:textId="77777777" w:rsidR="00833AED" w:rsidRPr="00AF0CC3" w:rsidRDefault="00833AED" w:rsidP="00833AED">
      <w:pPr>
        <w:spacing w:line="240" w:lineRule="auto"/>
        <w:rPr>
          <w:rFonts w:ascii="Times New Roman" w:hAnsi="Times New Roman" w:cs="Times New Roman"/>
          <w:color w:val="000000" w:themeColor="text1"/>
        </w:rPr>
      </w:pPr>
      <w:r w:rsidRPr="00AF0CC3">
        <w:rPr>
          <w:rFonts w:ascii="Times New Roman" w:hAnsi="Times New Roman" w:cs="Times New Roman"/>
          <w:color w:val="000000" w:themeColor="text1"/>
        </w:rPr>
        <w:t>Several recurring governance issues emerge in low- and middle-income contexts. Project selection is often driven by political visibility rather than economic viability. Procurement frameworks are formally rule-based but weakly enforced. Contract management capacity is uneven, particularly at the subnational level. These conditions create environments in which weaknesses introduced during preparation rarely disappear; instead, they resurface later as implementation crises.</w:t>
      </w:r>
    </w:p>
    <w:p w14:paraId="12D83FD3" w14:textId="77777777" w:rsidR="00833AED" w:rsidRPr="00AF0CC3" w:rsidRDefault="00833AED" w:rsidP="00833AED">
      <w:pPr>
        <w:spacing w:line="240" w:lineRule="auto"/>
        <w:rPr>
          <w:rFonts w:ascii="Times New Roman" w:hAnsi="Times New Roman" w:cs="Times New Roman"/>
          <w:color w:val="000000" w:themeColor="text1"/>
        </w:rPr>
      </w:pPr>
    </w:p>
    <w:p w14:paraId="0D15392D" w14:textId="77777777" w:rsidR="00833AED" w:rsidRPr="00AF0CC3" w:rsidRDefault="00833AED" w:rsidP="00833AED">
      <w:pPr>
        <w:spacing w:line="240" w:lineRule="auto"/>
        <w:rPr>
          <w:rFonts w:ascii="Times New Roman" w:hAnsi="Times New Roman" w:cs="Times New Roman"/>
          <w:color w:val="000000" w:themeColor="text1"/>
        </w:rPr>
      </w:pPr>
      <w:r w:rsidRPr="00AF0CC3">
        <w:rPr>
          <w:rFonts w:ascii="Times New Roman" w:hAnsi="Times New Roman" w:cs="Times New Roman"/>
          <w:color w:val="000000" w:themeColor="text1"/>
        </w:rPr>
        <w:t>Decentralization adds further complexity. Harris et al. (2022), examining service delivery in Kenya, show that responsibilities have shifted to county governments more rapidly than institutional capacity has developed. While decentralization is often justified on grounds of accountability and responsiveness, it can fragment authority and weaken coordination in capital-intensive sectors such as water infrastructure.</w:t>
      </w:r>
    </w:p>
    <w:p w14:paraId="023F3DAE" w14:textId="77777777" w:rsidR="00833AED" w:rsidRPr="00AF0CC3" w:rsidRDefault="00833AED" w:rsidP="00833AED">
      <w:pPr>
        <w:spacing w:line="240" w:lineRule="auto"/>
        <w:rPr>
          <w:rFonts w:ascii="Times New Roman" w:hAnsi="Times New Roman" w:cs="Times New Roman"/>
          <w:color w:val="000000" w:themeColor="text1"/>
        </w:rPr>
      </w:pPr>
      <w:r w:rsidRPr="00AF0CC3">
        <w:rPr>
          <w:rFonts w:ascii="Times New Roman" w:hAnsi="Times New Roman" w:cs="Times New Roman"/>
          <w:color w:val="000000" w:themeColor="text1"/>
        </w:rPr>
        <w:t>Broader research on the political economy of state capacity and institutional capability traps supports this view (Evans, 1995; Pritchett &amp; Woolcock, 2004), indicating that formal reforms without enforcement capacity rarely lead to actual delivery.</w:t>
      </w:r>
    </w:p>
    <w:p w14:paraId="4F2DF6E1" w14:textId="77777777" w:rsidR="00833AED" w:rsidRPr="00AF0CC3" w:rsidRDefault="00833AED" w:rsidP="00833AED">
      <w:pPr>
        <w:spacing w:line="240" w:lineRule="auto"/>
        <w:rPr>
          <w:rFonts w:ascii="Times New Roman" w:hAnsi="Times New Roman" w:cs="Times New Roman"/>
          <w:color w:val="000000" w:themeColor="text1"/>
        </w:rPr>
      </w:pPr>
      <w:r w:rsidRPr="00AF0CC3">
        <w:rPr>
          <w:rFonts w:ascii="Times New Roman" w:hAnsi="Times New Roman" w:cs="Times New Roman"/>
          <w:color w:val="000000" w:themeColor="text1"/>
        </w:rPr>
        <w:t>Similar governance challenges are observed in South Asia, where institutional fragmentation and overlapping mandates complicate the provision of water infrastructure and delay implementation (Narain, 2016).</w:t>
      </w:r>
    </w:p>
    <w:p w14:paraId="3164F833" w14:textId="77777777" w:rsidR="00833AED" w:rsidRPr="00AF0CC3" w:rsidRDefault="00833AED" w:rsidP="00833AED">
      <w:pPr>
        <w:spacing w:line="240" w:lineRule="auto"/>
        <w:rPr>
          <w:rFonts w:ascii="Times New Roman" w:hAnsi="Times New Roman" w:cs="Times New Roman"/>
          <w:color w:val="000000" w:themeColor="text1"/>
        </w:rPr>
      </w:pPr>
      <w:r w:rsidRPr="00AF0CC3">
        <w:rPr>
          <w:rFonts w:ascii="Times New Roman" w:hAnsi="Times New Roman" w:cs="Times New Roman"/>
          <w:color w:val="000000" w:themeColor="text1"/>
        </w:rPr>
        <w:t>Cross-country studies by the OECD and the World Bank repeatedly emphasize that governance quality, rather than financing modality, explains variation in infrastructure outcomes. PPP projects do not systematically outperform traditionally procured projects in weak institutional environments. In some cases, the contractual complexity associated with PPPs may amplify governance weaknesses rather than correct them (OECD, 2020; Romero &amp; Van de Poel, 2022).</w:t>
      </w:r>
    </w:p>
    <w:p w14:paraId="09927A92" w14:textId="77777777" w:rsidR="00833AED" w:rsidRPr="00AF0CC3" w:rsidRDefault="00833AED" w:rsidP="00833AED">
      <w:pPr>
        <w:spacing w:line="240" w:lineRule="auto"/>
        <w:rPr>
          <w:rFonts w:ascii="Times New Roman" w:hAnsi="Times New Roman" w:cs="Times New Roman"/>
          <w:color w:val="000000" w:themeColor="text1"/>
        </w:rPr>
      </w:pPr>
    </w:p>
    <w:p w14:paraId="5374F5CD" w14:textId="77777777" w:rsidR="00833AED" w:rsidRPr="00AF0CC3" w:rsidRDefault="00833AED" w:rsidP="00833AED">
      <w:pPr>
        <w:spacing w:line="240" w:lineRule="auto"/>
        <w:rPr>
          <w:rFonts w:ascii="Times New Roman" w:hAnsi="Times New Roman" w:cs="Times New Roman"/>
          <w:color w:val="000000" w:themeColor="text1"/>
        </w:rPr>
      </w:pPr>
      <w:r w:rsidRPr="00AF0CC3">
        <w:rPr>
          <w:rFonts w:ascii="Times New Roman" w:hAnsi="Times New Roman" w:cs="Times New Roman"/>
          <w:color w:val="000000" w:themeColor="text1"/>
        </w:rPr>
        <w:t>A further limitation of the literature is its reliance on national-level governance indicators. Such indices are useful for cross-country comparisons but obscure within-country variation. They cannot explain why one project stalls while another progresses under the same national framework. This illustrates the need for project-level measurement of governance quality, which this study undertakes.</w:t>
      </w:r>
    </w:p>
    <w:p w14:paraId="49068D3E" w14:textId="77777777" w:rsidR="00833AED" w:rsidRPr="00AF0CC3" w:rsidRDefault="00833AED" w:rsidP="00833AED">
      <w:pPr>
        <w:spacing w:line="240" w:lineRule="auto"/>
        <w:rPr>
          <w:rFonts w:ascii="Times New Roman" w:hAnsi="Times New Roman" w:cs="Times New Roman"/>
          <w:color w:val="000000" w:themeColor="text1"/>
        </w:rPr>
      </w:pPr>
    </w:p>
    <w:p w14:paraId="1B656036" w14:textId="77777777" w:rsidR="00833AED" w:rsidRPr="00AF0CC3" w:rsidRDefault="00833AED" w:rsidP="00833AED">
      <w:pPr>
        <w:spacing w:line="240" w:lineRule="auto"/>
        <w:rPr>
          <w:rFonts w:ascii="Times New Roman" w:hAnsi="Times New Roman" w:cs="Times New Roman"/>
          <w:color w:val="000000" w:themeColor="text1"/>
        </w:rPr>
      </w:pPr>
      <w:r w:rsidRPr="00AF0CC3">
        <w:rPr>
          <w:rFonts w:ascii="Times New Roman" w:hAnsi="Times New Roman" w:cs="Times New Roman"/>
          <w:color w:val="000000" w:themeColor="text1"/>
        </w:rPr>
        <w:t>In many developing-country contexts, governance fragility is less about the absence of formal rules than about the uneven enforcement of those rules. Formal procedures coexist with informal political pressures, creating uncertainty at each stage of project delivery. It is within this tension that infrastructure trajectories are ultimately shaped.</w:t>
      </w:r>
    </w:p>
    <w:p w14:paraId="1B28C58C" w14:textId="77777777" w:rsidR="00833AED" w:rsidRPr="00AF0CC3" w:rsidRDefault="00833AED" w:rsidP="00833AED">
      <w:pPr>
        <w:spacing w:line="240" w:lineRule="auto"/>
        <w:rPr>
          <w:rFonts w:ascii="Times New Roman" w:hAnsi="Times New Roman" w:cs="Times New Roman"/>
          <w:color w:val="000000" w:themeColor="text1"/>
        </w:rPr>
      </w:pPr>
    </w:p>
    <w:p w14:paraId="062F3BBE" w14:textId="3D621DE4" w:rsidR="00833AED" w:rsidRPr="00AF0CC3" w:rsidRDefault="00833AED" w:rsidP="000D0770">
      <w:pPr>
        <w:pStyle w:val="Heading2"/>
        <w:rPr>
          <w:rFonts w:cs="Times New Roman"/>
          <w:color w:val="000000" w:themeColor="text1"/>
          <w:szCs w:val="24"/>
        </w:rPr>
      </w:pPr>
      <w:bookmarkStart w:id="93" w:name="_Toc223623376"/>
      <w:bookmarkStart w:id="94" w:name="_Toc234344766"/>
      <w:bookmarkStart w:id="95" w:name="_Toc234488997"/>
      <w:r w:rsidRPr="00AF0CC3">
        <w:rPr>
          <w:rFonts w:cs="Times New Roman"/>
          <w:color w:val="000000" w:themeColor="text1"/>
          <w:szCs w:val="24"/>
        </w:rPr>
        <w:lastRenderedPageBreak/>
        <w:t>Water Infrastructure as a Distinct Governance Challenge</w:t>
      </w:r>
      <w:bookmarkEnd w:id="93"/>
      <w:bookmarkEnd w:id="94"/>
      <w:bookmarkEnd w:id="95"/>
    </w:p>
    <w:p w14:paraId="5D139E1F" w14:textId="77777777" w:rsidR="00833AED" w:rsidRPr="00AF0CC3" w:rsidRDefault="00833AED" w:rsidP="00833AED">
      <w:pPr>
        <w:spacing w:line="240" w:lineRule="auto"/>
        <w:rPr>
          <w:rFonts w:ascii="Times New Roman" w:hAnsi="Times New Roman" w:cs="Times New Roman"/>
          <w:color w:val="000000" w:themeColor="text1"/>
        </w:rPr>
      </w:pPr>
    </w:p>
    <w:p w14:paraId="54A5EAA5" w14:textId="77777777" w:rsidR="00833AED" w:rsidRPr="00AF0CC3" w:rsidRDefault="00833AED" w:rsidP="00833AED">
      <w:pPr>
        <w:spacing w:line="240" w:lineRule="auto"/>
        <w:rPr>
          <w:rFonts w:ascii="Times New Roman" w:hAnsi="Times New Roman" w:cs="Times New Roman"/>
          <w:color w:val="000000" w:themeColor="text1"/>
        </w:rPr>
      </w:pPr>
      <w:r w:rsidRPr="00AF0CC3">
        <w:rPr>
          <w:rFonts w:ascii="Times New Roman" w:hAnsi="Times New Roman" w:cs="Times New Roman"/>
          <w:color w:val="000000" w:themeColor="text1"/>
        </w:rPr>
        <w:t>Water infrastructure occupies a distinctive place within the broader infrastructure literature. Unlike transport corridors or energy transmission lines, water systems are deeply embedded in local socio-ecological contexts. Decisions about dams, irrigation schemes, and urban water systems directly affect land rights, livelihoods, environmental sustainability, and public health. As a result, water infrastructure projects attract heightened political scrutiny and community engagement.</w:t>
      </w:r>
    </w:p>
    <w:p w14:paraId="7C279E8B" w14:textId="77777777" w:rsidR="00833AED" w:rsidRPr="00AF0CC3" w:rsidRDefault="00833AED" w:rsidP="00833AED">
      <w:pPr>
        <w:spacing w:line="240" w:lineRule="auto"/>
        <w:rPr>
          <w:rFonts w:ascii="Times New Roman" w:hAnsi="Times New Roman" w:cs="Times New Roman"/>
          <w:color w:val="000000" w:themeColor="text1"/>
        </w:rPr>
      </w:pPr>
    </w:p>
    <w:p w14:paraId="16FA3C33" w14:textId="77777777" w:rsidR="00833AED" w:rsidRPr="00AF0CC3" w:rsidRDefault="00833AED" w:rsidP="00833AED">
      <w:pPr>
        <w:spacing w:line="240" w:lineRule="auto"/>
        <w:rPr>
          <w:rFonts w:ascii="Times New Roman" w:hAnsi="Times New Roman" w:cs="Times New Roman"/>
          <w:color w:val="000000" w:themeColor="text1"/>
        </w:rPr>
      </w:pPr>
      <w:r w:rsidRPr="00AF0CC3">
        <w:rPr>
          <w:rFonts w:ascii="Times New Roman" w:hAnsi="Times New Roman" w:cs="Times New Roman"/>
          <w:color w:val="000000" w:themeColor="text1"/>
        </w:rPr>
        <w:t>Sadoff et al. (2015) frame water security as foundational to economic growth and social stability, particularly in climate-vulnerable regions. This strategic importance heightens the political salience of water infrastructure, but it also intensifies governance. Projects must navigate land acquisition disputes, environmental approval processes, hydrological uncertainty, and stakeholder negotiations.</w:t>
      </w:r>
    </w:p>
    <w:p w14:paraId="18E43431" w14:textId="77777777" w:rsidR="00833AED" w:rsidRPr="00AF0CC3" w:rsidRDefault="00833AED" w:rsidP="00833AED">
      <w:pPr>
        <w:spacing w:line="240" w:lineRule="auto"/>
        <w:rPr>
          <w:rFonts w:ascii="Times New Roman" w:hAnsi="Times New Roman" w:cs="Times New Roman"/>
          <w:color w:val="000000" w:themeColor="text1"/>
        </w:rPr>
      </w:pPr>
    </w:p>
    <w:p w14:paraId="05B2F01B" w14:textId="77777777" w:rsidR="00833AED" w:rsidRPr="00AF0CC3" w:rsidRDefault="00833AED" w:rsidP="00833AED">
      <w:pPr>
        <w:spacing w:line="240" w:lineRule="auto"/>
        <w:rPr>
          <w:rFonts w:ascii="Times New Roman" w:hAnsi="Times New Roman" w:cs="Times New Roman"/>
          <w:color w:val="000000" w:themeColor="text1"/>
        </w:rPr>
      </w:pPr>
      <w:r w:rsidRPr="00AF0CC3">
        <w:rPr>
          <w:rFonts w:ascii="Times New Roman" w:hAnsi="Times New Roman" w:cs="Times New Roman"/>
          <w:color w:val="000000" w:themeColor="text1"/>
        </w:rPr>
        <w:t>Locatelli et al. (2017) demonstrate that fragmented governance structures and unclear accountability arrangements undermine coordination in complex infrastructure projects. Governance fragmentation increases exposure to delay and dispute. However, their analysis does not explicitly examine how such fragmentation translates into prolonged project inactivity or stalling. The escalation from coordination difficulty to project suspension remains analytically underdeveloped.</w:t>
      </w:r>
    </w:p>
    <w:p w14:paraId="3CB1E70B" w14:textId="77777777" w:rsidR="00833AED" w:rsidRPr="00AF0CC3" w:rsidRDefault="00833AED" w:rsidP="00833AED">
      <w:pPr>
        <w:spacing w:line="240" w:lineRule="auto"/>
        <w:rPr>
          <w:rFonts w:ascii="Times New Roman" w:hAnsi="Times New Roman" w:cs="Times New Roman"/>
          <w:color w:val="000000" w:themeColor="text1"/>
        </w:rPr>
      </w:pPr>
    </w:p>
    <w:p w14:paraId="0FF9636C" w14:textId="77777777" w:rsidR="00833AED" w:rsidRPr="00AF0CC3" w:rsidRDefault="00833AED" w:rsidP="00833AED">
      <w:pPr>
        <w:spacing w:line="240" w:lineRule="auto"/>
        <w:rPr>
          <w:rFonts w:ascii="Times New Roman" w:hAnsi="Times New Roman" w:cs="Times New Roman"/>
          <w:color w:val="000000" w:themeColor="text1"/>
        </w:rPr>
      </w:pPr>
      <w:r w:rsidRPr="00AF0CC3">
        <w:rPr>
          <w:rFonts w:ascii="Times New Roman" w:hAnsi="Times New Roman" w:cs="Times New Roman"/>
          <w:color w:val="000000" w:themeColor="text1"/>
        </w:rPr>
        <w:t>Water governance research adds further nuance. Ahlers et al. (2014) show that urban water services often operate through hybrid arrangements that blend formal and informal institutions. While this literature provides valuable insight into everyday service delivery, it rarely extends to large-scale infrastructure investment, where governance failures manifest differently.</w:t>
      </w:r>
    </w:p>
    <w:p w14:paraId="6D67D237" w14:textId="77777777" w:rsidR="00833AED" w:rsidRPr="00AF0CC3" w:rsidRDefault="00833AED" w:rsidP="00833AED">
      <w:pPr>
        <w:spacing w:line="240" w:lineRule="auto"/>
        <w:rPr>
          <w:rFonts w:ascii="Times New Roman" w:hAnsi="Times New Roman" w:cs="Times New Roman"/>
          <w:color w:val="000000" w:themeColor="text1"/>
        </w:rPr>
      </w:pPr>
    </w:p>
    <w:p w14:paraId="42F879B9" w14:textId="77777777" w:rsidR="00833AED" w:rsidRPr="00AF0CC3" w:rsidRDefault="00833AED" w:rsidP="00833AED">
      <w:pPr>
        <w:spacing w:line="240" w:lineRule="auto"/>
        <w:rPr>
          <w:rFonts w:ascii="Times New Roman" w:hAnsi="Times New Roman" w:cs="Times New Roman"/>
          <w:color w:val="000000" w:themeColor="text1"/>
        </w:rPr>
      </w:pPr>
      <w:r w:rsidRPr="00AF0CC3">
        <w:rPr>
          <w:rFonts w:ascii="Times New Roman" w:hAnsi="Times New Roman" w:cs="Times New Roman"/>
          <w:color w:val="000000" w:themeColor="text1"/>
        </w:rPr>
        <w:t>Socio-hydrological research complicates linear planning models. Di Baldassarre et al. (2020) argue that infrastructure interventions create feedback loops between human decisions and hydrological systems. Measures intended to reduce risk may, over time, create new vulnerabilities. This insight points toward the importance of adaptive governance.</w:t>
      </w:r>
    </w:p>
    <w:p w14:paraId="51627DDB" w14:textId="77777777" w:rsidR="00833AED" w:rsidRPr="00AF0CC3" w:rsidRDefault="00833AED" w:rsidP="00833AED">
      <w:pPr>
        <w:spacing w:line="240" w:lineRule="auto"/>
        <w:rPr>
          <w:rFonts w:ascii="Times New Roman" w:hAnsi="Times New Roman" w:cs="Times New Roman"/>
          <w:color w:val="000000" w:themeColor="text1"/>
        </w:rPr>
      </w:pPr>
      <w:r w:rsidRPr="00AF0CC3">
        <w:rPr>
          <w:rFonts w:ascii="Times New Roman" w:hAnsi="Times New Roman" w:cs="Times New Roman"/>
          <w:color w:val="000000" w:themeColor="text1"/>
        </w:rPr>
        <w:t>Political economy analyses of water infrastructure in the Global South further demonstrate that large hydraulic projects are often embedded in state-building and bureaucratic expansion efforts rather than solely technical planning processes (Molle, Mollinga, and Wester, 2009).</w:t>
      </w:r>
    </w:p>
    <w:p w14:paraId="4A83179F" w14:textId="77777777" w:rsidR="00833AED" w:rsidRPr="00AF0CC3" w:rsidRDefault="00833AED" w:rsidP="00833AED">
      <w:pPr>
        <w:spacing w:line="240" w:lineRule="auto"/>
        <w:rPr>
          <w:rFonts w:ascii="Times New Roman" w:hAnsi="Times New Roman" w:cs="Times New Roman"/>
          <w:color w:val="000000" w:themeColor="text1"/>
        </w:rPr>
      </w:pPr>
      <w:r w:rsidRPr="00AF0CC3">
        <w:rPr>
          <w:rFonts w:ascii="Times New Roman" w:hAnsi="Times New Roman" w:cs="Times New Roman"/>
          <w:color w:val="000000" w:themeColor="text1"/>
        </w:rPr>
        <w:t>Research on water governance in developing countries highlights the interaction between formal infrastructure institutions and informal governance arrangements that shape project outcomes (Ahlers et al., 2014).</w:t>
      </w:r>
    </w:p>
    <w:p w14:paraId="222DF92B" w14:textId="77777777" w:rsidR="00833AED" w:rsidRPr="00AF0CC3" w:rsidRDefault="00833AED" w:rsidP="00833AED">
      <w:pPr>
        <w:spacing w:line="240" w:lineRule="auto"/>
        <w:rPr>
          <w:rFonts w:ascii="Times New Roman" w:hAnsi="Times New Roman" w:cs="Times New Roman"/>
          <w:color w:val="000000" w:themeColor="text1"/>
        </w:rPr>
      </w:pPr>
    </w:p>
    <w:p w14:paraId="58BCA842" w14:textId="77777777" w:rsidR="00833AED" w:rsidRPr="00AF0CC3" w:rsidRDefault="00833AED" w:rsidP="00833AED">
      <w:pPr>
        <w:spacing w:line="240" w:lineRule="auto"/>
        <w:rPr>
          <w:rFonts w:ascii="Times New Roman" w:hAnsi="Times New Roman" w:cs="Times New Roman"/>
          <w:color w:val="000000" w:themeColor="text1"/>
        </w:rPr>
      </w:pPr>
      <w:r w:rsidRPr="00AF0CC3">
        <w:rPr>
          <w:rFonts w:ascii="Times New Roman" w:hAnsi="Times New Roman" w:cs="Times New Roman"/>
          <w:color w:val="000000" w:themeColor="text1"/>
        </w:rPr>
        <w:lastRenderedPageBreak/>
        <w:t>However, despite theoretical sophistication, empirical studies rarely link insights from water governance to project-level delivery outcomes, such as stalling. As Rodina (2019) notes, resilience is frequently invoked normatively without clear operationalization. The disconnect between conceptual richness and measurable outcomes constitutes a significant gap that this study seeks to address.</w:t>
      </w:r>
    </w:p>
    <w:p w14:paraId="588FCA4F" w14:textId="77777777" w:rsidR="00833AED" w:rsidRPr="00AF0CC3" w:rsidRDefault="00833AED" w:rsidP="00833AED">
      <w:pPr>
        <w:spacing w:line="240" w:lineRule="auto"/>
        <w:rPr>
          <w:rFonts w:ascii="Times New Roman" w:hAnsi="Times New Roman" w:cs="Times New Roman"/>
          <w:color w:val="000000" w:themeColor="text1"/>
        </w:rPr>
      </w:pPr>
      <w:r w:rsidRPr="00AF0CC3">
        <w:rPr>
          <w:rFonts w:ascii="Times New Roman" w:hAnsi="Times New Roman" w:cs="Times New Roman"/>
          <w:color w:val="000000" w:themeColor="text1"/>
        </w:rPr>
        <w:t>Water management infrastructure differs from other sectors not only because of its technical complexity, but because it sits at the intersection of land, livelihoods, and public health. Failures, therefore, reverberate beyond fiscal loss; they reshape local trust in institutions. This governance intensity makes water projects especially revealing sites for examining how institutional weaknesses translate into stalled delivery.</w:t>
      </w:r>
    </w:p>
    <w:p w14:paraId="1F512CD7" w14:textId="77777777" w:rsidR="00833AED" w:rsidRPr="00AF0CC3" w:rsidRDefault="00833AED" w:rsidP="00833AED">
      <w:pPr>
        <w:spacing w:line="240" w:lineRule="auto"/>
        <w:rPr>
          <w:rFonts w:ascii="Times New Roman" w:hAnsi="Times New Roman" w:cs="Times New Roman"/>
          <w:color w:val="000000" w:themeColor="text1"/>
        </w:rPr>
      </w:pPr>
    </w:p>
    <w:p w14:paraId="0831FC6A" w14:textId="77777777" w:rsidR="00833AED" w:rsidRPr="00AF0CC3" w:rsidRDefault="00833AED" w:rsidP="00833AED">
      <w:pPr>
        <w:spacing w:line="240" w:lineRule="auto"/>
        <w:rPr>
          <w:rFonts w:ascii="Times New Roman" w:hAnsi="Times New Roman" w:cs="Times New Roman"/>
          <w:color w:val="000000" w:themeColor="text1"/>
        </w:rPr>
      </w:pPr>
    </w:p>
    <w:p w14:paraId="00AD2CDA" w14:textId="24D1F705" w:rsidR="00833AED" w:rsidRPr="00AF0CC3" w:rsidRDefault="00833AED" w:rsidP="000D0770">
      <w:pPr>
        <w:pStyle w:val="Heading2"/>
        <w:rPr>
          <w:rFonts w:cs="Times New Roman"/>
          <w:color w:val="000000" w:themeColor="text1"/>
          <w:szCs w:val="24"/>
        </w:rPr>
      </w:pPr>
      <w:bookmarkStart w:id="96" w:name="_Toc223623377"/>
      <w:bookmarkStart w:id="97" w:name="_Toc234344767"/>
      <w:bookmarkStart w:id="98" w:name="_Toc234488998"/>
      <w:r w:rsidRPr="00AF0CC3">
        <w:rPr>
          <w:rFonts w:cs="Times New Roman"/>
          <w:color w:val="000000" w:themeColor="text1"/>
          <w:szCs w:val="24"/>
        </w:rPr>
        <w:t>Governance Across the Water Infrastructure Project Lifecycle</w:t>
      </w:r>
      <w:bookmarkEnd w:id="96"/>
      <w:bookmarkEnd w:id="97"/>
      <w:bookmarkEnd w:id="98"/>
    </w:p>
    <w:p w14:paraId="0E9E5F78" w14:textId="77777777" w:rsidR="00833AED" w:rsidRPr="00AF0CC3" w:rsidRDefault="00833AED" w:rsidP="00833AED">
      <w:pPr>
        <w:spacing w:line="240" w:lineRule="auto"/>
        <w:rPr>
          <w:rFonts w:ascii="Times New Roman" w:hAnsi="Times New Roman" w:cs="Times New Roman"/>
          <w:color w:val="000000" w:themeColor="text1"/>
        </w:rPr>
      </w:pPr>
    </w:p>
    <w:p w14:paraId="6CC141E1" w14:textId="77777777" w:rsidR="00833AED" w:rsidRPr="00AF0CC3" w:rsidRDefault="00833AED" w:rsidP="00833AED">
      <w:pPr>
        <w:spacing w:line="240" w:lineRule="auto"/>
        <w:rPr>
          <w:rFonts w:ascii="Times New Roman" w:hAnsi="Times New Roman" w:cs="Times New Roman"/>
          <w:color w:val="000000" w:themeColor="text1"/>
        </w:rPr>
      </w:pPr>
      <w:r w:rsidRPr="00AF0CC3">
        <w:rPr>
          <w:rFonts w:ascii="Times New Roman" w:hAnsi="Times New Roman" w:cs="Times New Roman"/>
          <w:color w:val="000000" w:themeColor="text1"/>
        </w:rPr>
        <w:t>A consistent theme across the infrastructure literature is that failures rarely originate at a single point but rather accumulate. Decisions made during preparation shape procurement processes and structures, thereby conditioning implementation dynamics. Oversight weaknesses allow problems to compound. Lifecycle governance, therefore, becomes central as governance is not static; it evolves across stages.</w:t>
      </w:r>
    </w:p>
    <w:p w14:paraId="4D093E6D" w14:textId="77777777" w:rsidR="00833AED" w:rsidRPr="00AF0CC3" w:rsidRDefault="00833AED" w:rsidP="00833AED">
      <w:pPr>
        <w:spacing w:line="240" w:lineRule="auto"/>
        <w:rPr>
          <w:rFonts w:ascii="Times New Roman" w:hAnsi="Times New Roman" w:cs="Times New Roman"/>
          <w:color w:val="000000" w:themeColor="text1"/>
        </w:rPr>
      </w:pPr>
    </w:p>
    <w:p w14:paraId="76ACAA32" w14:textId="77777777" w:rsidR="00833AED" w:rsidRPr="00AF0CC3" w:rsidRDefault="00833AED" w:rsidP="00833AED">
      <w:pPr>
        <w:spacing w:line="240" w:lineRule="auto"/>
        <w:rPr>
          <w:rFonts w:ascii="Times New Roman" w:hAnsi="Times New Roman" w:cs="Times New Roman"/>
          <w:color w:val="000000" w:themeColor="text1"/>
        </w:rPr>
      </w:pPr>
      <w:r w:rsidRPr="00AF0CC3">
        <w:rPr>
          <w:rFonts w:ascii="Times New Roman" w:hAnsi="Times New Roman" w:cs="Times New Roman"/>
          <w:color w:val="000000" w:themeColor="text1"/>
        </w:rPr>
        <w:t>Too and Weaver (2014) conceptualize project governance as multi-layered, operating across strategic, tactical, and operational levels. Governance effectiveness varies across these levels and stages. However, while conceptually valuable, this framework does not empirically trace how weaknesses introduced at one stage reverberate into subsequent stages, nor does it explicitly link lifecycle governance failure to extreme outcomes such as project stalling. The analytical challenge is therefore not only to recognize that governance varies across stages but also to measure how that variation shapes ultimate delivery trajectories.</w:t>
      </w:r>
    </w:p>
    <w:p w14:paraId="590A2EC2" w14:textId="77777777" w:rsidR="00833AED" w:rsidRPr="00AF0CC3" w:rsidRDefault="00833AED" w:rsidP="00833AED">
      <w:pPr>
        <w:spacing w:line="240" w:lineRule="auto"/>
        <w:rPr>
          <w:rFonts w:ascii="Times New Roman" w:hAnsi="Times New Roman" w:cs="Times New Roman"/>
          <w:color w:val="000000" w:themeColor="text1"/>
        </w:rPr>
      </w:pPr>
    </w:p>
    <w:p w14:paraId="76B0A635" w14:textId="77777777" w:rsidR="00833AED" w:rsidRPr="00AF0CC3" w:rsidRDefault="00833AED" w:rsidP="00833AED">
      <w:pPr>
        <w:spacing w:line="240" w:lineRule="auto"/>
        <w:rPr>
          <w:rFonts w:ascii="Times New Roman" w:hAnsi="Times New Roman" w:cs="Times New Roman"/>
          <w:color w:val="000000" w:themeColor="text1"/>
        </w:rPr>
      </w:pPr>
      <w:r w:rsidRPr="00AF0CC3">
        <w:rPr>
          <w:rFonts w:ascii="Times New Roman" w:hAnsi="Times New Roman" w:cs="Times New Roman"/>
          <w:color w:val="000000" w:themeColor="text1"/>
        </w:rPr>
        <w:t>Joslin and Müller (2015) provide further evidence that higher levels of governance maturity are associated with improved project performance, particularly in complex delivery environments. Their work reinforces the proposition that governance quality exerts an independent effect, distinct from project size or technical complexity. However, their operationalization of performance aggregates success indicators and does not isolate stalled or abandoned projects as analytically distinct outcomes. Moreover, governance maturity is measured through organizational assessments rather than project-level documentary evidence, limiting comparability across sectors and contexts.</w:t>
      </w:r>
    </w:p>
    <w:p w14:paraId="71E5485F" w14:textId="77777777" w:rsidR="00833AED" w:rsidRPr="00AF0CC3" w:rsidRDefault="00833AED" w:rsidP="00833AED">
      <w:pPr>
        <w:spacing w:line="240" w:lineRule="auto"/>
        <w:rPr>
          <w:rFonts w:ascii="Times New Roman" w:hAnsi="Times New Roman" w:cs="Times New Roman"/>
          <w:color w:val="000000" w:themeColor="text1"/>
        </w:rPr>
      </w:pPr>
    </w:p>
    <w:p w14:paraId="04164DF1" w14:textId="77777777" w:rsidR="00833AED" w:rsidRPr="00AF0CC3" w:rsidRDefault="00833AED" w:rsidP="00833AED">
      <w:pPr>
        <w:spacing w:line="240" w:lineRule="auto"/>
        <w:rPr>
          <w:rFonts w:ascii="Times New Roman" w:hAnsi="Times New Roman" w:cs="Times New Roman"/>
          <w:color w:val="000000" w:themeColor="text1"/>
        </w:rPr>
      </w:pPr>
      <w:r w:rsidRPr="00AF0CC3">
        <w:rPr>
          <w:rFonts w:ascii="Times New Roman" w:hAnsi="Times New Roman" w:cs="Times New Roman"/>
          <w:color w:val="000000" w:themeColor="text1"/>
        </w:rPr>
        <w:t xml:space="preserve">A lifecycle perspective, therefore, shifts analytical focus from isolated governance attributes to cumulative risk dynamics. Weak preparation does not remain confined to appraisal. It manifests during procurement as misallocated risk. Misallocated risk re-emerges during implementation as </w:t>
      </w:r>
      <w:r w:rsidRPr="00AF0CC3">
        <w:rPr>
          <w:rFonts w:ascii="Times New Roman" w:hAnsi="Times New Roman" w:cs="Times New Roman"/>
          <w:color w:val="000000" w:themeColor="text1"/>
        </w:rPr>
        <w:lastRenderedPageBreak/>
        <w:t>variation orders and disputes. Disputes that are not effectively resolved escalate into prolonged inactivity. From this perspective, project stalling is not a discrete event; it is the endpoint of compounded governance weaknesses across stages.</w:t>
      </w:r>
    </w:p>
    <w:p w14:paraId="66B8B98A" w14:textId="77777777" w:rsidR="00833AED" w:rsidRPr="00AF0CC3" w:rsidRDefault="00833AED" w:rsidP="00833AED">
      <w:pPr>
        <w:spacing w:line="240" w:lineRule="auto"/>
        <w:rPr>
          <w:rFonts w:ascii="Times New Roman" w:hAnsi="Times New Roman" w:cs="Times New Roman"/>
          <w:color w:val="000000" w:themeColor="text1"/>
        </w:rPr>
      </w:pPr>
    </w:p>
    <w:p w14:paraId="57B2DCAA" w14:textId="78AB9DBF" w:rsidR="00833AED" w:rsidRPr="00AF0CC3" w:rsidRDefault="00833AED" w:rsidP="000D0770">
      <w:pPr>
        <w:pStyle w:val="Heading3"/>
        <w:rPr>
          <w:rFonts w:cs="Times New Roman"/>
          <w:color w:val="000000" w:themeColor="text1"/>
          <w:szCs w:val="24"/>
        </w:rPr>
      </w:pPr>
      <w:bookmarkStart w:id="99" w:name="_Toc223623378"/>
      <w:bookmarkStart w:id="100" w:name="_Toc234344768"/>
      <w:bookmarkStart w:id="101" w:name="_Toc234488999"/>
      <w:r w:rsidRPr="00AF0CC3">
        <w:rPr>
          <w:rFonts w:cs="Times New Roman"/>
          <w:color w:val="000000" w:themeColor="text1"/>
          <w:szCs w:val="24"/>
        </w:rPr>
        <w:t>Project Preparation and Appraisal</w:t>
      </w:r>
      <w:bookmarkEnd w:id="99"/>
      <w:bookmarkEnd w:id="100"/>
      <w:bookmarkEnd w:id="101"/>
    </w:p>
    <w:p w14:paraId="03C8576E" w14:textId="77777777" w:rsidR="00833AED" w:rsidRPr="00AF0CC3" w:rsidRDefault="00833AED" w:rsidP="00833AED">
      <w:pPr>
        <w:spacing w:line="240" w:lineRule="auto"/>
        <w:rPr>
          <w:rFonts w:ascii="Times New Roman" w:hAnsi="Times New Roman" w:cs="Times New Roman"/>
          <w:color w:val="000000" w:themeColor="text1"/>
        </w:rPr>
      </w:pPr>
    </w:p>
    <w:p w14:paraId="37CEB921" w14:textId="77777777" w:rsidR="00833AED" w:rsidRPr="00AF0CC3" w:rsidRDefault="00833AED" w:rsidP="00833AED">
      <w:pPr>
        <w:spacing w:line="240" w:lineRule="auto"/>
        <w:rPr>
          <w:rFonts w:ascii="Times New Roman" w:hAnsi="Times New Roman" w:cs="Times New Roman"/>
          <w:color w:val="000000" w:themeColor="text1"/>
        </w:rPr>
      </w:pPr>
      <w:r w:rsidRPr="00AF0CC3">
        <w:rPr>
          <w:rFonts w:ascii="Times New Roman" w:hAnsi="Times New Roman" w:cs="Times New Roman"/>
          <w:color w:val="000000" w:themeColor="text1"/>
        </w:rPr>
        <w:t>Early-stage governance is consistently identified as a decisive factor in downstream performance. Flyvbjerg et al. (2021) describe “front-end loading” as the strongest predictor of infrastructure outcomes. Rigorous feasibility studies, economic appraisal, environmental assessment, and risk analysis help identify and internalize uncertainty before making contractual commitments.</w:t>
      </w:r>
    </w:p>
    <w:p w14:paraId="10A0FA3D" w14:textId="77777777" w:rsidR="00833AED" w:rsidRPr="00AF0CC3" w:rsidRDefault="00833AED" w:rsidP="00833AED">
      <w:pPr>
        <w:spacing w:line="240" w:lineRule="auto"/>
        <w:rPr>
          <w:rFonts w:ascii="Times New Roman" w:hAnsi="Times New Roman" w:cs="Times New Roman"/>
          <w:color w:val="000000" w:themeColor="text1"/>
        </w:rPr>
      </w:pPr>
    </w:p>
    <w:p w14:paraId="0AACA212" w14:textId="77777777" w:rsidR="00833AED" w:rsidRPr="00AF0CC3" w:rsidRDefault="00833AED" w:rsidP="00833AED">
      <w:pPr>
        <w:spacing w:line="240" w:lineRule="auto"/>
        <w:rPr>
          <w:rFonts w:ascii="Times New Roman" w:hAnsi="Times New Roman" w:cs="Times New Roman"/>
          <w:color w:val="000000" w:themeColor="text1"/>
        </w:rPr>
      </w:pPr>
      <w:r w:rsidRPr="00AF0CC3">
        <w:rPr>
          <w:rFonts w:ascii="Times New Roman" w:hAnsi="Times New Roman" w:cs="Times New Roman"/>
          <w:color w:val="000000" w:themeColor="text1"/>
        </w:rPr>
        <w:t>When preparation is truncated or politically influenced, risks are displaced rather than resolved. Land acquisition may proceed without clear compensation frameworks in place. Environmental approval may be conditional rather than definitive. Hydrological variability is acknowledged but insufficiently incorporated into design assumptions. These omissions create latent vulnerabilities.</w:t>
      </w:r>
    </w:p>
    <w:p w14:paraId="1BD250F3" w14:textId="77777777" w:rsidR="00833AED" w:rsidRPr="00AF0CC3" w:rsidRDefault="00833AED" w:rsidP="00833AED">
      <w:pPr>
        <w:spacing w:line="240" w:lineRule="auto"/>
        <w:rPr>
          <w:rFonts w:ascii="Times New Roman" w:hAnsi="Times New Roman" w:cs="Times New Roman"/>
          <w:color w:val="000000" w:themeColor="text1"/>
        </w:rPr>
      </w:pPr>
    </w:p>
    <w:p w14:paraId="6E784DE5" w14:textId="77777777" w:rsidR="00833AED" w:rsidRPr="00AF0CC3" w:rsidRDefault="00833AED" w:rsidP="00833AED">
      <w:pPr>
        <w:spacing w:line="240" w:lineRule="auto"/>
        <w:rPr>
          <w:rFonts w:ascii="Times New Roman" w:hAnsi="Times New Roman" w:cs="Times New Roman"/>
          <w:color w:val="000000" w:themeColor="text1"/>
        </w:rPr>
      </w:pPr>
      <w:r w:rsidRPr="00AF0CC3">
        <w:rPr>
          <w:rFonts w:ascii="Times New Roman" w:hAnsi="Times New Roman" w:cs="Times New Roman"/>
          <w:color w:val="000000" w:themeColor="text1"/>
        </w:rPr>
        <w:t>In Kenya’s water sector, audit reports repeatedly document projects entering procurement before land acquisition is complete or environmental approvals are fully secured. These unresolved issues persist through implementation. They resurface as injunctions, compensation disputes, redesign requirements, and funding gaps. What begins as incomplete preparation often evolves into suspended progress.</w:t>
      </w:r>
    </w:p>
    <w:p w14:paraId="18513F4F" w14:textId="77777777" w:rsidR="00833AED" w:rsidRPr="00AF0CC3" w:rsidRDefault="00833AED" w:rsidP="00833AED">
      <w:pPr>
        <w:spacing w:line="240" w:lineRule="auto"/>
        <w:rPr>
          <w:rFonts w:ascii="Times New Roman" w:hAnsi="Times New Roman" w:cs="Times New Roman"/>
          <w:color w:val="000000" w:themeColor="text1"/>
        </w:rPr>
      </w:pPr>
    </w:p>
    <w:p w14:paraId="7FF66993" w14:textId="77777777" w:rsidR="00833AED" w:rsidRPr="00AF0CC3" w:rsidRDefault="00833AED" w:rsidP="00833AED">
      <w:pPr>
        <w:spacing w:line="240" w:lineRule="auto"/>
        <w:rPr>
          <w:rFonts w:ascii="Times New Roman" w:hAnsi="Times New Roman" w:cs="Times New Roman"/>
          <w:color w:val="000000" w:themeColor="text1"/>
        </w:rPr>
      </w:pPr>
      <w:r w:rsidRPr="00AF0CC3">
        <w:rPr>
          <w:rFonts w:ascii="Times New Roman" w:hAnsi="Times New Roman" w:cs="Times New Roman"/>
          <w:color w:val="000000" w:themeColor="text1"/>
        </w:rPr>
        <w:t>The literature, therefore, supports a strong proposition: governance quality is not merely correlated with performance; it conditions the entire lifecycle. However, empirical measurement of project-level governance quality remains limited. This study directly addresses that limitation.</w:t>
      </w:r>
    </w:p>
    <w:p w14:paraId="2B3D2F3B" w14:textId="77777777" w:rsidR="00833AED" w:rsidRPr="00AF0CC3" w:rsidRDefault="00833AED" w:rsidP="00833AED">
      <w:pPr>
        <w:spacing w:line="240" w:lineRule="auto"/>
        <w:rPr>
          <w:rFonts w:ascii="Times New Roman" w:hAnsi="Times New Roman" w:cs="Times New Roman"/>
          <w:color w:val="000000" w:themeColor="text1"/>
        </w:rPr>
      </w:pPr>
    </w:p>
    <w:p w14:paraId="6549A39A" w14:textId="0FB7BCE8" w:rsidR="00833AED" w:rsidRPr="00AF0CC3" w:rsidRDefault="00833AED" w:rsidP="000D0770">
      <w:pPr>
        <w:pStyle w:val="Heading3"/>
        <w:rPr>
          <w:rFonts w:cs="Times New Roman"/>
          <w:color w:val="000000" w:themeColor="text1"/>
          <w:szCs w:val="24"/>
        </w:rPr>
      </w:pPr>
      <w:bookmarkStart w:id="102" w:name="_Toc223623379"/>
      <w:bookmarkStart w:id="103" w:name="_Toc234344769"/>
      <w:bookmarkStart w:id="104" w:name="_Toc234489000"/>
      <w:r w:rsidRPr="00AF0CC3">
        <w:rPr>
          <w:rFonts w:cs="Times New Roman"/>
          <w:color w:val="000000" w:themeColor="text1"/>
          <w:szCs w:val="24"/>
        </w:rPr>
        <w:t>Procurement and Contracting</w:t>
      </w:r>
      <w:bookmarkEnd w:id="102"/>
      <w:bookmarkEnd w:id="103"/>
      <w:bookmarkEnd w:id="104"/>
    </w:p>
    <w:p w14:paraId="55163B7D" w14:textId="77777777" w:rsidR="00833AED" w:rsidRPr="00AF0CC3" w:rsidRDefault="00833AED" w:rsidP="00833AED">
      <w:pPr>
        <w:spacing w:line="240" w:lineRule="auto"/>
        <w:rPr>
          <w:rFonts w:ascii="Times New Roman" w:hAnsi="Times New Roman" w:cs="Times New Roman"/>
          <w:color w:val="000000" w:themeColor="text1"/>
        </w:rPr>
      </w:pPr>
    </w:p>
    <w:p w14:paraId="50F4FD81" w14:textId="77777777" w:rsidR="00833AED" w:rsidRPr="00AF0CC3" w:rsidRDefault="00833AED" w:rsidP="00833AED">
      <w:pPr>
        <w:spacing w:line="240" w:lineRule="auto"/>
        <w:rPr>
          <w:rFonts w:ascii="Times New Roman" w:hAnsi="Times New Roman" w:cs="Times New Roman"/>
          <w:color w:val="000000" w:themeColor="text1"/>
        </w:rPr>
      </w:pPr>
      <w:r w:rsidRPr="00AF0CC3">
        <w:rPr>
          <w:rFonts w:ascii="Times New Roman" w:hAnsi="Times New Roman" w:cs="Times New Roman"/>
          <w:color w:val="000000" w:themeColor="text1"/>
        </w:rPr>
        <w:t>Procurement turns plans into binding institutional commitments. It determines how risks are allocated, how payments are structured, and how performance is monitored. Governance weaknesses at this stage can reshape performance, either stabilizing or destabilizing implementation.</w:t>
      </w:r>
    </w:p>
    <w:p w14:paraId="61AE288F" w14:textId="77777777" w:rsidR="00833AED" w:rsidRPr="00AF0CC3" w:rsidRDefault="00833AED" w:rsidP="00833AED">
      <w:pPr>
        <w:spacing w:line="240" w:lineRule="auto"/>
        <w:rPr>
          <w:rFonts w:ascii="Times New Roman" w:hAnsi="Times New Roman" w:cs="Times New Roman"/>
          <w:color w:val="000000" w:themeColor="text1"/>
        </w:rPr>
      </w:pPr>
    </w:p>
    <w:p w14:paraId="7156E8F6" w14:textId="77777777" w:rsidR="00833AED" w:rsidRPr="00AF0CC3" w:rsidRDefault="00833AED" w:rsidP="00833AED">
      <w:pPr>
        <w:spacing w:line="240" w:lineRule="auto"/>
        <w:rPr>
          <w:rFonts w:ascii="Times New Roman" w:hAnsi="Times New Roman" w:cs="Times New Roman"/>
          <w:color w:val="000000" w:themeColor="text1"/>
        </w:rPr>
      </w:pPr>
      <w:r w:rsidRPr="00AF0CC3">
        <w:rPr>
          <w:rFonts w:ascii="Times New Roman" w:hAnsi="Times New Roman" w:cs="Times New Roman"/>
          <w:color w:val="000000" w:themeColor="text1"/>
        </w:rPr>
        <w:t xml:space="preserve">Competitive tendering and transparent evaluation processes reduce opportunities for rent-seeking and strategic underbidding. However, compressed procurement timelines, often driven by </w:t>
      </w:r>
      <w:r w:rsidRPr="00AF0CC3">
        <w:rPr>
          <w:rFonts w:ascii="Times New Roman" w:hAnsi="Times New Roman" w:cs="Times New Roman"/>
          <w:color w:val="000000" w:themeColor="text1"/>
        </w:rPr>
        <w:lastRenderedPageBreak/>
        <w:t>political visibility or fiscal deadlines, can sacrifice quality for speed. When contracts are signed before critical uncertainties are resolved, renegotiation becomes structurally likely.</w:t>
      </w:r>
    </w:p>
    <w:p w14:paraId="2E341E9A" w14:textId="77777777" w:rsidR="00833AED" w:rsidRPr="00AF0CC3" w:rsidRDefault="00833AED" w:rsidP="00833AED">
      <w:pPr>
        <w:spacing w:line="240" w:lineRule="auto"/>
        <w:rPr>
          <w:rFonts w:ascii="Times New Roman" w:hAnsi="Times New Roman" w:cs="Times New Roman"/>
          <w:color w:val="000000" w:themeColor="text1"/>
        </w:rPr>
      </w:pPr>
    </w:p>
    <w:p w14:paraId="2086CFE4" w14:textId="77777777" w:rsidR="00833AED" w:rsidRPr="00AF0CC3" w:rsidRDefault="00833AED" w:rsidP="00833AED">
      <w:pPr>
        <w:spacing w:line="240" w:lineRule="auto"/>
        <w:rPr>
          <w:rFonts w:ascii="Times New Roman" w:hAnsi="Times New Roman" w:cs="Times New Roman"/>
          <w:color w:val="000000" w:themeColor="text1"/>
        </w:rPr>
      </w:pPr>
      <w:r w:rsidRPr="00AF0CC3">
        <w:rPr>
          <w:rFonts w:ascii="Times New Roman" w:hAnsi="Times New Roman" w:cs="Times New Roman"/>
          <w:color w:val="000000" w:themeColor="text1"/>
        </w:rPr>
        <w:t xml:space="preserve">Romero and Van de Poel (2022) show that risk allocation in infrastructure contracts reflects bargaining power rather than purely efficiency-based logic. In water management infrastructure, risks associated with land acquisition, climate variability, and community resistance are frequently assigned in ways that do not reflect managerial capacity. When such risks materialize, disputes arise, leading to delays. </w:t>
      </w:r>
    </w:p>
    <w:p w14:paraId="6EE21E6A" w14:textId="77777777" w:rsidR="00833AED" w:rsidRPr="00AF0CC3" w:rsidRDefault="00833AED" w:rsidP="00833AED">
      <w:pPr>
        <w:spacing w:line="240" w:lineRule="auto"/>
        <w:rPr>
          <w:rFonts w:ascii="Times New Roman" w:hAnsi="Times New Roman" w:cs="Times New Roman"/>
          <w:color w:val="000000" w:themeColor="text1"/>
        </w:rPr>
      </w:pPr>
    </w:p>
    <w:p w14:paraId="73B5B85F" w14:textId="77777777" w:rsidR="00833AED" w:rsidRPr="00AF0CC3" w:rsidRDefault="00833AED" w:rsidP="00833AED">
      <w:pPr>
        <w:spacing w:line="240" w:lineRule="auto"/>
        <w:rPr>
          <w:rFonts w:ascii="Times New Roman" w:hAnsi="Times New Roman" w:cs="Times New Roman"/>
          <w:color w:val="000000" w:themeColor="text1"/>
        </w:rPr>
      </w:pPr>
      <w:r w:rsidRPr="00AF0CC3">
        <w:rPr>
          <w:rFonts w:ascii="Times New Roman" w:hAnsi="Times New Roman" w:cs="Times New Roman"/>
          <w:color w:val="000000" w:themeColor="text1"/>
        </w:rPr>
        <w:t>Renegotiation is not inherently problematic; it may reflect adaptive adjustment. However, in weak governance environments, renegotiation often signals incomplete initial contracting rather than flexible adaptation. Repeated variation orders, escalating claims, and contested milestones erode predictability. In extreme cases, implementation slows to a halt.</w:t>
      </w:r>
    </w:p>
    <w:p w14:paraId="1D6F1C0F" w14:textId="77777777" w:rsidR="00833AED" w:rsidRPr="00AF0CC3" w:rsidRDefault="00833AED" w:rsidP="00833AED">
      <w:pPr>
        <w:spacing w:line="240" w:lineRule="auto"/>
        <w:rPr>
          <w:rFonts w:ascii="Times New Roman" w:hAnsi="Times New Roman" w:cs="Times New Roman"/>
          <w:color w:val="000000" w:themeColor="text1"/>
        </w:rPr>
      </w:pPr>
    </w:p>
    <w:p w14:paraId="4A94358E" w14:textId="77777777" w:rsidR="00833AED" w:rsidRPr="00AF0CC3" w:rsidRDefault="00833AED" w:rsidP="00833AED">
      <w:pPr>
        <w:spacing w:line="240" w:lineRule="auto"/>
        <w:rPr>
          <w:rFonts w:ascii="Times New Roman" w:hAnsi="Times New Roman" w:cs="Times New Roman"/>
          <w:color w:val="000000" w:themeColor="text1"/>
        </w:rPr>
      </w:pPr>
      <w:r w:rsidRPr="00AF0CC3">
        <w:rPr>
          <w:rFonts w:ascii="Times New Roman" w:hAnsi="Times New Roman" w:cs="Times New Roman"/>
          <w:color w:val="000000" w:themeColor="text1"/>
        </w:rPr>
        <w:t>Procurement quality, therefore, represents a critical inflection point in the lifecycle. It converts planning assumptions into enforceable structures. If those structures are misaligned, instability propagates.</w:t>
      </w:r>
    </w:p>
    <w:p w14:paraId="32D754B7" w14:textId="77777777" w:rsidR="00833AED" w:rsidRPr="00AF0CC3" w:rsidRDefault="00833AED" w:rsidP="00833AED">
      <w:pPr>
        <w:spacing w:line="240" w:lineRule="auto"/>
        <w:rPr>
          <w:rFonts w:ascii="Times New Roman" w:hAnsi="Times New Roman" w:cs="Times New Roman"/>
          <w:color w:val="000000" w:themeColor="text1"/>
        </w:rPr>
      </w:pPr>
    </w:p>
    <w:p w14:paraId="09D9B8F1" w14:textId="50480514" w:rsidR="00833AED" w:rsidRPr="00AF0CC3" w:rsidRDefault="00833AED" w:rsidP="000D0770">
      <w:pPr>
        <w:pStyle w:val="Heading3"/>
        <w:rPr>
          <w:rFonts w:cs="Times New Roman"/>
          <w:color w:val="000000" w:themeColor="text1"/>
          <w:szCs w:val="24"/>
        </w:rPr>
      </w:pPr>
      <w:bookmarkStart w:id="105" w:name="_Toc223623380"/>
      <w:bookmarkStart w:id="106" w:name="_Toc234344770"/>
      <w:bookmarkStart w:id="107" w:name="_Toc234489001"/>
      <w:r w:rsidRPr="00AF0CC3">
        <w:rPr>
          <w:rFonts w:cs="Times New Roman"/>
          <w:color w:val="000000" w:themeColor="text1"/>
          <w:szCs w:val="24"/>
        </w:rPr>
        <w:t>Implementation, Contract Management, and Oversight</w:t>
      </w:r>
      <w:bookmarkEnd w:id="105"/>
      <w:bookmarkEnd w:id="106"/>
      <w:bookmarkEnd w:id="107"/>
    </w:p>
    <w:p w14:paraId="00989B78" w14:textId="77777777" w:rsidR="00833AED" w:rsidRPr="00AF0CC3" w:rsidRDefault="00833AED" w:rsidP="00833AED">
      <w:pPr>
        <w:spacing w:line="240" w:lineRule="auto"/>
        <w:rPr>
          <w:rFonts w:ascii="Times New Roman" w:hAnsi="Times New Roman" w:cs="Times New Roman"/>
          <w:color w:val="000000" w:themeColor="text1"/>
        </w:rPr>
      </w:pPr>
    </w:p>
    <w:p w14:paraId="7990FA9F" w14:textId="77777777" w:rsidR="00833AED" w:rsidRPr="00AF0CC3" w:rsidRDefault="00833AED" w:rsidP="00833AED">
      <w:pPr>
        <w:spacing w:line="240" w:lineRule="auto"/>
        <w:rPr>
          <w:rFonts w:ascii="Times New Roman" w:hAnsi="Times New Roman" w:cs="Times New Roman"/>
          <w:color w:val="000000" w:themeColor="text1"/>
        </w:rPr>
      </w:pPr>
      <w:r w:rsidRPr="00AF0CC3">
        <w:rPr>
          <w:rFonts w:ascii="Times New Roman" w:hAnsi="Times New Roman" w:cs="Times New Roman"/>
          <w:color w:val="000000" w:themeColor="text1"/>
        </w:rPr>
        <w:t>Implementation is the stage at which governance assumptions meet operational reality. Timely payments, effective supervision, and credible dispute-resolution mechanisms determine whether projects remain on track.</w:t>
      </w:r>
    </w:p>
    <w:p w14:paraId="49EB9029" w14:textId="77777777" w:rsidR="00833AED" w:rsidRPr="00AF0CC3" w:rsidRDefault="00833AED" w:rsidP="00833AED">
      <w:pPr>
        <w:spacing w:line="240" w:lineRule="auto"/>
        <w:rPr>
          <w:rFonts w:ascii="Times New Roman" w:hAnsi="Times New Roman" w:cs="Times New Roman"/>
          <w:color w:val="000000" w:themeColor="text1"/>
        </w:rPr>
      </w:pPr>
    </w:p>
    <w:p w14:paraId="6D065793" w14:textId="77777777" w:rsidR="00833AED" w:rsidRPr="00AF0CC3" w:rsidRDefault="00833AED" w:rsidP="00833AED">
      <w:pPr>
        <w:spacing w:line="240" w:lineRule="auto"/>
        <w:rPr>
          <w:rFonts w:ascii="Times New Roman" w:hAnsi="Times New Roman" w:cs="Times New Roman"/>
          <w:color w:val="000000" w:themeColor="text1"/>
        </w:rPr>
      </w:pPr>
      <w:r w:rsidRPr="00AF0CC3">
        <w:rPr>
          <w:rFonts w:ascii="Times New Roman" w:hAnsi="Times New Roman" w:cs="Times New Roman"/>
          <w:color w:val="000000" w:themeColor="text1"/>
        </w:rPr>
        <w:t>Weak contract management amplifies earlier vulnerabilities. Payment delays strain contractor cash flow and incentivize slowdowns. Insufficient supervision can lead to quality deviations or scope expansion. Excessive variation in orders inflates costs and complicates coordination. Where multiple weaknesses converge, delays deepen.</w:t>
      </w:r>
    </w:p>
    <w:p w14:paraId="275A84B6" w14:textId="77777777" w:rsidR="00833AED" w:rsidRPr="00AF0CC3" w:rsidRDefault="00833AED" w:rsidP="00833AED">
      <w:pPr>
        <w:spacing w:line="240" w:lineRule="auto"/>
        <w:rPr>
          <w:rFonts w:ascii="Times New Roman" w:hAnsi="Times New Roman" w:cs="Times New Roman"/>
          <w:color w:val="000000" w:themeColor="text1"/>
        </w:rPr>
      </w:pPr>
    </w:p>
    <w:p w14:paraId="56A1F995" w14:textId="77777777" w:rsidR="00833AED" w:rsidRPr="00AF0CC3" w:rsidRDefault="00833AED" w:rsidP="00833AED">
      <w:pPr>
        <w:spacing w:line="240" w:lineRule="auto"/>
        <w:rPr>
          <w:rFonts w:ascii="Times New Roman" w:hAnsi="Times New Roman" w:cs="Times New Roman"/>
          <w:color w:val="000000" w:themeColor="text1"/>
        </w:rPr>
      </w:pPr>
      <w:r w:rsidRPr="00AF0CC3">
        <w:rPr>
          <w:rFonts w:ascii="Times New Roman" w:hAnsi="Times New Roman" w:cs="Times New Roman"/>
          <w:color w:val="000000" w:themeColor="text1"/>
        </w:rPr>
        <w:t>Oversight institutions, including audit bodies and parliamentary committees, play a crucial role in identifying irregularities. However, identification alone does not guarantee correction. In many contexts, audit findings pile up without decisive enforcement. Accountability mechanisms may be procedurally active but substantively weak.</w:t>
      </w:r>
    </w:p>
    <w:p w14:paraId="1EF09D33" w14:textId="77777777" w:rsidR="00833AED" w:rsidRPr="00AF0CC3" w:rsidRDefault="00833AED" w:rsidP="00833AED">
      <w:pPr>
        <w:spacing w:line="240" w:lineRule="auto"/>
        <w:rPr>
          <w:rFonts w:ascii="Times New Roman" w:hAnsi="Times New Roman" w:cs="Times New Roman"/>
          <w:color w:val="000000" w:themeColor="text1"/>
        </w:rPr>
      </w:pPr>
    </w:p>
    <w:p w14:paraId="0FCB7FBA" w14:textId="77777777" w:rsidR="00833AED" w:rsidRPr="00AF0CC3" w:rsidRDefault="00833AED" w:rsidP="00833AED">
      <w:pPr>
        <w:spacing w:line="240" w:lineRule="auto"/>
        <w:rPr>
          <w:rFonts w:ascii="Times New Roman" w:hAnsi="Times New Roman" w:cs="Times New Roman"/>
          <w:color w:val="000000" w:themeColor="text1"/>
        </w:rPr>
      </w:pPr>
      <w:r w:rsidRPr="00AF0CC3">
        <w:rPr>
          <w:rFonts w:ascii="Times New Roman" w:hAnsi="Times New Roman" w:cs="Times New Roman"/>
          <w:color w:val="000000" w:themeColor="text1"/>
        </w:rPr>
        <w:t>When unresolved disputes intersect with fiscal strain and institutional inertia, project stalling becomes increasingly probable. From a governance perspective, stalling is not accidental; it is the rational outcome of compounded institutional weaknesses.</w:t>
      </w:r>
    </w:p>
    <w:p w14:paraId="0CEFC004" w14:textId="77777777" w:rsidR="00833AED" w:rsidRPr="00AF0CC3" w:rsidRDefault="00833AED" w:rsidP="00833AED">
      <w:pPr>
        <w:spacing w:line="240" w:lineRule="auto"/>
        <w:rPr>
          <w:rFonts w:ascii="Times New Roman" w:hAnsi="Times New Roman" w:cs="Times New Roman"/>
          <w:color w:val="000000" w:themeColor="text1"/>
        </w:rPr>
      </w:pPr>
    </w:p>
    <w:p w14:paraId="64A60AD4" w14:textId="77777777" w:rsidR="00833AED" w:rsidRPr="00AF0CC3" w:rsidRDefault="00833AED" w:rsidP="00545817">
      <w:pPr>
        <w:pStyle w:val="Heading3"/>
        <w:rPr>
          <w:rFonts w:cs="Times New Roman"/>
          <w:color w:val="000000" w:themeColor="text1"/>
          <w:szCs w:val="24"/>
        </w:rPr>
      </w:pPr>
      <w:bookmarkStart w:id="108" w:name="_Toc234489002"/>
      <w:r w:rsidRPr="00AF0CC3">
        <w:rPr>
          <w:rFonts w:cs="Times New Roman"/>
          <w:color w:val="000000" w:themeColor="text1"/>
          <w:szCs w:val="24"/>
        </w:rPr>
        <w:t>Lifecycle Synthesis</w:t>
      </w:r>
      <w:bookmarkEnd w:id="108"/>
    </w:p>
    <w:p w14:paraId="50FA5BC1" w14:textId="77777777" w:rsidR="00833AED" w:rsidRPr="00AF0CC3" w:rsidRDefault="00833AED" w:rsidP="00833AED">
      <w:pPr>
        <w:spacing w:line="240" w:lineRule="auto"/>
        <w:rPr>
          <w:rFonts w:ascii="Times New Roman" w:hAnsi="Times New Roman" w:cs="Times New Roman"/>
          <w:color w:val="000000" w:themeColor="text1"/>
        </w:rPr>
      </w:pPr>
    </w:p>
    <w:p w14:paraId="2F9ED4CE" w14:textId="77777777" w:rsidR="00833AED" w:rsidRPr="00AF0CC3" w:rsidRDefault="00833AED" w:rsidP="00833AED">
      <w:pPr>
        <w:spacing w:line="240" w:lineRule="auto"/>
        <w:rPr>
          <w:rFonts w:ascii="Times New Roman" w:hAnsi="Times New Roman" w:cs="Times New Roman"/>
          <w:color w:val="000000" w:themeColor="text1"/>
        </w:rPr>
      </w:pPr>
      <w:r w:rsidRPr="00AF0CC3">
        <w:rPr>
          <w:rFonts w:ascii="Times New Roman" w:hAnsi="Times New Roman" w:cs="Times New Roman"/>
          <w:color w:val="000000" w:themeColor="text1"/>
        </w:rPr>
        <w:t>When viewed together, the evidence suggests that governance failures rarely occur in isolation; they accumulate, often quietly, across the project lifecycle. Early-stage omissions are rarely corrected downstream. Instead, they reappear in amplified form during procurement and implementation. Governance weaknesses are path-dependent; once embedded, they constrain subsequent actions.</w:t>
      </w:r>
    </w:p>
    <w:p w14:paraId="7B56A691" w14:textId="77777777" w:rsidR="00833AED" w:rsidRPr="00AF0CC3" w:rsidRDefault="00833AED" w:rsidP="00833AED">
      <w:pPr>
        <w:spacing w:line="240" w:lineRule="auto"/>
        <w:rPr>
          <w:rFonts w:ascii="Times New Roman" w:hAnsi="Times New Roman" w:cs="Times New Roman"/>
          <w:color w:val="000000" w:themeColor="text1"/>
        </w:rPr>
      </w:pPr>
    </w:p>
    <w:p w14:paraId="271C2EFA" w14:textId="442E0259" w:rsidR="00833AED" w:rsidRPr="00AF0CC3" w:rsidRDefault="00833AED" w:rsidP="00CF2FB7">
      <w:pPr>
        <w:spacing w:line="240" w:lineRule="auto"/>
        <w:rPr>
          <w:rFonts w:ascii="Times New Roman" w:hAnsi="Times New Roman" w:cs="Times New Roman"/>
          <w:color w:val="000000" w:themeColor="text1"/>
        </w:rPr>
      </w:pPr>
      <w:r w:rsidRPr="00AF0CC3">
        <w:rPr>
          <w:rFonts w:ascii="Times New Roman" w:hAnsi="Times New Roman" w:cs="Times New Roman"/>
          <w:color w:val="000000" w:themeColor="text1"/>
        </w:rPr>
        <w:t>Despite this conceptual recognition, empirical studies rarely measure governance quality systematically across stages. Nor do they isolate stalling as a distinct outcome that emerges from cumulative failure. This gap between theory and operationalization provides the foundation for the Governance Quality Index constructed in Chapter Three.</w:t>
      </w:r>
    </w:p>
    <w:tbl>
      <w:tblPr>
        <w:tblW w:w="0" w:type="auto"/>
        <w:tblLook w:val="04A0" w:firstRow="1" w:lastRow="0" w:firstColumn="1" w:lastColumn="0" w:noHBand="0" w:noVBand="1"/>
      </w:tblPr>
      <w:tblGrid>
        <w:gridCol w:w="8694"/>
        <w:gridCol w:w="222"/>
        <w:gridCol w:w="222"/>
        <w:gridCol w:w="222"/>
      </w:tblGrid>
      <w:tr w:rsidR="00833AED" w:rsidRPr="00AF0CC3" w14:paraId="545D716F" w14:textId="77777777" w:rsidTr="00E73C98">
        <w:trPr>
          <w:trHeight w:val="522"/>
        </w:trPr>
        <w:tc>
          <w:tcPr>
            <w:tcW w:w="8694" w:type="dxa"/>
            <w:tcBorders>
              <w:bottom w:val="single" w:sz="4" w:space="0" w:color="auto"/>
            </w:tcBorders>
          </w:tcPr>
          <w:p w14:paraId="3E0B43BA" w14:textId="4158C322" w:rsidR="00CF2FB7" w:rsidRPr="00AF0CC3" w:rsidRDefault="00CF2FB7" w:rsidP="00CF2FB7">
            <w:pPr>
              <w:pStyle w:val="Caption"/>
              <w:keepNext/>
              <w:rPr>
                <w:rFonts w:ascii="Times New Roman" w:hAnsi="Times New Roman" w:cs="Times New Roman"/>
                <w:sz w:val="24"/>
                <w:szCs w:val="24"/>
              </w:rPr>
            </w:pPr>
            <w:bookmarkStart w:id="109" w:name="_Toc234437358"/>
            <w:r w:rsidRPr="00AF0CC3">
              <w:rPr>
                <w:rFonts w:ascii="Times New Roman" w:hAnsi="Times New Roman" w:cs="Times New Roman"/>
                <w:sz w:val="24"/>
                <w:szCs w:val="24"/>
              </w:rPr>
              <w:lastRenderedPageBreak/>
              <w:t xml:space="preserve">Table </w:t>
            </w:r>
            <w:r w:rsidR="007F4206" w:rsidRPr="00AF0CC3">
              <w:rPr>
                <w:rFonts w:ascii="Times New Roman" w:hAnsi="Times New Roman" w:cs="Times New Roman"/>
                <w:sz w:val="24"/>
                <w:szCs w:val="24"/>
              </w:rPr>
              <w:fldChar w:fldCharType="begin"/>
            </w:r>
            <w:r w:rsidR="007F4206" w:rsidRPr="00AF0CC3">
              <w:rPr>
                <w:rFonts w:ascii="Times New Roman" w:hAnsi="Times New Roman" w:cs="Times New Roman"/>
                <w:sz w:val="24"/>
                <w:szCs w:val="24"/>
              </w:rPr>
              <w:instrText xml:space="preserve"> STYLEREF 1 \s </w:instrText>
            </w:r>
            <w:r w:rsidR="007F4206" w:rsidRPr="00AF0CC3">
              <w:rPr>
                <w:rFonts w:ascii="Times New Roman" w:hAnsi="Times New Roman" w:cs="Times New Roman"/>
                <w:sz w:val="24"/>
                <w:szCs w:val="24"/>
              </w:rPr>
              <w:fldChar w:fldCharType="separate"/>
            </w:r>
            <w:r w:rsidR="007F4206" w:rsidRPr="00AF0CC3">
              <w:rPr>
                <w:rFonts w:ascii="Times New Roman" w:hAnsi="Times New Roman" w:cs="Times New Roman"/>
                <w:noProof/>
                <w:sz w:val="24"/>
                <w:szCs w:val="24"/>
              </w:rPr>
              <w:t>2</w:t>
            </w:r>
            <w:r w:rsidR="007F4206" w:rsidRPr="00AF0CC3">
              <w:rPr>
                <w:rFonts w:ascii="Times New Roman" w:hAnsi="Times New Roman" w:cs="Times New Roman"/>
                <w:noProof/>
                <w:sz w:val="24"/>
                <w:szCs w:val="24"/>
              </w:rPr>
              <w:fldChar w:fldCharType="end"/>
            </w:r>
            <w:r w:rsidR="007F4206" w:rsidRPr="00AF0CC3">
              <w:rPr>
                <w:rFonts w:ascii="Times New Roman" w:hAnsi="Times New Roman" w:cs="Times New Roman"/>
                <w:sz w:val="24"/>
                <w:szCs w:val="24"/>
              </w:rPr>
              <w:noBreakHyphen/>
            </w:r>
            <w:r w:rsidR="007F4206" w:rsidRPr="00AF0CC3">
              <w:rPr>
                <w:rFonts w:ascii="Times New Roman" w:hAnsi="Times New Roman" w:cs="Times New Roman"/>
                <w:sz w:val="24"/>
                <w:szCs w:val="24"/>
              </w:rPr>
              <w:fldChar w:fldCharType="begin"/>
            </w:r>
            <w:r w:rsidR="007F4206" w:rsidRPr="00AF0CC3">
              <w:rPr>
                <w:rFonts w:ascii="Times New Roman" w:hAnsi="Times New Roman" w:cs="Times New Roman"/>
                <w:sz w:val="24"/>
                <w:szCs w:val="24"/>
              </w:rPr>
              <w:instrText xml:space="preserve"> SEQ Table \* ARABIC \s 1 </w:instrText>
            </w:r>
            <w:r w:rsidR="007F4206" w:rsidRPr="00AF0CC3">
              <w:rPr>
                <w:rFonts w:ascii="Times New Roman" w:hAnsi="Times New Roman" w:cs="Times New Roman"/>
                <w:sz w:val="24"/>
                <w:szCs w:val="24"/>
              </w:rPr>
              <w:fldChar w:fldCharType="separate"/>
            </w:r>
            <w:r w:rsidR="007F4206" w:rsidRPr="00AF0CC3">
              <w:rPr>
                <w:rFonts w:ascii="Times New Roman" w:hAnsi="Times New Roman" w:cs="Times New Roman"/>
                <w:noProof/>
                <w:sz w:val="24"/>
                <w:szCs w:val="24"/>
              </w:rPr>
              <w:t>3</w:t>
            </w:r>
            <w:r w:rsidR="007F4206" w:rsidRPr="00AF0CC3">
              <w:rPr>
                <w:rFonts w:ascii="Times New Roman" w:hAnsi="Times New Roman" w:cs="Times New Roman"/>
                <w:noProof/>
                <w:sz w:val="24"/>
                <w:szCs w:val="24"/>
              </w:rPr>
              <w:fldChar w:fldCharType="end"/>
            </w:r>
            <w:r w:rsidRPr="00AF0CC3">
              <w:rPr>
                <w:rFonts w:ascii="Times New Roman" w:hAnsi="Times New Roman" w:cs="Times New Roman"/>
                <w:sz w:val="24"/>
                <w:szCs w:val="24"/>
              </w:rPr>
              <w:t xml:space="preserve"> Governance Failures Across the Water Infrastructure Lifecycle</w:t>
            </w:r>
            <w:bookmarkEnd w:id="109"/>
          </w:p>
          <w:tbl>
            <w:tblPr>
              <w:tblW w:w="8468" w:type="dxa"/>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1614"/>
              <w:gridCol w:w="1265"/>
              <w:gridCol w:w="1339"/>
              <w:gridCol w:w="1389"/>
              <w:gridCol w:w="1531"/>
              <w:gridCol w:w="1330"/>
            </w:tblGrid>
            <w:tr w:rsidR="00833AED" w:rsidRPr="00AF0CC3" w14:paraId="1CAE4E9B" w14:textId="77777777" w:rsidTr="00E73C98">
              <w:trPr>
                <w:tblHeader/>
                <w:tblCellSpacing w:w="15" w:type="dxa"/>
              </w:trPr>
              <w:tc>
                <w:tcPr>
                  <w:tcW w:w="0" w:type="auto"/>
                  <w:vAlign w:val="center"/>
                  <w:hideMark/>
                </w:tcPr>
                <w:p w14:paraId="7F42E3F7" w14:textId="77777777" w:rsidR="00833AED" w:rsidRPr="00AF0CC3" w:rsidRDefault="00833AED" w:rsidP="00833AED">
                  <w:pPr>
                    <w:spacing w:after="0" w:line="240" w:lineRule="auto"/>
                    <w:jc w:val="center"/>
                    <w:rPr>
                      <w:rFonts w:ascii="Times New Roman" w:eastAsia="Times New Roman" w:hAnsi="Times New Roman" w:cs="Times New Roman"/>
                      <w:b/>
                      <w:bCs/>
                      <w:color w:val="000000" w:themeColor="text1"/>
                      <w:kern w:val="0"/>
                      <w14:ligatures w14:val="none"/>
                    </w:rPr>
                  </w:pPr>
                  <w:r w:rsidRPr="00AF0CC3">
                    <w:rPr>
                      <w:rFonts w:ascii="Times New Roman" w:eastAsia="Times New Roman" w:hAnsi="Times New Roman" w:cs="Times New Roman"/>
                      <w:b/>
                      <w:bCs/>
                      <w:color w:val="000000" w:themeColor="text1"/>
                      <w:kern w:val="0"/>
                      <w14:ligatures w14:val="none"/>
                    </w:rPr>
                    <w:t>Lifecycle Stage</w:t>
                  </w:r>
                </w:p>
              </w:tc>
              <w:tc>
                <w:tcPr>
                  <w:tcW w:w="1486" w:type="dxa"/>
                  <w:vAlign w:val="center"/>
                  <w:hideMark/>
                </w:tcPr>
                <w:p w14:paraId="44306EF2" w14:textId="77777777" w:rsidR="00833AED" w:rsidRPr="00AF0CC3" w:rsidRDefault="00833AED" w:rsidP="00833AED">
                  <w:pPr>
                    <w:spacing w:after="0" w:line="240" w:lineRule="auto"/>
                    <w:jc w:val="center"/>
                    <w:rPr>
                      <w:rFonts w:ascii="Times New Roman" w:eastAsia="Times New Roman" w:hAnsi="Times New Roman" w:cs="Times New Roman"/>
                      <w:b/>
                      <w:bCs/>
                      <w:color w:val="000000" w:themeColor="text1"/>
                      <w:kern w:val="0"/>
                      <w14:ligatures w14:val="none"/>
                    </w:rPr>
                  </w:pPr>
                  <w:r w:rsidRPr="00AF0CC3">
                    <w:rPr>
                      <w:rFonts w:ascii="Times New Roman" w:eastAsia="Times New Roman" w:hAnsi="Times New Roman" w:cs="Times New Roman"/>
                      <w:b/>
                      <w:bCs/>
                      <w:color w:val="000000" w:themeColor="text1"/>
                      <w:kern w:val="0"/>
                      <w14:ligatures w14:val="none"/>
                    </w:rPr>
                    <w:t>Core Governance Weakness</w:t>
                  </w:r>
                </w:p>
              </w:tc>
              <w:tc>
                <w:tcPr>
                  <w:tcW w:w="1058" w:type="dxa"/>
                  <w:vAlign w:val="center"/>
                  <w:hideMark/>
                </w:tcPr>
                <w:p w14:paraId="111D0944" w14:textId="77777777" w:rsidR="00833AED" w:rsidRPr="00AF0CC3" w:rsidRDefault="00833AED" w:rsidP="00833AED">
                  <w:pPr>
                    <w:spacing w:after="0" w:line="240" w:lineRule="auto"/>
                    <w:jc w:val="center"/>
                    <w:rPr>
                      <w:rFonts w:ascii="Times New Roman" w:eastAsia="Times New Roman" w:hAnsi="Times New Roman" w:cs="Times New Roman"/>
                      <w:b/>
                      <w:bCs/>
                      <w:color w:val="000000" w:themeColor="text1"/>
                      <w:kern w:val="0"/>
                      <w14:ligatures w14:val="none"/>
                    </w:rPr>
                  </w:pPr>
                  <w:r w:rsidRPr="00AF0CC3">
                    <w:rPr>
                      <w:rFonts w:ascii="Times New Roman" w:eastAsia="Times New Roman" w:hAnsi="Times New Roman" w:cs="Times New Roman"/>
                      <w:b/>
                      <w:bCs/>
                      <w:color w:val="000000" w:themeColor="text1"/>
                      <w:kern w:val="0"/>
                      <w14:ligatures w14:val="none"/>
                    </w:rPr>
                    <w:t>Mechanism of Escalation</w:t>
                  </w:r>
                </w:p>
              </w:tc>
              <w:tc>
                <w:tcPr>
                  <w:tcW w:w="0" w:type="auto"/>
                  <w:vAlign w:val="center"/>
                  <w:hideMark/>
                </w:tcPr>
                <w:p w14:paraId="21F936E5" w14:textId="77777777" w:rsidR="00833AED" w:rsidRPr="00AF0CC3" w:rsidRDefault="00833AED" w:rsidP="00833AED">
                  <w:pPr>
                    <w:spacing w:after="0" w:line="240" w:lineRule="auto"/>
                    <w:jc w:val="center"/>
                    <w:rPr>
                      <w:rFonts w:ascii="Times New Roman" w:eastAsia="Times New Roman" w:hAnsi="Times New Roman" w:cs="Times New Roman"/>
                      <w:b/>
                      <w:bCs/>
                      <w:color w:val="000000" w:themeColor="text1"/>
                      <w:kern w:val="0"/>
                      <w14:ligatures w14:val="none"/>
                    </w:rPr>
                  </w:pPr>
                  <w:r w:rsidRPr="00AF0CC3">
                    <w:rPr>
                      <w:rFonts w:ascii="Times New Roman" w:eastAsia="Times New Roman" w:hAnsi="Times New Roman" w:cs="Times New Roman"/>
                      <w:b/>
                      <w:bCs/>
                      <w:color w:val="000000" w:themeColor="text1"/>
                      <w:kern w:val="0"/>
                      <w14:ligatures w14:val="none"/>
                    </w:rPr>
                    <w:t>Immediate Performance Effect</w:t>
                  </w:r>
                </w:p>
              </w:tc>
              <w:tc>
                <w:tcPr>
                  <w:tcW w:w="1501" w:type="dxa"/>
                  <w:vAlign w:val="center"/>
                  <w:hideMark/>
                </w:tcPr>
                <w:p w14:paraId="70BBA3B7" w14:textId="77777777" w:rsidR="00833AED" w:rsidRPr="00AF0CC3" w:rsidRDefault="00833AED" w:rsidP="00833AED">
                  <w:pPr>
                    <w:spacing w:after="0" w:line="240" w:lineRule="auto"/>
                    <w:jc w:val="center"/>
                    <w:rPr>
                      <w:rFonts w:ascii="Times New Roman" w:eastAsia="Times New Roman" w:hAnsi="Times New Roman" w:cs="Times New Roman"/>
                      <w:b/>
                      <w:bCs/>
                      <w:color w:val="000000" w:themeColor="text1"/>
                      <w:kern w:val="0"/>
                      <w14:ligatures w14:val="none"/>
                    </w:rPr>
                  </w:pPr>
                  <w:r w:rsidRPr="00AF0CC3">
                    <w:rPr>
                      <w:rFonts w:ascii="Times New Roman" w:eastAsia="Times New Roman" w:hAnsi="Times New Roman" w:cs="Times New Roman"/>
                      <w:b/>
                      <w:bCs/>
                      <w:color w:val="000000" w:themeColor="text1"/>
                      <w:kern w:val="0"/>
                      <w14:ligatures w14:val="none"/>
                    </w:rPr>
                    <w:t>Pathway to Project Stalling</w:t>
                  </w:r>
                </w:p>
              </w:tc>
              <w:tc>
                <w:tcPr>
                  <w:tcW w:w="1285" w:type="dxa"/>
                  <w:vAlign w:val="center"/>
                  <w:hideMark/>
                </w:tcPr>
                <w:p w14:paraId="698489FB" w14:textId="77777777" w:rsidR="00833AED" w:rsidRPr="00AF0CC3" w:rsidRDefault="00833AED" w:rsidP="00833AED">
                  <w:pPr>
                    <w:spacing w:after="0" w:line="240" w:lineRule="auto"/>
                    <w:jc w:val="center"/>
                    <w:rPr>
                      <w:rFonts w:ascii="Times New Roman" w:eastAsia="Times New Roman" w:hAnsi="Times New Roman" w:cs="Times New Roman"/>
                      <w:b/>
                      <w:bCs/>
                      <w:color w:val="000000" w:themeColor="text1"/>
                      <w:kern w:val="0"/>
                      <w14:ligatures w14:val="none"/>
                    </w:rPr>
                  </w:pPr>
                  <w:r w:rsidRPr="00AF0CC3">
                    <w:rPr>
                      <w:rFonts w:ascii="Times New Roman" w:eastAsia="Times New Roman" w:hAnsi="Times New Roman" w:cs="Times New Roman"/>
                      <w:b/>
                      <w:bCs/>
                      <w:color w:val="000000" w:themeColor="text1"/>
                      <w:kern w:val="0"/>
                      <w14:ligatures w14:val="none"/>
                    </w:rPr>
                    <w:t>Implication for Kenyan Water Projects</w:t>
                  </w:r>
                </w:p>
              </w:tc>
            </w:tr>
            <w:tr w:rsidR="00833AED" w:rsidRPr="00AF0CC3" w14:paraId="1736E2B9" w14:textId="77777777" w:rsidTr="00E73C98">
              <w:trPr>
                <w:tblCellSpacing w:w="15" w:type="dxa"/>
              </w:trPr>
              <w:tc>
                <w:tcPr>
                  <w:tcW w:w="0" w:type="auto"/>
                  <w:vAlign w:val="center"/>
                  <w:hideMark/>
                </w:tcPr>
                <w:p w14:paraId="660A63C7" w14:textId="77777777" w:rsidR="00833AED" w:rsidRPr="00AF0CC3" w:rsidRDefault="00833AED" w:rsidP="00833AED">
                  <w:pPr>
                    <w:spacing w:after="0" w:line="240" w:lineRule="auto"/>
                    <w:rPr>
                      <w:rFonts w:ascii="Times New Roman" w:eastAsia="Times New Roman" w:hAnsi="Times New Roman" w:cs="Times New Roman"/>
                      <w:color w:val="000000" w:themeColor="text1"/>
                      <w:kern w:val="0"/>
                      <w14:ligatures w14:val="none"/>
                    </w:rPr>
                  </w:pPr>
                  <w:r w:rsidRPr="00AF0CC3">
                    <w:rPr>
                      <w:rFonts w:ascii="Times New Roman" w:eastAsia="Times New Roman" w:hAnsi="Times New Roman" w:cs="Times New Roman"/>
                      <w:b/>
                      <w:bCs/>
                      <w:color w:val="000000" w:themeColor="text1"/>
                      <w:kern w:val="0"/>
                      <w14:ligatures w14:val="none"/>
                    </w:rPr>
                    <w:t>Project Preparation &amp; Appraisal</w:t>
                  </w:r>
                </w:p>
              </w:tc>
              <w:tc>
                <w:tcPr>
                  <w:tcW w:w="1486" w:type="dxa"/>
                  <w:vAlign w:val="center"/>
                  <w:hideMark/>
                </w:tcPr>
                <w:p w14:paraId="37A2B078" w14:textId="77777777" w:rsidR="00833AED" w:rsidRPr="00AF0CC3" w:rsidRDefault="00833AED" w:rsidP="00833AED">
                  <w:pPr>
                    <w:spacing w:after="0" w:line="240" w:lineRule="auto"/>
                    <w:rPr>
                      <w:rFonts w:ascii="Times New Roman" w:eastAsia="Times New Roman" w:hAnsi="Times New Roman" w:cs="Times New Roman"/>
                      <w:color w:val="000000" w:themeColor="text1"/>
                      <w:kern w:val="0"/>
                      <w14:ligatures w14:val="none"/>
                    </w:rPr>
                  </w:pPr>
                  <w:r w:rsidRPr="00AF0CC3">
                    <w:rPr>
                      <w:rFonts w:ascii="Times New Roman" w:eastAsia="Times New Roman" w:hAnsi="Times New Roman" w:cs="Times New Roman"/>
                      <w:color w:val="000000" w:themeColor="text1"/>
                      <w:kern w:val="0"/>
                      <w14:ligatures w14:val="none"/>
                    </w:rPr>
                    <w:t>Incomplete feasibility studies, unresolved land acquisition, and weak ESIA integration</w:t>
                  </w:r>
                </w:p>
              </w:tc>
              <w:tc>
                <w:tcPr>
                  <w:tcW w:w="1058" w:type="dxa"/>
                  <w:vAlign w:val="center"/>
                  <w:hideMark/>
                </w:tcPr>
                <w:p w14:paraId="7758CA00" w14:textId="77777777" w:rsidR="00833AED" w:rsidRPr="00AF0CC3" w:rsidRDefault="00833AED" w:rsidP="00833AED">
                  <w:pPr>
                    <w:spacing w:after="0" w:line="240" w:lineRule="auto"/>
                    <w:rPr>
                      <w:rFonts w:ascii="Times New Roman" w:eastAsia="Times New Roman" w:hAnsi="Times New Roman" w:cs="Times New Roman"/>
                      <w:color w:val="000000" w:themeColor="text1"/>
                      <w:kern w:val="0"/>
                      <w14:ligatures w14:val="none"/>
                    </w:rPr>
                  </w:pPr>
                  <w:r w:rsidRPr="00AF0CC3">
                    <w:rPr>
                      <w:rFonts w:ascii="Times New Roman" w:eastAsia="Times New Roman" w:hAnsi="Times New Roman" w:cs="Times New Roman"/>
                      <w:color w:val="000000" w:themeColor="text1"/>
                      <w:kern w:val="0"/>
                      <w14:ligatures w14:val="none"/>
                    </w:rPr>
                    <w:t>Risks are displaced rather than resolved before procurement</w:t>
                  </w:r>
                </w:p>
              </w:tc>
              <w:tc>
                <w:tcPr>
                  <w:tcW w:w="0" w:type="auto"/>
                  <w:vAlign w:val="center"/>
                  <w:hideMark/>
                </w:tcPr>
                <w:p w14:paraId="244A5D1C" w14:textId="77777777" w:rsidR="00833AED" w:rsidRPr="00AF0CC3" w:rsidRDefault="00833AED" w:rsidP="00833AED">
                  <w:pPr>
                    <w:spacing w:after="0" w:line="240" w:lineRule="auto"/>
                    <w:rPr>
                      <w:rFonts w:ascii="Times New Roman" w:eastAsia="Times New Roman" w:hAnsi="Times New Roman" w:cs="Times New Roman"/>
                      <w:color w:val="000000" w:themeColor="text1"/>
                      <w:kern w:val="0"/>
                      <w14:ligatures w14:val="none"/>
                    </w:rPr>
                  </w:pPr>
                  <w:r w:rsidRPr="00AF0CC3">
                    <w:rPr>
                      <w:rFonts w:ascii="Times New Roman" w:eastAsia="Times New Roman" w:hAnsi="Times New Roman" w:cs="Times New Roman"/>
                      <w:color w:val="000000" w:themeColor="text1"/>
                      <w:kern w:val="0"/>
                      <w14:ligatures w14:val="none"/>
                    </w:rPr>
                    <w:t>Early delays, scope revisions, and legal injunctions</w:t>
                  </w:r>
                </w:p>
              </w:tc>
              <w:tc>
                <w:tcPr>
                  <w:tcW w:w="1501" w:type="dxa"/>
                  <w:vAlign w:val="center"/>
                  <w:hideMark/>
                </w:tcPr>
                <w:p w14:paraId="53E2BF6E" w14:textId="77777777" w:rsidR="00833AED" w:rsidRPr="00AF0CC3" w:rsidRDefault="00833AED" w:rsidP="00833AED">
                  <w:pPr>
                    <w:spacing w:after="0" w:line="240" w:lineRule="auto"/>
                    <w:rPr>
                      <w:rFonts w:ascii="Times New Roman" w:eastAsia="Times New Roman" w:hAnsi="Times New Roman" w:cs="Times New Roman"/>
                      <w:color w:val="000000" w:themeColor="text1"/>
                      <w:kern w:val="0"/>
                      <w14:ligatures w14:val="none"/>
                    </w:rPr>
                  </w:pPr>
                  <w:r w:rsidRPr="00AF0CC3">
                    <w:rPr>
                      <w:rFonts w:ascii="Times New Roman" w:eastAsia="Times New Roman" w:hAnsi="Times New Roman" w:cs="Times New Roman"/>
                      <w:color w:val="000000" w:themeColor="text1"/>
                      <w:kern w:val="0"/>
                      <w14:ligatures w14:val="none"/>
                    </w:rPr>
                    <w:t>Latent risks resurface during implementation, compounding disputes and funding gaps</w:t>
                  </w:r>
                </w:p>
              </w:tc>
              <w:tc>
                <w:tcPr>
                  <w:tcW w:w="1285" w:type="dxa"/>
                  <w:vAlign w:val="center"/>
                  <w:hideMark/>
                </w:tcPr>
                <w:p w14:paraId="3CD6CB02" w14:textId="77777777" w:rsidR="00833AED" w:rsidRPr="00AF0CC3" w:rsidRDefault="00833AED" w:rsidP="00833AED">
                  <w:pPr>
                    <w:spacing w:after="0" w:line="240" w:lineRule="auto"/>
                    <w:rPr>
                      <w:rFonts w:ascii="Times New Roman" w:eastAsia="Times New Roman" w:hAnsi="Times New Roman" w:cs="Times New Roman"/>
                      <w:color w:val="000000" w:themeColor="text1"/>
                      <w:kern w:val="0"/>
                      <w14:ligatures w14:val="none"/>
                    </w:rPr>
                  </w:pPr>
                  <w:r w:rsidRPr="00AF0CC3">
                    <w:rPr>
                      <w:rFonts w:ascii="Times New Roman" w:eastAsia="Times New Roman" w:hAnsi="Times New Roman" w:cs="Times New Roman"/>
                      <w:color w:val="000000" w:themeColor="text1"/>
                      <w:kern w:val="0"/>
                      <w14:ligatures w14:val="none"/>
                    </w:rPr>
                    <w:t>Recurrent land compensation disputes and delayed safeguards approvals</w:t>
                  </w:r>
                </w:p>
              </w:tc>
            </w:tr>
            <w:tr w:rsidR="00833AED" w:rsidRPr="00AF0CC3" w14:paraId="0F75163A" w14:textId="77777777" w:rsidTr="00E73C98">
              <w:trPr>
                <w:tblCellSpacing w:w="15" w:type="dxa"/>
              </w:trPr>
              <w:tc>
                <w:tcPr>
                  <w:tcW w:w="0" w:type="auto"/>
                  <w:vAlign w:val="center"/>
                  <w:hideMark/>
                </w:tcPr>
                <w:p w14:paraId="2FA48243" w14:textId="77777777" w:rsidR="00833AED" w:rsidRPr="00AF0CC3" w:rsidRDefault="00833AED" w:rsidP="00833AED">
                  <w:pPr>
                    <w:spacing w:after="0" w:line="240" w:lineRule="auto"/>
                    <w:rPr>
                      <w:rFonts w:ascii="Times New Roman" w:eastAsia="Times New Roman" w:hAnsi="Times New Roman" w:cs="Times New Roman"/>
                      <w:color w:val="000000" w:themeColor="text1"/>
                      <w:kern w:val="0"/>
                      <w14:ligatures w14:val="none"/>
                    </w:rPr>
                  </w:pPr>
                  <w:r w:rsidRPr="00AF0CC3">
                    <w:rPr>
                      <w:rFonts w:ascii="Times New Roman" w:eastAsia="Times New Roman" w:hAnsi="Times New Roman" w:cs="Times New Roman"/>
                      <w:b/>
                      <w:bCs/>
                      <w:color w:val="000000" w:themeColor="text1"/>
                      <w:kern w:val="0"/>
                      <w14:ligatures w14:val="none"/>
                    </w:rPr>
                    <w:t>Procurement &amp; contracting</w:t>
                  </w:r>
                </w:p>
              </w:tc>
              <w:tc>
                <w:tcPr>
                  <w:tcW w:w="1486" w:type="dxa"/>
                  <w:vAlign w:val="center"/>
                  <w:hideMark/>
                </w:tcPr>
                <w:p w14:paraId="552620E0" w14:textId="77777777" w:rsidR="00833AED" w:rsidRPr="00AF0CC3" w:rsidRDefault="00833AED" w:rsidP="00833AED">
                  <w:pPr>
                    <w:spacing w:after="0" w:line="240" w:lineRule="auto"/>
                    <w:rPr>
                      <w:rFonts w:ascii="Times New Roman" w:eastAsia="Times New Roman" w:hAnsi="Times New Roman" w:cs="Times New Roman"/>
                      <w:color w:val="000000" w:themeColor="text1"/>
                      <w:kern w:val="0"/>
                      <w14:ligatures w14:val="none"/>
                    </w:rPr>
                  </w:pPr>
                  <w:r w:rsidRPr="00AF0CC3">
                    <w:rPr>
                      <w:rFonts w:ascii="Times New Roman" w:eastAsia="Times New Roman" w:hAnsi="Times New Roman" w:cs="Times New Roman"/>
                      <w:color w:val="000000" w:themeColor="text1"/>
                      <w:kern w:val="0"/>
                      <w14:ligatures w14:val="none"/>
                    </w:rPr>
                    <w:t>Compressed tendering; weak risk allocation; strategic underbidding</w:t>
                  </w:r>
                </w:p>
              </w:tc>
              <w:tc>
                <w:tcPr>
                  <w:tcW w:w="1058" w:type="dxa"/>
                  <w:vAlign w:val="center"/>
                  <w:hideMark/>
                </w:tcPr>
                <w:p w14:paraId="32C817BA" w14:textId="77777777" w:rsidR="00833AED" w:rsidRPr="00AF0CC3" w:rsidRDefault="00833AED" w:rsidP="00833AED">
                  <w:pPr>
                    <w:spacing w:after="0" w:line="240" w:lineRule="auto"/>
                    <w:rPr>
                      <w:rFonts w:ascii="Times New Roman" w:eastAsia="Times New Roman" w:hAnsi="Times New Roman" w:cs="Times New Roman"/>
                      <w:color w:val="000000" w:themeColor="text1"/>
                      <w:kern w:val="0"/>
                      <w14:ligatures w14:val="none"/>
                    </w:rPr>
                  </w:pPr>
                  <w:r w:rsidRPr="00AF0CC3">
                    <w:rPr>
                      <w:rFonts w:ascii="Times New Roman" w:eastAsia="Times New Roman" w:hAnsi="Times New Roman" w:cs="Times New Roman"/>
                      <w:color w:val="000000" w:themeColor="text1"/>
                      <w:kern w:val="0"/>
                      <w14:ligatures w14:val="none"/>
                    </w:rPr>
                    <w:t>Contractual ambiguity and misaligned incentives</w:t>
                  </w:r>
                </w:p>
              </w:tc>
              <w:tc>
                <w:tcPr>
                  <w:tcW w:w="0" w:type="auto"/>
                  <w:vAlign w:val="center"/>
                  <w:hideMark/>
                </w:tcPr>
                <w:p w14:paraId="4143190E" w14:textId="77777777" w:rsidR="00833AED" w:rsidRPr="00AF0CC3" w:rsidRDefault="00833AED" w:rsidP="00833AED">
                  <w:pPr>
                    <w:spacing w:after="0" w:line="240" w:lineRule="auto"/>
                    <w:rPr>
                      <w:rFonts w:ascii="Times New Roman" w:eastAsia="Times New Roman" w:hAnsi="Times New Roman" w:cs="Times New Roman"/>
                      <w:color w:val="000000" w:themeColor="text1"/>
                      <w:kern w:val="0"/>
                      <w14:ligatures w14:val="none"/>
                    </w:rPr>
                  </w:pPr>
                  <w:r w:rsidRPr="00AF0CC3">
                    <w:rPr>
                      <w:rFonts w:ascii="Times New Roman" w:eastAsia="Times New Roman" w:hAnsi="Times New Roman" w:cs="Times New Roman"/>
                      <w:color w:val="000000" w:themeColor="text1"/>
                      <w:kern w:val="0"/>
                      <w14:ligatures w14:val="none"/>
                    </w:rPr>
                    <w:t>Renegotiation; variation of orders; cost escalation</w:t>
                  </w:r>
                </w:p>
              </w:tc>
              <w:tc>
                <w:tcPr>
                  <w:tcW w:w="1501" w:type="dxa"/>
                  <w:vAlign w:val="center"/>
                  <w:hideMark/>
                </w:tcPr>
                <w:p w14:paraId="462509CC" w14:textId="77777777" w:rsidR="00833AED" w:rsidRPr="00AF0CC3" w:rsidRDefault="00833AED" w:rsidP="00833AED">
                  <w:pPr>
                    <w:spacing w:after="0" w:line="240" w:lineRule="auto"/>
                    <w:rPr>
                      <w:rFonts w:ascii="Times New Roman" w:eastAsia="Times New Roman" w:hAnsi="Times New Roman" w:cs="Times New Roman"/>
                      <w:color w:val="000000" w:themeColor="text1"/>
                      <w:kern w:val="0"/>
                      <w14:ligatures w14:val="none"/>
                    </w:rPr>
                  </w:pPr>
                  <w:r w:rsidRPr="00AF0CC3">
                    <w:rPr>
                      <w:rFonts w:ascii="Times New Roman" w:eastAsia="Times New Roman" w:hAnsi="Times New Roman" w:cs="Times New Roman"/>
                      <w:color w:val="000000" w:themeColor="text1"/>
                      <w:kern w:val="0"/>
                      <w14:ligatures w14:val="none"/>
                    </w:rPr>
                    <w:t>Repeated renegotiation undermines implementation stability</w:t>
                  </w:r>
                </w:p>
              </w:tc>
              <w:tc>
                <w:tcPr>
                  <w:tcW w:w="1285" w:type="dxa"/>
                  <w:vAlign w:val="center"/>
                  <w:hideMark/>
                </w:tcPr>
                <w:p w14:paraId="15F5BD8A" w14:textId="77777777" w:rsidR="00833AED" w:rsidRPr="00AF0CC3" w:rsidRDefault="00833AED" w:rsidP="00833AED">
                  <w:pPr>
                    <w:spacing w:after="0" w:line="240" w:lineRule="auto"/>
                    <w:rPr>
                      <w:rFonts w:ascii="Times New Roman" w:eastAsia="Times New Roman" w:hAnsi="Times New Roman" w:cs="Times New Roman"/>
                      <w:color w:val="000000" w:themeColor="text1"/>
                      <w:kern w:val="0"/>
                      <w14:ligatures w14:val="none"/>
                    </w:rPr>
                  </w:pPr>
                  <w:r w:rsidRPr="00AF0CC3">
                    <w:rPr>
                      <w:rFonts w:ascii="Times New Roman" w:eastAsia="Times New Roman" w:hAnsi="Times New Roman" w:cs="Times New Roman"/>
                      <w:color w:val="000000" w:themeColor="text1"/>
                      <w:kern w:val="0"/>
                      <w14:ligatures w14:val="none"/>
                    </w:rPr>
                    <w:t>Risk misallocation in large water storage and bulk supply projects</w:t>
                  </w:r>
                </w:p>
              </w:tc>
            </w:tr>
            <w:tr w:rsidR="00833AED" w:rsidRPr="00AF0CC3" w14:paraId="794DE348" w14:textId="77777777" w:rsidTr="00E73C98">
              <w:trPr>
                <w:tblCellSpacing w:w="15" w:type="dxa"/>
              </w:trPr>
              <w:tc>
                <w:tcPr>
                  <w:tcW w:w="0" w:type="auto"/>
                  <w:vAlign w:val="center"/>
                  <w:hideMark/>
                </w:tcPr>
                <w:p w14:paraId="19E2604D" w14:textId="77777777" w:rsidR="00833AED" w:rsidRPr="00AF0CC3" w:rsidRDefault="00833AED" w:rsidP="00833AED">
                  <w:pPr>
                    <w:spacing w:after="0" w:line="240" w:lineRule="auto"/>
                    <w:rPr>
                      <w:rFonts w:ascii="Times New Roman" w:eastAsia="Times New Roman" w:hAnsi="Times New Roman" w:cs="Times New Roman"/>
                      <w:color w:val="000000" w:themeColor="text1"/>
                      <w:kern w:val="0"/>
                      <w14:ligatures w14:val="none"/>
                    </w:rPr>
                  </w:pPr>
                  <w:r w:rsidRPr="00AF0CC3">
                    <w:rPr>
                      <w:rFonts w:ascii="Times New Roman" w:eastAsia="Times New Roman" w:hAnsi="Times New Roman" w:cs="Times New Roman"/>
                      <w:b/>
                      <w:bCs/>
                      <w:color w:val="000000" w:themeColor="text1"/>
                      <w:kern w:val="0"/>
                      <w14:ligatures w14:val="none"/>
                    </w:rPr>
                    <w:t>Implementation &amp; Contract Management</w:t>
                  </w:r>
                </w:p>
              </w:tc>
              <w:tc>
                <w:tcPr>
                  <w:tcW w:w="1486" w:type="dxa"/>
                  <w:vAlign w:val="center"/>
                  <w:hideMark/>
                </w:tcPr>
                <w:p w14:paraId="1C952A6A" w14:textId="77777777" w:rsidR="00833AED" w:rsidRPr="00AF0CC3" w:rsidRDefault="00833AED" w:rsidP="00833AED">
                  <w:pPr>
                    <w:spacing w:after="0" w:line="240" w:lineRule="auto"/>
                    <w:rPr>
                      <w:rFonts w:ascii="Times New Roman" w:eastAsia="Times New Roman" w:hAnsi="Times New Roman" w:cs="Times New Roman"/>
                      <w:color w:val="000000" w:themeColor="text1"/>
                      <w:kern w:val="0"/>
                      <w14:ligatures w14:val="none"/>
                    </w:rPr>
                  </w:pPr>
                  <w:r w:rsidRPr="00AF0CC3">
                    <w:rPr>
                      <w:rFonts w:ascii="Times New Roman" w:eastAsia="Times New Roman" w:hAnsi="Times New Roman" w:cs="Times New Roman"/>
                      <w:color w:val="000000" w:themeColor="text1"/>
                      <w:kern w:val="0"/>
                      <w14:ligatures w14:val="none"/>
                    </w:rPr>
                    <w:t>Delayed payments, weak supervision, and excessive variation orders</w:t>
                  </w:r>
                </w:p>
              </w:tc>
              <w:tc>
                <w:tcPr>
                  <w:tcW w:w="1058" w:type="dxa"/>
                  <w:vAlign w:val="center"/>
                  <w:hideMark/>
                </w:tcPr>
                <w:p w14:paraId="2188E014" w14:textId="77777777" w:rsidR="00833AED" w:rsidRPr="00AF0CC3" w:rsidRDefault="00833AED" w:rsidP="00833AED">
                  <w:pPr>
                    <w:spacing w:after="0" w:line="240" w:lineRule="auto"/>
                    <w:rPr>
                      <w:rFonts w:ascii="Times New Roman" w:eastAsia="Times New Roman" w:hAnsi="Times New Roman" w:cs="Times New Roman"/>
                      <w:color w:val="000000" w:themeColor="text1"/>
                      <w:kern w:val="0"/>
                      <w14:ligatures w14:val="none"/>
                    </w:rPr>
                  </w:pPr>
                  <w:r w:rsidRPr="00AF0CC3">
                    <w:rPr>
                      <w:rFonts w:ascii="Times New Roman" w:eastAsia="Times New Roman" w:hAnsi="Times New Roman" w:cs="Times New Roman"/>
                      <w:color w:val="000000" w:themeColor="text1"/>
                      <w:kern w:val="0"/>
                      <w14:ligatures w14:val="none"/>
                    </w:rPr>
                    <w:t>Cash flow strain, contractor slowdown, performance deterioration</w:t>
                  </w:r>
                </w:p>
              </w:tc>
              <w:tc>
                <w:tcPr>
                  <w:tcW w:w="0" w:type="auto"/>
                  <w:vAlign w:val="center"/>
                  <w:hideMark/>
                </w:tcPr>
                <w:p w14:paraId="1B092241" w14:textId="77777777" w:rsidR="00833AED" w:rsidRPr="00AF0CC3" w:rsidRDefault="00833AED" w:rsidP="00833AED">
                  <w:pPr>
                    <w:spacing w:after="0" w:line="240" w:lineRule="auto"/>
                    <w:rPr>
                      <w:rFonts w:ascii="Times New Roman" w:eastAsia="Times New Roman" w:hAnsi="Times New Roman" w:cs="Times New Roman"/>
                      <w:color w:val="000000" w:themeColor="text1"/>
                      <w:kern w:val="0"/>
                      <w14:ligatures w14:val="none"/>
                    </w:rPr>
                  </w:pPr>
                  <w:r w:rsidRPr="00AF0CC3">
                    <w:rPr>
                      <w:rFonts w:ascii="Times New Roman" w:eastAsia="Times New Roman" w:hAnsi="Times New Roman" w:cs="Times New Roman"/>
                      <w:color w:val="000000" w:themeColor="text1"/>
                      <w:kern w:val="0"/>
                      <w14:ligatures w14:val="none"/>
                    </w:rPr>
                    <w:t>Extended schedule slippage; quality compromise</w:t>
                  </w:r>
                </w:p>
              </w:tc>
              <w:tc>
                <w:tcPr>
                  <w:tcW w:w="1501" w:type="dxa"/>
                  <w:vAlign w:val="center"/>
                  <w:hideMark/>
                </w:tcPr>
                <w:p w14:paraId="4873D9ED" w14:textId="77777777" w:rsidR="00833AED" w:rsidRPr="00AF0CC3" w:rsidRDefault="00833AED" w:rsidP="00833AED">
                  <w:pPr>
                    <w:spacing w:after="0" w:line="240" w:lineRule="auto"/>
                    <w:rPr>
                      <w:rFonts w:ascii="Times New Roman" w:eastAsia="Times New Roman" w:hAnsi="Times New Roman" w:cs="Times New Roman"/>
                      <w:color w:val="000000" w:themeColor="text1"/>
                      <w:kern w:val="0"/>
                      <w14:ligatures w14:val="none"/>
                    </w:rPr>
                  </w:pPr>
                  <w:r w:rsidRPr="00AF0CC3">
                    <w:rPr>
                      <w:rFonts w:ascii="Times New Roman" w:eastAsia="Times New Roman" w:hAnsi="Times New Roman" w:cs="Times New Roman"/>
                      <w:color w:val="000000" w:themeColor="text1"/>
                      <w:kern w:val="0"/>
                      <w14:ligatures w14:val="none"/>
                    </w:rPr>
                    <w:t>Prolonged inactivity as contractors suspend work</w:t>
                  </w:r>
                </w:p>
              </w:tc>
              <w:tc>
                <w:tcPr>
                  <w:tcW w:w="1285" w:type="dxa"/>
                  <w:vAlign w:val="center"/>
                  <w:hideMark/>
                </w:tcPr>
                <w:p w14:paraId="1F7C296C" w14:textId="77777777" w:rsidR="00833AED" w:rsidRPr="00AF0CC3" w:rsidRDefault="00833AED" w:rsidP="00833AED">
                  <w:pPr>
                    <w:spacing w:after="0" w:line="240" w:lineRule="auto"/>
                    <w:rPr>
                      <w:rFonts w:ascii="Times New Roman" w:eastAsia="Times New Roman" w:hAnsi="Times New Roman" w:cs="Times New Roman"/>
                      <w:color w:val="000000" w:themeColor="text1"/>
                      <w:kern w:val="0"/>
                      <w14:ligatures w14:val="none"/>
                    </w:rPr>
                  </w:pPr>
                  <w:r w:rsidRPr="00AF0CC3">
                    <w:rPr>
                      <w:rFonts w:ascii="Times New Roman" w:eastAsia="Times New Roman" w:hAnsi="Times New Roman" w:cs="Times New Roman"/>
                      <w:color w:val="000000" w:themeColor="text1"/>
                      <w:kern w:val="0"/>
                      <w14:ligatures w14:val="none"/>
                    </w:rPr>
                    <w:t>Auditor-General findings on stalled works due to payment delays</w:t>
                  </w:r>
                </w:p>
              </w:tc>
            </w:tr>
            <w:tr w:rsidR="00833AED" w:rsidRPr="00AF0CC3" w14:paraId="4647D2DA" w14:textId="77777777" w:rsidTr="00E73C98">
              <w:trPr>
                <w:tblCellSpacing w:w="15" w:type="dxa"/>
              </w:trPr>
              <w:tc>
                <w:tcPr>
                  <w:tcW w:w="0" w:type="auto"/>
                  <w:vAlign w:val="center"/>
                  <w:hideMark/>
                </w:tcPr>
                <w:p w14:paraId="3C153333" w14:textId="77777777" w:rsidR="00833AED" w:rsidRPr="00AF0CC3" w:rsidRDefault="00833AED" w:rsidP="00833AED">
                  <w:pPr>
                    <w:spacing w:after="0" w:line="240" w:lineRule="auto"/>
                    <w:rPr>
                      <w:rFonts w:ascii="Times New Roman" w:eastAsia="Times New Roman" w:hAnsi="Times New Roman" w:cs="Times New Roman"/>
                      <w:color w:val="000000" w:themeColor="text1"/>
                      <w:kern w:val="0"/>
                      <w14:ligatures w14:val="none"/>
                    </w:rPr>
                  </w:pPr>
                  <w:r w:rsidRPr="00AF0CC3">
                    <w:rPr>
                      <w:rFonts w:ascii="Times New Roman" w:eastAsia="Times New Roman" w:hAnsi="Times New Roman" w:cs="Times New Roman"/>
                      <w:b/>
                      <w:bCs/>
                      <w:color w:val="000000" w:themeColor="text1"/>
                      <w:kern w:val="0"/>
                      <w14:ligatures w14:val="none"/>
                    </w:rPr>
                    <w:t>Oversight &amp; Accountability</w:t>
                  </w:r>
                </w:p>
              </w:tc>
              <w:tc>
                <w:tcPr>
                  <w:tcW w:w="1486" w:type="dxa"/>
                  <w:vAlign w:val="center"/>
                  <w:hideMark/>
                </w:tcPr>
                <w:p w14:paraId="1459F0B0" w14:textId="77777777" w:rsidR="00833AED" w:rsidRPr="00AF0CC3" w:rsidRDefault="00833AED" w:rsidP="00833AED">
                  <w:pPr>
                    <w:spacing w:after="0" w:line="240" w:lineRule="auto"/>
                    <w:rPr>
                      <w:rFonts w:ascii="Times New Roman" w:eastAsia="Times New Roman" w:hAnsi="Times New Roman" w:cs="Times New Roman"/>
                      <w:color w:val="000000" w:themeColor="text1"/>
                      <w:kern w:val="0"/>
                      <w14:ligatures w14:val="none"/>
                    </w:rPr>
                  </w:pPr>
                  <w:r w:rsidRPr="00AF0CC3">
                    <w:rPr>
                      <w:rFonts w:ascii="Times New Roman" w:eastAsia="Times New Roman" w:hAnsi="Times New Roman" w:cs="Times New Roman"/>
                      <w:color w:val="000000" w:themeColor="text1"/>
                      <w:kern w:val="0"/>
                      <w14:ligatures w14:val="none"/>
                    </w:rPr>
                    <w:t>Audit findings not enforced; fragmented mandates</w:t>
                  </w:r>
                </w:p>
              </w:tc>
              <w:tc>
                <w:tcPr>
                  <w:tcW w:w="1058" w:type="dxa"/>
                  <w:vAlign w:val="center"/>
                  <w:hideMark/>
                </w:tcPr>
                <w:p w14:paraId="59735C83" w14:textId="77777777" w:rsidR="00833AED" w:rsidRPr="00AF0CC3" w:rsidRDefault="00833AED" w:rsidP="00833AED">
                  <w:pPr>
                    <w:spacing w:after="0" w:line="240" w:lineRule="auto"/>
                    <w:rPr>
                      <w:rFonts w:ascii="Times New Roman" w:eastAsia="Times New Roman" w:hAnsi="Times New Roman" w:cs="Times New Roman"/>
                      <w:color w:val="000000" w:themeColor="text1"/>
                      <w:kern w:val="0"/>
                      <w14:ligatures w14:val="none"/>
                    </w:rPr>
                  </w:pPr>
                  <w:r w:rsidRPr="00AF0CC3">
                    <w:rPr>
                      <w:rFonts w:ascii="Times New Roman" w:eastAsia="Times New Roman" w:hAnsi="Times New Roman" w:cs="Times New Roman"/>
                      <w:color w:val="000000" w:themeColor="text1"/>
                      <w:kern w:val="0"/>
                      <w14:ligatures w14:val="none"/>
                    </w:rPr>
                    <w:t>Weak corrective action; accountability diffusion</w:t>
                  </w:r>
                </w:p>
              </w:tc>
              <w:tc>
                <w:tcPr>
                  <w:tcW w:w="0" w:type="auto"/>
                  <w:vAlign w:val="center"/>
                  <w:hideMark/>
                </w:tcPr>
                <w:p w14:paraId="39B0FFDB" w14:textId="77777777" w:rsidR="00833AED" w:rsidRPr="00AF0CC3" w:rsidRDefault="00833AED" w:rsidP="00833AED">
                  <w:pPr>
                    <w:spacing w:after="0" w:line="240" w:lineRule="auto"/>
                    <w:rPr>
                      <w:rFonts w:ascii="Times New Roman" w:eastAsia="Times New Roman" w:hAnsi="Times New Roman" w:cs="Times New Roman"/>
                      <w:color w:val="000000" w:themeColor="text1"/>
                      <w:kern w:val="0"/>
                      <w14:ligatures w14:val="none"/>
                    </w:rPr>
                  </w:pPr>
                  <w:r w:rsidRPr="00AF0CC3">
                    <w:rPr>
                      <w:rFonts w:ascii="Times New Roman" w:eastAsia="Times New Roman" w:hAnsi="Times New Roman" w:cs="Times New Roman"/>
                      <w:color w:val="000000" w:themeColor="text1"/>
                      <w:kern w:val="0"/>
                      <w14:ligatures w14:val="none"/>
                    </w:rPr>
                    <w:t>Persistent non-compliance</w:t>
                  </w:r>
                </w:p>
              </w:tc>
              <w:tc>
                <w:tcPr>
                  <w:tcW w:w="1501" w:type="dxa"/>
                  <w:vAlign w:val="center"/>
                  <w:hideMark/>
                </w:tcPr>
                <w:p w14:paraId="56544E79" w14:textId="77777777" w:rsidR="00833AED" w:rsidRPr="00AF0CC3" w:rsidRDefault="00833AED" w:rsidP="00833AED">
                  <w:pPr>
                    <w:spacing w:after="0" w:line="240" w:lineRule="auto"/>
                    <w:rPr>
                      <w:rFonts w:ascii="Times New Roman" w:eastAsia="Times New Roman" w:hAnsi="Times New Roman" w:cs="Times New Roman"/>
                      <w:color w:val="000000" w:themeColor="text1"/>
                      <w:kern w:val="0"/>
                      <w14:ligatures w14:val="none"/>
                    </w:rPr>
                  </w:pPr>
                  <w:r w:rsidRPr="00AF0CC3">
                    <w:rPr>
                      <w:rFonts w:ascii="Times New Roman" w:eastAsia="Times New Roman" w:hAnsi="Times New Roman" w:cs="Times New Roman"/>
                      <w:color w:val="000000" w:themeColor="text1"/>
                      <w:kern w:val="0"/>
                      <w14:ligatures w14:val="none"/>
                    </w:rPr>
                    <w:t>Institutional inertia leading to suspension without resolution</w:t>
                  </w:r>
                </w:p>
              </w:tc>
              <w:tc>
                <w:tcPr>
                  <w:tcW w:w="1285" w:type="dxa"/>
                  <w:vAlign w:val="center"/>
                  <w:hideMark/>
                </w:tcPr>
                <w:p w14:paraId="7B535098" w14:textId="77777777" w:rsidR="00833AED" w:rsidRPr="00AF0CC3" w:rsidRDefault="00833AED" w:rsidP="00833AED">
                  <w:pPr>
                    <w:spacing w:after="0" w:line="240" w:lineRule="auto"/>
                    <w:rPr>
                      <w:rFonts w:ascii="Times New Roman" w:eastAsia="Times New Roman" w:hAnsi="Times New Roman" w:cs="Times New Roman"/>
                      <w:color w:val="000000" w:themeColor="text1"/>
                      <w:kern w:val="0"/>
                      <w14:ligatures w14:val="none"/>
                    </w:rPr>
                  </w:pPr>
                  <w:r w:rsidRPr="00AF0CC3">
                    <w:rPr>
                      <w:rFonts w:ascii="Times New Roman" w:eastAsia="Times New Roman" w:hAnsi="Times New Roman" w:cs="Times New Roman"/>
                      <w:color w:val="000000" w:themeColor="text1"/>
                      <w:kern w:val="0"/>
                      <w14:ligatures w14:val="none"/>
                    </w:rPr>
                    <w:t>Devolution-related coordination gaps between national and county actors</w:t>
                  </w:r>
                </w:p>
              </w:tc>
            </w:tr>
          </w:tbl>
          <w:p w14:paraId="4C70C3F2" w14:textId="77777777" w:rsidR="00833AED" w:rsidRPr="00AF0CC3" w:rsidRDefault="00833AED" w:rsidP="00833AED">
            <w:pPr>
              <w:spacing w:after="200" w:line="240" w:lineRule="auto"/>
              <w:rPr>
                <w:rFonts w:ascii="Times New Roman" w:eastAsia="MS Mincho" w:hAnsi="Times New Roman" w:cs="Times New Roman"/>
                <w:b/>
                <w:bCs/>
                <w:color w:val="000000" w:themeColor="text1"/>
                <w:kern w:val="0"/>
                <w14:ligatures w14:val="none"/>
              </w:rPr>
            </w:pPr>
          </w:p>
        </w:tc>
        <w:tc>
          <w:tcPr>
            <w:tcW w:w="222" w:type="dxa"/>
            <w:tcBorders>
              <w:bottom w:val="single" w:sz="4" w:space="0" w:color="auto"/>
            </w:tcBorders>
          </w:tcPr>
          <w:p w14:paraId="1D19F116" w14:textId="77777777" w:rsidR="00833AED" w:rsidRPr="00AF0CC3" w:rsidRDefault="00833AED" w:rsidP="00833AED">
            <w:pPr>
              <w:spacing w:after="200" w:line="240" w:lineRule="auto"/>
              <w:rPr>
                <w:rFonts w:ascii="Times New Roman" w:eastAsia="MS Mincho" w:hAnsi="Times New Roman" w:cs="Times New Roman"/>
                <w:b/>
                <w:bCs/>
                <w:color w:val="000000" w:themeColor="text1"/>
                <w:kern w:val="0"/>
                <w14:ligatures w14:val="none"/>
              </w:rPr>
            </w:pPr>
          </w:p>
        </w:tc>
        <w:tc>
          <w:tcPr>
            <w:tcW w:w="222" w:type="dxa"/>
            <w:tcBorders>
              <w:bottom w:val="single" w:sz="4" w:space="0" w:color="auto"/>
            </w:tcBorders>
          </w:tcPr>
          <w:p w14:paraId="07428820" w14:textId="77777777" w:rsidR="00833AED" w:rsidRPr="00AF0CC3" w:rsidRDefault="00833AED" w:rsidP="00833AED">
            <w:pPr>
              <w:spacing w:after="200" w:line="240" w:lineRule="auto"/>
              <w:rPr>
                <w:rFonts w:ascii="Times New Roman" w:eastAsia="MS Mincho" w:hAnsi="Times New Roman" w:cs="Times New Roman"/>
                <w:b/>
                <w:bCs/>
                <w:color w:val="000000" w:themeColor="text1"/>
                <w:kern w:val="0"/>
                <w14:ligatures w14:val="none"/>
              </w:rPr>
            </w:pPr>
          </w:p>
        </w:tc>
        <w:tc>
          <w:tcPr>
            <w:tcW w:w="222" w:type="dxa"/>
            <w:tcBorders>
              <w:bottom w:val="single" w:sz="4" w:space="0" w:color="auto"/>
            </w:tcBorders>
          </w:tcPr>
          <w:p w14:paraId="1E6CF0C5" w14:textId="77777777" w:rsidR="00833AED" w:rsidRPr="00AF0CC3" w:rsidRDefault="00833AED" w:rsidP="00833AED">
            <w:pPr>
              <w:spacing w:after="200" w:line="240" w:lineRule="auto"/>
              <w:rPr>
                <w:rFonts w:ascii="Times New Roman" w:eastAsia="MS Mincho" w:hAnsi="Times New Roman" w:cs="Times New Roman"/>
                <w:b/>
                <w:bCs/>
                <w:color w:val="000000" w:themeColor="text1"/>
                <w:kern w:val="0"/>
                <w14:ligatures w14:val="none"/>
              </w:rPr>
            </w:pPr>
          </w:p>
        </w:tc>
      </w:tr>
    </w:tbl>
    <w:p w14:paraId="1FD58E30" w14:textId="77777777" w:rsidR="00833AED" w:rsidRPr="00AF0CC3" w:rsidRDefault="00833AED" w:rsidP="00833AED">
      <w:pPr>
        <w:spacing w:line="240" w:lineRule="auto"/>
        <w:rPr>
          <w:rFonts w:ascii="Times New Roman" w:hAnsi="Times New Roman" w:cs="Times New Roman"/>
          <w:color w:val="000000" w:themeColor="text1"/>
        </w:rPr>
      </w:pPr>
    </w:p>
    <w:p w14:paraId="5EBC7943" w14:textId="53DD70D4" w:rsidR="00833AED" w:rsidRPr="00AF0CC3" w:rsidRDefault="00833AED" w:rsidP="00833AED">
      <w:pPr>
        <w:spacing w:line="240" w:lineRule="auto"/>
        <w:rPr>
          <w:rFonts w:ascii="Times New Roman" w:hAnsi="Times New Roman" w:cs="Times New Roman"/>
          <w:color w:val="000000" w:themeColor="text1"/>
        </w:rPr>
      </w:pPr>
      <w:r w:rsidRPr="00AF0CC3">
        <w:rPr>
          <w:rFonts w:ascii="Times New Roman" w:hAnsi="Times New Roman" w:cs="Times New Roman"/>
          <w:color w:val="000000" w:themeColor="text1"/>
        </w:rPr>
        <w:t>Table 2</w:t>
      </w:r>
      <w:r w:rsidR="00CF2FB7" w:rsidRPr="00AF0CC3">
        <w:rPr>
          <w:rFonts w:ascii="Times New Roman" w:hAnsi="Times New Roman" w:cs="Times New Roman"/>
          <w:color w:val="000000" w:themeColor="text1"/>
        </w:rPr>
        <w:t>-</w:t>
      </w:r>
      <w:r w:rsidRPr="00AF0CC3">
        <w:rPr>
          <w:rFonts w:ascii="Times New Roman" w:hAnsi="Times New Roman" w:cs="Times New Roman"/>
          <w:color w:val="000000" w:themeColor="text1"/>
        </w:rPr>
        <w:t xml:space="preserve">3 illustrates how governance weaknesses manifest at distinct stages of the project lifecycle. The table shows that early-stage preparation failures often lead to downstream disputes during procurement and implementation. Rather than treating governance breakdown as episodic, the table supports a cumulative model in which unresolved risks propagate over time. </w:t>
      </w:r>
      <w:r w:rsidRPr="00AF0CC3">
        <w:rPr>
          <w:rFonts w:ascii="Times New Roman" w:hAnsi="Times New Roman" w:cs="Times New Roman"/>
          <w:color w:val="000000" w:themeColor="text1"/>
        </w:rPr>
        <w:lastRenderedPageBreak/>
        <w:t>This lifecycle framing underpins the study’s emphasis on early governance quality as a predictor of project stalling.</w:t>
      </w:r>
    </w:p>
    <w:p w14:paraId="7F84F785" w14:textId="77777777" w:rsidR="00833AED" w:rsidRPr="00AF0CC3" w:rsidRDefault="00833AED" w:rsidP="00833AED">
      <w:pPr>
        <w:spacing w:line="240" w:lineRule="auto"/>
        <w:rPr>
          <w:rFonts w:ascii="Times New Roman" w:hAnsi="Times New Roman" w:cs="Times New Roman"/>
          <w:color w:val="000000" w:themeColor="text1"/>
        </w:rPr>
      </w:pPr>
    </w:p>
    <w:p w14:paraId="2B18B702" w14:textId="77777777" w:rsidR="00833AED" w:rsidRPr="00AF0CC3" w:rsidRDefault="00833AED" w:rsidP="00833AED">
      <w:pPr>
        <w:spacing w:line="240" w:lineRule="auto"/>
        <w:rPr>
          <w:rFonts w:ascii="Times New Roman" w:hAnsi="Times New Roman" w:cs="Times New Roman"/>
          <w:color w:val="000000" w:themeColor="text1"/>
        </w:rPr>
      </w:pPr>
      <w:r w:rsidRPr="00AF0CC3">
        <w:rPr>
          <w:rFonts w:ascii="Times New Roman" w:hAnsi="Times New Roman" w:cs="Times New Roman"/>
          <w:color w:val="000000" w:themeColor="text1"/>
        </w:rPr>
        <w:t>Governance weaknesses rarely remain contained within the stage at which they originate. Instead, they compound, narrowing the range of feasible corrective actions as projects advance. By the time construction halts, the roots of stalling often lie several stages earlier.</w:t>
      </w:r>
    </w:p>
    <w:p w14:paraId="333AE09E" w14:textId="77777777" w:rsidR="00583ACD" w:rsidRPr="00AF0CC3" w:rsidRDefault="00583ACD" w:rsidP="00833AED">
      <w:pPr>
        <w:spacing w:line="240" w:lineRule="auto"/>
        <w:rPr>
          <w:rFonts w:ascii="Times New Roman" w:hAnsi="Times New Roman" w:cs="Times New Roman"/>
          <w:color w:val="000000" w:themeColor="text1"/>
        </w:rPr>
      </w:pPr>
    </w:p>
    <w:p w14:paraId="33526898" w14:textId="77777777" w:rsidR="00583ACD" w:rsidRPr="00AF0CC3" w:rsidRDefault="00583ACD" w:rsidP="00833AED">
      <w:pPr>
        <w:spacing w:line="240" w:lineRule="auto"/>
        <w:rPr>
          <w:rFonts w:ascii="Times New Roman" w:hAnsi="Times New Roman" w:cs="Times New Roman"/>
          <w:color w:val="000000" w:themeColor="text1"/>
        </w:rPr>
      </w:pPr>
    </w:p>
    <w:p w14:paraId="6DFAAD2F" w14:textId="3801228A" w:rsidR="00A67067" w:rsidRPr="00AF0CC3" w:rsidRDefault="00194F53" w:rsidP="00194F53">
      <w:pPr>
        <w:pStyle w:val="Heading3"/>
        <w:rPr>
          <w:rFonts w:cs="Times New Roman"/>
          <w:b w:val="0"/>
          <w:bCs/>
          <w:color w:val="000000" w:themeColor="text1"/>
          <w:szCs w:val="24"/>
        </w:rPr>
      </w:pPr>
      <w:bookmarkStart w:id="110" w:name="_Toc234344771"/>
      <w:bookmarkStart w:id="111" w:name="_Toc234489003"/>
      <w:r w:rsidRPr="00AF0CC3">
        <w:rPr>
          <w:rFonts w:cs="Times New Roman"/>
          <w:bCs/>
          <w:color w:val="000000" w:themeColor="text1"/>
          <w:szCs w:val="24"/>
        </w:rPr>
        <w:t>Governance</w:t>
      </w:r>
      <w:r w:rsidR="00A67067" w:rsidRPr="00AF0CC3">
        <w:rPr>
          <w:rFonts w:cs="Times New Roman"/>
          <w:bCs/>
          <w:color w:val="000000" w:themeColor="text1"/>
          <w:szCs w:val="24"/>
        </w:rPr>
        <w:t xml:space="preserve"> Failure as a Dynamic Institutional Process</w:t>
      </w:r>
      <w:bookmarkEnd w:id="110"/>
      <w:bookmarkEnd w:id="111"/>
    </w:p>
    <w:p w14:paraId="44D2E8D9" w14:textId="77777777" w:rsidR="00A67067" w:rsidRPr="00AF0CC3" w:rsidRDefault="00A67067" w:rsidP="00A67067">
      <w:pPr>
        <w:spacing w:line="240" w:lineRule="auto"/>
        <w:rPr>
          <w:rFonts w:ascii="Times New Roman" w:hAnsi="Times New Roman" w:cs="Times New Roman"/>
          <w:color w:val="000000" w:themeColor="text1"/>
        </w:rPr>
      </w:pPr>
    </w:p>
    <w:p w14:paraId="6A3BA193" w14:textId="77777777" w:rsidR="00A67067" w:rsidRPr="00AF0CC3" w:rsidRDefault="00A67067" w:rsidP="00A67067">
      <w:pPr>
        <w:spacing w:line="240" w:lineRule="auto"/>
        <w:rPr>
          <w:rFonts w:ascii="Times New Roman" w:hAnsi="Times New Roman" w:cs="Times New Roman"/>
          <w:color w:val="000000" w:themeColor="text1"/>
        </w:rPr>
      </w:pPr>
      <w:r w:rsidRPr="00AF0CC3">
        <w:rPr>
          <w:rFonts w:ascii="Times New Roman" w:hAnsi="Times New Roman" w:cs="Times New Roman"/>
          <w:color w:val="000000" w:themeColor="text1"/>
        </w:rPr>
        <w:t>Existing infrastructure governance literature frequently examines governance failures through individual administrative deficiencies such as procurement irregularities, inadequate financial management, weak accountability, political interference, or poor project supervision (Flyvbjerg, 2014; OECD, 2020; World Bank, 2017). While these perspectives have generated important insights, they often treat governance failures as discrete events or isolated weaknesses occurring at particular stages of the infrastructure lifecycle. Comparatively less attention has been given to the way governance deficiencies accumulate, interact, and reinforce one another over time to influence overall project performance.</w:t>
      </w:r>
    </w:p>
    <w:p w14:paraId="0CB26EF4" w14:textId="77777777" w:rsidR="00A67067" w:rsidRPr="00AF0CC3" w:rsidRDefault="00A67067" w:rsidP="00A67067">
      <w:pPr>
        <w:spacing w:line="240" w:lineRule="auto"/>
        <w:rPr>
          <w:rFonts w:ascii="Times New Roman" w:hAnsi="Times New Roman" w:cs="Times New Roman"/>
          <w:color w:val="000000" w:themeColor="text1"/>
        </w:rPr>
      </w:pPr>
    </w:p>
    <w:p w14:paraId="3457455B" w14:textId="77777777" w:rsidR="00A67067" w:rsidRPr="00AF0CC3" w:rsidRDefault="00A67067" w:rsidP="00A67067">
      <w:pPr>
        <w:spacing w:line="240" w:lineRule="auto"/>
        <w:rPr>
          <w:rFonts w:ascii="Times New Roman" w:hAnsi="Times New Roman" w:cs="Times New Roman"/>
          <w:color w:val="000000" w:themeColor="text1"/>
        </w:rPr>
      </w:pPr>
      <w:r w:rsidRPr="00AF0CC3">
        <w:rPr>
          <w:rFonts w:ascii="Times New Roman" w:hAnsi="Times New Roman" w:cs="Times New Roman"/>
          <w:color w:val="000000" w:themeColor="text1"/>
        </w:rPr>
        <w:t>From an institutional perspective, infrastructure governance operates as an interconnected system rather than a sequence of independent administrative activities. Decisions taken during project identification and preparation influence procurement outcomes; procurement processes affect contract administration; contract management shapes implementation performance; and implementation experiences influence monitoring, accountability, and project completion. Consequently, governance weaknesses emerging at one stage of the project lifecycle may generate cascading effects that progressively undermine subsequent governance processes. Understanding governance failure therefore requires consideration of the dynamic interactions among governance mechanisms rather than examination of individual governance dimensions in isolation.</w:t>
      </w:r>
    </w:p>
    <w:p w14:paraId="130C8F2D" w14:textId="77777777" w:rsidR="00A67067" w:rsidRPr="00AF0CC3" w:rsidRDefault="00A67067" w:rsidP="00A67067">
      <w:pPr>
        <w:spacing w:line="240" w:lineRule="auto"/>
        <w:rPr>
          <w:rFonts w:ascii="Times New Roman" w:hAnsi="Times New Roman" w:cs="Times New Roman"/>
          <w:color w:val="000000" w:themeColor="text1"/>
        </w:rPr>
      </w:pPr>
    </w:p>
    <w:p w14:paraId="63DD6007" w14:textId="77777777" w:rsidR="00A67067" w:rsidRPr="00AF0CC3" w:rsidRDefault="00A67067" w:rsidP="00A67067">
      <w:pPr>
        <w:spacing w:line="240" w:lineRule="auto"/>
        <w:rPr>
          <w:rFonts w:ascii="Times New Roman" w:hAnsi="Times New Roman" w:cs="Times New Roman"/>
          <w:color w:val="000000" w:themeColor="text1"/>
        </w:rPr>
      </w:pPr>
      <w:r w:rsidRPr="00AF0CC3">
        <w:rPr>
          <w:rFonts w:ascii="Times New Roman" w:hAnsi="Times New Roman" w:cs="Times New Roman"/>
          <w:color w:val="000000" w:themeColor="text1"/>
        </w:rPr>
        <w:t>This systemic perspective is consistent with institutional governance theory, which views organizational performance as the product of interactions among formal rules, administrative structures, organizational routines, and institutional capabilities rather than the effectiveness of any single governance mechanism (Scott, 2014). Similarly, lifecycle governance perspectives emphasize that governance responsibilities extend across the entire project lifecycle, from project conception to post-completion evaluation. However, existing lifecycle frameworks primarily describe governance activities associated with each implementation stage and provide comparatively limited explanation of how governance failures propagate across stages or how multiple weaknesses combine to influence infrastructure outcomes.</w:t>
      </w:r>
    </w:p>
    <w:p w14:paraId="3EB9CC9A" w14:textId="77777777" w:rsidR="00A67067" w:rsidRPr="00AF0CC3" w:rsidRDefault="00A67067" w:rsidP="00A67067">
      <w:pPr>
        <w:spacing w:line="240" w:lineRule="auto"/>
        <w:rPr>
          <w:rFonts w:ascii="Times New Roman" w:hAnsi="Times New Roman" w:cs="Times New Roman"/>
          <w:color w:val="000000" w:themeColor="text1"/>
        </w:rPr>
      </w:pPr>
    </w:p>
    <w:p w14:paraId="78EB0489" w14:textId="77777777" w:rsidR="00A67067" w:rsidRPr="00AF0CC3" w:rsidRDefault="00A67067" w:rsidP="00A67067">
      <w:pPr>
        <w:spacing w:line="240" w:lineRule="auto"/>
        <w:rPr>
          <w:rFonts w:ascii="Times New Roman" w:hAnsi="Times New Roman" w:cs="Times New Roman"/>
          <w:color w:val="000000" w:themeColor="text1"/>
        </w:rPr>
      </w:pPr>
      <w:r w:rsidRPr="00AF0CC3">
        <w:rPr>
          <w:rFonts w:ascii="Times New Roman" w:hAnsi="Times New Roman" w:cs="Times New Roman"/>
          <w:color w:val="000000" w:themeColor="text1"/>
        </w:rPr>
        <w:lastRenderedPageBreak/>
        <w:t>Infrastructure projects are particularly susceptible to cumulative governance effects because of their long implementation horizons, multiple stakeholders, complex contractual arrangements, and dependence on sustained institutional coordination. For example, weaknesses in feasibility studies may lead to unrealistic project scope, inaccurate cost estimates, or inadequate risk identification. These shortcomings may subsequently influence procurement decisions, contribute to contract variations, increase implementation uncertainty, and generate financing pressures during project execution. Delays in contractor payments may further reduce contractor performance, contribute to contractual disputes, interrupt construction activities, and ultimately increase the likelihood of project delay or suspension. Similarly, weak documentation systems may constrain monitoring, reduce transparency, limit accountability, and impede timely corrective action when implementation challenges emerge. In practice, governance failures rarely occur independently; they frequently interact to create reinforcing cycles of institutional weakness that become increasingly difficult to reverse as projects progress.</w:t>
      </w:r>
    </w:p>
    <w:p w14:paraId="6B19FEBE" w14:textId="77777777" w:rsidR="00A67067" w:rsidRPr="00AF0CC3" w:rsidRDefault="00A67067" w:rsidP="00A67067">
      <w:pPr>
        <w:spacing w:line="240" w:lineRule="auto"/>
        <w:rPr>
          <w:rFonts w:ascii="Times New Roman" w:hAnsi="Times New Roman" w:cs="Times New Roman"/>
          <w:color w:val="000000" w:themeColor="text1"/>
        </w:rPr>
      </w:pPr>
    </w:p>
    <w:p w14:paraId="5F4EAC58" w14:textId="77777777" w:rsidR="00A67067" w:rsidRPr="00AF0CC3" w:rsidRDefault="00A67067" w:rsidP="00A67067">
      <w:pPr>
        <w:spacing w:line="240" w:lineRule="auto"/>
        <w:rPr>
          <w:rFonts w:ascii="Times New Roman" w:hAnsi="Times New Roman" w:cs="Times New Roman"/>
          <w:color w:val="000000" w:themeColor="text1"/>
        </w:rPr>
      </w:pPr>
      <w:r w:rsidRPr="00AF0CC3">
        <w:rPr>
          <w:rFonts w:ascii="Times New Roman" w:hAnsi="Times New Roman" w:cs="Times New Roman"/>
          <w:color w:val="000000" w:themeColor="text1"/>
        </w:rPr>
        <w:t>This dynamic understanding of governance is also supported by research on complex public-sector programmes, which suggests that implementation outcomes emerge from the interaction of multiple institutional processes operating simultaneously rather than from single administrative decisions (Andrews, Pritchett, &amp; Woolcock, 2017). Complex infrastructure projects require continuous coordination among government agencies, financiers, contractors, regulators, oversight institutions, and affected communities. Weaknesses affecting one institutional actor therefore have the potential to influence the performance of the broader governance system. Governance failure should therefore be understood as an emergent property of interconnected institutional processes rather than simply the consequence of isolated administrative deficiencies.</w:t>
      </w:r>
    </w:p>
    <w:p w14:paraId="68368668" w14:textId="77777777" w:rsidR="00A67067" w:rsidRPr="00AF0CC3" w:rsidRDefault="00A67067" w:rsidP="00A67067">
      <w:pPr>
        <w:spacing w:line="240" w:lineRule="auto"/>
        <w:rPr>
          <w:rFonts w:ascii="Times New Roman" w:hAnsi="Times New Roman" w:cs="Times New Roman"/>
          <w:color w:val="000000" w:themeColor="text1"/>
        </w:rPr>
      </w:pPr>
    </w:p>
    <w:p w14:paraId="0ECF26D7" w14:textId="29F3F664" w:rsidR="00A67067" w:rsidRPr="00AF0CC3" w:rsidRDefault="00F866DB" w:rsidP="00A67067">
      <w:pPr>
        <w:spacing w:line="240" w:lineRule="auto"/>
        <w:rPr>
          <w:rFonts w:ascii="Times New Roman" w:hAnsi="Times New Roman" w:cs="Times New Roman"/>
          <w:color w:val="000000" w:themeColor="text1"/>
        </w:rPr>
      </w:pPr>
      <w:r w:rsidRPr="00AF0CC3">
        <w:rPr>
          <w:rFonts w:ascii="Times New Roman" w:hAnsi="Times New Roman" w:cs="Times New Roman"/>
          <w:color w:val="000000" w:themeColor="text1"/>
        </w:rPr>
        <w:t>Recognizing</w:t>
      </w:r>
      <w:r w:rsidR="00A67067" w:rsidRPr="00AF0CC3">
        <w:rPr>
          <w:rFonts w:ascii="Times New Roman" w:hAnsi="Times New Roman" w:cs="Times New Roman"/>
          <w:color w:val="000000" w:themeColor="text1"/>
        </w:rPr>
        <w:t xml:space="preserve"> governance failure as a dynamic institutional process has important implications for both research and practice. Analytically, it suggests that governance quality should be assessed through multiple complementary dimensions that capture the interaction among procurement, financial management, institutional coordination, contract supervision, documentation, accountability, and risk management. Practically, it implies that governance reforms focused exclusively on individual administrative functions may achieve only limited improvements if broader institutional interactions remain weak. Sustainable improvements in infrastructure delivery are therefore more likely to arise from strengthening governance systems as integrated institutional arrangements rather than implementing isolated governance interventions.</w:t>
      </w:r>
    </w:p>
    <w:p w14:paraId="3C11BE87" w14:textId="77777777" w:rsidR="00A67067" w:rsidRPr="00AF0CC3" w:rsidRDefault="00A67067" w:rsidP="00A67067">
      <w:pPr>
        <w:spacing w:line="240" w:lineRule="auto"/>
        <w:rPr>
          <w:rFonts w:ascii="Times New Roman" w:hAnsi="Times New Roman" w:cs="Times New Roman"/>
          <w:color w:val="000000" w:themeColor="text1"/>
        </w:rPr>
      </w:pPr>
    </w:p>
    <w:p w14:paraId="78265B5D" w14:textId="2B3E1CE4" w:rsidR="00583ACD" w:rsidRPr="00AF0CC3" w:rsidRDefault="00A67067" w:rsidP="00A67067">
      <w:pPr>
        <w:spacing w:line="240" w:lineRule="auto"/>
        <w:rPr>
          <w:rFonts w:ascii="Times New Roman" w:hAnsi="Times New Roman" w:cs="Times New Roman"/>
          <w:color w:val="000000" w:themeColor="text1"/>
        </w:rPr>
      </w:pPr>
      <w:r w:rsidRPr="00AF0CC3">
        <w:rPr>
          <w:rFonts w:ascii="Times New Roman" w:hAnsi="Times New Roman" w:cs="Times New Roman"/>
          <w:color w:val="000000" w:themeColor="text1"/>
        </w:rPr>
        <w:t xml:space="preserve">The present study adopts this systemic perspective by </w:t>
      </w:r>
      <w:r w:rsidR="00F866DB" w:rsidRPr="00AF0CC3">
        <w:rPr>
          <w:rFonts w:ascii="Times New Roman" w:hAnsi="Times New Roman" w:cs="Times New Roman"/>
          <w:color w:val="000000" w:themeColor="text1"/>
        </w:rPr>
        <w:t>conceptualizing</w:t>
      </w:r>
      <w:r w:rsidRPr="00AF0CC3">
        <w:rPr>
          <w:rFonts w:ascii="Times New Roman" w:hAnsi="Times New Roman" w:cs="Times New Roman"/>
          <w:color w:val="000000" w:themeColor="text1"/>
        </w:rPr>
        <w:t xml:space="preserve"> governance quality as the cumulative interaction of multiple governance processes operating across the infrastructure lifecycle. Rather than assuming that individual governance mechanisms independently determine infrastructure outcomes, the study proposes that project performance is associated with the extent to which governance processes function coherently as an integrated institutional system. This proposition provides the theoretical foundation for the empirical analysis undertaken in Chapters Four and Five and informs the development of the Infrastructure Governance Failure Pathway Model presented later in the thesis. The model illustrates how governance deficiencies </w:t>
      </w:r>
      <w:r w:rsidRPr="00AF0CC3">
        <w:rPr>
          <w:rFonts w:ascii="Times New Roman" w:hAnsi="Times New Roman" w:cs="Times New Roman"/>
          <w:color w:val="000000" w:themeColor="text1"/>
        </w:rPr>
        <w:lastRenderedPageBreak/>
        <w:t>originating during project preparation, procurement, implementation, oversight, and accountability may accumulate over time to influence implementation continuity, project stalling, financial performance, and overall infrastructure delivery outcomes.</w:t>
      </w:r>
    </w:p>
    <w:p w14:paraId="7F5A864F" w14:textId="77777777" w:rsidR="00583ACD" w:rsidRPr="00AF0CC3" w:rsidRDefault="00583ACD" w:rsidP="00833AED">
      <w:pPr>
        <w:spacing w:line="240" w:lineRule="auto"/>
        <w:rPr>
          <w:rFonts w:ascii="Times New Roman" w:hAnsi="Times New Roman" w:cs="Times New Roman"/>
          <w:color w:val="000000" w:themeColor="text1"/>
        </w:rPr>
      </w:pPr>
    </w:p>
    <w:p w14:paraId="7033E113" w14:textId="77777777" w:rsidR="00583ACD" w:rsidRPr="00AF0CC3" w:rsidRDefault="00583ACD" w:rsidP="00833AED">
      <w:pPr>
        <w:spacing w:line="240" w:lineRule="auto"/>
        <w:rPr>
          <w:rFonts w:ascii="Times New Roman" w:hAnsi="Times New Roman" w:cs="Times New Roman"/>
          <w:color w:val="000000" w:themeColor="text1"/>
        </w:rPr>
      </w:pPr>
    </w:p>
    <w:p w14:paraId="6E318DC8" w14:textId="77777777" w:rsidR="00833AED" w:rsidRPr="00AF0CC3" w:rsidRDefault="00833AED" w:rsidP="00833AED">
      <w:pPr>
        <w:spacing w:line="240" w:lineRule="auto"/>
        <w:rPr>
          <w:rFonts w:ascii="Times New Roman" w:hAnsi="Times New Roman" w:cs="Times New Roman"/>
          <w:color w:val="000000" w:themeColor="text1"/>
        </w:rPr>
      </w:pPr>
    </w:p>
    <w:p w14:paraId="7E192B7C" w14:textId="3D0D454C" w:rsidR="00833AED" w:rsidRPr="00AF0CC3" w:rsidRDefault="00833AED" w:rsidP="00545817">
      <w:pPr>
        <w:pStyle w:val="Heading2"/>
        <w:rPr>
          <w:rFonts w:cs="Times New Roman"/>
          <w:b w:val="0"/>
          <w:bCs/>
          <w:color w:val="000000" w:themeColor="text1"/>
          <w:szCs w:val="24"/>
        </w:rPr>
      </w:pPr>
      <w:bookmarkStart w:id="112" w:name="_Toc223623381"/>
      <w:bookmarkStart w:id="113" w:name="_Toc234344772"/>
      <w:bookmarkStart w:id="114" w:name="_Toc234489004"/>
      <w:r w:rsidRPr="00AF0CC3">
        <w:rPr>
          <w:rStyle w:val="Heading2Char"/>
          <w:rFonts w:cs="Times New Roman"/>
          <w:color w:val="000000" w:themeColor="text1"/>
          <w:szCs w:val="24"/>
        </w:rPr>
        <w:t>Public–Private Partnerships and the Financialization of Water Infrastructure</w:t>
      </w:r>
      <w:bookmarkEnd w:id="112"/>
      <w:bookmarkEnd w:id="113"/>
      <w:bookmarkEnd w:id="114"/>
    </w:p>
    <w:p w14:paraId="26A641BD" w14:textId="77777777" w:rsidR="00833AED" w:rsidRPr="00AF0CC3" w:rsidRDefault="00833AED" w:rsidP="00833AED">
      <w:pPr>
        <w:spacing w:line="240" w:lineRule="auto"/>
        <w:rPr>
          <w:rFonts w:ascii="Times New Roman" w:hAnsi="Times New Roman" w:cs="Times New Roman"/>
          <w:color w:val="000000" w:themeColor="text1"/>
        </w:rPr>
      </w:pPr>
    </w:p>
    <w:p w14:paraId="5334B5B8" w14:textId="77777777" w:rsidR="00833AED" w:rsidRPr="00AF0CC3" w:rsidRDefault="00833AED" w:rsidP="00833AED">
      <w:pPr>
        <w:spacing w:line="240" w:lineRule="auto"/>
        <w:rPr>
          <w:rFonts w:ascii="Times New Roman" w:hAnsi="Times New Roman" w:cs="Times New Roman"/>
          <w:color w:val="000000" w:themeColor="text1"/>
        </w:rPr>
      </w:pPr>
      <w:r w:rsidRPr="00AF0CC3">
        <w:rPr>
          <w:rFonts w:ascii="Times New Roman" w:hAnsi="Times New Roman" w:cs="Times New Roman"/>
          <w:color w:val="000000" w:themeColor="text1"/>
        </w:rPr>
        <w:t>Public–Private Partnerships (PPPs) occupy a central place in contemporary infrastructure policy discourse. They are often presented as pragmatic responses to fiscal constraints, offering access to private capital, managerial expertise, and risk-sharing mechanisms that governments are presumed to lack. In the water sector, particularly in low- and middle-income countries, PPPs are often framed as a way to accelerate investment in storage, bulk supply, wastewater treatment, and distribution systems while limiting the immediate burden on public budgets.</w:t>
      </w:r>
    </w:p>
    <w:p w14:paraId="282C2751" w14:textId="77777777" w:rsidR="00833AED" w:rsidRPr="00AF0CC3" w:rsidRDefault="00833AED" w:rsidP="00833AED">
      <w:pPr>
        <w:spacing w:line="240" w:lineRule="auto"/>
        <w:rPr>
          <w:rFonts w:ascii="Times New Roman" w:hAnsi="Times New Roman" w:cs="Times New Roman"/>
          <w:color w:val="000000" w:themeColor="text1"/>
        </w:rPr>
      </w:pPr>
    </w:p>
    <w:p w14:paraId="40ED0F3D" w14:textId="77777777" w:rsidR="00833AED" w:rsidRPr="00AF0CC3" w:rsidRDefault="00833AED" w:rsidP="00833AED">
      <w:pPr>
        <w:spacing w:line="240" w:lineRule="auto"/>
        <w:rPr>
          <w:rFonts w:ascii="Times New Roman" w:hAnsi="Times New Roman" w:cs="Times New Roman"/>
          <w:color w:val="000000" w:themeColor="text1"/>
        </w:rPr>
      </w:pPr>
      <w:r w:rsidRPr="00AF0CC3">
        <w:rPr>
          <w:rFonts w:ascii="Times New Roman" w:hAnsi="Times New Roman" w:cs="Times New Roman"/>
          <w:color w:val="000000" w:themeColor="text1"/>
        </w:rPr>
        <w:t>However, empirical and theoretical literature present a far more ambivalent picture. While PPPs may alter financing structures, they do not automatically strengthen governance capacity. In some contexts, they introduce additional layers of contractual and financial complexity that amplify existing institutional weaknesses rather than resolving them. The question is therefore not whether PPPs are inherently superior or inferior to traditional procurement models, but whether the governance arrangements within which they operate are robust enough to manage the risks they generate.</w:t>
      </w:r>
    </w:p>
    <w:p w14:paraId="616E7591" w14:textId="77777777" w:rsidR="00833AED" w:rsidRPr="00AF0CC3" w:rsidRDefault="00833AED" w:rsidP="00833AED">
      <w:pPr>
        <w:spacing w:line="240" w:lineRule="auto"/>
        <w:rPr>
          <w:rFonts w:ascii="Times New Roman" w:hAnsi="Times New Roman" w:cs="Times New Roman"/>
          <w:color w:val="000000" w:themeColor="text1"/>
        </w:rPr>
      </w:pPr>
      <w:r w:rsidRPr="00AF0CC3">
        <w:rPr>
          <w:rFonts w:ascii="Times New Roman" w:hAnsi="Times New Roman" w:cs="Times New Roman"/>
          <w:color w:val="000000" w:themeColor="text1"/>
        </w:rPr>
        <w:t>Emerging research also highlights tensions between infrastructure financing models and governance capacity in developing countries, suggesting that financial innovation cannot substitute for strong institutional oversight (Baker &amp; Phillips, 2019).</w:t>
      </w:r>
    </w:p>
    <w:p w14:paraId="65A136C8" w14:textId="77777777" w:rsidR="00833AED" w:rsidRPr="00AF0CC3" w:rsidRDefault="00833AED" w:rsidP="00833AED">
      <w:pPr>
        <w:spacing w:line="240" w:lineRule="auto"/>
        <w:rPr>
          <w:rFonts w:ascii="Times New Roman" w:hAnsi="Times New Roman" w:cs="Times New Roman"/>
          <w:color w:val="000000" w:themeColor="text1"/>
        </w:rPr>
      </w:pPr>
    </w:p>
    <w:p w14:paraId="74BF8134" w14:textId="77777777" w:rsidR="00833AED" w:rsidRPr="00AF0CC3" w:rsidRDefault="00833AED" w:rsidP="00833AED">
      <w:pPr>
        <w:spacing w:line="240" w:lineRule="auto"/>
        <w:rPr>
          <w:rFonts w:ascii="Times New Roman" w:hAnsi="Times New Roman" w:cs="Times New Roman"/>
          <w:color w:val="000000" w:themeColor="text1"/>
        </w:rPr>
      </w:pPr>
      <w:r w:rsidRPr="00AF0CC3">
        <w:rPr>
          <w:rFonts w:ascii="Times New Roman" w:hAnsi="Times New Roman" w:cs="Times New Roman"/>
          <w:color w:val="000000" w:themeColor="text1"/>
        </w:rPr>
        <w:t>This section examines PPPs not as technical financing devices but as governance arrangements embedded within institutional environments. It also examines the related process of infrastructure financialization and its implications for water projects in governance-constrained contexts.</w:t>
      </w:r>
    </w:p>
    <w:p w14:paraId="71CC8CF7" w14:textId="77777777" w:rsidR="00833AED" w:rsidRPr="00AF0CC3" w:rsidRDefault="00833AED" w:rsidP="00833AED">
      <w:pPr>
        <w:spacing w:line="240" w:lineRule="auto"/>
        <w:rPr>
          <w:rFonts w:ascii="Times New Roman" w:hAnsi="Times New Roman" w:cs="Times New Roman"/>
          <w:color w:val="000000" w:themeColor="text1"/>
        </w:rPr>
      </w:pPr>
    </w:p>
    <w:p w14:paraId="4F48E148" w14:textId="7D24F149" w:rsidR="00833AED" w:rsidRPr="00AF0CC3" w:rsidRDefault="00833AED" w:rsidP="00545817">
      <w:pPr>
        <w:pStyle w:val="Heading3"/>
        <w:rPr>
          <w:rFonts w:cs="Times New Roman"/>
          <w:b w:val="0"/>
          <w:bCs/>
          <w:color w:val="000000" w:themeColor="text1"/>
          <w:szCs w:val="24"/>
        </w:rPr>
      </w:pPr>
      <w:bookmarkStart w:id="115" w:name="_Toc223623382"/>
      <w:bookmarkStart w:id="116" w:name="_Toc234344773"/>
      <w:bookmarkStart w:id="117" w:name="_Toc234489005"/>
      <w:r w:rsidRPr="00AF0CC3">
        <w:rPr>
          <w:rStyle w:val="Heading3Char"/>
          <w:rFonts w:cs="Times New Roman"/>
          <w:color w:val="000000" w:themeColor="text1"/>
          <w:szCs w:val="24"/>
        </w:rPr>
        <w:t>Public-Private Partnerships as Governance Frameworks, Not Just Financing Tools</w:t>
      </w:r>
      <w:bookmarkEnd w:id="115"/>
      <w:bookmarkEnd w:id="116"/>
      <w:bookmarkEnd w:id="117"/>
    </w:p>
    <w:p w14:paraId="39F7633E" w14:textId="77777777" w:rsidR="00833AED" w:rsidRPr="00AF0CC3" w:rsidRDefault="00833AED" w:rsidP="00833AED">
      <w:pPr>
        <w:spacing w:line="240" w:lineRule="auto"/>
        <w:rPr>
          <w:rFonts w:ascii="Times New Roman" w:hAnsi="Times New Roman" w:cs="Times New Roman"/>
          <w:color w:val="000000" w:themeColor="text1"/>
        </w:rPr>
      </w:pPr>
    </w:p>
    <w:p w14:paraId="62A7246D" w14:textId="77777777" w:rsidR="00833AED" w:rsidRPr="00AF0CC3" w:rsidRDefault="00833AED" w:rsidP="00833AED">
      <w:pPr>
        <w:spacing w:line="240" w:lineRule="auto"/>
        <w:rPr>
          <w:rFonts w:ascii="Times New Roman" w:hAnsi="Times New Roman" w:cs="Times New Roman"/>
          <w:color w:val="000000" w:themeColor="text1"/>
        </w:rPr>
      </w:pPr>
      <w:r w:rsidRPr="00AF0CC3">
        <w:rPr>
          <w:rFonts w:ascii="Times New Roman" w:hAnsi="Times New Roman" w:cs="Times New Roman"/>
          <w:color w:val="000000" w:themeColor="text1"/>
        </w:rPr>
        <w:t>A recurring weakness in policy debates is the tendency to treat PPPs primarily as financial instruments. This framing obscures a more fundamental reality: PPPs redistribute authority, allocate risk, and redefine accountability relationships over long-term contractual horizons. At their core, they are governance structures.</w:t>
      </w:r>
    </w:p>
    <w:p w14:paraId="412D60CF" w14:textId="77777777" w:rsidR="00833AED" w:rsidRPr="00AF0CC3" w:rsidRDefault="00833AED" w:rsidP="00833AED">
      <w:pPr>
        <w:spacing w:line="240" w:lineRule="auto"/>
        <w:rPr>
          <w:rFonts w:ascii="Times New Roman" w:hAnsi="Times New Roman" w:cs="Times New Roman"/>
          <w:color w:val="000000" w:themeColor="text1"/>
        </w:rPr>
      </w:pPr>
    </w:p>
    <w:p w14:paraId="04E7BEAB" w14:textId="77777777" w:rsidR="00833AED" w:rsidRPr="00AF0CC3" w:rsidRDefault="00833AED" w:rsidP="00833AED">
      <w:pPr>
        <w:spacing w:line="240" w:lineRule="auto"/>
        <w:rPr>
          <w:rFonts w:ascii="Times New Roman" w:hAnsi="Times New Roman" w:cs="Times New Roman"/>
          <w:color w:val="000000" w:themeColor="text1"/>
        </w:rPr>
      </w:pPr>
      <w:r w:rsidRPr="00AF0CC3">
        <w:rPr>
          <w:rFonts w:ascii="Times New Roman" w:hAnsi="Times New Roman" w:cs="Times New Roman"/>
          <w:color w:val="000000" w:themeColor="text1"/>
        </w:rPr>
        <w:t>Yescombe (2018) emphasizes that the success of PPPs depends less on contractual form than on the institutional capacity to design, monitor, and enforce those contracts. Governments must be able to clearly specify risks, assess fiscal implications, and manage renegotiations without undermining public-interest objectives. Where such capacity is weak, contracts may be formally sophisticated yet substantively fragile.</w:t>
      </w:r>
    </w:p>
    <w:p w14:paraId="498A54F3" w14:textId="77777777" w:rsidR="00833AED" w:rsidRPr="00AF0CC3" w:rsidRDefault="00833AED" w:rsidP="00833AED">
      <w:pPr>
        <w:spacing w:line="240" w:lineRule="auto"/>
        <w:rPr>
          <w:rFonts w:ascii="Times New Roman" w:hAnsi="Times New Roman" w:cs="Times New Roman"/>
          <w:color w:val="000000" w:themeColor="text1"/>
        </w:rPr>
      </w:pPr>
    </w:p>
    <w:p w14:paraId="5AE9DC45" w14:textId="77777777" w:rsidR="00833AED" w:rsidRPr="00AF0CC3" w:rsidRDefault="00833AED" w:rsidP="00833AED">
      <w:pPr>
        <w:spacing w:line="240" w:lineRule="auto"/>
        <w:rPr>
          <w:rFonts w:ascii="Times New Roman" w:hAnsi="Times New Roman" w:cs="Times New Roman"/>
          <w:color w:val="000000" w:themeColor="text1"/>
        </w:rPr>
      </w:pPr>
      <w:r w:rsidRPr="00AF0CC3">
        <w:rPr>
          <w:rFonts w:ascii="Times New Roman" w:hAnsi="Times New Roman" w:cs="Times New Roman"/>
          <w:color w:val="000000" w:themeColor="text1"/>
        </w:rPr>
        <w:t>Empirical studies comparing PPPs and traditionally procured projects find no consistent performance advantage once governance quality is accounted for. In weak institutional PPPs, experience delays, cost escalation, and dispute dynamics similar to those observed in publicly funded projects. In some cases, contractual rigidity may constrain adaptive responses when unforeseen risks materialize.</w:t>
      </w:r>
    </w:p>
    <w:p w14:paraId="58B435C8" w14:textId="77777777" w:rsidR="00833AED" w:rsidRPr="00AF0CC3" w:rsidRDefault="00833AED" w:rsidP="00833AED">
      <w:pPr>
        <w:spacing w:line="240" w:lineRule="auto"/>
        <w:rPr>
          <w:rFonts w:ascii="Times New Roman" w:hAnsi="Times New Roman" w:cs="Times New Roman"/>
          <w:color w:val="000000" w:themeColor="text1"/>
        </w:rPr>
      </w:pPr>
    </w:p>
    <w:p w14:paraId="14801705" w14:textId="77777777" w:rsidR="00833AED" w:rsidRPr="00AF0CC3" w:rsidRDefault="00833AED" w:rsidP="00833AED">
      <w:pPr>
        <w:spacing w:line="240" w:lineRule="auto"/>
        <w:rPr>
          <w:rFonts w:ascii="Times New Roman" w:hAnsi="Times New Roman" w:cs="Times New Roman"/>
          <w:color w:val="000000" w:themeColor="text1"/>
        </w:rPr>
      </w:pPr>
      <w:r w:rsidRPr="00AF0CC3">
        <w:rPr>
          <w:rFonts w:ascii="Times New Roman" w:hAnsi="Times New Roman" w:cs="Times New Roman"/>
          <w:color w:val="000000" w:themeColor="text1"/>
        </w:rPr>
        <w:t>The water sector intensifies these governance demands. Water infrastructure projects typically involve long construction periods, uncertain demand projections, politically sensitive tariff structures, and complex stakeholder landscapes. Risk allocation in such projects is inherently contentious. Where governance capacity is limited, risks may be misallocated at the design stage, only to resurface later as renegotiation or stalled progress.</w:t>
      </w:r>
    </w:p>
    <w:p w14:paraId="10FFDABC" w14:textId="77777777" w:rsidR="00833AED" w:rsidRPr="00AF0CC3" w:rsidRDefault="00833AED" w:rsidP="00833AED">
      <w:pPr>
        <w:spacing w:line="240" w:lineRule="auto"/>
        <w:rPr>
          <w:rFonts w:ascii="Times New Roman" w:hAnsi="Times New Roman" w:cs="Times New Roman"/>
          <w:color w:val="000000" w:themeColor="text1"/>
        </w:rPr>
      </w:pPr>
    </w:p>
    <w:p w14:paraId="42770F73" w14:textId="77777777" w:rsidR="00833AED" w:rsidRPr="00AF0CC3" w:rsidRDefault="00833AED" w:rsidP="00833AED">
      <w:pPr>
        <w:spacing w:line="240" w:lineRule="auto"/>
        <w:rPr>
          <w:rFonts w:ascii="Times New Roman" w:hAnsi="Times New Roman" w:cs="Times New Roman"/>
          <w:color w:val="000000" w:themeColor="text1"/>
        </w:rPr>
      </w:pPr>
      <w:r w:rsidRPr="00AF0CC3">
        <w:rPr>
          <w:rFonts w:ascii="Times New Roman" w:hAnsi="Times New Roman" w:cs="Times New Roman"/>
          <w:color w:val="000000" w:themeColor="text1"/>
        </w:rPr>
        <w:t>In this sense, PPPs do not substitute for governance quality, but they magnify its importance.</w:t>
      </w:r>
    </w:p>
    <w:p w14:paraId="6C988E9C" w14:textId="77777777" w:rsidR="00833AED" w:rsidRPr="00AF0CC3" w:rsidRDefault="00833AED" w:rsidP="00833AED">
      <w:pPr>
        <w:spacing w:line="240" w:lineRule="auto"/>
        <w:rPr>
          <w:rFonts w:ascii="Times New Roman" w:hAnsi="Times New Roman" w:cs="Times New Roman"/>
          <w:color w:val="000000" w:themeColor="text1"/>
        </w:rPr>
      </w:pPr>
    </w:p>
    <w:p w14:paraId="33A3DCBA" w14:textId="47F475B5" w:rsidR="00833AED" w:rsidRPr="00AF0CC3" w:rsidRDefault="00833AED" w:rsidP="001B7F5D">
      <w:pPr>
        <w:pStyle w:val="Heading3"/>
        <w:rPr>
          <w:rFonts w:cs="Times New Roman"/>
          <w:color w:val="000000" w:themeColor="text1"/>
          <w:szCs w:val="24"/>
        </w:rPr>
      </w:pPr>
      <w:bookmarkStart w:id="118" w:name="_Toc223623383"/>
      <w:bookmarkStart w:id="119" w:name="_Toc234344774"/>
      <w:bookmarkStart w:id="120" w:name="_Toc234489006"/>
      <w:r w:rsidRPr="00AF0CC3">
        <w:rPr>
          <w:rFonts w:cs="Times New Roman"/>
          <w:color w:val="000000" w:themeColor="text1"/>
          <w:szCs w:val="24"/>
        </w:rPr>
        <w:t>Risk Allocation, Renegotiation, and Project Stalling</w:t>
      </w:r>
      <w:bookmarkEnd w:id="118"/>
      <w:bookmarkEnd w:id="119"/>
      <w:bookmarkEnd w:id="120"/>
    </w:p>
    <w:p w14:paraId="30578E55" w14:textId="77777777" w:rsidR="00833AED" w:rsidRPr="00AF0CC3" w:rsidRDefault="00833AED" w:rsidP="00833AED">
      <w:pPr>
        <w:spacing w:line="240" w:lineRule="auto"/>
        <w:rPr>
          <w:rFonts w:ascii="Times New Roman" w:hAnsi="Times New Roman" w:cs="Times New Roman"/>
          <w:color w:val="000000" w:themeColor="text1"/>
        </w:rPr>
      </w:pPr>
    </w:p>
    <w:p w14:paraId="29FC26A7" w14:textId="77777777" w:rsidR="00833AED" w:rsidRPr="00AF0CC3" w:rsidRDefault="00833AED" w:rsidP="00833AED">
      <w:pPr>
        <w:spacing w:line="240" w:lineRule="auto"/>
        <w:rPr>
          <w:rFonts w:ascii="Times New Roman" w:hAnsi="Times New Roman" w:cs="Times New Roman"/>
          <w:color w:val="000000" w:themeColor="text1"/>
        </w:rPr>
      </w:pPr>
      <w:r w:rsidRPr="00AF0CC3">
        <w:rPr>
          <w:rFonts w:ascii="Times New Roman" w:hAnsi="Times New Roman" w:cs="Times New Roman"/>
          <w:color w:val="000000" w:themeColor="text1"/>
        </w:rPr>
        <w:t>Risk allocation is frequently presented as the defining advantage of PPPs. In theory, risks should be allocated to the party best positioned to manage them. Construction risk may be assigned to private contractors; regulatory and political risk may remain with the government. This logic presumes information symmetry, bargaining balance, and credible enforcement.</w:t>
      </w:r>
    </w:p>
    <w:p w14:paraId="49638AFE" w14:textId="77777777" w:rsidR="00833AED" w:rsidRPr="00AF0CC3" w:rsidRDefault="00833AED" w:rsidP="00833AED">
      <w:pPr>
        <w:spacing w:line="240" w:lineRule="auto"/>
        <w:rPr>
          <w:rFonts w:ascii="Times New Roman" w:hAnsi="Times New Roman" w:cs="Times New Roman"/>
          <w:color w:val="000000" w:themeColor="text1"/>
        </w:rPr>
      </w:pPr>
    </w:p>
    <w:p w14:paraId="0AD80034" w14:textId="77777777" w:rsidR="00833AED" w:rsidRPr="00AF0CC3" w:rsidRDefault="00833AED" w:rsidP="00833AED">
      <w:pPr>
        <w:spacing w:line="240" w:lineRule="auto"/>
        <w:rPr>
          <w:rFonts w:ascii="Times New Roman" w:hAnsi="Times New Roman" w:cs="Times New Roman"/>
          <w:color w:val="000000" w:themeColor="text1"/>
        </w:rPr>
      </w:pPr>
      <w:r w:rsidRPr="00AF0CC3">
        <w:rPr>
          <w:rFonts w:ascii="Times New Roman" w:hAnsi="Times New Roman" w:cs="Times New Roman"/>
          <w:color w:val="000000" w:themeColor="text1"/>
        </w:rPr>
        <w:t>The literature, however, shows that risk allocation often reflects political negotiation and asymmetries in bargaining power rather than pure efficiency logic. Romero and Van de Poel (2022) demonstrate that in essential services, private actors may secure favorable contractual terms during negotiation, while risks revert to the public sector once difficulties arise. Water supply projects are particularly prone to this dynamic because governments cannot credibly permit service interruption.</w:t>
      </w:r>
    </w:p>
    <w:p w14:paraId="1B8C7AC6" w14:textId="77777777" w:rsidR="00833AED" w:rsidRPr="00AF0CC3" w:rsidRDefault="00833AED" w:rsidP="00833AED">
      <w:pPr>
        <w:spacing w:line="240" w:lineRule="auto"/>
        <w:rPr>
          <w:rFonts w:ascii="Times New Roman" w:hAnsi="Times New Roman" w:cs="Times New Roman"/>
          <w:color w:val="000000" w:themeColor="text1"/>
        </w:rPr>
      </w:pPr>
    </w:p>
    <w:p w14:paraId="774EB406" w14:textId="7E1912A4" w:rsidR="00833AED" w:rsidRPr="00AF0CC3" w:rsidRDefault="00833AED" w:rsidP="00833AED">
      <w:pPr>
        <w:spacing w:line="240" w:lineRule="auto"/>
        <w:rPr>
          <w:rFonts w:ascii="Times New Roman" w:hAnsi="Times New Roman" w:cs="Times New Roman"/>
          <w:color w:val="000000" w:themeColor="text1"/>
        </w:rPr>
      </w:pPr>
      <w:r w:rsidRPr="00AF0CC3">
        <w:rPr>
          <w:rFonts w:ascii="Times New Roman" w:hAnsi="Times New Roman" w:cs="Times New Roman"/>
          <w:color w:val="000000" w:themeColor="text1"/>
        </w:rPr>
        <w:t xml:space="preserve">Renegotiation emerges as a revealing mechanism through which governance weaknesses become visible. Renegotiation is not inherently problematic; complex projects may require adjustment. However, the frequency, timing, and transparency of renegotiation matter. Renegotiations </w:t>
      </w:r>
      <w:r w:rsidRPr="00AF0CC3">
        <w:rPr>
          <w:rFonts w:ascii="Times New Roman" w:hAnsi="Times New Roman" w:cs="Times New Roman"/>
          <w:color w:val="000000" w:themeColor="text1"/>
        </w:rPr>
        <w:lastRenderedPageBreak/>
        <w:t xml:space="preserve">occurring shortly after contract </w:t>
      </w:r>
      <w:r w:rsidR="003A19C6" w:rsidRPr="00AF0CC3">
        <w:rPr>
          <w:rFonts w:ascii="Times New Roman" w:hAnsi="Times New Roman" w:cs="Times New Roman"/>
          <w:color w:val="000000" w:themeColor="text1"/>
        </w:rPr>
        <w:t>awards</w:t>
      </w:r>
      <w:r w:rsidRPr="00AF0CC3">
        <w:rPr>
          <w:rFonts w:ascii="Times New Roman" w:hAnsi="Times New Roman" w:cs="Times New Roman"/>
          <w:color w:val="000000" w:themeColor="text1"/>
        </w:rPr>
        <w:t xml:space="preserve"> often signal deficiencies in project preparation, appraisal, or risk specification. Where renegotiation processes are opaque or politically mediated, they may prolong disputes and stall implementation.</w:t>
      </w:r>
    </w:p>
    <w:p w14:paraId="215D4FEE" w14:textId="77777777" w:rsidR="00833AED" w:rsidRPr="00AF0CC3" w:rsidRDefault="00833AED" w:rsidP="00833AED">
      <w:pPr>
        <w:spacing w:line="240" w:lineRule="auto"/>
        <w:rPr>
          <w:rFonts w:ascii="Times New Roman" w:hAnsi="Times New Roman" w:cs="Times New Roman"/>
          <w:color w:val="000000" w:themeColor="text1"/>
        </w:rPr>
      </w:pPr>
    </w:p>
    <w:p w14:paraId="13D019C8" w14:textId="77777777" w:rsidR="00833AED" w:rsidRPr="00AF0CC3" w:rsidRDefault="00833AED" w:rsidP="00833AED">
      <w:pPr>
        <w:spacing w:line="240" w:lineRule="auto"/>
        <w:rPr>
          <w:rFonts w:ascii="Times New Roman" w:hAnsi="Times New Roman" w:cs="Times New Roman"/>
          <w:color w:val="000000" w:themeColor="text1"/>
        </w:rPr>
      </w:pPr>
      <w:r w:rsidRPr="00AF0CC3">
        <w:rPr>
          <w:rFonts w:ascii="Times New Roman" w:hAnsi="Times New Roman" w:cs="Times New Roman"/>
          <w:color w:val="000000" w:themeColor="text1"/>
        </w:rPr>
        <w:t>In Kenya’s water sector, several PPP-intended projects have stalled at the pre-construction or early construction stages. Feasibility studies may be completed and memoranda of understanding signed, yet projects fail to reach financial close. Disputes over land acquisition, tariff guarantees, or sovereign risk exposure delay progress. These cases illustrate a broader point: governance failures at early stages can prevent projects from transitioning into implementation, regardless of financing intent.</w:t>
      </w:r>
    </w:p>
    <w:p w14:paraId="3179C99A" w14:textId="77777777" w:rsidR="00833AED" w:rsidRPr="00AF0CC3" w:rsidRDefault="00833AED" w:rsidP="00833AED">
      <w:pPr>
        <w:spacing w:line="240" w:lineRule="auto"/>
        <w:rPr>
          <w:rFonts w:ascii="Times New Roman" w:hAnsi="Times New Roman" w:cs="Times New Roman"/>
          <w:color w:val="000000" w:themeColor="text1"/>
        </w:rPr>
      </w:pPr>
    </w:p>
    <w:p w14:paraId="2837D869" w14:textId="77777777" w:rsidR="00833AED" w:rsidRPr="00AF0CC3" w:rsidRDefault="00833AED" w:rsidP="00833AED">
      <w:pPr>
        <w:spacing w:line="240" w:lineRule="auto"/>
        <w:rPr>
          <w:rFonts w:ascii="Times New Roman" w:hAnsi="Times New Roman" w:cs="Times New Roman"/>
          <w:color w:val="000000" w:themeColor="text1"/>
        </w:rPr>
      </w:pPr>
      <w:r w:rsidRPr="00AF0CC3">
        <w:rPr>
          <w:rFonts w:ascii="Times New Roman" w:hAnsi="Times New Roman" w:cs="Times New Roman"/>
          <w:color w:val="000000" w:themeColor="text1"/>
        </w:rPr>
        <w:t>Project stalling, in this context, is not merely a financial shortfall. It is a governance outcome reflecting unresolved institutional tensions.</w:t>
      </w:r>
    </w:p>
    <w:p w14:paraId="01760838" w14:textId="77777777" w:rsidR="00833AED" w:rsidRPr="00AF0CC3" w:rsidRDefault="00833AED" w:rsidP="00833AED">
      <w:pPr>
        <w:spacing w:line="240" w:lineRule="auto"/>
        <w:rPr>
          <w:rFonts w:ascii="Times New Roman" w:hAnsi="Times New Roman" w:cs="Times New Roman"/>
          <w:color w:val="000000" w:themeColor="text1"/>
        </w:rPr>
      </w:pPr>
    </w:p>
    <w:p w14:paraId="2825F82E" w14:textId="23C554B0" w:rsidR="00833AED" w:rsidRPr="00AF0CC3" w:rsidRDefault="00833AED" w:rsidP="001B7F5D">
      <w:pPr>
        <w:pStyle w:val="Heading3"/>
        <w:rPr>
          <w:rFonts w:cs="Times New Roman"/>
          <w:color w:val="000000" w:themeColor="text1"/>
          <w:szCs w:val="24"/>
        </w:rPr>
      </w:pPr>
      <w:bookmarkStart w:id="121" w:name="_Toc223623384"/>
      <w:bookmarkStart w:id="122" w:name="_Toc234344775"/>
      <w:bookmarkStart w:id="123" w:name="_Toc234489007"/>
      <w:r w:rsidRPr="00AF0CC3">
        <w:rPr>
          <w:rFonts w:cs="Times New Roman"/>
          <w:color w:val="000000" w:themeColor="text1"/>
          <w:szCs w:val="24"/>
        </w:rPr>
        <w:t>Financialization and Its Implications for Water Infrastructure</w:t>
      </w:r>
      <w:bookmarkEnd w:id="121"/>
      <w:bookmarkEnd w:id="122"/>
      <w:bookmarkEnd w:id="123"/>
    </w:p>
    <w:p w14:paraId="53AEBA27" w14:textId="77777777" w:rsidR="00833AED" w:rsidRPr="00AF0CC3" w:rsidRDefault="00833AED" w:rsidP="00833AED">
      <w:pPr>
        <w:spacing w:line="240" w:lineRule="auto"/>
        <w:rPr>
          <w:rFonts w:ascii="Times New Roman" w:hAnsi="Times New Roman" w:cs="Times New Roman"/>
          <w:color w:val="000000" w:themeColor="text1"/>
        </w:rPr>
      </w:pPr>
    </w:p>
    <w:p w14:paraId="71284D68" w14:textId="77777777" w:rsidR="00833AED" w:rsidRPr="00AF0CC3" w:rsidRDefault="00833AED" w:rsidP="00833AED">
      <w:pPr>
        <w:spacing w:line="240" w:lineRule="auto"/>
        <w:rPr>
          <w:rFonts w:ascii="Times New Roman" w:hAnsi="Times New Roman" w:cs="Times New Roman"/>
          <w:color w:val="000000" w:themeColor="text1"/>
        </w:rPr>
      </w:pPr>
      <w:r w:rsidRPr="00AF0CC3">
        <w:rPr>
          <w:rFonts w:ascii="Times New Roman" w:hAnsi="Times New Roman" w:cs="Times New Roman"/>
          <w:color w:val="000000" w:themeColor="text1"/>
        </w:rPr>
        <w:t>Beyond PPP contracts themselves, a growing body of scholarship examines the financialization of infrastructure, particularly in essential services such as water. Financialization refers to the increasing role of financial actors, logic, and instruments in shaping infrastructure provision. Projects become assets embedded in global capital markets, subject to revenue expectations and risk-pricing dynamics.</w:t>
      </w:r>
    </w:p>
    <w:p w14:paraId="322E9235" w14:textId="77777777" w:rsidR="00833AED" w:rsidRPr="00AF0CC3" w:rsidRDefault="00833AED" w:rsidP="00833AED">
      <w:pPr>
        <w:spacing w:line="240" w:lineRule="auto"/>
        <w:rPr>
          <w:rFonts w:ascii="Times New Roman" w:hAnsi="Times New Roman" w:cs="Times New Roman"/>
          <w:color w:val="000000" w:themeColor="text1"/>
        </w:rPr>
      </w:pPr>
    </w:p>
    <w:p w14:paraId="3FABC5CF" w14:textId="77777777" w:rsidR="00833AED" w:rsidRPr="00AF0CC3" w:rsidRDefault="00833AED" w:rsidP="00833AED">
      <w:pPr>
        <w:spacing w:line="240" w:lineRule="auto"/>
        <w:rPr>
          <w:rFonts w:ascii="Times New Roman" w:hAnsi="Times New Roman" w:cs="Times New Roman"/>
          <w:color w:val="000000" w:themeColor="text1"/>
        </w:rPr>
      </w:pPr>
      <w:r w:rsidRPr="00AF0CC3">
        <w:rPr>
          <w:rFonts w:ascii="Times New Roman" w:hAnsi="Times New Roman" w:cs="Times New Roman"/>
          <w:color w:val="000000" w:themeColor="text1"/>
        </w:rPr>
        <w:t>Bayliss, Van Waeyenberge, and Laughlin (2021) argue that financialization can reshape governance incentives by reframing water infrastructure as a financial asset rather than primarily as a public service. This shift may prioritize revenue stability and investor confidence over social or distributional objectives. Where regulatory oversight is weak, accountability to users and communities may diminish.</w:t>
      </w:r>
    </w:p>
    <w:p w14:paraId="3BD065C6" w14:textId="77777777" w:rsidR="00833AED" w:rsidRPr="00AF0CC3" w:rsidRDefault="00833AED" w:rsidP="00833AED">
      <w:pPr>
        <w:spacing w:line="240" w:lineRule="auto"/>
        <w:rPr>
          <w:rFonts w:ascii="Times New Roman" w:hAnsi="Times New Roman" w:cs="Times New Roman"/>
          <w:color w:val="000000" w:themeColor="text1"/>
        </w:rPr>
      </w:pPr>
    </w:p>
    <w:p w14:paraId="44DD3306" w14:textId="77777777" w:rsidR="00833AED" w:rsidRPr="00AF0CC3" w:rsidRDefault="00833AED" w:rsidP="00833AED">
      <w:pPr>
        <w:spacing w:line="240" w:lineRule="auto"/>
        <w:rPr>
          <w:rFonts w:ascii="Times New Roman" w:hAnsi="Times New Roman" w:cs="Times New Roman"/>
          <w:color w:val="000000" w:themeColor="text1"/>
        </w:rPr>
      </w:pPr>
      <w:r w:rsidRPr="00AF0CC3">
        <w:rPr>
          <w:rFonts w:ascii="Times New Roman" w:hAnsi="Times New Roman" w:cs="Times New Roman"/>
          <w:color w:val="000000" w:themeColor="text1"/>
        </w:rPr>
        <w:t>In developing country contexts, financialized infrastructure often relies on explicit or implicit public guarantees. While such guarantees may attract private investment, they expose governments to contingent liabilities. When revenue projections falter or currency volatility intensifies, governments may bear disproportionate fiscal risk.</w:t>
      </w:r>
    </w:p>
    <w:p w14:paraId="74FB3BB4" w14:textId="77777777" w:rsidR="00833AED" w:rsidRPr="00AF0CC3" w:rsidRDefault="00833AED" w:rsidP="00833AED">
      <w:pPr>
        <w:spacing w:line="240" w:lineRule="auto"/>
        <w:rPr>
          <w:rFonts w:ascii="Times New Roman" w:hAnsi="Times New Roman" w:cs="Times New Roman"/>
          <w:color w:val="000000" w:themeColor="text1"/>
        </w:rPr>
      </w:pPr>
    </w:p>
    <w:p w14:paraId="652E5004" w14:textId="77777777" w:rsidR="00833AED" w:rsidRPr="00AF0CC3" w:rsidRDefault="00833AED" w:rsidP="00833AED">
      <w:pPr>
        <w:spacing w:line="240" w:lineRule="auto"/>
        <w:rPr>
          <w:rFonts w:ascii="Times New Roman" w:hAnsi="Times New Roman" w:cs="Times New Roman"/>
          <w:color w:val="000000" w:themeColor="text1"/>
        </w:rPr>
      </w:pPr>
      <w:r w:rsidRPr="00AF0CC3">
        <w:rPr>
          <w:rFonts w:ascii="Times New Roman" w:hAnsi="Times New Roman" w:cs="Times New Roman"/>
          <w:color w:val="000000" w:themeColor="text1"/>
        </w:rPr>
        <w:t>The implications for project performance are substantial. Financialized water projects are particularly sensitive to revenue uncertainty, political transitions, and macroeconomic fluctuations. When these risks materialize, investment may be delayed, suspended, or withdrawn. Stalling is not only a technical or contractual issue but also a function of financial risk governance.</w:t>
      </w:r>
    </w:p>
    <w:p w14:paraId="3CC08B63" w14:textId="77777777" w:rsidR="00833AED" w:rsidRPr="00AF0CC3" w:rsidRDefault="00833AED" w:rsidP="00833AED">
      <w:pPr>
        <w:spacing w:line="240" w:lineRule="auto"/>
        <w:rPr>
          <w:rFonts w:ascii="Times New Roman" w:hAnsi="Times New Roman" w:cs="Times New Roman"/>
          <w:color w:val="000000" w:themeColor="text1"/>
        </w:rPr>
      </w:pPr>
    </w:p>
    <w:p w14:paraId="41B017F3" w14:textId="77777777" w:rsidR="00833AED" w:rsidRPr="00AF0CC3" w:rsidRDefault="00833AED" w:rsidP="00833AED">
      <w:pPr>
        <w:spacing w:line="240" w:lineRule="auto"/>
        <w:rPr>
          <w:rFonts w:ascii="Times New Roman" w:hAnsi="Times New Roman" w:cs="Times New Roman"/>
          <w:color w:val="000000" w:themeColor="text1"/>
        </w:rPr>
      </w:pPr>
      <w:r w:rsidRPr="00AF0CC3">
        <w:rPr>
          <w:rFonts w:ascii="Times New Roman" w:hAnsi="Times New Roman" w:cs="Times New Roman"/>
          <w:color w:val="000000" w:themeColor="text1"/>
        </w:rPr>
        <w:t>The literature on re-municipalization offers a counterpoint. Hall, Lobina, and Terhorst (2017) document instances in which governments reclaim control over water services following dissatisfaction with private performance. Re-municipalization does not automatically resolve governance weaknesses, but it reveals a central insight: private participation cannot compensate for deficient public institutional capacity.</w:t>
      </w:r>
    </w:p>
    <w:p w14:paraId="1B93ADF4" w14:textId="77777777" w:rsidR="00833AED" w:rsidRPr="00AF0CC3" w:rsidRDefault="00833AED" w:rsidP="00833AED">
      <w:pPr>
        <w:spacing w:line="240" w:lineRule="auto"/>
        <w:rPr>
          <w:rFonts w:ascii="Times New Roman" w:hAnsi="Times New Roman" w:cs="Times New Roman"/>
          <w:color w:val="000000" w:themeColor="text1"/>
        </w:rPr>
      </w:pPr>
    </w:p>
    <w:p w14:paraId="0B8539F8" w14:textId="77777777" w:rsidR="00833AED" w:rsidRPr="00AF0CC3" w:rsidRDefault="00833AED" w:rsidP="00833AED">
      <w:pPr>
        <w:spacing w:line="240" w:lineRule="auto"/>
        <w:rPr>
          <w:rFonts w:ascii="Times New Roman" w:hAnsi="Times New Roman" w:cs="Times New Roman"/>
          <w:color w:val="000000" w:themeColor="text1"/>
        </w:rPr>
      </w:pPr>
      <w:r w:rsidRPr="00AF0CC3">
        <w:rPr>
          <w:rFonts w:ascii="Times New Roman" w:hAnsi="Times New Roman" w:cs="Times New Roman"/>
          <w:color w:val="000000" w:themeColor="text1"/>
        </w:rPr>
        <w:t>Financialization, therefore, heightens rather than replaces governance demands. Where institutional oversight is weak, financial complexity may amplify vulnerability.</w:t>
      </w:r>
    </w:p>
    <w:p w14:paraId="110D87C8" w14:textId="77777777" w:rsidR="00833AED" w:rsidRPr="00AF0CC3" w:rsidRDefault="00833AED" w:rsidP="00833AED">
      <w:pPr>
        <w:spacing w:line="240" w:lineRule="auto"/>
        <w:rPr>
          <w:rFonts w:ascii="Times New Roman" w:hAnsi="Times New Roman" w:cs="Times New Roman"/>
          <w:color w:val="000000" w:themeColor="text1"/>
        </w:rPr>
      </w:pPr>
    </w:p>
    <w:p w14:paraId="4F1ECF55" w14:textId="2976623A" w:rsidR="00833AED" w:rsidRPr="00AF0CC3" w:rsidRDefault="00833AED" w:rsidP="002949CE">
      <w:pPr>
        <w:pStyle w:val="Heading3"/>
        <w:rPr>
          <w:rFonts w:cs="Times New Roman"/>
          <w:color w:val="000000" w:themeColor="text1"/>
          <w:szCs w:val="24"/>
        </w:rPr>
      </w:pPr>
      <w:bookmarkStart w:id="124" w:name="_Toc223623385"/>
      <w:bookmarkStart w:id="125" w:name="_Toc234344776"/>
      <w:bookmarkStart w:id="126" w:name="_Toc234489008"/>
      <w:r w:rsidRPr="00AF0CC3">
        <w:rPr>
          <w:rFonts w:cs="Times New Roman"/>
          <w:color w:val="000000" w:themeColor="text1"/>
          <w:szCs w:val="24"/>
        </w:rPr>
        <w:t>PPPs, Governance Quality, and Empirical Blind Spots</w:t>
      </w:r>
      <w:bookmarkEnd w:id="124"/>
      <w:bookmarkEnd w:id="125"/>
      <w:bookmarkEnd w:id="126"/>
    </w:p>
    <w:p w14:paraId="6C04DB40" w14:textId="77777777" w:rsidR="00833AED" w:rsidRPr="00AF0CC3" w:rsidRDefault="00833AED" w:rsidP="00833AED">
      <w:pPr>
        <w:spacing w:line="240" w:lineRule="auto"/>
        <w:rPr>
          <w:rFonts w:ascii="Times New Roman" w:hAnsi="Times New Roman" w:cs="Times New Roman"/>
          <w:color w:val="000000" w:themeColor="text1"/>
        </w:rPr>
      </w:pPr>
    </w:p>
    <w:p w14:paraId="115C0B42" w14:textId="77777777" w:rsidR="00833AED" w:rsidRPr="00AF0CC3" w:rsidRDefault="00833AED" w:rsidP="00833AED">
      <w:pPr>
        <w:spacing w:line="240" w:lineRule="auto"/>
        <w:rPr>
          <w:rFonts w:ascii="Times New Roman" w:hAnsi="Times New Roman" w:cs="Times New Roman"/>
          <w:color w:val="000000" w:themeColor="text1"/>
        </w:rPr>
      </w:pPr>
      <w:r w:rsidRPr="00AF0CC3">
        <w:rPr>
          <w:rFonts w:ascii="Times New Roman" w:hAnsi="Times New Roman" w:cs="Times New Roman"/>
          <w:color w:val="000000" w:themeColor="text1"/>
        </w:rPr>
        <w:t>Despite extensive scholarship on PPPs, several analytical blind spots remain.</w:t>
      </w:r>
    </w:p>
    <w:p w14:paraId="132890C3" w14:textId="77777777" w:rsidR="00833AED" w:rsidRPr="00AF0CC3" w:rsidRDefault="00833AED" w:rsidP="00833AED">
      <w:pPr>
        <w:spacing w:line="240" w:lineRule="auto"/>
        <w:rPr>
          <w:rFonts w:ascii="Times New Roman" w:hAnsi="Times New Roman" w:cs="Times New Roman"/>
          <w:color w:val="000000" w:themeColor="text1"/>
        </w:rPr>
      </w:pPr>
    </w:p>
    <w:p w14:paraId="16463BA5" w14:textId="77777777" w:rsidR="00833AED" w:rsidRPr="00AF0CC3" w:rsidRDefault="00833AED" w:rsidP="00833AED">
      <w:pPr>
        <w:spacing w:line="240" w:lineRule="auto"/>
        <w:rPr>
          <w:rFonts w:ascii="Times New Roman" w:hAnsi="Times New Roman" w:cs="Times New Roman"/>
          <w:color w:val="000000" w:themeColor="text1"/>
        </w:rPr>
      </w:pPr>
      <w:r w:rsidRPr="00AF0CC3">
        <w:rPr>
          <w:rFonts w:ascii="Times New Roman" w:hAnsi="Times New Roman" w:cs="Times New Roman"/>
          <w:color w:val="000000" w:themeColor="text1"/>
        </w:rPr>
        <w:t>First, many studies evaluate PPP performance at the aggregate level, focusing on sectors or national frameworks—such approaches mask variation in governance quality across individual projects operating within the same institutional environment. A national PPP framework may appear robust on paper, while specific projects experience acute governance failures.</w:t>
      </w:r>
    </w:p>
    <w:p w14:paraId="1F6AE244" w14:textId="77777777" w:rsidR="00833AED" w:rsidRPr="00AF0CC3" w:rsidRDefault="00833AED" w:rsidP="00833AED">
      <w:pPr>
        <w:spacing w:line="240" w:lineRule="auto"/>
        <w:rPr>
          <w:rFonts w:ascii="Times New Roman" w:hAnsi="Times New Roman" w:cs="Times New Roman"/>
          <w:color w:val="000000" w:themeColor="text1"/>
        </w:rPr>
      </w:pPr>
    </w:p>
    <w:p w14:paraId="6276FC74" w14:textId="77777777" w:rsidR="00833AED" w:rsidRPr="00AF0CC3" w:rsidRDefault="00833AED" w:rsidP="00833AED">
      <w:pPr>
        <w:spacing w:line="240" w:lineRule="auto"/>
        <w:rPr>
          <w:rFonts w:ascii="Times New Roman" w:hAnsi="Times New Roman" w:cs="Times New Roman"/>
          <w:color w:val="000000" w:themeColor="text1"/>
        </w:rPr>
      </w:pPr>
      <w:r w:rsidRPr="00AF0CC3">
        <w:rPr>
          <w:rFonts w:ascii="Times New Roman" w:hAnsi="Times New Roman" w:cs="Times New Roman"/>
          <w:color w:val="000000" w:themeColor="text1"/>
        </w:rPr>
        <w:t>Second, PPP analyses frequently focus on projects that reach financial close or operational status. Projects that stall during negotiation or early construction are less visible in datasets. This selection bias risks overstating PPP performance by excluding the most severe cases of governance breakdown.</w:t>
      </w:r>
    </w:p>
    <w:p w14:paraId="09BFDF5C" w14:textId="77777777" w:rsidR="00833AED" w:rsidRPr="00AF0CC3" w:rsidRDefault="00833AED" w:rsidP="00833AED">
      <w:pPr>
        <w:spacing w:line="240" w:lineRule="auto"/>
        <w:rPr>
          <w:rFonts w:ascii="Times New Roman" w:hAnsi="Times New Roman" w:cs="Times New Roman"/>
          <w:color w:val="000000" w:themeColor="text1"/>
        </w:rPr>
      </w:pPr>
    </w:p>
    <w:p w14:paraId="20E89182" w14:textId="77777777" w:rsidR="00833AED" w:rsidRPr="00AF0CC3" w:rsidRDefault="00833AED" w:rsidP="00833AED">
      <w:pPr>
        <w:spacing w:line="240" w:lineRule="auto"/>
        <w:rPr>
          <w:rFonts w:ascii="Times New Roman" w:hAnsi="Times New Roman" w:cs="Times New Roman"/>
          <w:color w:val="000000" w:themeColor="text1"/>
        </w:rPr>
      </w:pPr>
      <w:r w:rsidRPr="00AF0CC3">
        <w:rPr>
          <w:rFonts w:ascii="Times New Roman" w:hAnsi="Times New Roman" w:cs="Times New Roman"/>
          <w:color w:val="000000" w:themeColor="text1"/>
        </w:rPr>
        <w:t>Third, water infrastructure remains underrepresented in large PPP datasets, which tend to emphasize transport and energy. When water projects are included, analysis often centers on tariff outcomes or service delivery rather than on construction and delivery trajectories.</w:t>
      </w:r>
    </w:p>
    <w:p w14:paraId="1522EDD6" w14:textId="77777777" w:rsidR="00833AED" w:rsidRPr="00AF0CC3" w:rsidRDefault="00833AED" w:rsidP="00833AED">
      <w:pPr>
        <w:spacing w:line="240" w:lineRule="auto"/>
        <w:rPr>
          <w:rFonts w:ascii="Times New Roman" w:hAnsi="Times New Roman" w:cs="Times New Roman"/>
          <w:color w:val="000000" w:themeColor="text1"/>
        </w:rPr>
      </w:pPr>
    </w:p>
    <w:p w14:paraId="780AFAC3" w14:textId="77777777" w:rsidR="00833AED" w:rsidRPr="00AF0CC3" w:rsidRDefault="00833AED" w:rsidP="00833AED">
      <w:pPr>
        <w:spacing w:line="240" w:lineRule="auto"/>
        <w:rPr>
          <w:rFonts w:ascii="Times New Roman" w:hAnsi="Times New Roman" w:cs="Times New Roman"/>
          <w:color w:val="000000" w:themeColor="text1"/>
        </w:rPr>
      </w:pPr>
      <w:r w:rsidRPr="00AF0CC3">
        <w:rPr>
          <w:rFonts w:ascii="Times New Roman" w:hAnsi="Times New Roman" w:cs="Times New Roman"/>
          <w:color w:val="000000" w:themeColor="text1"/>
        </w:rPr>
        <w:t>These blind spots underscore the need to treat PPPs not as a binary explanatory category but as one governance configuration among several. Their performance depends fundamentally on the quality of the governance arrangements within which they are embedded.</w:t>
      </w:r>
    </w:p>
    <w:p w14:paraId="58430ABE" w14:textId="77777777" w:rsidR="00833AED" w:rsidRPr="00AF0CC3" w:rsidRDefault="00833AED" w:rsidP="00833AED">
      <w:pPr>
        <w:spacing w:line="240" w:lineRule="auto"/>
        <w:rPr>
          <w:rFonts w:ascii="Times New Roman" w:hAnsi="Times New Roman" w:cs="Times New Roman"/>
          <w:color w:val="000000" w:themeColor="text1"/>
        </w:rPr>
      </w:pPr>
    </w:p>
    <w:p w14:paraId="1EFFF743" w14:textId="77777777" w:rsidR="00833AED" w:rsidRPr="00AF0CC3" w:rsidRDefault="00833AED" w:rsidP="00833AED">
      <w:pPr>
        <w:spacing w:line="240" w:lineRule="auto"/>
        <w:rPr>
          <w:rFonts w:ascii="Times New Roman" w:hAnsi="Times New Roman" w:cs="Times New Roman"/>
          <w:color w:val="000000" w:themeColor="text1"/>
        </w:rPr>
      </w:pPr>
      <w:r w:rsidRPr="00AF0CC3">
        <w:rPr>
          <w:rFonts w:ascii="Times New Roman" w:hAnsi="Times New Roman" w:cs="Times New Roman"/>
          <w:color w:val="000000" w:themeColor="text1"/>
        </w:rPr>
        <w:t>This study, therefore, compares PPP-funded and non-PPP water projects while explicitly controlling for governance quality. It does not assume the inherent superiority or inferiority of financing models. Instead, it examines how governance quality shapes project outcomes, including the probability of stalling across institutional structures.</w:t>
      </w:r>
    </w:p>
    <w:p w14:paraId="5CBD8FD1" w14:textId="77777777" w:rsidR="00833AED" w:rsidRPr="00AF0CC3" w:rsidRDefault="00833AED" w:rsidP="00833AED">
      <w:pPr>
        <w:spacing w:line="240" w:lineRule="auto"/>
        <w:rPr>
          <w:rFonts w:ascii="Times New Roman" w:hAnsi="Times New Roman" w:cs="Times New Roman"/>
          <w:color w:val="000000" w:themeColor="text1"/>
        </w:rPr>
      </w:pPr>
      <w:r w:rsidRPr="00AF0CC3">
        <w:rPr>
          <w:rFonts w:ascii="Times New Roman" w:hAnsi="Times New Roman" w:cs="Times New Roman"/>
          <w:color w:val="000000" w:themeColor="text1"/>
        </w:rPr>
        <w:lastRenderedPageBreak/>
        <w:t>Financing modality does not substitute for governance quality. Both PPP and non-PPP arrangements exhibit distinct vulnerabilities, but in each case, weak governance increases the probability that delays escalate into stalling.</w:t>
      </w:r>
    </w:p>
    <w:p w14:paraId="24A9CE96" w14:textId="77777777" w:rsidR="00A56614" w:rsidRPr="00AF0CC3" w:rsidRDefault="00A56614" w:rsidP="00833AED">
      <w:pPr>
        <w:spacing w:line="240" w:lineRule="auto"/>
        <w:rPr>
          <w:rFonts w:ascii="Times New Roman" w:hAnsi="Times New Roman" w:cs="Times New Roman"/>
          <w:color w:val="000000" w:themeColor="text1"/>
        </w:rPr>
      </w:pPr>
    </w:p>
    <w:p w14:paraId="4F398852" w14:textId="661BA2E1" w:rsidR="00A56614" w:rsidRPr="00AF0CC3" w:rsidRDefault="00A56614" w:rsidP="00A56614">
      <w:pPr>
        <w:pStyle w:val="Caption"/>
        <w:keepNext/>
        <w:rPr>
          <w:rFonts w:ascii="Times New Roman" w:hAnsi="Times New Roman" w:cs="Times New Roman"/>
          <w:sz w:val="24"/>
          <w:szCs w:val="24"/>
        </w:rPr>
      </w:pPr>
      <w:bookmarkStart w:id="127" w:name="_Toc234437359"/>
      <w:r w:rsidRPr="00AF0CC3">
        <w:rPr>
          <w:rFonts w:ascii="Times New Roman" w:hAnsi="Times New Roman" w:cs="Times New Roman"/>
          <w:sz w:val="24"/>
          <w:szCs w:val="24"/>
        </w:rPr>
        <w:t xml:space="preserve">Table </w:t>
      </w:r>
      <w:r w:rsidR="007F4206" w:rsidRPr="00AF0CC3">
        <w:rPr>
          <w:rFonts w:ascii="Times New Roman" w:hAnsi="Times New Roman" w:cs="Times New Roman"/>
          <w:sz w:val="24"/>
          <w:szCs w:val="24"/>
        </w:rPr>
        <w:fldChar w:fldCharType="begin"/>
      </w:r>
      <w:r w:rsidR="007F4206" w:rsidRPr="00AF0CC3">
        <w:rPr>
          <w:rFonts w:ascii="Times New Roman" w:hAnsi="Times New Roman" w:cs="Times New Roman"/>
          <w:sz w:val="24"/>
          <w:szCs w:val="24"/>
        </w:rPr>
        <w:instrText xml:space="preserve"> STYLEREF 1 \s </w:instrText>
      </w:r>
      <w:r w:rsidR="007F4206" w:rsidRPr="00AF0CC3">
        <w:rPr>
          <w:rFonts w:ascii="Times New Roman" w:hAnsi="Times New Roman" w:cs="Times New Roman"/>
          <w:sz w:val="24"/>
          <w:szCs w:val="24"/>
        </w:rPr>
        <w:fldChar w:fldCharType="separate"/>
      </w:r>
      <w:r w:rsidR="007F4206" w:rsidRPr="00AF0CC3">
        <w:rPr>
          <w:rFonts w:ascii="Times New Roman" w:hAnsi="Times New Roman" w:cs="Times New Roman"/>
          <w:noProof/>
          <w:sz w:val="24"/>
          <w:szCs w:val="24"/>
        </w:rPr>
        <w:t>2</w:t>
      </w:r>
      <w:r w:rsidR="007F4206" w:rsidRPr="00AF0CC3">
        <w:rPr>
          <w:rFonts w:ascii="Times New Roman" w:hAnsi="Times New Roman" w:cs="Times New Roman"/>
          <w:noProof/>
          <w:sz w:val="24"/>
          <w:szCs w:val="24"/>
        </w:rPr>
        <w:fldChar w:fldCharType="end"/>
      </w:r>
      <w:r w:rsidR="007F4206" w:rsidRPr="00AF0CC3">
        <w:rPr>
          <w:rFonts w:ascii="Times New Roman" w:hAnsi="Times New Roman" w:cs="Times New Roman"/>
          <w:sz w:val="24"/>
          <w:szCs w:val="24"/>
        </w:rPr>
        <w:noBreakHyphen/>
      </w:r>
      <w:r w:rsidR="007F4206" w:rsidRPr="00AF0CC3">
        <w:rPr>
          <w:rFonts w:ascii="Times New Roman" w:hAnsi="Times New Roman" w:cs="Times New Roman"/>
          <w:sz w:val="24"/>
          <w:szCs w:val="24"/>
        </w:rPr>
        <w:fldChar w:fldCharType="begin"/>
      </w:r>
      <w:r w:rsidR="007F4206" w:rsidRPr="00AF0CC3">
        <w:rPr>
          <w:rFonts w:ascii="Times New Roman" w:hAnsi="Times New Roman" w:cs="Times New Roman"/>
          <w:sz w:val="24"/>
          <w:szCs w:val="24"/>
        </w:rPr>
        <w:instrText xml:space="preserve"> SEQ Table \* ARABIC \s 1 </w:instrText>
      </w:r>
      <w:r w:rsidR="007F4206" w:rsidRPr="00AF0CC3">
        <w:rPr>
          <w:rFonts w:ascii="Times New Roman" w:hAnsi="Times New Roman" w:cs="Times New Roman"/>
          <w:sz w:val="24"/>
          <w:szCs w:val="24"/>
        </w:rPr>
        <w:fldChar w:fldCharType="separate"/>
      </w:r>
      <w:r w:rsidR="007F4206" w:rsidRPr="00AF0CC3">
        <w:rPr>
          <w:rFonts w:ascii="Times New Roman" w:hAnsi="Times New Roman" w:cs="Times New Roman"/>
          <w:noProof/>
          <w:sz w:val="24"/>
          <w:szCs w:val="24"/>
        </w:rPr>
        <w:t>4</w:t>
      </w:r>
      <w:r w:rsidR="007F4206" w:rsidRPr="00AF0CC3">
        <w:rPr>
          <w:rFonts w:ascii="Times New Roman" w:hAnsi="Times New Roman" w:cs="Times New Roman"/>
          <w:noProof/>
          <w:sz w:val="24"/>
          <w:szCs w:val="24"/>
        </w:rPr>
        <w:fldChar w:fldCharType="end"/>
      </w:r>
      <w:r w:rsidRPr="00AF0CC3">
        <w:rPr>
          <w:rFonts w:ascii="Times New Roman" w:hAnsi="Times New Roman" w:cs="Times New Roman"/>
          <w:sz w:val="24"/>
          <w:szCs w:val="24"/>
        </w:rPr>
        <w:t xml:space="preserve"> Governance Risks in PPP and Non-PPP Water Infrastructure Projects</w:t>
      </w:r>
      <w:bookmarkEnd w:id="127"/>
    </w:p>
    <w:tbl>
      <w:tblPr>
        <w:tblW w:w="0" w:type="auto"/>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1642"/>
        <w:gridCol w:w="1646"/>
        <w:gridCol w:w="1628"/>
        <w:gridCol w:w="1547"/>
        <w:gridCol w:w="1534"/>
        <w:gridCol w:w="1353"/>
      </w:tblGrid>
      <w:tr w:rsidR="00833AED" w:rsidRPr="00AF0CC3" w14:paraId="07205169" w14:textId="77777777" w:rsidTr="00E73C98">
        <w:trPr>
          <w:tblHeader/>
          <w:tblCellSpacing w:w="15" w:type="dxa"/>
        </w:trPr>
        <w:tc>
          <w:tcPr>
            <w:tcW w:w="0" w:type="auto"/>
            <w:vAlign w:val="center"/>
            <w:hideMark/>
          </w:tcPr>
          <w:p w14:paraId="010B0DF0" w14:textId="77777777" w:rsidR="00833AED" w:rsidRPr="00AF0CC3" w:rsidRDefault="00833AED" w:rsidP="00833AED">
            <w:pPr>
              <w:spacing w:after="0" w:line="240" w:lineRule="auto"/>
              <w:jc w:val="center"/>
              <w:rPr>
                <w:rFonts w:ascii="Times New Roman" w:eastAsia="Times New Roman" w:hAnsi="Times New Roman" w:cs="Times New Roman"/>
                <w:b/>
                <w:bCs/>
                <w:color w:val="000000" w:themeColor="text1"/>
                <w:kern w:val="0"/>
                <w14:ligatures w14:val="none"/>
              </w:rPr>
            </w:pPr>
            <w:r w:rsidRPr="00AF0CC3">
              <w:rPr>
                <w:rFonts w:ascii="Times New Roman" w:eastAsia="Times New Roman" w:hAnsi="Times New Roman" w:cs="Times New Roman"/>
                <w:b/>
                <w:bCs/>
                <w:color w:val="000000" w:themeColor="text1"/>
                <w:kern w:val="0"/>
                <w14:ligatures w14:val="none"/>
              </w:rPr>
              <w:t>Governance Dimension</w:t>
            </w:r>
          </w:p>
        </w:tc>
        <w:tc>
          <w:tcPr>
            <w:tcW w:w="0" w:type="auto"/>
            <w:vAlign w:val="center"/>
            <w:hideMark/>
          </w:tcPr>
          <w:p w14:paraId="20224E9D" w14:textId="77777777" w:rsidR="00833AED" w:rsidRPr="00AF0CC3" w:rsidRDefault="00833AED" w:rsidP="00833AED">
            <w:pPr>
              <w:spacing w:after="0" w:line="240" w:lineRule="auto"/>
              <w:jc w:val="center"/>
              <w:rPr>
                <w:rFonts w:ascii="Times New Roman" w:eastAsia="Times New Roman" w:hAnsi="Times New Roman" w:cs="Times New Roman"/>
                <w:b/>
                <w:bCs/>
                <w:color w:val="000000" w:themeColor="text1"/>
                <w:kern w:val="0"/>
                <w14:ligatures w14:val="none"/>
              </w:rPr>
            </w:pPr>
            <w:r w:rsidRPr="00AF0CC3">
              <w:rPr>
                <w:rFonts w:ascii="Times New Roman" w:eastAsia="Times New Roman" w:hAnsi="Times New Roman" w:cs="Times New Roman"/>
                <w:b/>
                <w:bCs/>
                <w:color w:val="000000" w:themeColor="text1"/>
                <w:kern w:val="0"/>
                <w14:ligatures w14:val="none"/>
              </w:rPr>
              <w:t>PPP Projects – Typical Vulnerability</w:t>
            </w:r>
          </w:p>
        </w:tc>
        <w:tc>
          <w:tcPr>
            <w:tcW w:w="0" w:type="auto"/>
            <w:vAlign w:val="center"/>
            <w:hideMark/>
          </w:tcPr>
          <w:p w14:paraId="5F2E9524" w14:textId="77777777" w:rsidR="00833AED" w:rsidRPr="00AF0CC3" w:rsidRDefault="00833AED" w:rsidP="00833AED">
            <w:pPr>
              <w:spacing w:after="0" w:line="240" w:lineRule="auto"/>
              <w:jc w:val="center"/>
              <w:rPr>
                <w:rFonts w:ascii="Times New Roman" w:eastAsia="Times New Roman" w:hAnsi="Times New Roman" w:cs="Times New Roman"/>
                <w:b/>
                <w:bCs/>
                <w:color w:val="000000" w:themeColor="text1"/>
                <w:kern w:val="0"/>
                <w14:ligatures w14:val="none"/>
              </w:rPr>
            </w:pPr>
            <w:r w:rsidRPr="00AF0CC3">
              <w:rPr>
                <w:rFonts w:ascii="Times New Roman" w:eastAsia="Times New Roman" w:hAnsi="Times New Roman" w:cs="Times New Roman"/>
                <w:b/>
                <w:bCs/>
                <w:color w:val="000000" w:themeColor="text1"/>
                <w:kern w:val="0"/>
                <w14:ligatures w14:val="none"/>
              </w:rPr>
              <w:t>Non-PPP Projects – Typical Vulnerability</w:t>
            </w:r>
          </w:p>
        </w:tc>
        <w:tc>
          <w:tcPr>
            <w:tcW w:w="0" w:type="auto"/>
            <w:vAlign w:val="center"/>
            <w:hideMark/>
          </w:tcPr>
          <w:p w14:paraId="191C7CC4" w14:textId="77777777" w:rsidR="00833AED" w:rsidRPr="00AF0CC3" w:rsidRDefault="00833AED" w:rsidP="00833AED">
            <w:pPr>
              <w:spacing w:after="0" w:line="240" w:lineRule="auto"/>
              <w:jc w:val="center"/>
              <w:rPr>
                <w:rFonts w:ascii="Times New Roman" w:eastAsia="Times New Roman" w:hAnsi="Times New Roman" w:cs="Times New Roman"/>
                <w:b/>
                <w:bCs/>
                <w:color w:val="000000" w:themeColor="text1"/>
                <w:kern w:val="0"/>
                <w14:ligatures w14:val="none"/>
              </w:rPr>
            </w:pPr>
            <w:r w:rsidRPr="00AF0CC3">
              <w:rPr>
                <w:rFonts w:ascii="Times New Roman" w:eastAsia="Times New Roman" w:hAnsi="Times New Roman" w:cs="Times New Roman"/>
                <w:b/>
                <w:bCs/>
                <w:color w:val="000000" w:themeColor="text1"/>
                <w:kern w:val="0"/>
                <w14:ligatures w14:val="none"/>
              </w:rPr>
              <w:t>Common Governance Mechanism</w:t>
            </w:r>
          </w:p>
        </w:tc>
        <w:tc>
          <w:tcPr>
            <w:tcW w:w="0" w:type="auto"/>
            <w:vAlign w:val="center"/>
            <w:hideMark/>
          </w:tcPr>
          <w:p w14:paraId="74EB3A40" w14:textId="77777777" w:rsidR="00833AED" w:rsidRPr="00AF0CC3" w:rsidRDefault="00833AED" w:rsidP="00833AED">
            <w:pPr>
              <w:spacing w:after="0" w:line="240" w:lineRule="auto"/>
              <w:jc w:val="center"/>
              <w:rPr>
                <w:rFonts w:ascii="Times New Roman" w:eastAsia="Times New Roman" w:hAnsi="Times New Roman" w:cs="Times New Roman"/>
                <w:b/>
                <w:bCs/>
                <w:color w:val="000000" w:themeColor="text1"/>
                <w:kern w:val="0"/>
                <w14:ligatures w14:val="none"/>
              </w:rPr>
            </w:pPr>
            <w:r w:rsidRPr="00AF0CC3">
              <w:rPr>
                <w:rFonts w:ascii="Times New Roman" w:eastAsia="Times New Roman" w:hAnsi="Times New Roman" w:cs="Times New Roman"/>
                <w:b/>
                <w:bCs/>
                <w:color w:val="000000" w:themeColor="text1"/>
                <w:kern w:val="0"/>
                <w14:ligatures w14:val="none"/>
              </w:rPr>
              <w:t>Escalation Toward Stalling</w:t>
            </w:r>
          </w:p>
        </w:tc>
        <w:tc>
          <w:tcPr>
            <w:tcW w:w="0" w:type="auto"/>
            <w:vAlign w:val="center"/>
            <w:hideMark/>
          </w:tcPr>
          <w:p w14:paraId="7F269B4A" w14:textId="77777777" w:rsidR="00833AED" w:rsidRPr="00AF0CC3" w:rsidRDefault="00833AED" w:rsidP="00833AED">
            <w:pPr>
              <w:spacing w:after="0" w:line="240" w:lineRule="auto"/>
              <w:jc w:val="center"/>
              <w:rPr>
                <w:rFonts w:ascii="Times New Roman" w:eastAsia="Times New Roman" w:hAnsi="Times New Roman" w:cs="Times New Roman"/>
                <w:b/>
                <w:bCs/>
                <w:color w:val="000000" w:themeColor="text1"/>
                <w:kern w:val="0"/>
                <w14:ligatures w14:val="none"/>
              </w:rPr>
            </w:pPr>
            <w:r w:rsidRPr="00AF0CC3">
              <w:rPr>
                <w:rFonts w:ascii="Times New Roman" w:eastAsia="Times New Roman" w:hAnsi="Times New Roman" w:cs="Times New Roman"/>
                <w:b/>
                <w:bCs/>
                <w:color w:val="000000" w:themeColor="text1"/>
                <w:kern w:val="0"/>
                <w14:ligatures w14:val="none"/>
              </w:rPr>
              <w:t>Relevance for Empirical Testing</w:t>
            </w:r>
          </w:p>
        </w:tc>
      </w:tr>
      <w:tr w:rsidR="00833AED" w:rsidRPr="00AF0CC3" w14:paraId="1B895754" w14:textId="77777777" w:rsidTr="00E73C98">
        <w:trPr>
          <w:tblCellSpacing w:w="15" w:type="dxa"/>
        </w:trPr>
        <w:tc>
          <w:tcPr>
            <w:tcW w:w="0" w:type="auto"/>
            <w:vAlign w:val="center"/>
            <w:hideMark/>
          </w:tcPr>
          <w:p w14:paraId="7DDFCF6E" w14:textId="77777777" w:rsidR="00833AED" w:rsidRPr="00AF0CC3" w:rsidRDefault="00833AED" w:rsidP="00833AED">
            <w:pPr>
              <w:spacing w:after="0" w:line="240" w:lineRule="auto"/>
              <w:rPr>
                <w:rFonts w:ascii="Times New Roman" w:eastAsia="Times New Roman" w:hAnsi="Times New Roman" w:cs="Times New Roman"/>
                <w:color w:val="000000" w:themeColor="text1"/>
                <w:kern w:val="0"/>
                <w14:ligatures w14:val="none"/>
              </w:rPr>
            </w:pPr>
            <w:r w:rsidRPr="00AF0CC3">
              <w:rPr>
                <w:rFonts w:ascii="Times New Roman" w:eastAsia="Times New Roman" w:hAnsi="Times New Roman" w:cs="Times New Roman"/>
                <w:b/>
                <w:bCs/>
                <w:color w:val="000000" w:themeColor="text1"/>
                <w:kern w:val="0"/>
                <w14:ligatures w14:val="none"/>
              </w:rPr>
              <w:t>Risk Allocation</w:t>
            </w:r>
          </w:p>
        </w:tc>
        <w:tc>
          <w:tcPr>
            <w:tcW w:w="0" w:type="auto"/>
            <w:vAlign w:val="center"/>
            <w:hideMark/>
          </w:tcPr>
          <w:p w14:paraId="0E25A833" w14:textId="77777777" w:rsidR="00833AED" w:rsidRPr="00AF0CC3" w:rsidRDefault="00833AED" w:rsidP="00833AED">
            <w:pPr>
              <w:spacing w:after="0" w:line="240" w:lineRule="auto"/>
              <w:rPr>
                <w:rFonts w:ascii="Times New Roman" w:eastAsia="Times New Roman" w:hAnsi="Times New Roman" w:cs="Times New Roman"/>
                <w:color w:val="000000" w:themeColor="text1"/>
                <w:kern w:val="0"/>
                <w14:ligatures w14:val="none"/>
              </w:rPr>
            </w:pPr>
            <w:r w:rsidRPr="00AF0CC3">
              <w:rPr>
                <w:rFonts w:ascii="Times New Roman" w:eastAsia="Times New Roman" w:hAnsi="Times New Roman" w:cs="Times New Roman"/>
                <w:color w:val="000000" w:themeColor="text1"/>
                <w:kern w:val="0"/>
                <w14:ligatures w14:val="none"/>
              </w:rPr>
              <w:t>Complex contractual allocation: contingent liabilities unclear</w:t>
            </w:r>
          </w:p>
        </w:tc>
        <w:tc>
          <w:tcPr>
            <w:tcW w:w="0" w:type="auto"/>
            <w:vAlign w:val="center"/>
            <w:hideMark/>
          </w:tcPr>
          <w:p w14:paraId="55B25C1B" w14:textId="77777777" w:rsidR="00833AED" w:rsidRPr="00AF0CC3" w:rsidRDefault="00833AED" w:rsidP="00833AED">
            <w:pPr>
              <w:spacing w:after="0" w:line="240" w:lineRule="auto"/>
              <w:rPr>
                <w:rFonts w:ascii="Times New Roman" w:eastAsia="Times New Roman" w:hAnsi="Times New Roman" w:cs="Times New Roman"/>
                <w:color w:val="000000" w:themeColor="text1"/>
                <w:kern w:val="0"/>
                <w14:ligatures w14:val="none"/>
              </w:rPr>
            </w:pPr>
            <w:r w:rsidRPr="00AF0CC3">
              <w:rPr>
                <w:rFonts w:ascii="Times New Roman" w:eastAsia="Times New Roman" w:hAnsi="Times New Roman" w:cs="Times New Roman"/>
                <w:color w:val="000000" w:themeColor="text1"/>
                <w:kern w:val="0"/>
                <w14:ligatures w14:val="none"/>
              </w:rPr>
              <w:t>Risks informally retained by the public agency</w:t>
            </w:r>
          </w:p>
        </w:tc>
        <w:tc>
          <w:tcPr>
            <w:tcW w:w="0" w:type="auto"/>
            <w:vAlign w:val="center"/>
            <w:hideMark/>
          </w:tcPr>
          <w:p w14:paraId="36845EC3" w14:textId="77777777" w:rsidR="00833AED" w:rsidRPr="00AF0CC3" w:rsidRDefault="00833AED" w:rsidP="00833AED">
            <w:pPr>
              <w:spacing w:after="0" w:line="240" w:lineRule="auto"/>
              <w:rPr>
                <w:rFonts w:ascii="Times New Roman" w:eastAsia="Times New Roman" w:hAnsi="Times New Roman" w:cs="Times New Roman"/>
                <w:color w:val="000000" w:themeColor="text1"/>
                <w:kern w:val="0"/>
                <w14:ligatures w14:val="none"/>
              </w:rPr>
            </w:pPr>
            <w:r w:rsidRPr="00AF0CC3">
              <w:rPr>
                <w:rFonts w:ascii="Times New Roman" w:eastAsia="Times New Roman" w:hAnsi="Times New Roman" w:cs="Times New Roman"/>
                <w:color w:val="000000" w:themeColor="text1"/>
                <w:kern w:val="0"/>
                <w14:ligatures w14:val="none"/>
              </w:rPr>
              <w:t>Misalignment between the risk bearer and the risk controller</w:t>
            </w:r>
          </w:p>
        </w:tc>
        <w:tc>
          <w:tcPr>
            <w:tcW w:w="0" w:type="auto"/>
            <w:vAlign w:val="center"/>
            <w:hideMark/>
          </w:tcPr>
          <w:p w14:paraId="0F342859" w14:textId="77777777" w:rsidR="00833AED" w:rsidRPr="00AF0CC3" w:rsidRDefault="00833AED" w:rsidP="00833AED">
            <w:pPr>
              <w:spacing w:after="0" w:line="240" w:lineRule="auto"/>
              <w:rPr>
                <w:rFonts w:ascii="Times New Roman" w:eastAsia="Times New Roman" w:hAnsi="Times New Roman" w:cs="Times New Roman"/>
                <w:color w:val="000000" w:themeColor="text1"/>
                <w:kern w:val="0"/>
                <w14:ligatures w14:val="none"/>
              </w:rPr>
            </w:pPr>
            <w:r w:rsidRPr="00AF0CC3">
              <w:rPr>
                <w:rFonts w:ascii="Times New Roman" w:eastAsia="Times New Roman" w:hAnsi="Times New Roman" w:cs="Times New Roman"/>
                <w:color w:val="000000" w:themeColor="text1"/>
                <w:kern w:val="0"/>
                <w14:ligatures w14:val="none"/>
              </w:rPr>
              <w:t>Renegotiation deadlock; liability disputes</w:t>
            </w:r>
          </w:p>
        </w:tc>
        <w:tc>
          <w:tcPr>
            <w:tcW w:w="0" w:type="auto"/>
            <w:vAlign w:val="center"/>
            <w:hideMark/>
          </w:tcPr>
          <w:p w14:paraId="5EFC9913" w14:textId="77777777" w:rsidR="00833AED" w:rsidRPr="00AF0CC3" w:rsidRDefault="00833AED" w:rsidP="00833AED">
            <w:pPr>
              <w:spacing w:after="0" w:line="240" w:lineRule="auto"/>
              <w:rPr>
                <w:rFonts w:ascii="Times New Roman" w:eastAsia="Times New Roman" w:hAnsi="Times New Roman" w:cs="Times New Roman"/>
                <w:color w:val="000000" w:themeColor="text1"/>
                <w:kern w:val="0"/>
                <w14:ligatures w14:val="none"/>
              </w:rPr>
            </w:pPr>
            <w:r w:rsidRPr="00AF0CC3">
              <w:rPr>
                <w:rFonts w:ascii="Times New Roman" w:eastAsia="Times New Roman" w:hAnsi="Times New Roman" w:cs="Times New Roman"/>
                <w:color w:val="000000" w:themeColor="text1"/>
                <w:kern w:val="0"/>
                <w14:ligatures w14:val="none"/>
              </w:rPr>
              <w:t>Tests on whether governance quality moderates modality effects</w:t>
            </w:r>
          </w:p>
        </w:tc>
      </w:tr>
      <w:tr w:rsidR="00833AED" w:rsidRPr="00AF0CC3" w14:paraId="49B40984" w14:textId="77777777" w:rsidTr="00E73C98">
        <w:trPr>
          <w:tblCellSpacing w:w="15" w:type="dxa"/>
        </w:trPr>
        <w:tc>
          <w:tcPr>
            <w:tcW w:w="0" w:type="auto"/>
            <w:vAlign w:val="center"/>
            <w:hideMark/>
          </w:tcPr>
          <w:p w14:paraId="7EE7FACB" w14:textId="77777777" w:rsidR="00833AED" w:rsidRPr="00AF0CC3" w:rsidRDefault="00833AED" w:rsidP="00833AED">
            <w:pPr>
              <w:spacing w:after="0" w:line="240" w:lineRule="auto"/>
              <w:rPr>
                <w:rFonts w:ascii="Times New Roman" w:eastAsia="Times New Roman" w:hAnsi="Times New Roman" w:cs="Times New Roman"/>
                <w:color w:val="000000" w:themeColor="text1"/>
                <w:kern w:val="0"/>
                <w14:ligatures w14:val="none"/>
              </w:rPr>
            </w:pPr>
            <w:r w:rsidRPr="00AF0CC3">
              <w:rPr>
                <w:rFonts w:ascii="Times New Roman" w:eastAsia="Times New Roman" w:hAnsi="Times New Roman" w:cs="Times New Roman"/>
                <w:b/>
                <w:bCs/>
                <w:color w:val="000000" w:themeColor="text1"/>
                <w:kern w:val="0"/>
                <w14:ligatures w14:val="none"/>
              </w:rPr>
              <w:t>Financial Structure</w:t>
            </w:r>
          </w:p>
        </w:tc>
        <w:tc>
          <w:tcPr>
            <w:tcW w:w="0" w:type="auto"/>
            <w:vAlign w:val="center"/>
            <w:hideMark/>
          </w:tcPr>
          <w:p w14:paraId="248D3050" w14:textId="77777777" w:rsidR="00833AED" w:rsidRPr="00AF0CC3" w:rsidRDefault="00833AED" w:rsidP="00833AED">
            <w:pPr>
              <w:spacing w:after="0" w:line="240" w:lineRule="auto"/>
              <w:rPr>
                <w:rFonts w:ascii="Times New Roman" w:eastAsia="Times New Roman" w:hAnsi="Times New Roman" w:cs="Times New Roman"/>
                <w:color w:val="000000" w:themeColor="text1"/>
                <w:kern w:val="0"/>
                <w14:ligatures w14:val="none"/>
              </w:rPr>
            </w:pPr>
            <w:r w:rsidRPr="00AF0CC3">
              <w:rPr>
                <w:rFonts w:ascii="Times New Roman" w:eastAsia="Times New Roman" w:hAnsi="Times New Roman" w:cs="Times New Roman"/>
                <w:color w:val="000000" w:themeColor="text1"/>
                <w:kern w:val="0"/>
                <w14:ligatures w14:val="none"/>
              </w:rPr>
              <w:t>Dependence on financial close, currency, and demand exposure</w:t>
            </w:r>
          </w:p>
        </w:tc>
        <w:tc>
          <w:tcPr>
            <w:tcW w:w="0" w:type="auto"/>
            <w:vAlign w:val="center"/>
            <w:hideMark/>
          </w:tcPr>
          <w:p w14:paraId="57833C8F" w14:textId="77777777" w:rsidR="00833AED" w:rsidRPr="00AF0CC3" w:rsidRDefault="00833AED" w:rsidP="00833AED">
            <w:pPr>
              <w:spacing w:after="0" w:line="240" w:lineRule="auto"/>
              <w:rPr>
                <w:rFonts w:ascii="Times New Roman" w:eastAsia="Times New Roman" w:hAnsi="Times New Roman" w:cs="Times New Roman"/>
                <w:color w:val="000000" w:themeColor="text1"/>
                <w:kern w:val="0"/>
                <w14:ligatures w14:val="none"/>
              </w:rPr>
            </w:pPr>
            <w:r w:rsidRPr="00AF0CC3">
              <w:rPr>
                <w:rFonts w:ascii="Times New Roman" w:eastAsia="Times New Roman" w:hAnsi="Times New Roman" w:cs="Times New Roman"/>
                <w:color w:val="000000" w:themeColor="text1"/>
                <w:kern w:val="0"/>
                <w14:ligatures w14:val="none"/>
              </w:rPr>
              <w:t>Budgetary dependency; fiscal reprioritization</w:t>
            </w:r>
          </w:p>
        </w:tc>
        <w:tc>
          <w:tcPr>
            <w:tcW w:w="0" w:type="auto"/>
            <w:vAlign w:val="center"/>
            <w:hideMark/>
          </w:tcPr>
          <w:p w14:paraId="60B72F6F" w14:textId="77777777" w:rsidR="00833AED" w:rsidRPr="00AF0CC3" w:rsidRDefault="00833AED" w:rsidP="00833AED">
            <w:pPr>
              <w:spacing w:after="0" w:line="240" w:lineRule="auto"/>
              <w:rPr>
                <w:rFonts w:ascii="Times New Roman" w:eastAsia="Times New Roman" w:hAnsi="Times New Roman" w:cs="Times New Roman"/>
                <w:color w:val="000000" w:themeColor="text1"/>
                <w:kern w:val="0"/>
                <w14:ligatures w14:val="none"/>
              </w:rPr>
            </w:pPr>
            <w:r w:rsidRPr="00AF0CC3">
              <w:rPr>
                <w:rFonts w:ascii="Times New Roman" w:eastAsia="Times New Roman" w:hAnsi="Times New Roman" w:cs="Times New Roman"/>
                <w:color w:val="000000" w:themeColor="text1"/>
                <w:kern w:val="0"/>
                <w14:ligatures w14:val="none"/>
              </w:rPr>
              <w:t>Cash flow instability</w:t>
            </w:r>
          </w:p>
        </w:tc>
        <w:tc>
          <w:tcPr>
            <w:tcW w:w="0" w:type="auto"/>
            <w:vAlign w:val="center"/>
            <w:hideMark/>
          </w:tcPr>
          <w:p w14:paraId="6EA3AE55" w14:textId="77777777" w:rsidR="00833AED" w:rsidRPr="00AF0CC3" w:rsidRDefault="00833AED" w:rsidP="00833AED">
            <w:pPr>
              <w:spacing w:after="0" w:line="240" w:lineRule="auto"/>
              <w:rPr>
                <w:rFonts w:ascii="Times New Roman" w:eastAsia="Times New Roman" w:hAnsi="Times New Roman" w:cs="Times New Roman"/>
                <w:color w:val="000000" w:themeColor="text1"/>
                <w:kern w:val="0"/>
                <w14:ligatures w14:val="none"/>
              </w:rPr>
            </w:pPr>
            <w:r w:rsidRPr="00AF0CC3">
              <w:rPr>
                <w:rFonts w:ascii="Times New Roman" w:eastAsia="Times New Roman" w:hAnsi="Times New Roman" w:cs="Times New Roman"/>
                <w:color w:val="000000" w:themeColor="text1"/>
                <w:kern w:val="0"/>
                <w14:ligatures w14:val="none"/>
              </w:rPr>
              <w:t>Suspension when financing gaps widen</w:t>
            </w:r>
          </w:p>
        </w:tc>
        <w:tc>
          <w:tcPr>
            <w:tcW w:w="0" w:type="auto"/>
            <w:vAlign w:val="center"/>
            <w:hideMark/>
          </w:tcPr>
          <w:p w14:paraId="1863DA22" w14:textId="77777777" w:rsidR="00833AED" w:rsidRPr="00AF0CC3" w:rsidRDefault="00833AED" w:rsidP="00833AED">
            <w:pPr>
              <w:spacing w:after="0" w:line="240" w:lineRule="auto"/>
              <w:rPr>
                <w:rFonts w:ascii="Times New Roman" w:eastAsia="Times New Roman" w:hAnsi="Times New Roman" w:cs="Times New Roman"/>
                <w:color w:val="000000" w:themeColor="text1"/>
                <w:kern w:val="0"/>
                <w14:ligatures w14:val="none"/>
              </w:rPr>
            </w:pPr>
            <w:r w:rsidRPr="00AF0CC3">
              <w:rPr>
                <w:rFonts w:ascii="Times New Roman" w:eastAsia="Times New Roman" w:hAnsi="Times New Roman" w:cs="Times New Roman"/>
                <w:color w:val="000000" w:themeColor="text1"/>
                <w:kern w:val="0"/>
                <w14:ligatures w14:val="none"/>
              </w:rPr>
              <w:t>Explains variation in time and cost overruns</w:t>
            </w:r>
          </w:p>
        </w:tc>
      </w:tr>
      <w:tr w:rsidR="00833AED" w:rsidRPr="00AF0CC3" w14:paraId="0C95CBCE" w14:textId="77777777" w:rsidTr="00E73C98">
        <w:trPr>
          <w:tblCellSpacing w:w="15" w:type="dxa"/>
        </w:trPr>
        <w:tc>
          <w:tcPr>
            <w:tcW w:w="0" w:type="auto"/>
            <w:vAlign w:val="center"/>
            <w:hideMark/>
          </w:tcPr>
          <w:p w14:paraId="1ADDEB84" w14:textId="77777777" w:rsidR="00833AED" w:rsidRPr="00AF0CC3" w:rsidRDefault="00833AED" w:rsidP="00833AED">
            <w:pPr>
              <w:spacing w:after="0" w:line="240" w:lineRule="auto"/>
              <w:rPr>
                <w:rFonts w:ascii="Times New Roman" w:eastAsia="Times New Roman" w:hAnsi="Times New Roman" w:cs="Times New Roman"/>
                <w:color w:val="000000" w:themeColor="text1"/>
                <w:kern w:val="0"/>
                <w14:ligatures w14:val="none"/>
              </w:rPr>
            </w:pPr>
            <w:r w:rsidRPr="00AF0CC3">
              <w:rPr>
                <w:rFonts w:ascii="Times New Roman" w:eastAsia="Times New Roman" w:hAnsi="Times New Roman" w:cs="Times New Roman"/>
                <w:b/>
                <w:bCs/>
                <w:color w:val="000000" w:themeColor="text1"/>
                <w:kern w:val="0"/>
                <w14:ligatures w14:val="none"/>
              </w:rPr>
              <w:t>Contract Management</w:t>
            </w:r>
          </w:p>
        </w:tc>
        <w:tc>
          <w:tcPr>
            <w:tcW w:w="0" w:type="auto"/>
            <w:vAlign w:val="center"/>
            <w:hideMark/>
          </w:tcPr>
          <w:p w14:paraId="4EA0E345" w14:textId="77777777" w:rsidR="00833AED" w:rsidRPr="00AF0CC3" w:rsidRDefault="00833AED" w:rsidP="00833AED">
            <w:pPr>
              <w:spacing w:after="0" w:line="240" w:lineRule="auto"/>
              <w:rPr>
                <w:rFonts w:ascii="Times New Roman" w:eastAsia="Times New Roman" w:hAnsi="Times New Roman" w:cs="Times New Roman"/>
                <w:color w:val="000000" w:themeColor="text1"/>
                <w:kern w:val="0"/>
                <w14:ligatures w14:val="none"/>
              </w:rPr>
            </w:pPr>
            <w:r w:rsidRPr="00AF0CC3">
              <w:rPr>
                <w:rFonts w:ascii="Times New Roman" w:eastAsia="Times New Roman" w:hAnsi="Times New Roman" w:cs="Times New Roman"/>
                <w:color w:val="000000" w:themeColor="text1"/>
                <w:kern w:val="0"/>
                <w14:ligatures w14:val="none"/>
              </w:rPr>
              <w:t>Contract rigidity; politically mediated renegotiation</w:t>
            </w:r>
          </w:p>
        </w:tc>
        <w:tc>
          <w:tcPr>
            <w:tcW w:w="0" w:type="auto"/>
            <w:vAlign w:val="center"/>
            <w:hideMark/>
          </w:tcPr>
          <w:p w14:paraId="0D3BB060" w14:textId="77777777" w:rsidR="00833AED" w:rsidRPr="00AF0CC3" w:rsidRDefault="00833AED" w:rsidP="00833AED">
            <w:pPr>
              <w:spacing w:after="0" w:line="240" w:lineRule="auto"/>
              <w:rPr>
                <w:rFonts w:ascii="Times New Roman" w:eastAsia="Times New Roman" w:hAnsi="Times New Roman" w:cs="Times New Roman"/>
                <w:color w:val="000000" w:themeColor="text1"/>
                <w:kern w:val="0"/>
                <w14:ligatures w14:val="none"/>
              </w:rPr>
            </w:pPr>
            <w:r w:rsidRPr="00AF0CC3">
              <w:rPr>
                <w:rFonts w:ascii="Times New Roman" w:eastAsia="Times New Roman" w:hAnsi="Times New Roman" w:cs="Times New Roman"/>
                <w:color w:val="000000" w:themeColor="text1"/>
                <w:kern w:val="0"/>
                <w14:ligatures w14:val="none"/>
              </w:rPr>
              <w:t>Weak enforcement; excessive variation orders</w:t>
            </w:r>
          </w:p>
        </w:tc>
        <w:tc>
          <w:tcPr>
            <w:tcW w:w="0" w:type="auto"/>
            <w:vAlign w:val="center"/>
            <w:hideMark/>
          </w:tcPr>
          <w:p w14:paraId="45EA1257" w14:textId="77777777" w:rsidR="00833AED" w:rsidRPr="00AF0CC3" w:rsidRDefault="00833AED" w:rsidP="00833AED">
            <w:pPr>
              <w:spacing w:after="0" w:line="240" w:lineRule="auto"/>
              <w:rPr>
                <w:rFonts w:ascii="Times New Roman" w:eastAsia="Times New Roman" w:hAnsi="Times New Roman" w:cs="Times New Roman"/>
                <w:color w:val="000000" w:themeColor="text1"/>
                <w:kern w:val="0"/>
                <w14:ligatures w14:val="none"/>
              </w:rPr>
            </w:pPr>
            <w:r w:rsidRPr="00AF0CC3">
              <w:rPr>
                <w:rFonts w:ascii="Times New Roman" w:eastAsia="Times New Roman" w:hAnsi="Times New Roman" w:cs="Times New Roman"/>
                <w:color w:val="000000" w:themeColor="text1"/>
                <w:kern w:val="0"/>
                <w14:ligatures w14:val="none"/>
              </w:rPr>
              <w:t>Incentive misalignment</w:t>
            </w:r>
          </w:p>
        </w:tc>
        <w:tc>
          <w:tcPr>
            <w:tcW w:w="0" w:type="auto"/>
            <w:vAlign w:val="center"/>
            <w:hideMark/>
          </w:tcPr>
          <w:p w14:paraId="3FCE67AD" w14:textId="77777777" w:rsidR="00833AED" w:rsidRPr="00AF0CC3" w:rsidRDefault="00833AED" w:rsidP="00833AED">
            <w:pPr>
              <w:spacing w:after="0" w:line="240" w:lineRule="auto"/>
              <w:rPr>
                <w:rFonts w:ascii="Times New Roman" w:eastAsia="Times New Roman" w:hAnsi="Times New Roman" w:cs="Times New Roman"/>
                <w:color w:val="000000" w:themeColor="text1"/>
                <w:kern w:val="0"/>
                <w14:ligatures w14:val="none"/>
              </w:rPr>
            </w:pPr>
            <w:r w:rsidRPr="00AF0CC3">
              <w:rPr>
                <w:rFonts w:ascii="Times New Roman" w:eastAsia="Times New Roman" w:hAnsi="Times New Roman" w:cs="Times New Roman"/>
                <w:color w:val="000000" w:themeColor="text1"/>
                <w:kern w:val="0"/>
                <w14:ligatures w14:val="none"/>
              </w:rPr>
              <w:t>Prolonged renegotiation slows or halts construction</w:t>
            </w:r>
          </w:p>
        </w:tc>
        <w:tc>
          <w:tcPr>
            <w:tcW w:w="0" w:type="auto"/>
            <w:vAlign w:val="center"/>
            <w:hideMark/>
          </w:tcPr>
          <w:p w14:paraId="6C6C2A0B" w14:textId="77777777" w:rsidR="00833AED" w:rsidRPr="00AF0CC3" w:rsidRDefault="00833AED" w:rsidP="00833AED">
            <w:pPr>
              <w:spacing w:after="0" w:line="240" w:lineRule="auto"/>
              <w:rPr>
                <w:rFonts w:ascii="Times New Roman" w:eastAsia="Times New Roman" w:hAnsi="Times New Roman" w:cs="Times New Roman"/>
                <w:color w:val="000000" w:themeColor="text1"/>
                <w:kern w:val="0"/>
                <w14:ligatures w14:val="none"/>
              </w:rPr>
            </w:pPr>
            <w:r w:rsidRPr="00AF0CC3">
              <w:rPr>
                <w:rFonts w:ascii="Times New Roman" w:eastAsia="Times New Roman" w:hAnsi="Times New Roman" w:cs="Times New Roman"/>
                <w:color w:val="000000" w:themeColor="text1"/>
                <w:kern w:val="0"/>
                <w14:ligatures w14:val="none"/>
              </w:rPr>
              <w:t>Linked to the probability of stalling (H3)</w:t>
            </w:r>
          </w:p>
        </w:tc>
      </w:tr>
      <w:tr w:rsidR="00833AED" w:rsidRPr="00AF0CC3" w14:paraId="492EF4BC" w14:textId="77777777" w:rsidTr="00E73C98">
        <w:trPr>
          <w:tblCellSpacing w:w="15" w:type="dxa"/>
        </w:trPr>
        <w:tc>
          <w:tcPr>
            <w:tcW w:w="0" w:type="auto"/>
            <w:vAlign w:val="center"/>
            <w:hideMark/>
          </w:tcPr>
          <w:p w14:paraId="69B84F36" w14:textId="77777777" w:rsidR="00833AED" w:rsidRPr="00AF0CC3" w:rsidRDefault="00833AED" w:rsidP="00833AED">
            <w:pPr>
              <w:spacing w:after="0" w:line="240" w:lineRule="auto"/>
              <w:rPr>
                <w:rFonts w:ascii="Times New Roman" w:eastAsia="Times New Roman" w:hAnsi="Times New Roman" w:cs="Times New Roman"/>
                <w:color w:val="000000" w:themeColor="text1"/>
                <w:kern w:val="0"/>
                <w14:ligatures w14:val="none"/>
              </w:rPr>
            </w:pPr>
            <w:r w:rsidRPr="00AF0CC3">
              <w:rPr>
                <w:rFonts w:ascii="Times New Roman" w:eastAsia="Times New Roman" w:hAnsi="Times New Roman" w:cs="Times New Roman"/>
                <w:b/>
                <w:bCs/>
                <w:color w:val="000000" w:themeColor="text1"/>
                <w:kern w:val="0"/>
                <w14:ligatures w14:val="none"/>
              </w:rPr>
              <w:t>Accountability &amp; Oversight</w:t>
            </w:r>
          </w:p>
        </w:tc>
        <w:tc>
          <w:tcPr>
            <w:tcW w:w="0" w:type="auto"/>
            <w:vAlign w:val="center"/>
            <w:hideMark/>
          </w:tcPr>
          <w:p w14:paraId="5EC3BF5B" w14:textId="77777777" w:rsidR="00833AED" w:rsidRPr="00AF0CC3" w:rsidRDefault="00833AED" w:rsidP="00833AED">
            <w:pPr>
              <w:spacing w:after="0" w:line="240" w:lineRule="auto"/>
              <w:rPr>
                <w:rFonts w:ascii="Times New Roman" w:eastAsia="Times New Roman" w:hAnsi="Times New Roman" w:cs="Times New Roman"/>
                <w:color w:val="000000" w:themeColor="text1"/>
                <w:kern w:val="0"/>
                <w14:ligatures w14:val="none"/>
              </w:rPr>
            </w:pPr>
            <w:r w:rsidRPr="00AF0CC3">
              <w:rPr>
                <w:rFonts w:ascii="Times New Roman" w:eastAsia="Times New Roman" w:hAnsi="Times New Roman" w:cs="Times New Roman"/>
                <w:color w:val="000000" w:themeColor="text1"/>
                <w:kern w:val="0"/>
                <w14:ligatures w14:val="none"/>
              </w:rPr>
              <w:t>Blended public-private accountability; opacity in renegotiation</w:t>
            </w:r>
          </w:p>
        </w:tc>
        <w:tc>
          <w:tcPr>
            <w:tcW w:w="0" w:type="auto"/>
            <w:vAlign w:val="center"/>
            <w:hideMark/>
          </w:tcPr>
          <w:p w14:paraId="1690DFC0" w14:textId="77777777" w:rsidR="00833AED" w:rsidRPr="00AF0CC3" w:rsidRDefault="00833AED" w:rsidP="00833AED">
            <w:pPr>
              <w:spacing w:after="0" w:line="240" w:lineRule="auto"/>
              <w:rPr>
                <w:rFonts w:ascii="Times New Roman" w:eastAsia="Times New Roman" w:hAnsi="Times New Roman" w:cs="Times New Roman"/>
                <w:color w:val="000000" w:themeColor="text1"/>
                <w:kern w:val="0"/>
                <w14:ligatures w14:val="none"/>
              </w:rPr>
            </w:pPr>
            <w:r w:rsidRPr="00AF0CC3">
              <w:rPr>
                <w:rFonts w:ascii="Times New Roman" w:eastAsia="Times New Roman" w:hAnsi="Times New Roman" w:cs="Times New Roman"/>
                <w:color w:val="000000" w:themeColor="text1"/>
                <w:kern w:val="0"/>
                <w14:ligatures w14:val="none"/>
              </w:rPr>
              <w:t>Formal audit oversight; weak enforcement follow-up</w:t>
            </w:r>
          </w:p>
        </w:tc>
        <w:tc>
          <w:tcPr>
            <w:tcW w:w="0" w:type="auto"/>
            <w:vAlign w:val="center"/>
            <w:hideMark/>
          </w:tcPr>
          <w:p w14:paraId="4EE48C7C" w14:textId="77777777" w:rsidR="00833AED" w:rsidRPr="00AF0CC3" w:rsidRDefault="00833AED" w:rsidP="00833AED">
            <w:pPr>
              <w:spacing w:after="0" w:line="240" w:lineRule="auto"/>
              <w:rPr>
                <w:rFonts w:ascii="Times New Roman" w:eastAsia="Times New Roman" w:hAnsi="Times New Roman" w:cs="Times New Roman"/>
                <w:color w:val="000000" w:themeColor="text1"/>
                <w:kern w:val="0"/>
                <w14:ligatures w14:val="none"/>
              </w:rPr>
            </w:pPr>
            <w:r w:rsidRPr="00AF0CC3">
              <w:rPr>
                <w:rFonts w:ascii="Times New Roman" w:eastAsia="Times New Roman" w:hAnsi="Times New Roman" w:cs="Times New Roman"/>
                <w:color w:val="000000" w:themeColor="text1"/>
                <w:kern w:val="0"/>
                <w14:ligatures w14:val="none"/>
              </w:rPr>
              <w:t>Diffused responsibility</w:t>
            </w:r>
          </w:p>
        </w:tc>
        <w:tc>
          <w:tcPr>
            <w:tcW w:w="0" w:type="auto"/>
            <w:vAlign w:val="center"/>
            <w:hideMark/>
          </w:tcPr>
          <w:p w14:paraId="30EE52AE" w14:textId="77777777" w:rsidR="00833AED" w:rsidRPr="00AF0CC3" w:rsidRDefault="00833AED" w:rsidP="00833AED">
            <w:pPr>
              <w:spacing w:after="0" w:line="240" w:lineRule="auto"/>
              <w:rPr>
                <w:rFonts w:ascii="Times New Roman" w:eastAsia="Times New Roman" w:hAnsi="Times New Roman" w:cs="Times New Roman"/>
                <w:color w:val="000000" w:themeColor="text1"/>
                <w:kern w:val="0"/>
                <w14:ligatures w14:val="none"/>
              </w:rPr>
            </w:pPr>
            <w:r w:rsidRPr="00AF0CC3">
              <w:rPr>
                <w:rFonts w:ascii="Times New Roman" w:eastAsia="Times New Roman" w:hAnsi="Times New Roman" w:cs="Times New Roman"/>
                <w:color w:val="000000" w:themeColor="text1"/>
                <w:kern w:val="0"/>
                <w14:ligatures w14:val="none"/>
              </w:rPr>
              <w:t>Disputes unresolved; project inactivity persists</w:t>
            </w:r>
          </w:p>
        </w:tc>
        <w:tc>
          <w:tcPr>
            <w:tcW w:w="0" w:type="auto"/>
            <w:vAlign w:val="center"/>
            <w:hideMark/>
          </w:tcPr>
          <w:p w14:paraId="41E6AAB0" w14:textId="77777777" w:rsidR="00833AED" w:rsidRPr="00AF0CC3" w:rsidRDefault="00833AED" w:rsidP="00833AED">
            <w:pPr>
              <w:spacing w:after="0" w:line="240" w:lineRule="auto"/>
              <w:rPr>
                <w:rFonts w:ascii="Times New Roman" w:eastAsia="Times New Roman" w:hAnsi="Times New Roman" w:cs="Times New Roman"/>
                <w:color w:val="000000" w:themeColor="text1"/>
                <w:kern w:val="0"/>
                <w14:ligatures w14:val="none"/>
              </w:rPr>
            </w:pPr>
            <w:r w:rsidRPr="00AF0CC3">
              <w:rPr>
                <w:rFonts w:ascii="Times New Roman" w:eastAsia="Times New Roman" w:hAnsi="Times New Roman" w:cs="Times New Roman"/>
                <w:color w:val="000000" w:themeColor="text1"/>
                <w:kern w:val="0"/>
                <w14:ligatures w14:val="none"/>
              </w:rPr>
              <w:t>Justifies governance quality as core IV</w:t>
            </w:r>
          </w:p>
        </w:tc>
      </w:tr>
    </w:tbl>
    <w:p w14:paraId="296F9F20" w14:textId="77777777" w:rsidR="00833AED" w:rsidRPr="00AF0CC3" w:rsidRDefault="00833AED" w:rsidP="00833AED">
      <w:pPr>
        <w:spacing w:after="200" w:line="240" w:lineRule="auto"/>
        <w:rPr>
          <w:rFonts w:ascii="Times New Roman" w:eastAsia="MS Mincho" w:hAnsi="Times New Roman" w:cs="Times New Roman"/>
          <w:color w:val="000000" w:themeColor="text1"/>
          <w:kern w:val="0"/>
          <w14:ligatures w14:val="none"/>
        </w:rPr>
      </w:pPr>
    </w:p>
    <w:p w14:paraId="3A384566" w14:textId="77777777" w:rsidR="00833AED" w:rsidRPr="00AF0CC3" w:rsidRDefault="00833AED" w:rsidP="00833AED">
      <w:pPr>
        <w:spacing w:line="240" w:lineRule="auto"/>
        <w:rPr>
          <w:rFonts w:ascii="Times New Roman" w:hAnsi="Times New Roman" w:cs="Times New Roman"/>
          <w:color w:val="000000" w:themeColor="text1"/>
        </w:rPr>
      </w:pPr>
    </w:p>
    <w:p w14:paraId="1BCB2B6E" w14:textId="0D52C62E" w:rsidR="00833AED" w:rsidRPr="00AF0CC3" w:rsidRDefault="00833AED" w:rsidP="00833AED">
      <w:pPr>
        <w:spacing w:line="240" w:lineRule="auto"/>
        <w:rPr>
          <w:rFonts w:ascii="Times New Roman" w:hAnsi="Times New Roman" w:cs="Times New Roman"/>
          <w:color w:val="000000" w:themeColor="text1"/>
        </w:rPr>
      </w:pPr>
      <w:r w:rsidRPr="00AF0CC3">
        <w:rPr>
          <w:rFonts w:ascii="Times New Roman" w:hAnsi="Times New Roman" w:cs="Times New Roman"/>
          <w:color w:val="000000" w:themeColor="text1"/>
        </w:rPr>
        <w:t>Table 2</w:t>
      </w:r>
      <w:r w:rsidR="00A56614" w:rsidRPr="00AF0CC3">
        <w:rPr>
          <w:rFonts w:ascii="Times New Roman" w:hAnsi="Times New Roman" w:cs="Times New Roman"/>
          <w:color w:val="000000" w:themeColor="text1"/>
        </w:rPr>
        <w:t>-</w:t>
      </w:r>
      <w:r w:rsidRPr="00AF0CC3">
        <w:rPr>
          <w:rFonts w:ascii="Times New Roman" w:hAnsi="Times New Roman" w:cs="Times New Roman"/>
          <w:color w:val="000000" w:themeColor="text1"/>
        </w:rPr>
        <w:t>4 compares governance vulnerabilities across PPP and traditionally procured water projects. It shows that although contractual forms differ, underlying governance weaknesses, particularly in risk allocation and oversight, affect both modalities. The table challenges the assumption that PPPs inherently improve performance outcomes. Instead, it reinforces the argument that governance quality, rather than the financing model, shapes project trajectories.</w:t>
      </w:r>
    </w:p>
    <w:p w14:paraId="5C4DD87A" w14:textId="77777777" w:rsidR="00833AED" w:rsidRPr="00AF0CC3" w:rsidRDefault="00833AED" w:rsidP="00833AED">
      <w:pPr>
        <w:spacing w:line="240" w:lineRule="auto"/>
        <w:rPr>
          <w:rFonts w:ascii="Times New Roman" w:hAnsi="Times New Roman" w:cs="Times New Roman"/>
          <w:color w:val="000000" w:themeColor="text1"/>
        </w:rPr>
      </w:pPr>
    </w:p>
    <w:p w14:paraId="29C422FD" w14:textId="77777777" w:rsidR="00D63C6D" w:rsidRPr="00AF0CC3" w:rsidRDefault="00833AED" w:rsidP="00D63C6D">
      <w:pPr>
        <w:keepNext/>
        <w:spacing w:line="240" w:lineRule="auto"/>
        <w:rPr>
          <w:rFonts w:ascii="Times New Roman" w:hAnsi="Times New Roman" w:cs="Times New Roman"/>
        </w:rPr>
      </w:pPr>
      <w:r w:rsidRPr="00AF0CC3">
        <w:rPr>
          <w:rFonts w:ascii="Times New Roman" w:hAnsi="Times New Roman" w:cs="Times New Roman"/>
          <w:noProof/>
          <w:color w:val="000000" w:themeColor="text1"/>
        </w:rPr>
        <w:lastRenderedPageBreak/>
        <w:drawing>
          <wp:inline distT="0" distB="0" distL="0" distR="0" wp14:anchorId="30EFA4C1" wp14:editId="74905FA5">
            <wp:extent cx="5943600" cy="4371975"/>
            <wp:effectExtent l="0" t="0" r="0" b="9525"/>
            <wp:docPr id="997109747" name="Graph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97109747" name=""/>
                    <pic:cNvPicPr/>
                  </pic:nvPicPr>
                  <pic:blipFill>
                    <a:blip r:embed="rId19">
                      <a:extLst>
                        <a:ext uri="{96DAC541-7B7A-43D3-8B79-37D633B846F1}">
                          <asvg:svgBlip xmlns:asvg="http://schemas.microsoft.com/office/drawing/2016/SVG/main" r:embed="rId20"/>
                        </a:ext>
                      </a:extLst>
                    </a:blip>
                    <a:stretch>
                      <a:fillRect/>
                    </a:stretch>
                  </pic:blipFill>
                  <pic:spPr>
                    <a:xfrm>
                      <a:off x="0" y="0"/>
                      <a:ext cx="5943600" cy="4371975"/>
                    </a:xfrm>
                    <a:prstGeom prst="rect">
                      <a:avLst/>
                    </a:prstGeom>
                  </pic:spPr>
                </pic:pic>
              </a:graphicData>
            </a:graphic>
          </wp:inline>
        </w:drawing>
      </w:r>
    </w:p>
    <w:p w14:paraId="1AFA16D6" w14:textId="115BD667" w:rsidR="001B0311" w:rsidRPr="00AF0CC3" w:rsidRDefault="00D63C6D" w:rsidP="00D63C6D">
      <w:pPr>
        <w:pStyle w:val="Caption"/>
        <w:rPr>
          <w:rFonts w:ascii="Times New Roman" w:hAnsi="Times New Roman" w:cs="Times New Roman"/>
          <w:color w:val="000000" w:themeColor="text1"/>
          <w:sz w:val="24"/>
          <w:szCs w:val="24"/>
        </w:rPr>
      </w:pPr>
      <w:bookmarkStart w:id="128" w:name="_Toc234481925"/>
      <w:r w:rsidRPr="00AF0CC3">
        <w:rPr>
          <w:rFonts w:ascii="Times New Roman" w:hAnsi="Times New Roman" w:cs="Times New Roman"/>
          <w:sz w:val="24"/>
          <w:szCs w:val="24"/>
        </w:rPr>
        <w:t xml:space="preserve">Figure </w:t>
      </w:r>
      <w:r w:rsidR="00052921" w:rsidRPr="00AF0CC3">
        <w:rPr>
          <w:rFonts w:ascii="Times New Roman" w:hAnsi="Times New Roman" w:cs="Times New Roman"/>
          <w:sz w:val="24"/>
          <w:szCs w:val="24"/>
        </w:rPr>
        <w:fldChar w:fldCharType="begin"/>
      </w:r>
      <w:r w:rsidR="00052921" w:rsidRPr="00AF0CC3">
        <w:rPr>
          <w:rFonts w:ascii="Times New Roman" w:hAnsi="Times New Roman" w:cs="Times New Roman"/>
          <w:sz w:val="24"/>
          <w:szCs w:val="24"/>
        </w:rPr>
        <w:instrText xml:space="preserve"> STYLEREF 1 \s </w:instrText>
      </w:r>
      <w:r w:rsidR="00052921" w:rsidRPr="00AF0CC3">
        <w:rPr>
          <w:rFonts w:ascii="Times New Roman" w:hAnsi="Times New Roman" w:cs="Times New Roman"/>
          <w:sz w:val="24"/>
          <w:szCs w:val="24"/>
        </w:rPr>
        <w:fldChar w:fldCharType="separate"/>
      </w:r>
      <w:r w:rsidR="00052921" w:rsidRPr="00AF0CC3">
        <w:rPr>
          <w:rFonts w:ascii="Times New Roman" w:hAnsi="Times New Roman" w:cs="Times New Roman"/>
          <w:noProof/>
          <w:sz w:val="24"/>
          <w:szCs w:val="24"/>
        </w:rPr>
        <w:t>2</w:t>
      </w:r>
      <w:r w:rsidR="00052921" w:rsidRPr="00AF0CC3">
        <w:rPr>
          <w:rFonts w:ascii="Times New Roman" w:hAnsi="Times New Roman" w:cs="Times New Roman"/>
          <w:noProof/>
          <w:sz w:val="24"/>
          <w:szCs w:val="24"/>
        </w:rPr>
        <w:fldChar w:fldCharType="end"/>
      </w:r>
      <w:r w:rsidR="00BF2261" w:rsidRPr="00AF0CC3">
        <w:rPr>
          <w:rFonts w:ascii="Times New Roman" w:hAnsi="Times New Roman" w:cs="Times New Roman"/>
          <w:sz w:val="24"/>
          <w:szCs w:val="24"/>
        </w:rPr>
        <w:t>.</w:t>
      </w:r>
      <w:r w:rsidR="00052921" w:rsidRPr="00AF0CC3">
        <w:rPr>
          <w:rFonts w:ascii="Times New Roman" w:hAnsi="Times New Roman" w:cs="Times New Roman"/>
          <w:sz w:val="24"/>
          <w:szCs w:val="24"/>
        </w:rPr>
        <w:fldChar w:fldCharType="begin"/>
      </w:r>
      <w:r w:rsidR="00052921" w:rsidRPr="00AF0CC3">
        <w:rPr>
          <w:rFonts w:ascii="Times New Roman" w:hAnsi="Times New Roman" w:cs="Times New Roman"/>
          <w:sz w:val="24"/>
          <w:szCs w:val="24"/>
        </w:rPr>
        <w:instrText xml:space="preserve"> SEQ Figure \* ARABIC \s 1 </w:instrText>
      </w:r>
      <w:r w:rsidR="00052921" w:rsidRPr="00AF0CC3">
        <w:rPr>
          <w:rFonts w:ascii="Times New Roman" w:hAnsi="Times New Roman" w:cs="Times New Roman"/>
          <w:sz w:val="24"/>
          <w:szCs w:val="24"/>
        </w:rPr>
        <w:fldChar w:fldCharType="separate"/>
      </w:r>
      <w:r w:rsidR="00052921" w:rsidRPr="00AF0CC3">
        <w:rPr>
          <w:rFonts w:ascii="Times New Roman" w:hAnsi="Times New Roman" w:cs="Times New Roman"/>
          <w:noProof/>
          <w:sz w:val="24"/>
          <w:szCs w:val="24"/>
        </w:rPr>
        <w:t>2</w:t>
      </w:r>
      <w:r w:rsidR="00052921" w:rsidRPr="00AF0CC3">
        <w:rPr>
          <w:rFonts w:ascii="Times New Roman" w:hAnsi="Times New Roman" w:cs="Times New Roman"/>
          <w:noProof/>
          <w:sz w:val="24"/>
          <w:szCs w:val="24"/>
        </w:rPr>
        <w:fldChar w:fldCharType="end"/>
      </w:r>
      <w:r w:rsidRPr="00AF0CC3">
        <w:rPr>
          <w:rFonts w:ascii="Times New Roman" w:hAnsi="Times New Roman" w:cs="Times New Roman"/>
          <w:sz w:val="24"/>
          <w:szCs w:val="24"/>
        </w:rPr>
        <w:t xml:space="preserve"> PPP Risk Allocation, Renegotiation, and Project Stalling Pathway</w:t>
      </w:r>
      <w:bookmarkEnd w:id="128"/>
    </w:p>
    <w:p w14:paraId="2EBFC029" w14:textId="4BAB01B6" w:rsidR="00833AED" w:rsidRPr="00AF0CC3" w:rsidRDefault="00833AED" w:rsidP="00833AED">
      <w:pPr>
        <w:spacing w:line="240" w:lineRule="auto"/>
        <w:rPr>
          <w:rFonts w:ascii="Times New Roman" w:hAnsi="Times New Roman" w:cs="Times New Roman"/>
          <w:color w:val="000000" w:themeColor="text1"/>
        </w:rPr>
      </w:pPr>
      <w:r w:rsidRPr="00AF0CC3">
        <w:rPr>
          <w:rFonts w:ascii="Times New Roman" w:hAnsi="Times New Roman" w:cs="Times New Roman"/>
          <w:color w:val="000000" w:themeColor="text1"/>
        </w:rPr>
        <w:t>Figure 2.</w:t>
      </w:r>
      <w:r w:rsidR="001B0311" w:rsidRPr="00AF0CC3">
        <w:rPr>
          <w:rFonts w:ascii="Times New Roman" w:hAnsi="Times New Roman" w:cs="Times New Roman"/>
          <w:color w:val="000000" w:themeColor="text1"/>
        </w:rPr>
        <w:t>2</w:t>
      </w:r>
      <w:r w:rsidRPr="00AF0CC3">
        <w:rPr>
          <w:rFonts w:ascii="Times New Roman" w:hAnsi="Times New Roman" w:cs="Times New Roman"/>
          <w:color w:val="000000" w:themeColor="text1"/>
        </w:rPr>
        <w:t xml:space="preserve"> illustrates how deficiencies in contract design and risk allocation generate misaligned incentives, particularly when risks related to land acquisition, demand uncertainty, or climate variability are poorly specified. As these risks materialize, renegotiation becomes central to the project trajectory. Where governance capacity is limited, renegotiation processes become prolonged or politicized, increasing the probability of delay or project stalling. The figure reinforces the argument that PPPs do not insulate projects from governance failure and may, in governance-fragile environments, intensify exposure to stalling.</w:t>
      </w:r>
    </w:p>
    <w:p w14:paraId="0D3BBEF6" w14:textId="77777777" w:rsidR="00833AED" w:rsidRPr="00AF0CC3" w:rsidRDefault="00833AED" w:rsidP="00833AED">
      <w:pPr>
        <w:spacing w:line="240" w:lineRule="auto"/>
        <w:rPr>
          <w:rFonts w:ascii="Times New Roman" w:hAnsi="Times New Roman" w:cs="Times New Roman"/>
          <w:color w:val="000000" w:themeColor="text1"/>
        </w:rPr>
      </w:pPr>
    </w:p>
    <w:p w14:paraId="4819A395" w14:textId="77777777" w:rsidR="00833AED" w:rsidRPr="00AF0CC3" w:rsidRDefault="00833AED" w:rsidP="00833AED">
      <w:pPr>
        <w:spacing w:line="240" w:lineRule="auto"/>
        <w:rPr>
          <w:rFonts w:ascii="Times New Roman" w:hAnsi="Times New Roman" w:cs="Times New Roman"/>
          <w:color w:val="000000" w:themeColor="text1"/>
        </w:rPr>
      </w:pPr>
      <w:r w:rsidRPr="00AF0CC3">
        <w:rPr>
          <w:rFonts w:ascii="Times New Roman" w:hAnsi="Times New Roman" w:cs="Times New Roman"/>
          <w:color w:val="000000" w:themeColor="text1"/>
        </w:rPr>
        <w:t>The evidence, therefore, cautions against viewing PPPs as institutional substitutes for governance capacity. Financial structuring cannot compensate for weak preparation, unclear risk allocation, or limited oversight. Where governance quality is low, contractual complexity may magnify rather than mitigate delivery risk.</w:t>
      </w:r>
    </w:p>
    <w:p w14:paraId="1AA55828" w14:textId="77777777" w:rsidR="00833AED" w:rsidRPr="00AF0CC3" w:rsidRDefault="00833AED" w:rsidP="00833AED">
      <w:pPr>
        <w:spacing w:line="240" w:lineRule="auto"/>
        <w:rPr>
          <w:rFonts w:ascii="Times New Roman" w:hAnsi="Times New Roman" w:cs="Times New Roman"/>
          <w:color w:val="000000" w:themeColor="text1"/>
        </w:rPr>
      </w:pPr>
      <w:r w:rsidRPr="00AF0CC3">
        <w:rPr>
          <w:rFonts w:ascii="Times New Roman" w:hAnsi="Times New Roman" w:cs="Times New Roman"/>
          <w:color w:val="000000" w:themeColor="text1"/>
        </w:rPr>
        <w:t>The governance vulnerabilities identified in PPP arrangements are connected to broader environmental risks. Climate variability adds an extra level of uncertainty that challenges institutional strength.</w:t>
      </w:r>
    </w:p>
    <w:p w14:paraId="5433C5E1" w14:textId="77777777" w:rsidR="00833AED" w:rsidRPr="00AF0CC3" w:rsidRDefault="00833AED" w:rsidP="00833AED">
      <w:pPr>
        <w:spacing w:line="240" w:lineRule="auto"/>
        <w:rPr>
          <w:rFonts w:ascii="Times New Roman" w:hAnsi="Times New Roman" w:cs="Times New Roman"/>
          <w:color w:val="000000" w:themeColor="text1"/>
        </w:rPr>
      </w:pPr>
    </w:p>
    <w:p w14:paraId="613B304A" w14:textId="6BD82732" w:rsidR="00833AED" w:rsidRPr="00AF0CC3" w:rsidRDefault="00833AED" w:rsidP="00545817">
      <w:pPr>
        <w:pStyle w:val="Heading2"/>
        <w:rPr>
          <w:rFonts w:cs="Times New Roman"/>
          <w:b w:val="0"/>
          <w:bCs/>
          <w:color w:val="000000" w:themeColor="text1"/>
          <w:szCs w:val="24"/>
        </w:rPr>
      </w:pPr>
      <w:bookmarkStart w:id="129" w:name="_Toc223623386"/>
      <w:bookmarkStart w:id="130" w:name="_Toc234344777"/>
      <w:bookmarkStart w:id="131" w:name="_Toc234489009"/>
      <w:r w:rsidRPr="00AF0CC3">
        <w:rPr>
          <w:rStyle w:val="Heading2Char"/>
          <w:rFonts w:cs="Times New Roman"/>
          <w:color w:val="000000" w:themeColor="text1"/>
          <w:szCs w:val="24"/>
        </w:rPr>
        <w:lastRenderedPageBreak/>
        <w:t>Climate Risk, Adaptation, and Infrastructure Governance</w:t>
      </w:r>
      <w:bookmarkEnd w:id="129"/>
      <w:bookmarkEnd w:id="130"/>
      <w:bookmarkEnd w:id="131"/>
    </w:p>
    <w:p w14:paraId="36B861C6" w14:textId="77777777" w:rsidR="00833AED" w:rsidRPr="00AF0CC3" w:rsidRDefault="00833AED" w:rsidP="00833AED">
      <w:pPr>
        <w:spacing w:line="240" w:lineRule="auto"/>
        <w:rPr>
          <w:rFonts w:ascii="Times New Roman" w:hAnsi="Times New Roman" w:cs="Times New Roman"/>
          <w:color w:val="000000" w:themeColor="text1"/>
        </w:rPr>
      </w:pPr>
      <w:r w:rsidRPr="00AF0CC3">
        <w:rPr>
          <w:rFonts w:ascii="Times New Roman" w:hAnsi="Times New Roman" w:cs="Times New Roman"/>
          <w:color w:val="000000" w:themeColor="text1"/>
        </w:rPr>
        <w:t>Having examined governance structures and contractual dynamics, the analysis now shifts to climate risk not as an external disturbance, but as a variable whose impacts depend fundamentally on institutional capacity.</w:t>
      </w:r>
    </w:p>
    <w:p w14:paraId="5A8BA911" w14:textId="77777777" w:rsidR="00833AED" w:rsidRPr="00AF0CC3" w:rsidRDefault="00833AED" w:rsidP="00833AED">
      <w:pPr>
        <w:spacing w:line="240" w:lineRule="auto"/>
        <w:rPr>
          <w:rFonts w:ascii="Times New Roman" w:hAnsi="Times New Roman" w:cs="Times New Roman"/>
          <w:color w:val="000000" w:themeColor="text1"/>
        </w:rPr>
      </w:pPr>
      <w:r w:rsidRPr="00AF0CC3">
        <w:rPr>
          <w:rFonts w:ascii="Times New Roman" w:hAnsi="Times New Roman" w:cs="Times New Roman"/>
          <w:color w:val="000000" w:themeColor="text1"/>
        </w:rPr>
        <w:t>Climate change has moved from a peripheral consideration in infrastructure planning to a structural constraint. For water infrastructure in particular, climate variability is not merely a background environmental condition; it shapes demand, design parameters, financing assumptions, and long-term viability. However, much of the policy discourse continues to treat climate risk as an external shock that infrastructure systems must adapt to. A growing body of scholarship challenges this framing. Climate risk does not operate independently of governance. It is filtered, amplified, or absorbed through institutional arrangements.</w:t>
      </w:r>
    </w:p>
    <w:p w14:paraId="3AE1DD99" w14:textId="77777777" w:rsidR="00833AED" w:rsidRPr="00AF0CC3" w:rsidRDefault="00833AED" w:rsidP="00833AED">
      <w:pPr>
        <w:spacing w:line="240" w:lineRule="auto"/>
        <w:rPr>
          <w:rFonts w:ascii="Times New Roman" w:hAnsi="Times New Roman" w:cs="Times New Roman"/>
          <w:color w:val="000000" w:themeColor="text1"/>
        </w:rPr>
      </w:pPr>
    </w:p>
    <w:p w14:paraId="05FF0A0E" w14:textId="77777777" w:rsidR="00833AED" w:rsidRPr="00AF0CC3" w:rsidRDefault="00833AED" w:rsidP="00833AED">
      <w:pPr>
        <w:spacing w:line="240" w:lineRule="auto"/>
        <w:rPr>
          <w:rFonts w:ascii="Times New Roman" w:hAnsi="Times New Roman" w:cs="Times New Roman"/>
          <w:color w:val="000000" w:themeColor="text1"/>
        </w:rPr>
      </w:pPr>
      <w:r w:rsidRPr="00AF0CC3">
        <w:rPr>
          <w:rFonts w:ascii="Times New Roman" w:hAnsi="Times New Roman" w:cs="Times New Roman"/>
          <w:color w:val="000000" w:themeColor="text1"/>
        </w:rPr>
        <w:t>This distinction is crucial when examining stalled water infrastructure projects. If climate risk were purely exogenous, project failure could be attributed to unforeseeable hydrological shifts. Literature increasingly rejects that view. Instead, it argues that exposure, sensitivity, and adaptive capacity are socially and institutionally constructed, and that whether a drought results in manageable delay or complete project suspension depends less on rainfall patterns than on governance quality.</w:t>
      </w:r>
    </w:p>
    <w:p w14:paraId="24317BE7" w14:textId="77777777" w:rsidR="00833AED" w:rsidRPr="00AF0CC3" w:rsidRDefault="00833AED" w:rsidP="00833AED">
      <w:pPr>
        <w:spacing w:line="240" w:lineRule="auto"/>
        <w:rPr>
          <w:rFonts w:ascii="Times New Roman" w:hAnsi="Times New Roman" w:cs="Times New Roman"/>
          <w:color w:val="000000" w:themeColor="text1"/>
        </w:rPr>
      </w:pPr>
    </w:p>
    <w:p w14:paraId="196B04F8" w14:textId="77777777" w:rsidR="00833AED" w:rsidRPr="00AF0CC3" w:rsidRDefault="00833AED" w:rsidP="00833AED">
      <w:pPr>
        <w:spacing w:line="240" w:lineRule="auto"/>
        <w:rPr>
          <w:rFonts w:ascii="Times New Roman" w:hAnsi="Times New Roman" w:cs="Times New Roman"/>
          <w:color w:val="000000" w:themeColor="text1"/>
        </w:rPr>
      </w:pPr>
      <w:r w:rsidRPr="00AF0CC3">
        <w:rPr>
          <w:rFonts w:ascii="Times New Roman" w:hAnsi="Times New Roman" w:cs="Times New Roman"/>
          <w:color w:val="000000" w:themeColor="text1"/>
        </w:rPr>
        <w:t>This perspective does not minimize the material reality of climate change. Rather, it recognizes that infrastructure systems fail or adapt through institutional pathways. These governance-mediated climate dynamics are particularly salient in Kenya, where hydrological variability intersects with devolved institutional arrangements.</w:t>
      </w:r>
    </w:p>
    <w:p w14:paraId="39AA4C7A" w14:textId="77777777" w:rsidR="00833AED" w:rsidRPr="00AF0CC3" w:rsidRDefault="00833AED" w:rsidP="00833AED">
      <w:pPr>
        <w:spacing w:line="240" w:lineRule="auto"/>
        <w:rPr>
          <w:rFonts w:ascii="Times New Roman" w:hAnsi="Times New Roman" w:cs="Times New Roman"/>
          <w:color w:val="000000" w:themeColor="text1"/>
        </w:rPr>
      </w:pPr>
    </w:p>
    <w:p w14:paraId="5544A881" w14:textId="72566EB1" w:rsidR="00833AED" w:rsidRPr="00AF0CC3" w:rsidRDefault="00833AED" w:rsidP="00545817">
      <w:pPr>
        <w:pStyle w:val="Heading3"/>
        <w:rPr>
          <w:rFonts w:cs="Times New Roman"/>
          <w:b w:val="0"/>
          <w:bCs/>
          <w:color w:val="000000" w:themeColor="text1"/>
          <w:szCs w:val="24"/>
        </w:rPr>
      </w:pPr>
      <w:bookmarkStart w:id="132" w:name="_Toc223623387"/>
      <w:bookmarkStart w:id="133" w:name="_Toc234344778"/>
      <w:bookmarkStart w:id="134" w:name="_Toc234489010"/>
      <w:r w:rsidRPr="00AF0CC3">
        <w:rPr>
          <w:rStyle w:val="Heading3Char"/>
          <w:rFonts w:cs="Times New Roman"/>
          <w:color w:val="000000" w:themeColor="text1"/>
          <w:szCs w:val="24"/>
        </w:rPr>
        <w:t>Climate Change and Water Infrastructure Exposure</w:t>
      </w:r>
      <w:bookmarkEnd w:id="132"/>
      <w:bookmarkEnd w:id="133"/>
      <w:bookmarkEnd w:id="134"/>
    </w:p>
    <w:p w14:paraId="460141F1" w14:textId="77777777" w:rsidR="00833AED" w:rsidRPr="00AF0CC3" w:rsidRDefault="00833AED" w:rsidP="00833AED">
      <w:pPr>
        <w:spacing w:line="240" w:lineRule="auto"/>
        <w:rPr>
          <w:rFonts w:ascii="Times New Roman" w:hAnsi="Times New Roman" w:cs="Times New Roman"/>
          <w:color w:val="000000" w:themeColor="text1"/>
        </w:rPr>
      </w:pPr>
    </w:p>
    <w:p w14:paraId="394B95AA" w14:textId="77777777" w:rsidR="00833AED" w:rsidRPr="00AF0CC3" w:rsidRDefault="00833AED" w:rsidP="00833AED">
      <w:pPr>
        <w:spacing w:line="240" w:lineRule="auto"/>
        <w:rPr>
          <w:rFonts w:ascii="Times New Roman" w:hAnsi="Times New Roman" w:cs="Times New Roman"/>
          <w:color w:val="000000" w:themeColor="text1"/>
        </w:rPr>
      </w:pPr>
      <w:r w:rsidRPr="00AF0CC3">
        <w:rPr>
          <w:rFonts w:ascii="Times New Roman" w:hAnsi="Times New Roman" w:cs="Times New Roman"/>
          <w:color w:val="000000" w:themeColor="text1"/>
        </w:rPr>
        <w:t>The physical effects of climate change on water systems are well established. The IPCC (2022) reports intensifying drought cycles, increased flood frequency, and more extreme precipitation events across sub-Saharan Africa. These shifts place stress on dams, irrigation systems, stormwater infrastructure, and water supply networks, often exceeding design assumptions embedded in feasibility studies completed decades earlier.</w:t>
      </w:r>
    </w:p>
    <w:p w14:paraId="23B96FCE" w14:textId="77777777" w:rsidR="00833AED" w:rsidRPr="00AF0CC3" w:rsidRDefault="00833AED" w:rsidP="00833AED">
      <w:pPr>
        <w:spacing w:line="240" w:lineRule="auto"/>
        <w:rPr>
          <w:rFonts w:ascii="Times New Roman" w:hAnsi="Times New Roman" w:cs="Times New Roman"/>
          <w:color w:val="000000" w:themeColor="text1"/>
        </w:rPr>
      </w:pPr>
    </w:p>
    <w:p w14:paraId="1C02EB89" w14:textId="77777777" w:rsidR="00833AED" w:rsidRPr="00AF0CC3" w:rsidRDefault="00833AED" w:rsidP="00833AED">
      <w:pPr>
        <w:spacing w:line="240" w:lineRule="auto"/>
        <w:rPr>
          <w:rFonts w:ascii="Times New Roman" w:hAnsi="Times New Roman" w:cs="Times New Roman"/>
          <w:color w:val="000000" w:themeColor="text1"/>
        </w:rPr>
      </w:pPr>
      <w:r w:rsidRPr="00AF0CC3">
        <w:rPr>
          <w:rFonts w:ascii="Times New Roman" w:hAnsi="Times New Roman" w:cs="Times New Roman"/>
          <w:color w:val="000000" w:themeColor="text1"/>
        </w:rPr>
        <w:t>Kenya exemplifies this pattern. While hydrological variability has long characterized the region, its amplitude and unpredictability have increased. FEWS NET (2022) and the National Drought Management Authority (2022) document recurrent drought episodes punctuated by severe flooding. The Government of Kenya’s Post-Disaster Needs Assessment (Republic of Kenya, 2024), following the 2023–2024 floods, underscores not only infrastructure vulnerability but also the fiscal burden imposed by damaged assets and delayed projects.</w:t>
      </w:r>
    </w:p>
    <w:p w14:paraId="37129500" w14:textId="77777777" w:rsidR="00833AED" w:rsidRPr="00AF0CC3" w:rsidRDefault="00833AED" w:rsidP="00833AED">
      <w:pPr>
        <w:spacing w:line="240" w:lineRule="auto"/>
        <w:rPr>
          <w:rFonts w:ascii="Times New Roman" w:hAnsi="Times New Roman" w:cs="Times New Roman"/>
          <w:color w:val="000000" w:themeColor="text1"/>
        </w:rPr>
      </w:pPr>
    </w:p>
    <w:p w14:paraId="5EEAFD9C" w14:textId="77777777" w:rsidR="00833AED" w:rsidRPr="00AF0CC3" w:rsidRDefault="00833AED" w:rsidP="00833AED">
      <w:pPr>
        <w:spacing w:line="240" w:lineRule="auto"/>
        <w:rPr>
          <w:rFonts w:ascii="Times New Roman" w:hAnsi="Times New Roman" w:cs="Times New Roman"/>
          <w:color w:val="000000" w:themeColor="text1"/>
        </w:rPr>
      </w:pPr>
      <w:r w:rsidRPr="00AF0CC3">
        <w:rPr>
          <w:rFonts w:ascii="Times New Roman" w:hAnsi="Times New Roman" w:cs="Times New Roman"/>
          <w:color w:val="000000" w:themeColor="text1"/>
        </w:rPr>
        <w:lastRenderedPageBreak/>
        <w:t>However, exposure alone does not determine outcomes. Many water projects are justified by climate variability, such as reservoirs to buffer drought, irrigation schemes to stabilize agricultural output, and drainage systems to manage floods. The more relevant question is whether governance systems incorporate climate risk adequately at each stage of the project lifecycle, especially during design. Climate exposure is constant, and governance response is variable.</w:t>
      </w:r>
    </w:p>
    <w:p w14:paraId="781036FD" w14:textId="77777777" w:rsidR="00833AED" w:rsidRPr="00AF0CC3" w:rsidRDefault="00833AED" w:rsidP="00833AED">
      <w:pPr>
        <w:spacing w:line="240" w:lineRule="auto"/>
        <w:rPr>
          <w:rFonts w:ascii="Times New Roman" w:hAnsi="Times New Roman" w:cs="Times New Roman"/>
          <w:color w:val="000000" w:themeColor="text1"/>
        </w:rPr>
      </w:pPr>
    </w:p>
    <w:p w14:paraId="211A88A4" w14:textId="2801E693" w:rsidR="00833AED" w:rsidRPr="00AF0CC3" w:rsidRDefault="00833AED" w:rsidP="00545817">
      <w:pPr>
        <w:pStyle w:val="Heading3"/>
        <w:rPr>
          <w:rFonts w:cs="Times New Roman"/>
          <w:b w:val="0"/>
          <w:bCs/>
          <w:color w:val="000000" w:themeColor="text1"/>
          <w:szCs w:val="24"/>
        </w:rPr>
      </w:pPr>
      <w:bookmarkStart w:id="135" w:name="_Toc223623388"/>
      <w:bookmarkStart w:id="136" w:name="_Toc234344779"/>
      <w:bookmarkStart w:id="137" w:name="_Toc234489011"/>
      <w:r w:rsidRPr="00AF0CC3">
        <w:rPr>
          <w:rStyle w:val="Heading3Char"/>
          <w:rFonts w:cs="Times New Roman"/>
          <w:color w:val="000000" w:themeColor="text1"/>
          <w:szCs w:val="24"/>
        </w:rPr>
        <w:t>Governance as a Mediator of Climate Risk</w:t>
      </w:r>
      <w:bookmarkEnd w:id="135"/>
      <w:bookmarkEnd w:id="136"/>
      <w:bookmarkEnd w:id="137"/>
    </w:p>
    <w:p w14:paraId="11F8B174" w14:textId="77777777" w:rsidR="00833AED" w:rsidRPr="00AF0CC3" w:rsidRDefault="00833AED" w:rsidP="00833AED">
      <w:pPr>
        <w:spacing w:line="240" w:lineRule="auto"/>
        <w:rPr>
          <w:rFonts w:ascii="Times New Roman" w:hAnsi="Times New Roman" w:cs="Times New Roman"/>
          <w:color w:val="000000" w:themeColor="text1"/>
        </w:rPr>
      </w:pPr>
    </w:p>
    <w:p w14:paraId="0CBC799F" w14:textId="77777777" w:rsidR="00833AED" w:rsidRPr="00AF0CC3" w:rsidRDefault="00833AED" w:rsidP="00833AED">
      <w:pPr>
        <w:spacing w:line="240" w:lineRule="auto"/>
        <w:rPr>
          <w:rFonts w:ascii="Times New Roman" w:hAnsi="Times New Roman" w:cs="Times New Roman"/>
          <w:color w:val="000000" w:themeColor="text1"/>
        </w:rPr>
      </w:pPr>
      <w:r w:rsidRPr="00AF0CC3">
        <w:rPr>
          <w:rFonts w:ascii="Times New Roman" w:hAnsi="Times New Roman" w:cs="Times New Roman"/>
          <w:color w:val="000000" w:themeColor="text1"/>
        </w:rPr>
        <w:t>Adaptive governance literature provides a useful analytical bridge. Keskitalo, Juhola, and Westerhoff (2016) argue that adaptation success depends on coordination capacity, clarity of institutional mandates, and mechanisms for iterative learning. Where these elements are weak, climate shocks compound existing vulnerabilities rather than trigger corrective adaptation.</w:t>
      </w:r>
    </w:p>
    <w:p w14:paraId="3592915E" w14:textId="77777777" w:rsidR="00833AED" w:rsidRPr="00AF0CC3" w:rsidRDefault="00833AED" w:rsidP="00833AED">
      <w:pPr>
        <w:spacing w:line="240" w:lineRule="auto"/>
        <w:rPr>
          <w:rFonts w:ascii="Times New Roman" w:hAnsi="Times New Roman" w:cs="Times New Roman"/>
          <w:color w:val="000000" w:themeColor="text1"/>
        </w:rPr>
      </w:pPr>
    </w:p>
    <w:p w14:paraId="52DF9D5C" w14:textId="77777777" w:rsidR="00833AED" w:rsidRPr="00AF0CC3" w:rsidRDefault="00833AED" w:rsidP="00833AED">
      <w:pPr>
        <w:spacing w:line="240" w:lineRule="auto"/>
        <w:rPr>
          <w:rFonts w:ascii="Times New Roman" w:hAnsi="Times New Roman" w:cs="Times New Roman"/>
          <w:color w:val="000000" w:themeColor="text1"/>
        </w:rPr>
      </w:pPr>
      <w:r w:rsidRPr="00AF0CC3">
        <w:rPr>
          <w:rFonts w:ascii="Times New Roman" w:hAnsi="Times New Roman" w:cs="Times New Roman"/>
          <w:color w:val="000000" w:themeColor="text1"/>
        </w:rPr>
        <w:t>Lebel et al. (2021), in a comparative study of water governance regimes, demonstrate that resilience correlates more strongly with institutional flexibility than with infrastructure scale. Systems that allow revision of assumptions, transparent renegotiation of responsibilities, and coordinated response are better able to absorb shocks.</w:t>
      </w:r>
    </w:p>
    <w:p w14:paraId="67A4C6EF" w14:textId="77777777" w:rsidR="00833AED" w:rsidRPr="00AF0CC3" w:rsidRDefault="00833AED" w:rsidP="00833AED">
      <w:pPr>
        <w:spacing w:line="240" w:lineRule="auto"/>
        <w:rPr>
          <w:rFonts w:ascii="Times New Roman" w:hAnsi="Times New Roman" w:cs="Times New Roman"/>
          <w:color w:val="000000" w:themeColor="text1"/>
        </w:rPr>
      </w:pPr>
    </w:p>
    <w:p w14:paraId="3770A9F9" w14:textId="5DE9A3FC" w:rsidR="00833AED" w:rsidRPr="00AF0CC3" w:rsidRDefault="00833AED" w:rsidP="00833AED">
      <w:pPr>
        <w:spacing w:line="240" w:lineRule="auto"/>
        <w:rPr>
          <w:rFonts w:ascii="Times New Roman" w:hAnsi="Times New Roman" w:cs="Times New Roman"/>
          <w:color w:val="000000" w:themeColor="text1"/>
        </w:rPr>
      </w:pPr>
      <w:r w:rsidRPr="00AF0CC3">
        <w:rPr>
          <w:rFonts w:ascii="Times New Roman" w:hAnsi="Times New Roman" w:cs="Times New Roman"/>
          <w:color w:val="000000" w:themeColor="text1"/>
        </w:rPr>
        <w:t xml:space="preserve">Within infrastructure delivery, this mediation operates across stages. During preparation, failure to integrate updated climate projections </w:t>
      </w:r>
      <w:r w:rsidR="00A53C9C" w:rsidRPr="00AF0CC3">
        <w:rPr>
          <w:rFonts w:ascii="Times New Roman" w:hAnsi="Times New Roman" w:cs="Times New Roman"/>
          <w:color w:val="000000" w:themeColor="text1"/>
        </w:rPr>
        <w:t>results in an underestimation of</w:t>
      </w:r>
      <w:r w:rsidRPr="00AF0CC3">
        <w:rPr>
          <w:rFonts w:ascii="Times New Roman" w:hAnsi="Times New Roman" w:cs="Times New Roman"/>
          <w:color w:val="000000" w:themeColor="text1"/>
        </w:rPr>
        <w:t xml:space="preserve"> hydrological variability. During procurement, contracts may fail to explicitly allocate climate-related risks. During implementation, rigid budgeting frameworks and bureaucratic silos constrain adaptive redesign. Each of these governance shortcomings increases the likelihood that climate stress will escalate into prolonged delay or stalling. Climate events, in this sense, act less as root causes and more as stress multipliers.</w:t>
      </w:r>
    </w:p>
    <w:p w14:paraId="296641A5" w14:textId="77777777" w:rsidR="00274A22" w:rsidRPr="00AF0CC3" w:rsidRDefault="00274A22" w:rsidP="00833AED">
      <w:pPr>
        <w:spacing w:line="240" w:lineRule="auto"/>
        <w:rPr>
          <w:rFonts w:ascii="Times New Roman" w:hAnsi="Times New Roman" w:cs="Times New Roman"/>
          <w:color w:val="000000" w:themeColor="text1"/>
        </w:rPr>
      </w:pPr>
    </w:p>
    <w:p w14:paraId="06572375" w14:textId="77777777" w:rsidR="00274A22" w:rsidRPr="00AF0CC3" w:rsidRDefault="00274A22" w:rsidP="00833AED">
      <w:pPr>
        <w:spacing w:line="240" w:lineRule="auto"/>
        <w:rPr>
          <w:rFonts w:ascii="Times New Roman" w:hAnsi="Times New Roman" w:cs="Times New Roman"/>
          <w:color w:val="000000" w:themeColor="text1"/>
        </w:rPr>
      </w:pPr>
    </w:p>
    <w:p w14:paraId="10072B65" w14:textId="0343149E" w:rsidR="00A810A1" w:rsidRPr="00AF0CC3" w:rsidRDefault="00A810A1" w:rsidP="0022176C">
      <w:pPr>
        <w:pStyle w:val="Heading3"/>
        <w:rPr>
          <w:rFonts w:cs="Times New Roman"/>
          <w:b w:val="0"/>
          <w:bCs/>
          <w:color w:val="000000" w:themeColor="text1"/>
          <w:szCs w:val="24"/>
        </w:rPr>
      </w:pPr>
      <w:bookmarkStart w:id="138" w:name="_Toc234344780"/>
      <w:bookmarkStart w:id="139" w:name="_Toc234489012"/>
      <w:r w:rsidRPr="00AF0CC3">
        <w:rPr>
          <w:rFonts w:cs="Times New Roman"/>
          <w:bCs/>
          <w:color w:val="000000" w:themeColor="text1"/>
          <w:szCs w:val="24"/>
        </w:rPr>
        <w:t>Climate Governance and Institutional Resilience</w:t>
      </w:r>
      <w:bookmarkEnd w:id="138"/>
      <w:bookmarkEnd w:id="139"/>
    </w:p>
    <w:p w14:paraId="7E18777D" w14:textId="77777777" w:rsidR="00A810A1" w:rsidRPr="00AF0CC3" w:rsidRDefault="00A810A1" w:rsidP="00A810A1">
      <w:pPr>
        <w:spacing w:line="240" w:lineRule="auto"/>
        <w:rPr>
          <w:rFonts w:ascii="Times New Roman" w:hAnsi="Times New Roman" w:cs="Times New Roman"/>
          <w:color w:val="000000" w:themeColor="text1"/>
        </w:rPr>
      </w:pPr>
    </w:p>
    <w:p w14:paraId="0BACE04A" w14:textId="77777777" w:rsidR="00A810A1" w:rsidRPr="00AF0CC3" w:rsidRDefault="00A810A1" w:rsidP="00A810A1">
      <w:pPr>
        <w:spacing w:line="240" w:lineRule="auto"/>
        <w:rPr>
          <w:rFonts w:ascii="Times New Roman" w:hAnsi="Times New Roman" w:cs="Times New Roman"/>
          <w:color w:val="000000" w:themeColor="text1"/>
        </w:rPr>
      </w:pPr>
      <w:r w:rsidRPr="00AF0CC3">
        <w:rPr>
          <w:rFonts w:ascii="Times New Roman" w:hAnsi="Times New Roman" w:cs="Times New Roman"/>
          <w:color w:val="000000" w:themeColor="text1"/>
        </w:rPr>
        <w:t>The increasing frequency and intensity of climate-related hazards have expanded the role of governance within infrastructure development beyond traditional concerns of efficiency, accountability, and regulatory compliance. Infrastructure systems are increasingly expected not only to deliver services efficiently but also to remain functional under conditions of environmental uncertainty, including prolonged droughts, flooding, changing hydrological patterns, and extreme weather events. As climate risks become more complex and less predictable, governance assumes a critical role in determining how institutions anticipate, respond to, and recover from disruption (IPCC, 2023; OECD, 2020).</w:t>
      </w:r>
    </w:p>
    <w:p w14:paraId="02251D53" w14:textId="77777777" w:rsidR="00A810A1" w:rsidRPr="00AF0CC3" w:rsidRDefault="00A810A1" w:rsidP="00A810A1">
      <w:pPr>
        <w:spacing w:line="240" w:lineRule="auto"/>
        <w:rPr>
          <w:rFonts w:ascii="Times New Roman" w:hAnsi="Times New Roman" w:cs="Times New Roman"/>
          <w:color w:val="000000" w:themeColor="text1"/>
        </w:rPr>
      </w:pPr>
    </w:p>
    <w:p w14:paraId="64E2B398" w14:textId="77777777" w:rsidR="00A810A1" w:rsidRPr="00AF0CC3" w:rsidRDefault="00A810A1" w:rsidP="00A810A1">
      <w:pPr>
        <w:spacing w:line="240" w:lineRule="auto"/>
        <w:rPr>
          <w:rFonts w:ascii="Times New Roman" w:hAnsi="Times New Roman" w:cs="Times New Roman"/>
          <w:color w:val="000000" w:themeColor="text1"/>
        </w:rPr>
      </w:pPr>
      <w:r w:rsidRPr="00AF0CC3">
        <w:rPr>
          <w:rFonts w:ascii="Times New Roman" w:hAnsi="Times New Roman" w:cs="Times New Roman"/>
          <w:color w:val="000000" w:themeColor="text1"/>
        </w:rPr>
        <w:lastRenderedPageBreak/>
        <w:t>Climate governance has consequently emerged as an important area of scholarship examining how institutional arrangements influence adaptation, resilience, and sustainable development. Existing literature emphasizes that climate resilience depends not only on physical infrastructure but also on the quality of institutions responsible for planning, coordinating, financing, implementing, and maintaining infrastructure systems (IPCC, 2023; World Bank, 2022). Governance therefore provides the institutional environment within which infrastructure investments are expected to adapt to changing climatic conditions while continuing to deliver essential public services.</w:t>
      </w:r>
    </w:p>
    <w:p w14:paraId="6810C222" w14:textId="77777777" w:rsidR="00A810A1" w:rsidRPr="00AF0CC3" w:rsidRDefault="00A810A1" w:rsidP="00A810A1">
      <w:pPr>
        <w:spacing w:line="240" w:lineRule="auto"/>
        <w:rPr>
          <w:rFonts w:ascii="Times New Roman" w:hAnsi="Times New Roman" w:cs="Times New Roman"/>
          <w:color w:val="000000" w:themeColor="text1"/>
        </w:rPr>
      </w:pPr>
    </w:p>
    <w:p w14:paraId="65F4831E" w14:textId="77777777" w:rsidR="00A810A1" w:rsidRPr="00AF0CC3" w:rsidRDefault="00A810A1" w:rsidP="00A810A1">
      <w:pPr>
        <w:spacing w:line="240" w:lineRule="auto"/>
        <w:rPr>
          <w:rFonts w:ascii="Times New Roman" w:hAnsi="Times New Roman" w:cs="Times New Roman"/>
          <w:color w:val="000000" w:themeColor="text1"/>
        </w:rPr>
      </w:pPr>
      <w:r w:rsidRPr="00AF0CC3">
        <w:rPr>
          <w:rFonts w:ascii="Times New Roman" w:hAnsi="Times New Roman" w:cs="Times New Roman"/>
          <w:color w:val="000000" w:themeColor="text1"/>
        </w:rPr>
        <w:t>Several theoretical perspectives have contributed to understanding the relationship between governance and resilience. Adaptive governance emphasizes the capacity of institutions to learn from experience, respond flexibly to changing conditions, and adjust policies as new information becomes available (Folke et al., 2005). Polycentric governance highlights the importance of multiple interacting institutions operating across different levels of government to improve coordination and adaptive decision-making in complex environmental systems (Ostrom, 2010). Institutional resilience perspectives further suggest that resilient organizations are characterized by continuity of leadership, effective coordination, transparent decision-making, and the capacity to maintain essential functions despite external shocks (Scott, 2014). Collectively, these perspectives recognize that resilience depends not solely on engineering design but also on the institutional capabilities supporting infrastructure delivery.</w:t>
      </w:r>
    </w:p>
    <w:p w14:paraId="7056FDE5" w14:textId="77777777" w:rsidR="00A810A1" w:rsidRPr="00AF0CC3" w:rsidRDefault="00A810A1" w:rsidP="00A810A1">
      <w:pPr>
        <w:spacing w:line="240" w:lineRule="auto"/>
        <w:rPr>
          <w:rFonts w:ascii="Times New Roman" w:hAnsi="Times New Roman" w:cs="Times New Roman"/>
          <w:color w:val="000000" w:themeColor="text1"/>
        </w:rPr>
      </w:pPr>
    </w:p>
    <w:p w14:paraId="54573EE3" w14:textId="77777777" w:rsidR="00A810A1" w:rsidRPr="00AF0CC3" w:rsidRDefault="00A810A1" w:rsidP="00A810A1">
      <w:pPr>
        <w:spacing w:line="240" w:lineRule="auto"/>
        <w:rPr>
          <w:rFonts w:ascii="Times New Roman" w:hAnsi="Times New Roman" w:cs="Times New Roman"/>
          <w:color w:val="000000" w:themeColor="text1"/>
        </w:rPr>
      </w:pPr>
      <w:r w:rsidRPr="00AF0CC3">
        <w:rPr>
          <w:rFonts w:ascii="Times New Roman" w:hAnsi="Times New Roman" w:cs="Times New Roman"/>
          <w:color w:val="000000" w:themeColor="text1"/>
        </w:rPr>
        <w:t>Despite these advances, existing infrastructure governance literature has generally treated resilience as an outcome of effective governance rather than as an integral governance function. Governance frameworks commonly emphasize procurement integrity, financial accountability, regulatory compliance, stakeholder participation, and implementation efficiency (OECD, 2020; World Bank, 2017). While these governance functions undoubtedly contribute to improved infrastructure performance, comparatively less attention has been given to the role of governance arrangements in enabling institutions to maintain implementation continuity during periods of environmental disruption, political transition, or administrative uncertainty. Consequently, resilience often appears as a secondary consequence of good governance rather than a central objective of governance itself.</w:t>
      </w:r>
    </w:p>
    <w:p w14:paraId="32147EAE" w14:textId="77777777" w:rsidR="00A810A1" w:rsidRPr="00AF0CC3" w:rsidRDefault="00A810A1" w:rsidP="00A810A1">
      <w:pPr>
        <w:spacing w:line="240" w:lineRule="auto"/>
        <w:rPr>
          <w:rFonts w:ascii="Times New Roman" w:hAnsi="Times New Roman" w:cs="Times New Roman"/>
          <w:color w:val="000000" w:themeColor="text1"/>
        </w:rPr>
      </w:pPr>
    </w:p>
    <w:p w14:paraId="574CA87C" w14:textId="77777777" w:rsidR="00A810A1" w:rsidRPr="00AF0CC3" w:rsidRDefault="00A810A1" w:rsidP="00A810A1">
      <w:pPr>
        <w:spacing w:line="240" w:lineRule="auto"/>
        <w:rPr>
          <w:rFonts w:ascii="Times New Roman" w:hAnsi="Times New Roman" w:cs="Times New Roman"/>
          <w:color w:val="000000" w:themeColor="text1"/>
        </w:rPr>
      </w:pPr>
      <w:r w:rsidRPr="00AF0CC3">
        <w:rPr>
          <w:rFonts w:ascii="Times New Roman" w:hAnsi="Times New Roman" w:cs="Times New Roman"/>
          <w:color w:val="000000" w:themeColor="text1"/>
        </w:rPr>
        <w:t>This distinction is particularly important in developing-country contexts where infrastructure projects frequently operate within environments characterized by climatic variability, institutional constraints, evolving political priorities, and limited implementation capacity. Under such conditions, governance systems are required not only to ensure compliance with established procedures but also to facilitate timely decision-making, coordinate multiple institutions, manage implementation risks, and sustain project delivery despite changing circumstances. Governance therefore performs functions that extend beyond administrative control toward maintaining institutional continuity under conditions of uncertainty.</w:t>
      </w:r>
    </w:p>
    <w:p w14:paraId="32E87DA1" w14:textId="77777777" w:rsidR="00A810A1" w:rsidRPr="00AF0CC3" w:rsidRDefault="00A810A1" w:rsidP="00A810A1">
      <w:pPr>
        <w:spacing w:line="240" w:lineRule="auto"/>
        <w:rPr>
          <w:rFonts w:ascii="Times New Roman" w:hAnsi="Times New Roman" w:cs="Times New Roman"/>
          <w:color w:val="000000" w:themeColor="text1"/>
        </w:rPr>
      </w:pPr>
    </w:p>
    <w:p w14:paraId="1C286880" w14:textId="77777777" w:rsidR="00A810A1" w:rsidRPr="00AF0CC3" w:rsidRDefault="00A810A1" w:rsidP="00A810A1">
      <w:pPr>
        <w:spacing w:line="240" w:lineRule="auto"/>
        <w:rPr>
          <w:rFonts w:ascii="Times New Roman" w:hAnsi="Times New Roman" w:cs="Times New Roman"/>
          <w:color w:val="000000" w:themeColor="text1"/>
        </w:rPr>
      </w:pPr>
      <w:r w:rsidRPr="00AF0CC3">
        <w:rPr>
          <w:rFonts w:ascii="Times New Roman" w:hAnsi="Times New Roman" w:cs="Times New Roman"/>
          <w:color w:val="000000" w:themeColor="text1"/>
        </w:rPr>
        <w:lastRenderedPageBreak/>
        <w:t>The relationship between governance and resilience is especially relevant within Kenya's water sector. Water infrastructure projects typically involve long implementation periods, multiple implementing agencies, diverse financing arrangements, environmental approvals, land acquisition processes, and extensive stakeholder engagement. These projects are simultaneously exposed to recurrent droughts, flooding, climate variability, and administrative transitions associated with electoral cycles and decentralized governance. Such characteristics increase institutional complexity and require governance systems capable of adapting to changing implementation conditions without compromising project delivery.</w:t>
      </w:r>
    </w:p>
    <w:p w14:paraId="553DB643" w14:textId="77777777" w:rsidR="00A810A1" w:rsidRPr="00AF0CC3" w:rsidRDefault="00A810A1" w:rsidP="00A810A1">
      <w:pPr>
        <w:spacing w:line="240" w:lineRule="auto"/>
        <w:rPr>
          <w:rFonts w:ascii="Times New Roman" w:hAnsi="Times New Roman" w:cs="Times New Roman"/>
          <w:color w:val="000000" w:themeColor="text1"/>
        </w:rPr>
      </w:pPr>
    </w:p>
    <w:p w14:paraId="5F0BCF06" w14:textId="3B861849" w:rsidR="00274A22" w:rsidRPr="00AF0CC3" w:rsidRDefault="00A810A1" w:rsidP="00A810A1">
      <w:pPr>
        <w:spacing w:line="240" w:lineRule="auto"/>
        <w:rPr>
          <w:rFonts w:ascii="Times New Roman" w:hAnsi="Times New Roman" w:cs="Times New Roman"/>
          <w:color w:val="000000" w:themeColor="text1"/>
        </w:rPr>
      </w:pPr>
      <w:r w:rsidRPr="00AF0CC3">
        <w:rPr>
          <w:rFonts w:ascii="Times New Roman" w:hAnsi="Times New Roman" w:cs="Times New Roman"/>
          <w:color w:val="000000" w:themeColor="text1"/>
        </w:rPr>
        <w:t>The present study builds upon these theoretical perspectives by examining governance quality as a potential institutional capability associated with infrastructure resilience. Rather than conceptualizing resilience solely as the ability of infrastructure assets to withstand physical hazards, the study adopts a broader institutional perspective in which resilience reflects the capacity of governance systems to sustain implementation, coordinate responses, manage uncertainty, and maintain accountability under changing environmental and administrative conditions. This perspective recognizes that resilient infrastructure depends not only on technical design standards but also on governance arrangements capable of supporting implementation continuity throughout the project lifecycle.</w:t>
      </w:r>
    </w:p>
    <w:p w14:paraId="28DC9CB5" w14:textId="77777777" w:rsidR="00B030A6" w:rsidRPr="00AF0CC3" w:rsidRDefault="00B030A6" w:rsidP="00A810A1">
      <w:pPr>
        <w:spacing w:line="240" w:lineRule="auto"/>
        <w:rPr>
          <w:rFonts w:ascii="Times New Roman" w:hAnsi="Times New Roman" w:cs="Times New Roman"/>
          <w:color w:val="000000" w:themeColor="text1"/>
        </w:rPr>
      </w:pPr>
    </w:p>
    <w:p w14:paraId="3D3E7535" w14:textId="6899057D" w:rsidR="00B030A6" w:rsidRPr="00AF0CC3" w:rsidRDefault="00B030A6" w:rsidP="00A810A1">
      <w:pPr>
        <w:spacing w:line="240" w:lineRule="auto"/>
        <w:rPr>
          <w:rFonts w:ascii="Times New Roman" w:hAnsi="Times New Roman" w:cs="Times New Roman"/>
          <w:color w:val="000000" w:themeColor="text1"/>
        </w:rPr>
      </w:pPr>
      <w:r w:rsidRPr="00AF0CC3">
        <w:rPr>
          <w:rFonts w:ascii="Times New Roman" w:hAnsi="Times New Roman" w:cs="Times New Roman"/>
          <w:color w:val="000000" w:themeColor="text1"/>
        </w:rPr>
        <w:t>Accordingly, the study proposes that governance quality may be associated with resilience through several complementary institutional mechanisms. Stronger governance arrangements may facilitate clearer institutional responsibilities, more effective coordination among implementing actors, improved documentation and information management, timely oversight, and more adaptive responses to emerging implementation challenges. These mechanisms are expected to strengthen institutional capacity to absorb disruption while maintaining project implementation. The empirical analysis presented in Chapters Four and Five examines whether documentary evidence from Kenya's water infrastructure sector supports this theoretical proposition and whether resilience should be understood as a core dimension of infrastructure governance rather than simply an indirect consequence of effective administration.</w:t>
      </w:r>
    </w:p>
    <w:p w14:paraId="59186A54" w14:textId="77777777" w:rsidR="00B030A6" w:rsidRPr="00AF0CC3" w:rsidRDefault="00B030A6" w:rsidP="00A810A1">
      <w:pPr>
        <w:spacing w:line="240" w:lineRule="auto"/>
        <w:rPr>
          <w:rFonts w:ascii="Times New Roman" w:hAnsi="Times New Roman" w:cs="Times New Roman"/>
          <w:color w:val="000000" w:themeColor="text1"/>
        </w:rPr>
      </w:pPr>
    </w:p>
    <w:p w14:paraId="7835858D" w14:textId="77777777" w:rsidR="00833AED" w:rsidRPr="00AF0CC3" w:rsidRDefault="00833AED" w:rsidP="00833AED">
      <w:pPr>
        <w:spacing w:line="240" w:lineRule="auto"/>
        <w:rPr>
          <w:rFonts w:ascii="Times New Roman" w:hAnsi="Times New Roman" w:cs="Times New Roman"/>
          <w:color w:val="000000" w:themeColor="text1"/>
        </w:rPr>
      </w:pPr>
    </w:p>
    <w:p w14:paraId="38517918" w14:textId="50DD78F6" w:rsidR="00833AED" w:rsidRPr="00AF0CC3" w:rsidRDefault="00833AED" w:rsidP="00545817">
      <w:pPr>
        <w:pStyle w:val="Heading3"/>
        <w:rPr>
          <w:rFonts w:cs="Times New Roman"/>
          <w:b w:val="0"/>
          <w:bCs/>
          <w:color w:val="000000" w:themeColor="text1"/>
          <w:szCs w:val="24"/>
        </w:rPr>
      </w:pPr>
      <w:bookmarkStart w:id="140" w:name="_Toc223623389"/>
      <w:bookmarkStart w:id="141" w:name="_Toc234344781"/>
      <w:bookmarkStart w:id="142" w:name="_Toc234489013"/>
      <w:r w:rsidRPr="00AF0CC3">
        <w:rPr>
          <w:rStyle w:val="Heading3Char"/>
          <w:rFonts w:cs="Times New Roman"/>
          <w:color w:val="000000" w:themeColor="text1"/>
          <w:szCs w:val="24"/>
        </w:rPr>
        <w:t>Adaptation, Learning, and Institutional Constraints</w:t>
      </w:r>
      <w:bookmarkEnd w:id="140"/>
      <w:bookmarkEnd w:id="141"/>
      <w:bookmarkEnd w:id="142"/>
    </w:p>
    <w:p w14:paraId="289F65C3" w14:textId="77777777" w:rsidR="00833AED" w:rsidRPr="00AF0CC3" w:rsidRDefault="00833AED" w:rsidP="00833AED">
      <w:pPr>
        <w:spacing w:line="240" w:lineRule="auto"/>
        <w:rPr>
          <w:rFonts w:ascii="Times New Roman" w:hAnsi="Times New Roman" w:cs="Times New Roman"/>
          <w:color w:val="000000" w:themeColor="text1"/>
        </w:rPr>
      </w:pPr>
    </w:p>
    <w:p w14:paraId="060FADBB" w14:textId="77777777" w:rsidR="00833AED" w:rsidRPr="00AF0CC3" w:rsidRDefault="00833AED" w:rsidP="00833AED">
      <w:pPr>
        <w:spacing w:line="240" w:lineRule="auto"/>
        <w:rPr>
          <w:rFonts w:ascii="Times New Roman" w:hAnsi="Times New Roman" w:cs="Times New Roman"/>
          <w:color w:val="000000" w:themeColor="text1"/>
        </w:rPr>
      </w:pPr>
      <w:r w:rsidRPr="00AF0CC3">
        <w:rPr>
          <w:rFonts w:ascii="Times New Roman" w:hAnsi="Times New Roman" w:cs="Times New Roman"/>
          <w:color w:val="000000" w:themeColor="text1"/>
        </w:rPr>
        <w:t>Much of the adaptation literature critiques technocratic planning approaches that assume risk can be managed solely through improved modeling. Pahl-Wostl et al. (2020) distinguish between single-loop learning, adjustments within existing frameworks, and double-loop learning, which reconsiders institutional assumptions.</w:t>
      </w:r>
    </w:p>
    <w:p w14:paraId="228881C7" w14:textId="77777777" w:rsidR="00833AED" w:rsidRPr="00AF0CC3" w:rsidRDefault="00833AED" w:rsidP="00833AED">
      <w:pPr>
        <w:spacing w:line="240" w:lineRule="auto"/>
        <w:rPr>
          <w:rFonts w:ascii="Times New Roman" w:hAnsi="Times New Roman" w:cs="Times New Roman"/>
          <w:color w:val="000000" w:themeColor="text1"/>
        </w:rPr>
      </w:pPr>
    </w:p>
    <w:p w14:paraId="69E77486" w14:textId="77777777" w:rsidR="00833AED" w:rsidRPr="00AF0CC3" w:rsidRDefault="00833AED" w:rsidP="00833AED">
      <w:pPr>
        <w:spacing w:line="240" w:lineRule="auto"/>
        <w:rPr>
          <w:rFonts w:ascii="Times New Roman" w:hAnsi="Times New Roman" w:cs="Times New Roman"/>
          <w:color w:val="000000" w:themeColor="text1"/>
        </w:rPr>
      </w:pPr>
      <w:r w:rsidRPr="00AF0CC3">
        <w:rPr>
          <w:rFonts w:ascii="Times New Roman" w:hAnsi="Times New Roman" w:cs="Times New Roman"/>
          <w:color w:val="000000" w:themeColor="text1"/>
        </w:rPr>
        <w:t xml:space="preserve">Water management infrastructure planning frequently remains within single-loop paradigms. Climate parameters are adjusted incrementally, but governance structures remain unchanged. </w:t>
      </w:r>
      <w:r w:rsidRPr="00AF0CC3">
        <w:rPr>
          <w:rFonts w:ascii="Times New Roman" w:hAnsi="Times New Roman" w:cs="Times New Roman"/>
          <w:color w:val="000000" w:themeColor="text1"/>
        </w:rPr>
        <w:lastRenderedPageBreak/>
        <w:t>When projects encounter disruption, responses are often procedural rather than structural: schedule extensions, modest design revisions, or ad hoc funding reallocations. These measures may contain immediate damage but rarely address underlying institutional fragility.</w:t>
      </w:r>
    </w:p>
    <w:p w14:paraId="6F6E3296" w14:textId="77777777" w:rsidR="00833AED" w:rsidRPr="00AF0CC3" w:rsidRDefault="00833AED" w:rsidP="00833AED">
      <w:pPr>
        <w:spacing w:line="240" w:lineRule="auto"/>
        <w:rPr>
          <w:rFonts w:ascii="Times New Roman" w:hAnsi="Times New Roman" w:cs="Times New Roman"/>
          <w:color w:val="000000" w:themeColor="text1"/>
        </w:rPr>
      </w:pPr>
    </w:p>
    <w:p w14:paraId="719792A2" w14:textId="77777777" w:rsidR="00833AED" w:rsidRPr="00AF0CC3" w:rsidRDefault="00833AED" w:rsidP="00833AED">
      <w:pPr>
        <w:spacing w:line="240" w:lineRule="auto"/>
        <w:rPr>
          <w:rFonts w:ascii="Times New Roman" w:hAnsi="Times New Roman" w:cs="Times New Roman"/>
          <w:color w:val="000000" w:themeColor="text1"/>
        </w:rPr>
      </w:pPr>
      <w:r w:rsidRPr="00AF0CC3">
        <w:rPr>
          <w:rFonts w:ascii="Times New Roman" w:hAnsi="Times New Roman" w:cs="Times New Roman"/>
          <w:color w:val="000000" w:themeColor="text1"/>
        </w:rPr>
        <w:t>Cleaver and Whaley (2018) add an important dimension to this discussion. They argue that power relations and informal norms shape adaptation. In environments where acknowledging design flaws carries political cost, institutions may resist adaptation even when evidence demands it. Learning becomes constrained by reputational and electoral considerations.</w:t>
      </w:r>
    </w:p>
    <w:p w14:paraId="5EE151A7" w14:textId="77777777" w:rsidR="00833AED" w:rsidRPr="00AF0CC3" w:rsidRDefault="00833AED" w:rsidP="00833AED">
      <w:pPr>
        <w:spacing w:line="240" w:lineRule="auto"/>
        <w:rPr>
          <w:rFonts w:ascii="Times New Roman" w:hAnsi="Times New Roman" w:cs="Times New Roman"/>
          <w:color w:val="000000" w:themeColor="text1"/>
        </w:rPr>
      </w:pPr>
    </w:p>
    <w:p w14:paraId="050656CD" w14:textId="77777777" w:rsidR="00833AED" w:rsidRPr="00AF0CC3" w:rsidRDefault="00833AED" w:rsidP="00833AED">
      <w:pPr>
        <w:spacing w:line="240" w:lineRule="auto"/>
        <w:rPr>
          <w:rFonts w:ascii="Times New Roman" w:hAnsi="Times New Roman" w:cs="Times New Roman"/>
          <w:color w:val="000000" w:themeColor="text1"/>
        </w:rPr>
      </w:pPr>
      <w:r w:rsidRPr="00AF0CC3">
        <w:rPr>
          <w:rFonts w:ascii="Times New Roman" w:hAnsi="Times New Roman" w:cs="Times New Roman"/>
          <w:color w:val="000000" w:themeColor="text1"/>
        </w:rPr>
        <w:t>The outcome is not simply inefficiency; it is inertia. When climate stress interacts with rigid governance systems, projects accumulate unresolved issues. At some point, continuation becomes administratively or politically untenable, and stalling follows.</w:t>
      </w:r>
    </w:p>
    <w:p w14:paraId="5F3CB5DC" w14:textId="77777777" w:rsidR="00833AED" w:rsidRPr="00AF0CC3" w:rsidRDefault="00833AED" w:rsidP="00833AED">
      <w:pPr>
        <w:spacing w:line="240" w:lineRule="auto"/>
        <w:rPr>
          <w:rFonts w:ascii="Times New Roman" w:hAnsi="Times New Roman" w:cs="Times New Roman"/>
          <w:color w:val="000000" w:themeColor="text1"/>
        </w:rPr>
      </w:pPr>
    </w:p>
    <w:p w14:paraId="3719AC63" w14:textId="17192E24" w:rsidR="00833AED" w:rsidRPr="00AF0CC3" w:rsidRDefault="00833AED" w:rsidP="00037121">
      <w:pPr>
        <w:pStyle w:val="Heading3"/>
        <w:rPr>
          <w:rFonts w:cs="Times New Roman"/>
          <w:b w:val="0"/>
          <w:bCs/>
          <w:color w:val="000000" w:themeColor="text1"/>
          <w:szCs w:val="24"/>
        </w:rPr>
      </w:pPr>
      <w:bookmarkStart w:id="143" w:name="_Toc223623390"/>
      <w:bookmarkStart w:id="144" w:name="_Toc234344782"/>
      <w:bookmarkStart w:id="145" w:name="_Toc234489014"/>
      <w:r w:rsidRPr="00AF0CC3">
        <w:rPr>
          <w:rStyle w:val="Heading3Char"/>
          <w:rFonts w:cs="Times New Roman"/>
          <w:color w:val="000000" w:themeColor="text1"/>
          <w:szCs w:val="24"/>
        </w:rPr>
        <w:t>Climate Risk and Project Stalling</w:t>
      </w:r>
      <w:bookmarkEnd w:id="143"/>
      <w:bookmarkEnd w:id="144"/>
      <w:bookmarkEnd w:id="145"/>
    </w:p>
    <w:p w14:paraId="6EF72848" w14:textId="77777777" w:rsidR="00833AED" w:rsidRPr="00AF0CC3" w:rsidRDefault="00833AED" w:rsidP="00833AED">
      <w:pPr>
        <w:spacing w:line="240" w:lineRule="auto"/>
        <w:rPr>
          <w:rFonts w:ascii="Times New Roman" w:hAnsi="Times New Roman" w:cs="Times New Roman"/>
          <w:color w:val="000000" w:themeColor="text1"/>
        </w:rPr>
      </w:pPr>
    </w:p>
    <w:p w14:paraId="1AD13597" w14:textId="77777777" w:rsidR="00833AED" w:rsidRPr="00AF0CC3" w:rsidRDefault="00833AED" w:rsidP="00833AED">
      <w:pPr>
        <w:spacing w:line="240" w:lineRule="auto"/>
        <w:rPr>
          <w:rFonts w:ascii="Times New Roman" w:hAnsi="Times New Roman" w:cs="Times New Roman"/>
          <w:color w:val="000000" w:themeColor="text1"/>
        </w:rPr>
      </w:pPr>
      <w:r w:rsidRPr="00AF0CC3">
        <w:rPr>
          <w:rFonts w:ascii="Times New Roman" w:hAnsi="Times New Roman" w:cs="Times New Roman"/>
          <w:color w:val="000000" w:themeColor="text1"/>
        </w:rPr>
        <w:t>Literature rarely treats project stalling explicitly as a climate governance outcome. Climate impacts are often cited to explain delays or cost escalation, but little attention is given to why some projects recover while others cease entirely.</w:t>
      </w:r>
    </w:p>
    <w:p w14:paraId="670196D4" w14:textId="77777777" w:rsidR="00833AED" w:rsidRPr="00AF0CC3" w:rsidRDefault="00833AED" w:rsidP="00833AED">
      <w:pPr>
        <w:spacing w:line="240" w:lineRule="auto"/>
        <w:rPr>
          <w:rFonts w:ascii="Times New Roman" w:hAnsi="Times New Roman" w:cs="Times New Roman"/>
          <w:color w:val="000000" w:themeColor="text1"/>
        </w:rPr>
      </w:pPr>
    </w:p>
    <w:p w14:paraId="43042CF7" w14:textId="77777777" w:rsidR="00833AED" w:rsidRPr="00AF0CC3" w:rsidRDefault="00833AED" w:rsidP="00833AED">
      <w:pPr>
        <w:spacing w:line="240" w:lineRule="auto"/>
        <w:rPr>
          <w:rFonts w:ascii="Times New Roman" w:hAnsi="Times New Roman" w:cs="Times New Roman"/>
          <w:color w:val="000000" w:themeColor="text1"/>
        </w:rPr>
      </w:pPr>
      <w:r w:rsidRPr="00AF0CC3">
        <w:rPr>
          <w:rFonts w:ascii="Times New Roman" w:hAnsi="Times New Roman" w:cs="Times New Roman"/>
          <w:color w:val="000000" w:themeColor="text1"/>
        </w:rPr>
        <w:t>This is analytically significant. Climate shocks can serve as governance stress tests. Projects characterized by strong preparation, transparent risk allocation, and effective contract management may absorb hydrological disruption through design modifications or renegotiation. Projects lacking these foundations experience cascading effects. Land disputes intensify when floods alter terrain. Financing gaps widen when climate-related redesign increases costs. Contractors withdraw when payment delays coincide with heightened uncertainty.</w:t>
      </w:r>
    </w:p>
    <w:p w14:paraId="123DD36E" w14:textId="77777777" w:rsidR="00833AED" w:rsidRPr="00AF0CC3" w:rsidRDefault="00833AED" w:rsidP="00833AED">
      <w:pPr>
        <w:spacing w:line="240" w:lineRule="auto"/>
        <w:rPr>
          <w:rFonts w:ascii="Times New Roman" w:hAnsi="Times New Roman" w:cs="Times New Roman"/>
          <w:color w:val="000000" w:themeColor="text1"/>
        </w:rPr>
      </w:pPr>
    </w:p>
    <w:p w14:paraId="68E4D250" w14:textId="77777777" w:rsidR="00833AED" w:rsidRPr="00AF0CC3" w:rsidRDefault="00833AED" w:rsidP="00833AED">
      <w:pPr>
        <w:spacing w:line="240" w:lineRule="auto"/>
        <w:rPr>
          <w:rFonts w:ascii="Times New Roman" w:hAnsi="Times New Roman" w:cs="Times New Roman"/>
          <w:color w:val="000000" w:themeColor="text1"/>
        </w:rPr>
      </w:pPr>
      <w:r w:rsidRPr="00AF0CC3">
        <w:rPr>
          <w:rFonts w:ascii="Times New Roman" w:hAnsi="Times New Roman" w:cs="Times New Roman"/>
          <w:color w:val="000000" w:themeColor="text1"/>
        </w:rPr>
        <w:t>In Kenya, drought cycles have delayed reservoir filling, undermining political support for water storage projects. Floods have damaged partially completed works, triggering disputes over liability and insurance. Where governance systems lack adaptive capacity, such disruptions compound rather than resolve construction halts. Projects remain suspended for years. Climate stress, therefore, should not be conceptualized as an independent cause of failure. It is a catalyst whose impact depends on the quality of governance.</w:t>
      </w:r>
    </w:p>
    <w:p w14:paraId="2D653F79" w14:textId="77777777" w:rsidR="00833AED" w:rsidRPr="00AF0CC3" w:rsidRDefault="00833AED" w:rsidP="00833AED">
      <w:pPr>
        <w:spacing w:line="240" w:lineRule="auto"/>
        <w:rPr>
          <w:rFonts w:ascii="Times New Roman" w:hAnsi="Times New Roman" w:cs="Times New Roman"/>
          <w:color w:val="000000" w:themeColor="text1"/>
        </w:rPr>
      </w:pPr>
    </w:p>
    <w:p w14:paraId="2040DAD4" w14:textId="4C7EAEB9" w:rsidR="00833AED" w:rsidRPr="00AF0CC3" w:rsidRDefault="00833AED" w:rsidP="00037121">
      <w:pPr>
        <w:pStyle w:val="Heading3"/>
        <w:rPr>
          <w:rFonts w:cs="Times New Roman"/>
          <w:b w:val="0"/>
          <w:bCs/>
          <w:color w:val="000000" w:themeColor="text1"/>
          <w:szCs w:val="24"/>
        </w:rPr>
      </w:pPr>
      <w:bookmarkStart w:id="146" w:name="_Toc223623391"/>
      <w:bookmarkStart w:id="147" w:name="_Toc234344783"/>
      <w:bookmarkStart w:id="148" w:name="_Toc234489015"/>
      <w:r w:rsidRPr="00AF0CC3">
        <w:rPr>
          <w:rStyle w:val="Heading3Char"/>
          <w:rFonts w:cs="Times New Roman"/>
          <w:color w:val="000000" w:themeColor="text1"/>
          <w:szCs w:val="24"/>
        </w:rPr>
        <w:t>Implications for Infrastructure Analysis</w:t>
      </w:r>
      <w:bookmarkEnd w:id="146"/>
      <w:bookmarkEnd w:id="147"/>
      <w:bookmarkEnd w:id="148"/>
    </w:p>
    <w:p w14:paraId="7317B0A2" w14:textId="77777777" w:rsidR="00833AED" w:rsidRPr="00AF0CC3" w:rsidRDefault="00833AED" w:rsidP="00833AED">
      <w:pPr>
        <w:spacing w:line="240" w:lineRule="auto"/>
        <w:rPr>
          <w:rFonts w:ascii="Times New Roman" w:hAnsi="Times New Roman" w:cs="Times New Roman"/>
          <w:color w:val="000000" w:themeColor="text1"/>
        </w:rPr>
      </w:pPr>
    </w:p>
    <w:p w14:paraId="6EE02AD7" w14:textId="77777777" w:rsidR="00833AED" w:rsidRPr="00AF0CC3" w:rsidRDefault="00833AED" w:rsidP="00833AED">
      <w:pPr>
        <w:spacing w:line="240" w:lineRule="auto"/>
        <w:rPr>
          <w:rFonts w:ascii="Times New Roman" w:hAnsi="Times New Roman" w:cs="Times New Roman"/>
          <w:color w:val="000000" w:themeColor="text1"/>
        </w:rPr>
      </w:pPr>
      <w:r w:rsidRPr="00AF0CC3">
        <w:rPr>
          <w:rFonts w:ascii="Times New Roman" w:hAnsi="Times New Roman" w:cs="Times New Roman"/>
          <w:color w:val="000000" w:themeColor="text1"/>
        </w:rPr>
        <w:lastRenderedPageBreak/>
        <w:t>These insights carry methodological implications. Treating climate risk as a simple control variable risks obscuring its interaction with governance quality. Conversely, ignoring climate exposure altogether risks overstating institutional causality.</w:t>
      </w:r>
    </w:p>
    <w:p w14:paraId="28D85AD7" w14:textId="77777777" w:rsidR="00833AED" w:rsidRPr="00AF0CC3" w:rsidRDefault="00833AED" w:rsidP="00833AED">
      <w:pPr>
        <w:spacing w:line="240" w:lineRule="auto"/>
        <w:rPr>
          <w:rFonts w:ascii="Times New Roman" w:hAnsi="Times New Roman" w:cs="Times New Roman"/>
          <w:color w:val="000000" w:themeColor="text1"/>
        </w:rPr>
      </w:pPr>
    </w:p>
    <w:p w14:paraId="0F21B0C4" w14:textId="77777777" w:rsidR="00833AED" w:rsidRPr="00AF0CC3" w:rsidRDefault="00833AED" w:rsidP="00833AED">
      <w:pPr>
        <w:spacing w:line="240" w:lineRule="auto"/>
        <w:rPr>
          <w:rFonts w:ascii="Times New Roman" w:hAnsi="Times New Roman" w:cs="Times New Roman"/>
          <w:color w:val="000000" w:themeColor="text1"/>
        </w:rPr>
      </w:pPr>
      <w:r w:rsidRPr="00AF0CC3">
        <w:rPr>
          <w:rFonts w:ascii="Times New Roman" w:hAnsi="Times New Roman" w:cs="Times New Roman"/>
          <w:color w:val="000000" w:themeColor="text1"/>
        </w:rPr>
        <w:t>In this study, climate risk is treated not as a standalone driver but as a moderating influence that interacts with governance quality. Its impact on time overruns, cost escalation, and the likelihood of stalling is expected to vary with governance quality. In projects with stronger governance arrangements, climate shocks may increase costs or extend schedules without triggering stalling. In projects with weak governance, the same shocks may precipitate suspension.</w:t>
      </w:r>
    </w:p>
    <w:p w14:paraId="1A870DB2" w14:textId="77777777" w:rsidR="00833AED" w:rsidRPr="00AF0CC3" w:rsidRDefault="00833AED" w:rsidP="00833AED">
      <w:pPr>
        <w:spacing w:line="240" w:lineRule="auto"/>
        <w:rPr>
          <w:rFonts w:ascii="Times New Roman" w:hAnsi="Times New Roman" w:cs="Times New Roman"/>
          <w:color w:val="000000" w:themeColor="text1"/>
        </w:rPr>
      </w:pPr>
    </w:p>
    <w:p w14:paraId="4A252BDF" w14:textId="77777777" w:rsidR="00833AED" w:rsidRPr="00AF0CC3" w:rsidRDefault="00833AED" w:rsidP="00833AED">
      <w:pPr>
        <w:spacing w:line="240" w:lineRule="auto"/>
        <w:rPr>
          <w:rFonts w:ascii="Times New Roman" w:hAnsi="Times New Roman" w:cs="Times New Roman"/>
          <w:color w:val="000000" w:themeColor="text1"/>
        </w:rPr>
      </w:pPr>
      <w:r w:rsidRPr="00AF0CC3">
        <w:rPr>
          <w:rFonts w:ascii="Times New Roman" w:hAnsi="Times New Roman" w:cs="Times New Roman"/>
          <w:color w:val="000000" w:themeColor="text1"/>
        </w:rPr>
        <w:t>This framing aligns with adaptive governance theory while remaining empirically tractable. It also clarifies why climate risk appears in the econometric specification as an interaction term rather than a standalone determinant.</w:t>
      </w:r>
    </w:p>
    <w:p w14:paraId="640A3358" w14:textId="4211AFD9" w:rsidR="00A56614" w:rsidRPr="00AF0CC3" w:rsidRDefault="00A56614" w:rsidP="00A56614">
      <w:pPr>
        <w:pStyle w:val="Caption"/>
        <w:keepNext/>
        <w:rPr>
          <w:rFonts w:ascii="Times New Roman" w:hAnsi="Times New Roman" w:cs="Times New Roman"/>
          <w:sz w:val="24"/>
          <w:szCs w:val="24"/>
        </w:rPr>
      </w:pPr>
      <w:bookmarkStart w:id="149" w:name="_Toc234437360"/>
      <w:r w:rsidRPr="00AF0CC3">
        <w:rPr>
          <w:rFonts w:ascii="Times New Roman" w:hAnsi="Times New Roman" w:cs="Times New Roman"/>
          <w:sz w:val="24"/>
          <w:szCs w:val="24"/>
        </w:rPr>
        <w:t xml:space="preserve">Table </w:t>
      </w:r>
      <w:r w:rsidR="007F4206" w:rsidRPr="00AF0CC3">
        <w:rPr>
          <w:rFonts w:ascii="Times New Roman" w:hAnsi="Times New Roman" w:cs="Times New Roman"/>
          <w:sz w:val="24"/>
          <w:szCs w:val="24"/>
        </w:rPr>
        <w:fldChar w:fldCharType="begin"/>
      </w:r>
      <w:r w:rsidR="007F4206" w:rsidRPr="00AF0CC3">
        <w:rPr>
          <w:rFonts w:ascii="Times New Roman" w:hAnsi="Times New Roman" w:cs="Times New Roman"/>
          <w:sz w:val="24"/>
          <w:szCs w:val="24"/>
        </w:rPr>
        <w:instrText xml:space="preserve"> STYLEREF 1 \s </w:instrText>
      </w:r>
      <w:r w:rsidR="007F4206" w:rsidRPr="00AF0CC3">
        <w:rPr>
          <w:rFonts w:ascii="Times New Roman" w:hAnsi="Times New Roman" w:cs="Times New Roman"/>
          <w:sz w:val="24"/>
          <w:szCs w:val="24"/>
        </w:rPr>
        <w:fldChar w:fldCharType="separate"/>
      </w:r>
      <w:r w:rsidR="007F4206" w:rsidRPr="00AF0CC3">
        <w:rPr>
          <w:rFonts w:ascii="Times New Roman" w:hAnsi="Times New Roman" w:cs="Times New Roman"/>
          <w:noProof/>
          <w:sz w:val="24"/>
          <w:szCs w:val="24"/>
        </w:rPr>
        <w:t>2</w:t>
      </w:r>
      <w:r w:rsidR="007F4206" w:rsidRPr="00AF0CC3">
        <w:rPr>
          <w:rFonts w:ascii="Times New Roman" w:hAnsi="Times New Roman" w:cs="Times New Roman"/>
          <w:noProof/>
          <w:sz w:val="24"/>
          <w:szCs w:val="24"/>
        </w:rPr>
        <w:fldChar w:fldCharType="end"/>
      </w:r>
      <w:r w:rsidR="007F4206" w:rsidRPr="00AF0CC3">
        <w:rPr>
          <w:rFonts w:ascii="Times New Roman" w:hAnsi="Times New Roman" w:cs="Times New Roman"/>
          <w:sz w:val="24"/>
          <w:szCs w:val="24"/>
        </w:rPr>
        <w:noBreakHyphen/>
      </w:r>
      <w:r w:rsidR="007F4206" w:rsidRPr="00AF0CC3">
        <w:rPr>
          <w:rFonts w:ascii="Times New Roman" w:hAnsi="Times New Roman" w:cs="Times New Roman"/>
          <w:sz w:val="24"/>
          <w:szCs w:val="24"/>
        </w:rPr>
        <w:fldChar w:fldCharType="begin"/>
      </w:r>
      <w:r w:rsidR="007F4206" w:rsidRPr="00AF0CC3">
        <w:rPr>
          <w:rFonts w:ascii="Times New Roman" w:hAnsi="Times New Roman" w:cs="Times New Roman"/>
          <w:sz w:val="24"/>
          <w:szCs w:val="24"/>
        </w:rPr>
        <w:instrText xml:space="preserve"> SEQ Table \* ARABIC \s 1 </w:instrText>
      </w:r>
      <w:r w:rsidR="007F4206" w:rsidRPr="00AF0CC3">
        <w:rPr>
          <w:rFonts w:ascii="Times New Roman" w:hAnsi="Times New Roman" w:cs="Times New Roman"/>
          <w:sz w:val="24"/>
          <w:szCs w:val="24"/>
        </w:rPr>
        <w:fldChar w:fldCharType="separate"/>
      </w:r>
      <w:r w:rsidR="007F4206" w:rsidRPr="00AF0CC3">
        <w:rPr>
          <w:rFonts w:ascii="Times New Roman" w:hAnsi="Times New Roman" w:cs="Times New Roman"/>
          <w:noProof/>
          <w:sz w:val="24"/>
          <w:szCs w:val="24"/>
        </w:rPr>
        <w:t>5</w:t>
      </w:r>
      <w:r w:rsidR="007F4206" w:rsidRPr="00AF0CC3">
        <w:rPr>
          <w:rFonts w:ascii="Times New Roman" w:hAnsi="Times New Roman" w:cs="Times New Roman"/>
          <w:noProof/>
          <w:sz w:val="24"/>
          <w:szCs w:val="24"/>
        </w:rPr>
        <w:fldChar w:fldCharType="end"/>
      </w:r>
      <w:r w:rsidRPr="00AF0CC3">
        <w:rPr>
          <w:rFonts w:ascii="Times New Roman" w:hAnsi="Times New Roman" w:cs="Times New Roman"/>
          <w:sz w:val="24"/>
          <w:szCs w:val="24"/>
        </w:rPr>
        <w:t xml:space="preserve"> Climate Risk and Governance Mediation Across the Project Lifecycle</w:t>
      </w:r>
      <w:bookmarkEnd w:id="149"/>
    </w:p>
    <w:tbl>
      <w:tblPr>
        <w:tblW w:w="0" w:type="auto"/>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1755"/>
        <w:gridCol w:w="1627"/>
        <w:gridCol w:w="1398"/>
        <w:gridCol w:w="1405"/>
        <w:gridCol w:w="1647"/>
        <w:gridCol w:w="1518"/>
      </w:tblGrid>
      <w:tr w:rsidR="00833AED" w:rsidRPr="00AF0CC3" w14:paraId="40D25DAC" w14:textId="77777777" w:rsidTr="00E73C98">
        <w:trPr>
          <w:tblHeader/>
          <w:tblCellSpacing w:w="15" w:type="dxa"/>
        </w:trPr>
        <w:tc>
          <w:tcPr>
            <w:tcW w:w="0" w:type="auto"/>
            <w:vAlign w:val="center"/>
            <w:hideMark/>
          </w:tcPr>
          <w:p w14:paraId="172446CF" w14:textId="77777777" w:rsidR="00833AED" w:rsidRPr="00AF0CC3" w:rsidRDefault="00833AED" w:rsidP="00833AED">
            <w:pPr>
              <w:spacing w:after="0" w:line="240" w:lineRule="auto"/>
              <w:jc w:val="center"/>
              <w:rPr>
                <w:rFonts w:ascii="Times New Roman" w:eastAsia="Times New Roman" w:hAnsi="Times New Roman" w:cs="Times New Roman"/>
                <w:b/>
                <w:bCs/>
                <w:color w:val="000000" w:themeColor="text1"/>
                <w:kern w:val="0"/>
                <w14:ligatures w14:val="none"/>
              </w:rPr>
            </w:pPr>
            <w:r w:rsidRPr="00AF0CC3">
              <w:rPr>
                <w:rFonts w:ascii="Times New Roman" w:eastAsia="Times New Roman" w:hAnsi="Times New Roman" w:cs="Times New Roman"/>
                <w:b/>
                <w:bCs/>
                <w:color w:val="000000" w:themeColor="text1"/>
                <w:kern w:val="0"/>
                <w14:ligatures w14:val="none"/>
              </w:rPr>
              <w:t>Lifecycle Stage</w:t>
            </w:r>
          </w:p>
        </w:tc>
        <w:tc>
          <w:tcPr>
            <w:tcW w:w="0" w:type="auto"/>
            <w:vAlign w:val="center"/>
            <w:hideMark/>
          </w:tcPr>
          <w:p w14:paraId="65BD2BFE" w14:textId="77777777" w:rsidR="00833AED" w:rsidRPr="00AF0CC3" w:rsidRDefault="00833AED" w:rsidP="00833AED">
            <w:pPr>
              <w:spacing w:after="0" w:line="240" w:lineRule="auto"/>
              <w:jc w:val="center"/>
              <w:rPr>
                <w:rFonts w:ascii="Times New Roman" w:eastAsia="Times New Roman" w:hAnsi="Times New Roman" w:cs="Times New Roman"/>
                <w:b/>
                <w:bCs/>
                <w:color w:val="000000" w:themeColor="text1"/>
                <w:kern w:val="0"/>
                <w14:ligatures w14:val="none"/>
              </w:rPr>
            </w:pPr>
            <w:r w:rsidRPr="00AF0CC3">
              <w:rPr>
                <w:rFonts w:ascii="Times New Roman" w:eastAsia="Times New Roman" w:hAnsi="Times New Roman" w:cs="Times New Roman"/>
                <w:b/>
                <w:bCs/>
                <w:color w:val="000000" w:themeColor="text1"/>
                <w:kern w:val="0"/>
                <w14:ligatures w14:val="none"/>
              </w:rPr>
              <w:t>Climate Exposure</w:t>
            </w:r>
          </w:p>
        </w:tc>
        <w:tc>
          <w:tcPr>
            <w:tcW w:w="0" w:type="auto"/>
            <w:vAlign w:val="center"/>
            <w:hideMark/>
          </w:tcPr>
          <w:p w14:paraId="254DA357" w14:textId="77777777" w:rsidR="00833AED" w:rsidRPr="00AF0CC3" w:rsidRDefault="00833AED" w:rsidP="00833AED">
            <w:pPr>
              <w:spacing w:after="0" w:line="240" w:lineRule="auto"/>
              <w:jc w:val="center"/>
              <w:rPr>
                <w:rFonts w:ascii="Times New Roman" w:eastAsia="Times New Roman" w:hAnsi="Times New Roman" w:cs="Times New Roman"/>
                <w:b/>
                <w:bCs/>
                <w:color w:val="000000" w:themeColor="text1"/>
                <w:kern w:val="0"/>
                <w14:ligatures w14:val="none"/>
              </w:rPr>
            </w:pPr>
            <w:r w:rsidRPr="00AF0CC3">
              <w:rPr>
                <w:rFonts w:ascii="Times New Roman" w:eastAsia="Times New Roman" w:hAnsi="Times New Roman" w:cs="Times New Roman"/>
                <w:b/>
                <w:bCs/>
                <w:color w:val="000000" w:themeColor="text1"/>
                <w:kern w:val="0"/>
                <w14:ligatures w14:val="none"/>
              </w:rPr>
              <w:t>Governance Weakness</w:t>
            </w:r>
          </w:p>
        </w:tc>
        <w:tc>
          <w:tcPr>
            <w:tcW w:w="0" w:type="auto"/>
            <w:vAlign w:val="center"/>
            <w:hideMark/>
          </w:tcPr>
          <w:p w14:paraId="2E8001F2" w14:textId="77777777" w:rsidR="00833AED" w:rsidRPr="00AF0CC3" w:rsidRDefault="00833AED" w:rsidP="00833AED">
            <w:pPr>
              <w:spacing w:after="0" w:line="240" w:lineRule="auto"/>
              <w:jc w:val="center"/>
              <w:rPr>
                <w:rFonts w:ascii="Times New Roman" w:eastAsia="Times New Roman" w:hAnsi="Times New Roman" w:cs="Times New Roman"/>
                <w:b/>
                <w:bCs/>
                <w:color w:val="000000" w:themeColor="text1"/>
                <w:kern w:val="0"/>
                <w14:ligatures w14:val="none"/>
              </w:rPr>
            </w:pPr>
            <w:r w:rsidRPr="00AF0CC3">
              <w:rPr>
                <w:rFonts w:ascii="Times New Roman" w:eastAsia="Times New Roman" w:hAnsi="Times New Roman" w:cs="Times New Roman"/>
                <w:b/>
                <w:bCs/>
                <w:color w:val="000000" w:themeColor="text1"/>
                <w:kern w:val="0"/>
                <w14:ligatures w14:val="none"/>
              </w:rPr>
              <w:t>Required Governance Response</w:t>
            </w:r>
          </w:p>
        </w:tc>
        <w:tc>
          <w:tcPr>
            <w:tcW w:w="0" w:type="auto"/>
            <w:vAlign w:val="center"/>
            <w:hideMark/>
          </w:tcPr>
          <w:p w14:paraId="7FD7635F" w14:textId="77777777" w:rsidR="00833AED" w:rsidRPr="00AF0CC3" w:rsidRDefault="00833AED" w:rsidP="00833AED">
            <w:pPr>
              <w:spacing w:after="0" w:line="240" w:lineRule="auto"/>
              <w:jc w:val="center"/>
              <w:rPr>
                <w:rFonts w:ascii="Times New Roman" w:eastAsia="Times New Roman" w:hAnsi="Times New Roman" w:cs="Times New Roman"/>
                <w:b/>
                <w:bCs/>
                <w:color w:val="000000" w:themeColor="text1"/>
                <w:kern w:val="0"/>
                <w14:ligatures w14:val="none"/>
              </w:rPr>
            </w:pPr>
            <w:r w:rsidRPr="00AF0CC3">
              <w:rPr>
                <w:rFonts w:ascii="Times New Roman" w:eastAsia="Times New Roman" w:hAnsi="Times New Roman" w:cs="Times New Roman"/>
                <w:b/>
                <w:bCs/>
                <w:color w:val="000000" w:themeColor="text1"/>
                <w:kern w:val="0"/>
                <w14:ligatures w14:val="none"/>
              </w:rPr>
              <w:t>Failure Escalation Indicators</w:t>
            </w:r>
          </w:p>
        </w:tc>
        <w:tc>
          <w:tcPr>
            <w:tcW w:w="0" w:type="auto"/>
            <w:vAlign w:val="center"/>
            <w:hideMark/>
          </w:tcPr>
          <w:p w14:paraId="050C3824" w14:textId="77777777" w:rsidR="00833AED" w:rsidRPr="00AF0CC3" w:rsidRDefault="00833AED" w:rsidP="00833AED">
            <w:pPr>
              <w:spacing w:after="0" w:line="240" w:lineRule="auto"/>
              <w:jc w:val="center"/>
              <w:rPr>
                <w:rFonts w:ascii="Times New Roman" w:eastAsia="Times New Roman" w:hAnsi="Times New Roman" w:cs="Times New Roman"/>
                <w:b/>
                <w:bCs/>
                <w:color w:val="000000" w:themeColor="text1"/>
                <w:kern w:val="0"/>
                <w14:ligatures w14:val="none"/>
              </w:rPr>
            </w:pPr>
            <w:r w:rsidRPr="00AF0CC3">
              <w:rPr>
                <w:rFonts w:ascii="Times New Roman" w:eastAsia="Times New Roman" w:hAnsi="Times New Roman" w:cs="Times New Roman"/>
                <w:b/>
                <w:bCs/>
                <w:color w:val="000000" w:themeColor="text1"/>
                <w:kern w:val="0"/>
                <w14:ligatures w14:val="none"/>
              </w:rPr>
              <w:t>Implication for Project Stalling</w:t>
            </w:r>
          </w:p>
        </w:tc>
      </w:tr>
      <w:tr w:rsidR="00833AED" w:rsidRPr="00AF0CC3" w14:paraId="3D81026F" w14:textId="77777777" w:rsidTr="00E73C98">
        <w:trPr>
          <w:tblCellSpacing w:w="15" w:type="dxa"/>
        </w:trPr>
        <w:tc>
          <w:tcPr>
            <w:tcW w:w="0" w:type="auto"/>
            <w:vAlign w:val="center"/>
            <w:hideMark/>
          </w:tcPr>
          <w:p w14:paraId="616069D9" w14:textId="77777777" w:rsidR="00833AED" w:rsidRPr="00AF0CC3" w:rsidRDefault="00833AED" w:rsidP="00833AED">
            <w:pPr>
              <w:spacing w:after="0" w:line="240" w:lineRule="auto"/>
              <w:rPr>
                <w:rFonts w:ascii="Times New Roman" w:eastAsia="Times New Roman" w:hAnsi="Times New Roman" w:cs="Times New Roman"/>
                <w:color w:val="000000" w:themeColor="text1"/>
                <w:kern w:val="0"/>
                <w14:ligatures w14:val="none"/>
              </w:rPr>
            </w:pPr>
            <w:r w:rsidRPr="00AF0CC3">
              <w:rPr>
                <w:rFonts w:ascii="Times New Roman" w:eastAsia="Times New Roman" w:hAnsi="Times New Roman" w:cs="Times New Roman"/>
                <w:b/>
                <w:bCs/>
                <w:color w:val="000000" w:themeColor="text1"/>
                <w:kern w:val="0"/>
                <w14:ligatures w14:val="none"/>
              </w:rPr>
              <w:t>Project Preparation</w:t>
            </w:r>
          </w:p>
        </w:tc>
        <w:tc>
          <w:tcPr>
            <w:tcW w:w="0" w:type="auto"/>
            <w:vAlign w:val="center"/>
            <w:hideMark/>
          </w:tcPr>
          <w:p w14:paraId="4AC985EB" w14:textId="77777777" w:rsidR="00833AED" w:rsidRPr="00AF0CC3" w:rsidRDefault="00833AED" w:rsidP="00833AED">
            <w:pPr>
              <w:spacing w:after="0" w:line="240" w:lineRule="auto"/>
              <w:rPr>
                <w:rFonts w:ascii="Times New Roman" w:eastAsia="Times New Roman" w:hAnsi="Times New Roman" w:cs="Times New Roman"/>
                <w:color w:val="000000" w:themeColor="text1"/>
                <w:kern w:val="0"/>
                <w14:ligatures w14:val="none"/>
              </w:rPr>
            </w:pPr>
            <w:r w:rsidRPr="00AF0CC3">
              <w:rPr>
                <w:rFonts w:ascii="Times New Roman" w:eastAsia="Times New Roman" w:hAnsi="Times New Roman" w:cs="Times New Roman"/>
                <w:color w:val="000000" w:themeColor="text1"/>
                <w:kern w:val="0"/>
                <w14:ligatures w14:val="none"/>
              </w:rPr>
              <w:t>Outdated hydrological assumptions; underestimated variability</w:t>
            </w:r>
          </w:p>
        </w:tc>
        <w:tc>
          <w:tcPr>
            <w:tcW w:w="0" w:type="auto"/>
            <w:vAlign w:val="center"/>
            <w:hideMark/>
          </w:tcPr>
          <w:p w14:paraId="30236B47" w14:textId="77777777" w:rsidR="00833AED" w:rsidRPr="00AF0CC3" w:rsidRDefault="00833AED" w:rsidP="00833AED">
            <w:pPr>
              <w:spacing w:after="0" w:line="240" w:lineRule="auto"/>
              <w:rPr>
                <w:rFonts w:ascii="Times New Roman" w:eastAsia="Times New Roman" w:hAnsi="Times New Roman" w:cs="Times New Roman"/>
                <w:color w:val="000000" w:themeColor="text1"/>
                <w:kern w:val="0"/>
                <w14:ligatures w14:val="none"/>
              </w:rPr>
            </w:pPr>
            <w:r w:rsidRPr="00AF0CC3">
              <w:rPr>
                <w:rFonts w:ascii="Times New Roman" w:eastAsia="Times New Roman" w:hAnsi="Times New Roman" w:cs="Times New Roman"/>
                <w:color w:val="000000" w:themeColor="text1"/>
                <w:kern w:val="0"/>
                <w14:ligatures w14:val="none"/>
              </w:rPr>
              <w:t>Failure to integrate climate projections in appraisal</w:t>
            </w:r>
          </w:p>
        </w:tc>
        <w:tc>
          <w:tcPr>
            <w:tcW w:w="0" w:type="auto"/>
            <w:vAlign w:val="center"/>
            <w:hideMark/>
          </w:tcPr>
          <w:p w14:paraId="59D753A4" w14:textId="77777777" w:rsidR="00833AED" w:rsidRPr="00AF0CC3" w:rsidRDefault="00833AED" w:rsidP="00833AED">
            <w:pPr>
              <w:spacing w:after="0" w:line="240" w:lineRule="auto"/>
              <w:rPr>
                <w:rFonts w:ascii="Times New Roman" w:eastAsia="Times New Roman" w:hAnsi="Times New Roman" w:cs="Times New Roman"/>
                <w:color w:val="000000" w:themeColor="text1"/>
                <w:kern w:val="0"/>
                <w14:ligatures w14:val="none"/>
              </w:rPr>
            </w:pPr>
            <w:r w:rsidRPr="00AF0CC3">
              <w:rPr>
                <w:rFonts w:ascii="Times New Roman" w:eastAsia="Times New Roman" w:hAnsi="Times New Roman" w:cs="Times New Roman"/>
                <w:color w:val="000000" w:themeColor="text1"/>
                <w:kern w:val="0"/>
                <w14:ligatures w14:val="none"/>
              </w:rPr>
              <w:t>Climate-informed scenario planning and design buffers</w:t>
            </w:r>
          </w:p>
        </w:tc>
        <w:tc>
          <w:tcPr>
            <w:tcW w:w="0" w:type="auto"/>
            <w:vAlign w:val="center"/>
            <w:hideMark/>
          </w:tcPr>
          <w:p w14:paraId="34B0940B" w14:textId="77777777" w:rsidR="00833AED" w:rsidRPr="00AF0CC3" w:rsidRDefault="00833AED" w:rsidP="00833AED">
            <w:pPr>
              <w:spacing w:after="0" w:line="240" w:lineRule="auto"/>
              <w:rPr>
                <w:rFonts w:ascii="Times New Roman" w:eastAsia="Times New Roman" w:hAnsi="Times New Roman" w:cs="Times New Roman"/>
                <w:color w:val="000000" w:themeColor="text1"/>
                <w:kern w:val="0"/>
                <w14:ligatures w14:val="none"/>
              </w:rPr>
            </w:pPr>
            <w:r w:rsidRPr="00AF0CC3">
              <w:rPr>
                <w:rFonts w:ascii="Times New Roman" w:eastAsia="Times New Roman" w:hAnsi="Times New Roman" w:cs="Times New Roman"/>
                <w:color w:val="000000" w:themeColor="text1"/>
                <w:kern w:val="0"/>
                <w14:ligatures w14:val="none"/>
              </w:rPr>
              <w:t>Design inadequacy revealed during implementation</w:t>
            </w:r>
          </w:p>
        </w:tc>
        <w:tc>
          <w:tcPr>
            <w:tcW w:w="0" w:type="auto"/>
            <w:vAlign w:val="center"/>
            <w:hideMark/>
          </w:tcPr>
          <w:p w14:paraId="752C3F30" w14:textId="77777777" w:rsidR="00833AED" w:rsidRPr="00AF0CC3" w:rsidRDefault="00833AED" w:rsidP="00833AED">
            <w:pPr>
              <w:spacing w:after="0" w:line="240" w:lineRule="auto"/>
              <w:rPr>
                <w:rFonts w:ascii="Times New Roman" w:eastAsia="Times New Roman" w:hAnsi="Times New Roman" w:cs="Times New Roman"/>
                <w:color w:val="000000" w:themeColor="text1"/>
                <w:kern w:val="0"/>
                <w14:ligatures w14:val="none"/>
              </w:rPr>
            </w:pPr>
            <w:r w:rsidRPr="00AF0CC3">
              <w:rPr>
                <w:rFonts w:ascii="Times New Roman" w:eastAsia="Times New Roman" w:hAnsi="Times New Roman" w:cs="Times New Roman"/>
                <w:color w:val="000000" w:themeColor="text1"/>
                <w:kern w:val="0"/>
                <w14:ligatures w14:val="none"/>
              </w:rPr>
              <w:t>Redesign disputes and funding shortfalls trigger suspension</w:t>
            </w:r>
          </w:p>
        </w:tc>
      </w:tr>
      <w:tr w:rsidR="00833AED" w:rsidRPr="00AF0CC3" w14:paraId="1104568C" w14:textId="77777777" w:rsidTr="00E73C98">
        <w:trPr>
          <w:tblCellSpacing w:w="15" w:type="dxa"/>
        </w:trPr>
        <w:tc>
          <w:tcPr>
            <w:tcW w:w="0" w:type="auto"/>
            <w:vAlign w:val="center"/>
            <w:hideMark/>
          </w:tcPr>
          <w:p w14:paraId="194728AE" w14:textId="77777777" w:rsidR="00833AED" w:rsidRPr="00AF0CC3" w:rsidRDefault="00833AED" w:rsidP="00833AED">
            <w:pPr>
              <w:spacing w:after="0" w:line="240" w:lineRule="auto"/>
              <w:rPr>
                <w:rFonts w:ascii="Times New Roman" w:eastAsia="Times New Roman" w:hAnsi="Times New Roman" w:cs="Times New Roman"/>
                <w:color w:val="000000" w:themeColor="text1"/>
                <w:kern w:val="0"/>
                <w14:ligatures w14:val="none"/>
              </w:rPr>
            </w:pPr>
            <w:r w:rsidRPr="00AF0CC3">
              <w:rPr>
                <w:rFonts w:ascii="Times New Roman" w:eastAsia="Times New Roman" w:hAnsi="Times New Roman" w:cs="Times New Roman"/>
                <w:b/>
                <w:bCs/>
                <w:color w:val="000000" w:themeColor="text1"/>
                <w:kern w:val="0"/>
                <w14:ligatures w14:val="none"/>
              </w:rPr>
              <w:t>Procurement &amp; contracting</w:t>
            </w:r>
          </w:p>
        </w:tc>
        <w:tc>
          <w:tcPr>
            <w:tcW w:w="0" w:type="auto"/>
            <w:vAlign w:val="center"/>
            <w:hideMark/>
          </w:tcPr>
          <w:p w14:paraId="59F05235" w14:textId="77777777" w:rsidR="00833AED" w:rsidRPr="00AF0CC3" w:rsidRDefault="00833AED" w:rsidP="00833AED">
            <w:pPr>
              <w:spacing w:after="0" w:line="240" w:lineRule="auto"/>
              <w:rPr>
                <w:rFonts w:ascii="Times New Roman" w:eastAsia="Times New Roman" w:hAnsi="Times New Roman" w:cs="Times New Roman"/>
                <w:color w:val="000000" w:themeColor="text1"/>
                <w:kern w:val="0"/>
                <w14:ligatures w14:val="none"/>
              </w:rPr>
            </w:pPr>
            <w:r w:rsidRPr="00AF0CC3">
              <w:rPr>
                <w:rFonts w:ascii="Times New Roman" w:eastAsia="Times New Roman" w:hAnsi="Times New Roman" w:cs="Times New Roman"/>
                <w:color w:val="000000" w:themeColor="text1"/>
                <w:kern w:val="0"/>
                <w14:ligatures w14:val="none"/>
              </w:rPr>
              <w:t>Unspecified force majeure and hydrological risk clauses</w:t>
            </w:r>
          </w:p>
        </w:tc>
        <w:tc>
          <w:tcPr>
            <w:tcW w:w="0" w:type="auto"/>
            <w:vAlign w:val="center"/>
            <w:hideMark/>
          </w:tcPr>
          <w:p w14:paraId="738EA187" w14:textId="77777777" w:rsidR="00833AED" w:rsidRPr="00AF0CC3" w:rsidRDefault="00833AED" w:rsidP="00833AED">
            <w:pPr>
              <w:spacing w:after="0" w:line="240" w:lineRule="auto"/>
              <w:rPr>
                <w:rFonts w:ascii="Times New Roman" w:eastAsia="Times New Roman" w:hAnsi="Times New Roman" w:cs="Times New Roman"/>
                <w:color w:val="000000" w:themeColor="text1"/>
                <w:kern w:val="0"/>
                <w14:ligatures w14:val="none"/>
              </w:rPr>
            </w:pPr>
            <w:r w:rsidRPr="00AF0CC3">
              <w:rPr>
                <w:rFonts w:ascii="Times New Roman" w:eastAsia="Times New Roman" w:hAnsi="Times New Roman" w:cs="Times New Roman"/>
                <w:color w:val="000000" w:themeColor="text1"/>
                <w:kern w:val="0"/>
                <w14:ligatures w14:val="none"/>
              </w:rPr>
              <w:t>Ambiguous climate risk allocation</w:t>
            </w:r>
          </w:p>
        </w:tc>
        <w:tc>
          <w:tcPr>
            <w:tcW w:w="0" w:type="auto"/>
            <w:vAlign w:val="center"/>
            <w:hideMark/>
          </w:tcPr>
          <w:p w14:paraId="41D7B5EC" w14:textId="77777777" w:rsidR="00833AED" w:rsidRPr="00AF0CC3" w:rsidRDefault="00833AED" w:rsidP="00833AED">
            <w:pPr>
              <w:spacing w:after="0" w:line="240" w:lineRule="auto"/>
              <w:rPr>
                <w:rFonts w:ascii="Times New Roman" w:eastAsia="Times New Roman" w:hAnsi="Times New Roman" w:cs="Times New Roman"/>
                <w:color w:val="000000" w:themeColor="text1"/>
                <w:kern w:val="0"/>
                <w14:ligatures w14:val="none"/>
              </w:rPr>
            </w:pPr>
            <w:r w:rsidRPr="00AF0CC3">
              <w:rPr>
                <w:rFonts w:ascii="Times New Roman" w:eastAsia="Times New Roman" w:hAnsi="Times New Roman" w:cs="Times New Roman"/>
                <w:color w:val="000000" w:themeColor="text1"/>
                <w:kern w:val="0"/>
                <w14:ligatures w14:val="none"/>
              </w:rPr>
              <w:t>Explicit contractual allocation and adaptive clauses</w:t>
            </w:r>
          </w:p>
        </w:tc>
        <w:tc>
          <w:tcPr>
            <w:tcW w:w="0" w:type="auto"/>
            <w:vAlign w:val="center"/>
            <w:hideMark/>
          </w:tcPr>
          <w:p w14:paraId="0B6AFE92" w14:textId="77777777" w:rsidR="00833AED" w:rsidRPr="00AF0CC3" w:rsidRDefault="00833AED" w:rsidP="00833AED">
            <w:pPr>
              <w:spacing w:after="0" w:line="240" w:lineRule="auto"/>
              <w:rPr>
                <w:rFonts w:ascii="Times New Roman" w:eastAsia="Times New Roman" w:hAnsi="Times New Roman" w:cs="Times New Roman"/>
                <w:color w:val="000000" w:themeColor="text1"/>
                <w:kern w:val="0"/>
                <w14:ligatures w14:val="none"/>
              </w:rPr>
            </w:pPr>
            <w:r w:rsidRPr="00AF0CC3">
              <w:rPr>
                <w:rFonts w:ascii="Times New Roman" w:eastAsia="Times New Roman" w:hAnsi="Times New Roman" w:cs="Times New Roman"/>
                <w:color w:val="000000" w:themeColor="text1"/>
                <w:kern w:val="0"/>
                <w14:ligatures w14:val="none"/>
              </w:rPr>
              <w:t>Liability disputes when shocks materialize</w:t>
            </w:r>
          </w:p>
        </w:tc>
        <w:tc>
          <w:tcPr>
            <w:tcW w:w="0" w:type="auto"/>
            <w:vAlign w:val="center"/>
            <w:hideMark/>
          </w:tcPr>
          <w:p w14:paraId="22B4E6BB" w14:textId="77777777" w:rsidR="00833AED" w:rsidRPr="00AF0CC3" w:rsidRDefault="00833AED" w:rsidP="00833AED">
            <w:pPr>
              <w:spacing w:after="0" w:line="240" w:lineRule="auto"/>
              <w:rPr>
                <w:rFonts w:ascii="Times New Roman" w:eastAsia="Times New Roman" w:hAnsi="Times New Roman" w:cs="Times New Roman"/>
                <w:color w:val="000000" w:themeColor="text1"/>
                <w:kern w:val="0"/>
                <w14:ligatures w14:val="none"/>
              </w:rPr>
            </w:pPr>
            <w:r w:rsidRPr="00AF0CC3">
              <w:rPr>
                <w:rFonts w:ascii="Times New Roman" w:eastAsia="Times New Roman" w:hAnsi="Times New Roman" w:cs="Times New Roman"/>
                <w:color w:val="000000" w:themeColor="text1"/>
                <w:kern w:val="0"/>
                <w14:ligatures w14:val="none"/>
              </w:rPr>
              <w:t>Renegotiation impasse increases stall probability</w:t>
            </w:r>
          </w:p>
        </w:tc>
      </w:tr>
      <w:tr w:rsidR="00833AED" w:rsidRPr="00AF0CC3" w14:paraId="57D599B9" w14:textId="77777777" w:rsidTr="00E73C98">
        <w:trPr>
          <w:tblCellSpacing w:w="15" w:type="dxa"/>
        </w:trPr>
        <w:tc>
          <w:tcPr>
            <w:tcW w:w="0" w:type="auto"/>
            <w:vAlign w:val="center"/>
            <w:hideMark/>
          </w:tcPr>
          <w:p w14:paraId="6E78FEB1" w14:textId="77777777" w:rsidR="00833AED" w:rsidRPr="00AF0CC3" w:rsidRDefault="00833AED" w:rsidP="00833AED">
            <w:pPr>
              <w:spacing w:after="0" w:line="240" w:lineRule="auto"/>
              <w:rPr>
                <w:rFonts w:ascii="Times New Roman" w:eastAsia="Times New Roman" w:hAnsi="Times New Roman" w:cs="Times New Roman"/>
                <w:color w:val="000000" w:themeColor="text1"/>
                <w:kern w:val="0"/>
                <w14:ligatures w14:val="none"/>
              </w:rPr>
            </w:pPr>
            <w:r w:rsidRPr="00AF0CC3">
              <w:rPr>
                <w:rFonts w:ascii="Times New Roman" w:eastAsia="Times New Roman" w:hAnsi="Times New Roman" w:cs="Times New Roman"/>
                <w:b/>
                <w:bCs/>
                <w:color w:val="000000" w:themeColor="text1"/>
                <w:kern w:val="0"/>
                <w14:ligatures w14:val="none"/>
              </w:rPr>
              <w:t>Implementation</w:t>
            </w:r>
          </w:p>
        </w:tc>
        <w:tc>
          <w:tcPr>
            <w:tcW w:w="0" w:type="auto"/>
            <w:vAlign w:val="center"/>
            <w:hideMark/>
          </w:tcPr>
          <w:p w14:paraId="32CFB13B" w14:textId="77777777" w:rsidR="00833AED" w:rsidRPr="00AF0CC3" w:rsidRDefault="00833AED" w:rsidP="00833AED">
            <w:pPr>
              <w:spacing w:after="0" w:line="240" w:lineRule="auto"/>
              <w:rPr>
                <w:rFonts w:ascii="Times New Roman" w:eastAsia="Times New Roman" w:hAnsi="Times New Roman" w:cs="Times New Roman"/>
                <w:color w:val="000000" w:themeColor="text1"/>
                <w:kern w:val="0"/>
                <w14:ligatures w14:val="none"/>
              </w:rPr>
            </w:pPr>
            <w:r w:rsidRPr="00AF0CC3">
              <w:rPr>
                <w:rFonts w:ascii="Times New Roman" w:eastAsia="Times New Roman" w:hAnsi="Times New Roman" w:cs="Times New Roman"/>
                <w:color w:val="000000" w:themeColor="text1"/>
                <w:kern w:val="0"/>
                <w14:ligatures w14:val="none"/>
              </w:rPr>
              <w:t>Flood damage; drought-related construction disruption</w:t>
            </w:r>
          </w:p>
        </w:tc>
        <w:tc>
          <w:tcPr>
            <w:tcW w:w="0" w:type="auto"/>
            <w:vAlign w:val="center"/>
            <w:hideMark/>
          </w:tcPr>
          <w:p w14:paraId="64CEF1AF" w14:textId="77777777" w:rsidR="00833AED" w:rsidRPr="00AF0CC3" w:rsidRDefault="00833AED" w:rsidP="00833AED">
            <w:pPr>
              <w:spacing w:after="0" w:line="240" w:lineRule="auto"/>
              <w:rPr>
                <w:rFonts w:ascii="Times New Roman" w:eastAsia="Times New Roman" w:hAnsi="Times New Roman" w:cs="Times New Roman"/>
                <w:color w:val="000000" w:themeColor="text1"/>
                <w:kern w:val="0"/>
                <w14:ligatures w14:val="none"/>
              </w:rPr>
            </w:pPr>
            <w:r w:rsidRPr="00AF0CC3">
              <w:rPr>
                <w:rFonts w:ascii="Times New Roman" w:eastAsia="Times New Roman" w:hAnsi="Times New Roman" w:cs="Times New Roman"/>
                <w:color w:val="000000" w:themeColor="text1"/>
                <w:kern w:val="0"/>
                <w14:ligatures w14:val="none"/>
              </w:rPr>
              <w:t>Rigid budgeting; weak contingency planning</w:t>
            </w:r>
          </w:p>
        </w:tc>
        <w:tc>
          <w:tcPr>
            <w:tcW w:w="0" w:type="auto"/>
            <w:vAlign w:val="center"/>
            <w:hideMark/>
          </w:tcPr>
          <w:p w14:paraId="721AAAD3" w14:textId="77777777" w:rsidR="00833AED" w:rsidRPr="00AF0CC3" w:rsidRDefault="00833AED" w:rsidP="00833AED">
            <w:pPr>
              <w:spacing w:after="0" w:line="240" w:lineRule="auto"/>
              <w:rPr>
                <w:rFonts w:ascii="Times New Roman" w:eastAsia="Times New Roman" w:hAnsi="Times New Roman" w:cs="Times New Roman"/>
                <w:color w:val="000000" w:themeColor="text1"/>
                <w:kern w:val="0"/>
                <w14:ligatures w14:val="none"/>
              </w:rPr>
            </w:pPr>
            <w:r w:rsidRPr="00AF0CC3">
              <w:rPr>
                <w:rFonts w:ascii="Times New Roman" w:eastAsia="Times New Roman" w:hAnsi="Times New Roman" w:cs="Times New Roman"/>
                <w:color w:val="000000" w:themeColor="text1"/>
                <w:kern w:val="0"/>
                <w14:ligatures w14:val="none"/>
              </w:rPr>
              <w:t>Flexible variation mechanisms; contingency funds</w:t>
            </w:r>
          </w:p>
        </w:tc>
        <w:tc>
          <w:tcPr>
            <w:tcW w:w="0" w:type="auto"/>
            <w:vAlign w:val="center"/>
            <w:hideMark/>
          </w:tcPr>
          <w:p w14:paraId="04186235" w14:textId="77777777" w:rsidR="00833AED" w:rsidRPr="00AF0CC3" w:rsidRDefault="00833AED" w:rsidP="00833AED">
            <w:pPr>
              <w:spacing w:after="0" w:line="240" w:lineRule="auto"/>
              <w:rPr>
                <w:rFonts w:ascii="Times New Roman" w:eastAsia="Times New Roman" w:hAnsi="Times New Roman" w:cs="Times New Roman"/>
                <w:color w:val="000000" w:themeColor="text1"/>
                <w:kern w:val="0"/>
                <w14:ligatures w14:val="none"/>
              </w:rPr>
            </w:pPr>
            <w:r w:rsidRPr="00AF0CC3">
              <w:rPr>
                <w:rFonts w:ascii="Times New Roman" w:eastAsia="Times New Roman" w:hAnsi="Times New Roman" w:cs="Times New Roman"/>
                <w:color w:val="000000" w:themeColor="text1"/>
                <w:kern w:val="0"/>
                <w14:ligatures w14:val="none"/>
              </w:rPr>
              <w:t>Cost escalation without a fiscal buffer</w:t>
            </w:r>
          </w:p>
        </w:tc>
        <w:tc>
          <w:tcPr>
            <w:tcW w:w="0" w:type="auto"/>
            <w:vAlign w:val="center"/>
            <w:hideMark/>
          </w:tcPr>
          <w:p w14:paraId="367C40FA" w14:textId="77777777" w:rsidR="00833AED" w:rsidRPr="00AF0CC3" w:rsidRDefault="00833AED" w:rsidP="00833AED">
            <w:pPr>
              <w:spacing w:after="0" w:line="240" w:lineRule="auto"/>
              <w:rPr>
                <w:rFonts w:ascii="Times New Roman" w:eastAsia="Times New Roman" w:hAnsi="Times New Roman" w:cs="Times New Roman"/>
                <w:color w:val="000000" w:themeColor="text1"/>
                <w:kern w:val="0"/>
                <w14:ligatures w14:val="none"/>
              </w:rPr>
            </w:pPr>
            <w:r w:rsidRPr="00AF0CC3">
              <w:rPr>
                <w:rFonts w:ascii="Times New Roman" w:eastAsia="Times New Roman" w:hAnsi="Times New Roman" w:cs="Times New Roman"/>
                <w:color w:val="000000" w:themeColor="text1"/>
                <w:kern w:val="0"/>
                <w14:ligatures w14:val="none"/>
              </w:rPr>
              <w:t>Contractor withdrawal or slowdowns</w:t>
            </w:r>
          </w:p>
        </w:tc>
      </w:tr>
      <w:tr w:rsidR="00833AED" w:rsidRPr="00AF0CC3" w14:paraId="5601EE1D" w14:textId="77777777" w:rsidTr="00E73C98">
        <w:trPr>
          <w:tblCellSpacing w:w="15" w:type="dxa"/>
        </w:trPr>
        <w:tc>
          <w:tcPr>
            <w:tcW w:w="0" w:type="auto"/>
            <w:vAlign w:val="center"/>
            <w:hideMark/>
          </w:tcPr>
          <w:p w14:paraId="3877456B" w14:textId="77777777" w:rsidR="00833AED" w:rsidRPr="00AF0CC3" w:rsidRDefault="00833AED" w:rsidP="00833AED">
            <w:pPr>
              <w:spacing w:after="0" w:line="240" w:lineRule="auto"/>
              <w:rPr>
                <w:rFonts w:ascii="Times New Roman" w:eastAsia="Times New Roman" w:hAnsi="Times New Roman" w:cs="Times New Roman"/>
                <w:color w:val="000000" w:themeColor="text1"/>
                <w:kern w:val="0"/>
                <w14:ligatures w14:val="none"/>
              </w:rPr>
            </w:pPr>
            <w:r w:rsidRPr="00AF0CC3">
              <w:rPr>
                <w:rFonts w:ascii="Times New Roman" w:eastAsia="Times New Roman" w:hAnsi="Times New Roman" w:cs="Times New Roman"/>
                <w:b/>
                <w:bCs/>
                <w:color w:val="000000" w:themeColor="text1"/>
                <w:kern w:val="0"/>
                <w14:ligatures w14:val="none"/>
              </w:rPr>
              <w:t>Oversight &amp; Monitoring</w:t>
            </w:r>
          </w:p>
        </w:tc>
        <w:tc>
          <w:tcPr>
            <w:tcW w:w="0" w:type="auto"/>
            <w:vAlign w:val="center"/>
            <w:hideMark/>
          </w:tcPr>
          <w:p w14:paraId="52AEF356" w14:textId="77777777" w:rsidR="00833AED" w:rsidRPr="00AF0CC3" w:rsidRDefault="00833AED" w:rsidP="00833AED">
            <w:pPr>
              <w:spacing w:after="0" w:line="240" w:lineRule="auto"/>
              <w:rPr>
                <w:rFonts w:ascii="Times New Roman" w:eastAsia="Times New Roman" w:hAnsi="Times New Roman" w:cs="Times New Roman"/>
                <w:color w:val="000000" w:themeColor="text1"/>
                <w:kern w:val="0"/>
                <w14:ligatures w14:val="none"/>
              </w:rPr>
            </w:pPr>
            <w:r w:rsidRPr="00AF0CC3">
              <w:rPr>
                <w:rFonts w:ascii="Times New Roman" w:eastAsia="Times New Roman" w:hAnsi="Times New Roman" w:cs="Times New Roman"/>
                <w:color w:val="000000" w:themeColor="text1"/>
                <w:kern w:val="0"/>
                <w14:ligatures w14:val="none"/>
              </w:rPr>
              <w:t>Delayed institutional response to climate impacts</w:t>
            </w:r>
          </w:p>
        </w:tc>
        <w:tc>
          <w:tcPr>
            <w:tcW w:w="0" w:type="auto"/>
            <w:vAlign w:val="center"/>
            <w:hideMark/>
          </w:tcPr>
          <w:p w14:paraId="1CB9FF70" w14:textId="77777777" w:rsidR="00833AED" w:rsidRPr="00AF0CC3" w:rsidRDefault="00833AED" w:rsidP="00833AED">
            <w:pPr>
              <w:spacing w:after="0" w:line="240" w:lineRule="auto"/>
              <w:rPr>
                <w:rFonts w:ascii="Times New Roman" w:eastAsia="Times New Roman" w:hAnsi="Times New Roman" w:cs="Times New Roman"/>
                <w:color w:val="000000" w:themeColor="text1"/>
                <w:kern w:val="0"/>
                <w14:ligatures w14:val="none"/>
              </w:rPr>
            </w:pPr>
            <w:r w:rsidRPr="00AF0CC3">
              <w:rPr>
                <w:rFonts w:ascii="Times New Roman" w:eastAsia="Times New Roman" w:hAnsi="Times New Roman" w:cs="Times New Roman"/>
                <w:color w:val="000000" w:themeColor="text1"/>
                <w:kern w:val="0"/>
                <w14:ligatures w14:val="none"/>
              </w:rPr>
              <w:t>Weak monitoring of climate-related performance indicators</w:t>
            </w:r>
          </w:p>
        </w:tc>
        <w:tc>
          <w:tcPr>
            <w:tcW w:w="0" w:type="auto"/>
            <w:vAlign w:val="center"/>
            <w:hideMark/>
          </w:tcPr>
          <w:p w14:paraId="26893352" w14:textId="77777777" w:rsidR="00833AED" w:rsidRPr="00AF0CC3" w:rsidRDefault="00833AED" w:rsidP="00833AED">
            <w:pPr>
              <w:spacing w:after="0" w:line="240" w:lineRule="auto"/>
              <w:rPr>
                <w:rFonts w:ascii="Times New Roman" w:eastAsia="Times New Roman" w:hAnsi="Times New Roman" w:cs="Times New Roman"/>
                <w:color w:val="000000" w:themeColor="text1"/>
                <w:kern w:val="0"/>
                <w14:ligatures w14:val="none"/>
              </w:rPr>
            </w:pPr>
            <w:r w:rsidRPr="00AF0CC3">
              <w:rPr>
                <w:rFonts w:ascii="Times New Roman" w:eastAsia="Times New Roman" w:hAnsi="Times New Roman" w:cs="Times New Roman"/>
                <w:color w:val="000000" w:themeColor="text1"/>
                <w:kern w:val="0"/>
                <w14:ligatures w14:val="none"/>
              </w:rPr>
              <w:t>Real-time supervision and coordinated response</w:t>
            </w:r>
          </w:p>
        </w:tc>
        <w:tc>
          <w:tcPr>
            <w:tcW w:w="0" w:type="auto"/>
            <w:vAlign w:val="center"/>
            <w:hideMark/>
          </w:tcPr>
          <w:p w14:paraId="78829D23" w14:textId="77777777" w:rsidR="00833AED" w:rsidRPr="00AF0CC3" w:rsidRDefault="00833AED" w:rsidP="00833AED">
            <w:pPr>
              <w:spacing w:after="0" w:line="240" w:lineRule="auto"/>
              <w:rPr>
                <w:rFonts w:ascii="Times New Roman" w:eastAsia="Times New Roman" w:hAnsi="Times New Roman" w:cs="Times New Roman"/>
                <w:color w:val="000000" w:themeColor="text1"/>
                <w:kern w:val="0"/>
                <w14:ligatures w14:val="none"/>
              </w:rPr>
            </w:pPr>
            <w:r w:rsidRPr="00AF0CC3">
              <w:rPr>
                <w:rFonts w:ascii="Times New Roman" w:eastAsia="Times New Roman" w:hAnsi="Times New Roman" w:cs="Times New Roman"/>
                <w:color w:val="000000" w:themeColor="text1"/>
                <w:kern w:val="0"/>
                <w14:ligatures w14:val="none"/>
              </w:rPr>
              <w:t>Crisis-driven rather than preventive adjustment</w:t>
            </w:r>
          </w:p>
        </w:tc>
        <w:tc>
          <w:tcPr>
            <w:tcW w:w="0" w:type="auto"/>
            <w:vAlign w:val="center"/>
            <w:hideMark/>
          </w:tcPr>
          <w:p w14:paraId="45D34B70" w14:textId="77777777" w:rsidR="00833AED" w:rsidRPr="00AF0CC3" w:rsidRDefault="00833AED" w:rsidP="00833AED">
            <w:pPr>
              <w:spacing w:after="0" w:line="240" w:lineRule="auto"/>
              <w:rPr>
                <w:rFonts w:ascii="Times New Roman" w:eastAsia="Times New Roman" w:hAnsi="Times New Roman" w:cs="Times New Roman"/>
                <w:color w:val="000000" w:themeColor="text1"/>
                <w:kern w:val="0"/>
                <w14:ligatures w14:val="none"/>
              </w:rPr>
            </w:pPr>
            <w:r w:rsidRPr="00AF0CC3">
              <w:rPr>
                <w:rFonts w:ascii="Times New Roman" w:eastAsia="Times New Roman" w:hAnsi="Times New Roman" w:cs="Times New Roman"/>
                <w:color w:val="000000" w:themeColor="text1"/>
                <w:kern w:val="0"/>
                <w14:ligatures w14:val="none"/>
              </w:rPr>
              <w:t>Temporary delay hardens into prolonged inactivity</w:t>
            </w:r>
          </w:p>
        </w:tc>
      </w:tr>
    </w:tbl>
    <w:p w14:paraId="2318B3FD" w14:textId="77777777" w:rsidR="00833AED" w:rsidRPr="00AF0CC3" w:rsidRDefault="00833AED" w:rsidP="00833AED">
      <w:pPr>
        <w:spacing w:line="240" w:lineRule="auto"/>
        <w:rPr>
          <w:rFonts w:ascii="Times New Roman" w:hAnsi="Times New Roman" w:cs="Times New Roman"/>
          <w:color w:val="000000" w:themeColor="text1"/>
        </w:rPr>
      </w:pPr>
    </w:p>
    <w:p w14:paraId="05BDC881" w14:textId="47D61088" w:rsidR="00833AED" w:rsidRPr="00AF0CC3" w:rsidRDefault="00833AED" w:rsidP="00833AED">
      <w:pPr>
        <w:spacing w:line="240" w:lineRule="auto"/>
        <w:rPr>
          <w:rFonts w:ascii="Times New Roman" w:hAnsi="Times New Roman" w:cs="Times New Roman"/>
          <w:color w:val="000000" w:themeColor="text1"/>
        </w:rPr>
      </w:pPr>
      <w:r w:rsidRPr="00AF0CC3">
        <w:rPr>
          <w:rFonts w:ascii="Times New Roman" w:hAnsi="Times New Roman" w:cs="Times New Roman"/>
          <w:color w:val="000000" w:themeColor="text1"/>
        </w:rPr>
        <w:lastRenderedPageBreak/>
        <w:t>Table 2</w:t>
      </w:r>
      <w:r w:rsidR="00A56614" w:rsidRPr="00AF0CC3">
        <w:rPr>
          <w:rFonts w:ascii="Times New Roman" w:hAnsi="Times New Roman" w:cs="Times New Roman"/>
          <w:color w:val="000000" w:themeColor="text1"/>
        </w:rPr>
        <w:t>-</w:t>
      </w:r>
      <w:r w:rsidRPr="00AF0CC3">
        <w:rPr>
          <w:rFonts w:ascii="Times New Roman" w:hAnsi="Times New Roman" w:cs="Times New Roman"/>
          <w:color w:val="000000" w:themeColor="text1"/>
        </w:rPr>
        <w:t>5 maps climate-related risks to governance responses at different project stages. It demonstrates that exposure to drought or floods does not automatically produce failure; rather, outcomes depend on institutional capacity to anticipate and manage these risks. The table highlights how weak governance amplifies climate stress, increasing the probability of delay and stalling. This logic directly informs the modeling of climate risk as a moderating variable in Chapter Three.</w:t>
      </w:r>
    </w:p>
    <w:p w14:paraId="5CC1BD4D" w14:textId="77777777" w:rsidR="00833AED" w:rsidRPr="00AF0CC3" w:rsidRDefault="00833AED" w:rsidP="00833AED">
      <w:pPr>
        <w:spacing w:line="240" w:lineRule="auto"/>
        <w:rPr>
          <w:rFonts w:ascii="Times New Roman" w:hAnsi="Times New Roman" w:cs="Times New Roman"/>
          <w:color w:val="000000" w:themeColor="text1"/>
        </w:rPr>
      </w:pPr>
    </w:p>
    <w:p w14:paraId="56AFDAC7" w14:textId="77777777" w:rsidR="00FC14AE" w:rsidRPr="00AF0CC3" w:rsidRDefault="00833AED" w:rsidP="00FC14AE">
      <w:pPr>
        <w:keepNext/>
        <w:spacing w:line="240" w:lineRule="auto"/>
        <w:rPr>
          <w:rFonts w:ascii="Times New Roman" w:hAnsi="Times New Roman" w:cs="Times New Roman"/>
        </w:rPr>
      </w:pPr>
      <w:r w:rsidRPr="00AF0CC3">
        <w:rPr>
          <w:rFonts w:ascii="Times New Roman" w:hAnsi="Times New Roman" w:cs="Times New Roman"/>
          <w:noProof/>
          <w:color w:val="000000" w:themeColor="text1"/>
        </w:rPr>
        <w:drawing>
          <wp:inline distT="0" distB="0" distL="0" distR="0" wp14:anchorId="61B22D7B" wp14:editId="0B87C14C">
            <wp:extent cx="5943600" cy="4457700"/>
            <wp:effectExtent l="0" t="0" r="0" b="0"/>
            <wp:docPr id="1039192835" name="Graph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39192835" name=""/>
                    <pic:cNvPicPr/>
                  </pic:nvPicPr>
                  <pic:blipFill>
                    <a:blip r:embed="rId21">
                      <a:extLst>
                        <a:ext uri="{96DAC541-7B7A-43D3-8B79-37D633B846F1}">
                          <asvg:svgBlip xmlns:asvg="http://schemas.microsoft.com/office/drawing/2016/SVG/main" r:embed="rId22"/>
                        </a:ext>
                      </a:extLst>
                    </a:blip>
                    <a:stretch>
                      <a:fillRect/>
                    </a:stretch>
                  </pic:blipFill>
                  <pic:spPr>
                    <a:xfrm>
                      <a:off x="0" y="0"/>
                      <a:ext cx="5943600" cy="4457700"/>
                    </a:xfrm>
                    <a:prstGeom prst="rect">
                      <a:avLst/>
                    </a:prstGeom>
                  </pic:spPr>
                </pic:pic>
              </a:graphicData>
            </a:graphic>
          </wp:inline>
        </w:drawing>
      </w:r>
    </w:p>
    <w:p w14:paraId="7296CB44" w14:textId="3AE4464D" w:rsidR="00833AED" w:rsidRPr="00AF0CC3" w:rsidRDefault="00FC14AE" w:rsidP="00FC14AE">
      <w:pPr>
        <w:pStyle w:val="Caption"/>
        <w:rPr>
          <w:rFonts w:ascii="Times New Roman" w:hAnsi="Times New Roman" w:cs="Times New Roman"/>
          <w:b/>
          <w:bCs/>
          <w:color w:val="000000" w:themeColor="text1"/>
          <w:sz w:val="24"/>
          <w:szCs w:val="24"/>
        </w:rPr>
      </w:pPr>
      <w:bookmarkStart w:id="150" w:name="_Toc234481926"/>
      <w:r w:rsidRPr="00AF0CC3">
        <w:rPr>
          <w:rFonts w:ascii="Times New Roman" w:hAnsi="Times New Roman" w:cs="Times New Roman"/>
          <w:sz w:val="24"/>
          <w:szCs w:val="24"/>
        </w:rPr>
        <w:t xml:space="preserve">Figure </w:t>
      </w:r>
      <w:r w:rsidR="00052921" w:rsidRPr="00AF0CC3">
        <w:rPr>
          <w:rFonts w:ascii="Times New Roman" w:hAnsi="Times New Roman" w:cs="Times New Roman"/>
          <w:sz w:val="24"/>
          <w:szCs w:val="24"/>
        </w:rPr>
        <w:fldChar w:fldCharType="begin"/>
      </w:r>
      <w:r w:rsidR="00052921" w:rsidRPr="00AF0CC3">
        <w:rPr>
          <w:rFonts w:ascii="Times New Roman" w:hAnsi="Times New Roman" w:cs="Times New Roman"/>
          <w:sz w:val="24"/>
          <w:szCs w:val="24"/>
        </w:rPr>
        <w:instrText xml:space="preserve"> STYLEREF 1 \s </w:instrText>
      </w:r>
      <w:r w:rsidR="00052921" w:rsidRPr="00AF0CC3">
        <w:rPr>
          <w:rFonts w:ascii="Times New Roman" w:hAnsi="Times New Roman" w:cs="Times New Roman"/>
          <w:sz w:val="24"/>
          <w:szCs w:val="24"/>
        </w:rPr>
        <w:fldChar w:fldCharType="separate"/>
      </w:r>
      <w:r w:rsidR="00052921" w:rsidRPr="00AF0CC3">
        <w:rPr>
          <w:rFonts w:ascii="Times New Roman" w:hAnsi="Times New Roman" w:cs="Times New Roman"/>
          <w:noProof/>
          <w:sz w:val="24"/>
          <w:szCs w:val="24"/>
        </w:rPr>
        <w:t>2</w:t>
      </w:r>
      <w:r w:rsidR="00052921" w:rsidRPr="00AF0CC3">
        <w:rPr>
          <w:rFonts w:ascii="Times New Roman" w:hAnsi="Times New Roman" w:cs="Times New Roman"/>
          <w:noProof/>
          <w:sz w:val="24"/>
          <w:szCs w:val="24"/>
        </w:rPr>
        <w:fldChar w:fldCharType="end"/>
      </w:r>
      <w:r w:rsidR="00BF2261" w:rsidRPr="00AF0CC3">
        <w:rPr>
          <w:rFonts w:ascii="Times New Roman" w:hAnsi="Times New Roman" w:cs="Times New Roman"/>
          <w:sz w:val="24"/>
          <w:szCs w:val="24"/>
        </w:rPr>
        <w:t>.</w:t>
      </w:r>
      <w:r w:rsidR="00052921" w:rsidRPr="00AF0CC3">
        <w:rPr>
          <w:rFonts w:ascii="Times New Roman" w:hAnsi="Times New Roman" w:cs="Times New Roman"/>
          <w:sz w:val="24"/>
          <w:szCs w:val="24"/>
        </w:rPr>
        <w:fldChar w:fldCharType="begin"/>
      </w:r>
      <w:r w:rsidR="00052921" w:rsidRPr="00AF0CC3">
        <w:rPr>
          <w:rFonts w:ascii="Times New Roman" w:hAnsi="Times New Roman" w:cs="Times New Roman"/>
          <w:sz w:val="24"/>
          <w:szCs w:val="24"/>
        </w:rPr>
        <w:instrText xml:space="preserve"> SEQ Figure \* ARABIC \s 1 </w:instrText>
      </w:r>
      <w:r w:rsidR="00052921" w:rsidRPr="00AF0CC3">
        <w:rPr>
          <w:rFonts w:ascii="Times New Roman" w:hAnsi="Times New Roman" w:cs="Times New Roman"/>
          <w:sz w:val="24"/>
          <w:szCs w:val="24"/>
        </w:rPr>
        <w:fldChar w:fldCharType="separate"/>
      </w:r>
      <w:r w:rsidR="00052921" w:rsidRPr="00AF0CC3">
        <w:rPr>
          <w:rFonts w:ascii="Times New Roman" w:hAnsi="Times New Roman" w:cs="Times New Roman"/>
          <w:noProof/>
          <w:sz w:val="24"/>
          <w:szCs w:val="24"/>
        </w:rPr>
        <w:t>3</w:t>
      </w:r>
      <w:r w:rsidR="00052921" w:rsidRPr="00AF0CC3">
        <w:rPr>
          <w:rFonts w:ascii="Times New Roman" w:hAnsi="Times New Roman" w:cs="Times New Roman"/>
          <w:noProof/>
          <w:sz w:val="24"/>
          <w:szCs w:val="24"/>
        </w:rPr>
        <w:fldChar w:fldCharType="end"/>
      </w:r>
      <w:r w:rsidRPr="00AF0CC3">
        <w:rPr>
          <w:rFonts w:ascii="Times New Roman" w:hAnsi="Times New Roman" w:cs="Times New Roman"/>
          <w:sz w:val="24"/>
          <w:szCs w:val="24"/>
        </w:rPr>
        <w:t xml:space="preserve"> Climate Risk as a Governance-Mediated Influence</w:t>
      </w:r>
      <w:bookmarkEnd w:id="150"/>
    </w:p>
    <w:p w14:paraId="1E00D861" w14:textId="77777777" w:rsidR="00833AED" w:rsidRPr="00AF0CC3" w:rsidRDefault="00833AED" w:rsidP="00833AED">
      <w:pPr>
        <w:spacing w:line="240" w:lineRule="auto"/>
        <w:rPr>
          <w:rFonts w:ascii="Times New Roman" w:hAnsi="Times New Roman" w:cs="Times New Roman"/>
          <w:b/>
          <w:bCs/>
          <w:color w:val="000000" w:themeColor="text1"/>
        </w:rPr>
      </w:pPr>
    </w:p>
    <w:p w14:paraId="2179D1A3" w14:textId="77777777" w:rsidR="00833AED" w:rsidRPr="00AF0CC3" w:rsidRDefault="00833AED" w:rsidP="00833AED">
      <w:pPr>
        <w:spacing w:line="240" w:lineRule="auto"/>
        <w:rPr>
          <w:rFonts w:ascii="Times New Roman" w:hAnsi="Times New Roman" w:cs="Times New Roman"/>
          <w:color w:val="000000" w:themeColor="text1"/>
        </w:rPr>
      </w:pPr>
      <w:r w:rsidRPr="00AF0CC3">
        <w:rPr>
          <w:rFonts w:ascii="Times New Roman" w:hAnsi="Times New Roman" w:cs="Times New Roman"/>
          <w:color w:val="000000" w:themeColor="text1"/>
        </w:rPr>
        <w:t>Figure 2.3 illustrates how climate events interact with governance quality rather than acting independently. Where governance capacity enables coordination and adaptive learning, climate stress leads to manageable adjustment. Where governance is weak, climate shocks amplify disputes, fiscal strain, and implementation breakdown, increasing the probability of project stalling.</w:t>
      </w:r>
    </w:p>
    <w:p w14:paraId="596C303B" w14:textId="77777777" w:rsidR="00833AED" w:rsidRPr="00AF0CC3" w:rsidRDefault="00833AED" w:rsidP="00833AED">
      <w:pPr>
        <w:spacing w:line="240" w:lineRule="auto"/>
        <w:rPr>
          <w:rFonts w:ascii="Times New Roman" w:hAnsi="Times New Roman" w:cs="Times New Roman"/>
          <w:color w:val="000000" w:themeColor="text1"/>
        </w:rPr>
      </w:pPr>
      <w:r w:rsidRPr="00AF0CC3">
        <w:rPr>
          <w:rFonts w:ascii="Times New Roman" w:hAnsi="Times New Roman" w:cs="Times New Roman"/>
          <w:color w:val="000000" w:themeColor="text1"/>
        </w:rPr>
        <w:t>Climate events, in this sense, act as stress tests for governance systems. Strong institutions absorb and adapt; weak ones fracture under pressure. Understanding this interaction is essential for distinguishing environmental disruption from institutional failure.</w:t>
      </w:r>
    </w:p>
    <w:p w14:paraId="2683355B" w14:textId="77777777" w:rsidR="00833AED" w:rsidRPr="00AF0CC3" w:rsidRDefault="00833AED" w:rsidP="00833AED">
      <w:pPr>
        <w:spacing w:line="240" w:lineRule="auto"/>
        <w:rPr>
          <w:rFonts w:ascii="Times New Roman" w:hAnsi="Times New Roman" w:cs="Times New Roman"/>
          <w:color w:val="000000" w:themeColor="text1"/>
        </w:rPr>
      </w:pPr>
    </w:p>
    <w:p w14:paraId="12A2A972" w14:textId="77777777" w:rsidR="00833AED" w:rsidRPr="00AF0CC3" w:rsidRDefault="00833AED" w:rsidP="00833AED">
      <w:pPr>
        <w:spacing w:line="240" w:lineRule="auto"/>
        <w:rPr>
          <w:rFonts w:ascii="Times New Roman" w:hAnsi="Times New Roman" w:cs="Times New Roman"/>
          <w:color w:val="000000" w:themeColor="text1"/>
        </w:rPr>
      </w:pPr>
    </w:p>
    <w:p w14:paraId="054B3589" w14:textId="1E793C91" w:rsidR="00833AED" w:rsidRPr="00AF0CC3" w:rsidRDefault="00833AED" w:rsidP="007D6AD7">
      <w:pPr>
        <w:pStyle w:val="Heading2"/>
        <w:rPr>
          <w:rFonts w:cs="Times New Roman"/>
          <w:color w:val="000000" w:themeColor="text1"/>
          <w:szCs w:val="24"/>
        </w:rPr>
      </w:pPr>
      <w:bookmarkStart w:id="151" w:name="_Toc223623392"/>
      <w:bookmarkStart w:id="152" w:name="_Toc234344784"/>
      <w:bookmarkStart w:id="153" w:name="_Toc234489016"/>
      <w:r w:rsidRPr="00AF0CC3">
        <w:rPr>
          <w:rFonts w:cs="Times New Roman"/>
          <w:color w:val="000000" w:themeColor="text1"/>
          <w:szCs w:val="24"/>
        </w:rPr>
        <w:t>Regional and Kenyan Evidence on Water Infrastructure Governance and Performance</w:t>
      </w:r>
      <w:bookmarkEnd w:id="151"/>
      <w:bookmarkEnd w:id="152"/>
      <w:bookmarkEnd w:id="153"/>
    </w:p>
    <w:p w14:paraId="3151884F" w14:textId="77777777" w:rsidR="00833AED" w:rsidRPr="00AF0CC3" w:rsidRDefault="00833AED" w:rsidP="00833AED">
      <w:pPr>
        <w:spacing w:line="240" w:lineRule="auto"/>
        <w:rPr>
          <w:rFonts w:ascii="Times New Roman" w:hAnsi="Times New Roman" w:cs="Times New Roman"/>
          <w:color w:val="000000" w:themeColor="text1"/>
        </w:rPr>
      </w:pPr>
    </w:p>
    <w:p w14:paraId="1FE719BD" w14:textId="77777777" w:rsidR="00833AED" w:rsidRPr="00AF0CC3" w:rsidRDefault="00833AED" w:rsidP="00833AED">
      <w:pPr>
        <w:spacing w:line="240" w:lineRule="auto"/>
        <w:rPr>
          <w:rFonts w:ascii="Times New Roman" w:hAnsi="Times New Roman" w:cs="Times New Roman"/>
          <w:color w:val="000000" w:themeColor="text1"/>
        </w:rPr>
      </w:pPr>
      <w:r w:rsidRPr="00AF0CC3">
        <w:rPr>
          <w:rFonts w:ascii="Times New Roman" w:hAnsi="Times New Roman" w:cs="Times New Roman"/>
          <w:color w:val="000000" w:themeColor="text1"/>
        </w:rPr>
        <w:t>The preceding discussion remains incomplete without considering the institutional realities of Kenya, where devolution, political transition, and climate exposure intersect in distinctive ways.</w:t>
      </w:r>
    </w:p>
    <w:p w14:paraId="7FD335BB" w14:textId="77777777" w:rsidR="00833AED" w:rsidRPr="00AF0CC3" w:rsidRDefault="00833AED" w:rsidP="00833AED">
      <w:pPr>
        <w:spacing w:line="240" w:lineRule="auto"/>
        <w:rPr>
          <w:rFonts w:ascii="Times New Roman" w:hAnsi="Times New Roman" w:cs="Times New Roman"/>
          <w:color w:val="000000" w:themeColor="text1"/>
        </w:rPr>
      </w:pPr>
    </w:p>
    <w:p w14:paraId="64C15179" w14:textId="77777777" w:rsidR="00833AED" w:rsidRPr="00AF0CC3" w:rsidRDefault="00833AED" w:rsidP="00833AED">
      <w:pPr>
        <w:spacing w:line="240" w:lineRule="auto"/>
        <w:rPr>
          <w:rFonts w:ascii="Times New Roman" w:hAnsi="Times New Roman" w:cs="Times New Roman"/>
          <w:color w:val="000000" w:themeColor="text1"/>
        </w:rPr>
      </w:pPr>
      <w:r w:rsidRPr="00AF0CC3">
        <w:rPr>
          <w:rFonts w:ascii="Times New Roman" w:hAnsi="Times New Roman" w:cs="Times New Roman"/>
          <w:color w:val="000000" w:themeColor="text1"/>
        </w:rPr>
        <w:t>Global literature provides a broad explanation of infrastructure underperformance, but its analytical utility depends on contextual grounding. Sub-Saharan Africa, and Kenya specifically, presents a distinct configuration of institutional arrangements shaped by decentralization, donor engagement, political transition, and exposure to climate change. Understanding stalled water infrastructure in Kenya requires engaging directly with these regional dynamics.</w:t>
      </w:r>
    </w:p>
    <w:p w14:paraId="675F899D" w14:textId="77777777" w:rsidR="00833AED" w:rsidRPr="00AF0CC3" w:rsidRDefault="00833AED" w:rsidP="00833AED">
      <w:pPr>
        <w:spacing w:line="240" w:lineRule="auto"/>
        <w:rPr>
          <w:rFonts w:ascii="Times New Roman" w:hAnsi="Times New Roman" w:cs="Times New Roman"/>
          <w:color w:val="000000" w:themeColor="text1"/>
        </w:rPr>
      </w:pPr>
      <w:r w:rsidRPr="00AF0CC3">
        <w:rPr>
          <w:rFonts w:ascii="Times New Roman" w:hAnsi="Times New Roman" w:cs="Times New Roman"/>
          <w:color w:val="000000" w:themeColor="text1"/>
        </w:rPr>
        <w:t>More broadly, comparative research on state capability in developing countries suggests that infrastructure outcomes depend less on formal institutional design than on the practical capacity of public institutions to implement and coordinate complex projects (Pritchett, Sen, and Werker, 2018). In contexts where administrative capability remains uneven, infrastructure initiatives may be formally well designed yet operationally fragile.</w:t>
      </w:r>
    </w:p>
    <w:p w14:paraId="572F3323" w14:textId="77777777" w:rsidR="00833AED" w:rsidRPr="00AF0CC3" w:rsidRDefault="00833AED" w:rsidP="00833AED">
      <w:pPr>
        <w:spacing w:line="240" w:lineRule="auto"/>
        <w:rPr>
          <w:rFonts w:ascii="Times New Roman" w:hAnsi="Times New Roman" w:cs="Times New Roman"/>
          <w:color w:val="000000" w:themeColor="text1"/>
        </w:rPr>
      </w:pPr>
      <w:r w:rsidRPr="00AF0CC3">
        <w:rPr>
          <w:rFonts w:ascii="Times New Roman" w:hAnsi="Times New Roman" w:cs="Times New Roman"/>
          <w:color w:val="000000" w:themeColor="text1"/>
        </w:rPr>
        <w:t>This section situates the study within its immediate governance environment. It moves from regional patterns to Kenya-specific institutional features, highlighting how structural governance arrangements translate into observable project trajectories.</w:t>
      </w:r>
    </w:p>
    <w:p w14:paraId="48C99D28" w14:textId="77777777" w:rsidR="00833AED" w:rsidRPr="00AF0CC3" w:rsidRDefault="00833AED" w:rsidP="00833AED">
      <w:pPr>
        <w:spacing w:line="240" w:lineRule="auto"/>
        <w:rPr>
          <w:rFonts w:ascii="Times New Roman" w:hAnsi="Times New Roman" w:cs="Times New Roman"/>
          <w:color w:val="000000" w:themeColor="text1"/>
        </w:rPr>
      </w:pPr>
    </w:p>
    <w:p w14:paraId="799EE065" w14:textId="29E6B0C3" w:rsidR="00833AED" w:rsidRPr="00AF0CC3" w:rsidRDefault="00833AED" w:rsidP="007D6AD7">
      <w:pPr>
        <w:pStyle w:val="Heading3"/>
        <w:rPr>
          <w:rFonts w:cs="Times New Roman"/>
          <w:color w:val="000000" w:themeColor="text1"/>
          <w:szCs w:val="24"/>
        </w:rPr>
      </w:pPr>
      <w:bookmarkStart w:id="154" w:name="_Toc223623393"/>
      <w:bookmarkStart w:id="155" w:name="_Toc234344785"/>
      <w:bookmarkStart w:id="156" w:name="_Toc234489017"/>
      <w:r w:rsidRPr="00AF0CC3">
        <w:rPr>
          <w:rFonts w:cs="Times New Roman"/>
          <w:color w:val="000000" w:themeColor="text1"/>
          <w:szCs w:val="24"/>
        </w:rPr>
        <w:t>Infrastructure Governance in Sub-Saharan Africa</w:t>
      </w:r>
      <w:bookmarkEnd w:id="154"/>
      <w:bookmarkEnd w:id="155"/>
      <w:bookmarkEnd w:id="156"/>
    </w:p>
    <w:p w14:paraId="5F136CDD" w14:textId="77777777" w:rsidR="00833AED" w:rsidRPr="00AF0CC3" w:rsidRDefault="00833AED" w:rsidP="00833AED">
      <w:pPr>
        <w:spacing w:line="240" w:lineRule="auto"/>
        <w:rPr>
          <w:rFonts w:ascii="Times New Roman" w:hAnsi="Times New Roman" w:cs="Times New Roman"/>
          <w:color w:val="000000" w:themeColor="text1"/>
        </w:rPr>
      </w:pPr>
    </w:p>
    <w:p w14:paraId="074442F7" w14:textId="77777777" w:rsidR="00833AED" w:rsidRPr="00AF0CC3" w:rsidRDefault="00833AED" w:rsidP="00833AED">
      <w:pPr>
        <w:spacing w:line="240" w:lineRule="auto"/>
        <w:rPr>
          <w:rFonts w:ascii="Times New Roman" w:hAnsi="Times New Roman" w:cs="Times New Roman"/>
          <w:color w:val="000000" w:themeColor="text1"/>
        </w:rPr>
      </w:pPr>
      <w:r w:rsidRPr="00AF0CC3">
        <w:rPr>
          <w:rFonts w:ascii="Times New Roman" w:hAnsi="Times New Roman" w:cs="Times New Roman"/>
          <w:color w:val="000000" w:themeColor="text1"/>
        </w:rPr>
        <w:t>Empirical studies consistently show that infrastructure projects in sub-Saharan Africa experience higher rates of delay and cost escalation than the global average. While financing constraints are frequently cited, governance explanations prove more persuasive upon closer inspection.</w:t>
      </w:r>
    </w:p>
    <w:p w14:paraId="60C9A7B0" w14:textId="77777777" w:rsidR="00833AED" w:rsidRPr="00AF0CC3" w:rsidRDefault="00833AED" w:rsidP="00833AED">
      <w:pPr>
        <w:spacing w:line="240" w:lineRule="auto"/>
        <w:rPr>
          <w:rFonts w:ascii="Times New Roman" w:hAnsi="Times New Roman" w:cs="Times New Roman"/>
          <w:color w:val="000000" w:themeColor="text1"/>
        </w:rPr>
      </w:pPr>
      <w:r w:rsidRPr="00AF0CC3">
        <w:rPr>
          <w:rFonts w:ascii="Times New Roman" w:hAnsi="Times New Roman" w:cs="Times New Roman"/>
          <w:color w:val="000000" w:themeColor="text1"/>
        </w:rPr>
        <w:t>Reports by the World Bank and the African Development Bank identify recurring weaknesses: incomplete feasibility studies, politicized project selection, procurement irregularities, and weak contract enforcement. Land acquisition processes are under-resourced and socially contested. Oversight institutions identify deficiencies but often lack enforcement authority.</w:t>
      </w:r>
    </w:p>
    <w:p w14:paraId="3333005A" w14:textId="77777777" w:rsidR="00833AED" w:rsidRPr="00AF0CC3" w:rsidRDefault="00833AED" w:rsidP="00833AED">
      <w:pPr>
        <w:spacing w:line="240" w:lineRule="auto"/>
        <w:rPr>
          <w:rFonts w:ascii="Times New Roman" w:hAnsi="Times New Roman" w:cs="Times New Roman"/>
          <w:color w:val="000000" w:themeColor="text1"/>
        </w:rPr>
      </w:pPr>
    </w:p>
    <w:p w14:paraId="46A1485F" w14:textId="77777777" w:rsidR="00833AED" w:rsidRPr="00AF0CC3" w:rsidRDefault="00833AED" w:rsidP="00833AED">
      <w:pPr>
        <w:spacing w:line="240" w:lineRule="auto"/>
        <w:rPr>
          <w:rFonts w:ascii="Times New Roman" w:hAnsi="Times New Roman" w:cs="Times New Roman"/>
          <w:color w:val="000000" w:themeColor="text1"/>
        </w:rPr>
      </w:pPr>
      <w:r w:rsidRPr="00AF0CC3">
        <w:rPr>
          <w:rFonts w:ascii="Times New Roman" w:hAnsi="Times New Roman" w:cs="Times New Roman"/>
          <w:color w:val="000000" w:themeColor="text1"/>
        </w:rPr>
        <w:t>Water infrastructure is particularly vulnerable. Irrigation schemes intersect with customary land tenure. Dams trigger displacement concerns. Urban water projects expose inequities in service provision. These factors intensify governance demands and create multiple veto points that can delay or suspend progress.</w:t>
      </w:r>
    </w:p>
    <w:p w14:paraId="34624FE3" w14:textId="77777777" w:rsidR="00833AED" w:rsidRPr="00AF0CC3" w:rsidRDefault="00833AED" w:rsidP="00833AED">
      <w:pPr>
        <w:spacing w:line="240" w:lineRule="auto"/>
        <w:rPr>
          <w:rFonts w:ascii="Times New Roman" w:hAnsi="Times New Roman" w:cs="Times New Roman"/>
          <w:color w:val="000000" w:themeColor="text1"/>
        </w:rPr>
      </w:pPr>
    </w:p>
    <w:p w14:paraId="3A9F761B" w14:textId="77777777" w:rsidR="00833AED" w:rsidRPr="00AF0CC3" w:rsidRDefault="00833AED" w:rsidP="00833AED">
      <w:pPr>
        <w:spacing w:line="240" w:lineRule="auto"/>
        <w:rPr>
          <w:rFonts w:ascii="Times New Roman" w:hAnsi="Times New Roman" w:cs="Times New Roman"/>
          <w:color w:val="000000" w:themeColor="text1"/>
        </w:rPr>
      </w:pPr>
      <w:r w:rsidRPr="00AF0CC3">
        <w:rPr>
          <w:rFonts w:ascii="Times New Roman" w:hAnsi="Times New Roman" w:cs="Times New Roman"/>
          <w:color w:val="000000" w:themeColor="text1"/>
        </w:rPr>
        <w:lastRenderedPageBreak/>
        <w:t>What distinguishes regional water projects is not merely financial scarcity but institutional fragility at critical decision points.</w:t>
      </w:r>
    </w:p>
    <w:p w14:paraId="1282BDF5" w14:textId="77777777" w:rsidR="00833AED" w:rsidRPr="00AF0CC3" w:rsidRDefault="00833AED" w:rsidP="00833AED">
      <w:pPr>
        <w:spacing w:line="240" w:lineRule="auto"/>
        <w:rPr>
          <w:rFonts w:ascii="Times New Roman" w:hAnsi="Times New Roman" w:cs="Times New Roman"/>
          <w:color w:val="000000" w:themeColor="text1"/>
        </w:rPr>
      </w:pPr>
      <w:r w:rsidRPr="00AF0CC3">
        <w:rPr>
          <w:rFonts w:ascii="Times New Roman" w:hAnsi="Times New Roman" w:cs="Times New Roman"/>
          <w:color w:val="000000" w:themeColor="text1"/>
        </w:rPr>
        <w:t xml:space="preserve">Evidence from across Sub-Saharan Africa reinforces the importance of governance arrangements in shaping outcomes for water infrastructure. Studies of urban water reforms in Kenya show that institutional restructuring and privatization initiatives often encounter capacity limitations and coordination challenges that constrain infrastructure delivery (K’Akumu &amp; Appida, 2006). </w:t>
      </w:r>
    </w:p>
    <w:p w14:paraId="3CBE12CE" w14:textId="77777777" w:rsidR="00833AED" w:rsidRPr="00AF0CC3" w:rsidRDefault="00833AED" w:rsidP="00833AED">
      <w:pPr>
        <w:spacing w:line="240" w:lineRule="auto"/>
        <w:rPr>
          <w:rFonts w:ascii="Times New Roman" w:hAnsi="Times New Roman" w:cs="Times New Roman"/>
          <w:color w:val="000000" w:themeColor="text1"/>
        </w:rPr>
      </w:pPr>
      <w:r w:rsidRPr="00AF0CC3">
        <w:rPr>
          <w:rFonts w:ascii="Times New Roman" w:hAnsi="Times New Roman" w:cs="Times New Roman"/>
          <w:color w:val="000000" w:themeColor="text1"/>
        </w:rPr>
        <w:t>Similarly, research on water-sector reforms in Ghana demonstrates that public–private partnerships can struggle to improve infrastructure performance when regulatory oversight and institutional coordination remain weak (Fuest &amp; Haffner, 2007). At the scale of large hydraulic projects, political economy analyses of Ethiopia’s Grand Ethiopian Renaissance Dam further illustrate how water infrastructure investments are embedded in broader state-building strategies and institutional dynamics that shape implementation trajectories (Terrefe, 2020).</w:t>
      </w:r>
    </w:p>
    <w:p w14:paraId="62E44884" w14:textId="77777777" w:rsidR="00833AED" w:rsidRPr="00AF0CC3" w:rsidRDefault="00833AED" w:rsidP="00833AED">
      <w:pPr>
        <w:spacing w:line="240" w:lineRule="auto"/>
        <w:rPr>
          <w:rFonts w:ascii="Times New Roman" w:hAnsi="Times New Roman" w:cs="Times New Roman"/>
          <w:color w:val="000000" w:themeColor="text1"/>
        </w:rPr>
      </w:pPr>
      <w:r w:rsidRPr="00AF0CC3">
        <w:rPr>
          <w:rFonts w:ascii="Times New Roman" w:hAnsi="Times New Roman" w:cs="Times New Roman"/>
          <w:color w:val="000000" w:themeColor="text1"/>
        </w:rPr>
        <w:t>Political settlements scholarship further emphasizes that infrastructure investment decisions are rarely purely technocratic, but are shaped by underlying distributions of political power, elite bargaining, and institutional incentives within the state (Hickey &amp; Bukenya, 2012). From this perspective, infrastructure outcomes reflect not only administrative capacity but also the broader political settlement within which governance institutions operate.</w:t>
      </w:r>
    </w:p>
    <w:p w14:paraId="6ABEEE6E" w14:textId="77777777" w:rsidR="00833AED" w:rsidRPr="00AF0CC3" w:rsidRDefault="00833AED" w:rsidP="00833AED">
      <w:pPr>
        <w:spacing w:line="240" w:lineRule="auto"/>
        <w:rPr>
          <w:rFonts w:ascii="Times New Roman" w:hAnsi="Times New Roman" w:cs="Times New Roman"/>
          <w:color w:val="000000" w:themeColor="text1"/>
        </w:rPr>
      </w:pPr>
      <w:r w:rsidRPr="00AF0CC3">
        <w:rPr>
          <w:rFonts w:ascii="Times New Roman" w:hAnsi="Times New Roman" w:cs="Times New Roman"/>
          <w:color w:val="000000" w:themeColor="text1"/>
        </w:rPr>
        <w:t>Broader political economy scholarship reinforces the view that infrastructure delivery outcomes depend on deeper institutional and incentive structures within the state. Research on bureaucratic capability shows that effective public investment relies less on formal reform and more on the internal incentives and accountability mechanisms that shape administrative performance (Tendler, 1997).</w:t>
      </w:r>
    </w:p>
    <w:p w14:paraId="39CDE32E" w14:textId="77777777" w:rsidR="00833AED" w:rsidRPr="00AF0CC3" w:rsidRDefault="00833AED" w:rsidP="00833AED">
      <w:pPr>
        <w:spacing w:line="240" w:lineRule="auto"/>
        <w:rPr>
          <w:rFonts w:ascii="Times New Roman" w:hAnsi="Times New Roman" w:cs="Times New Roman"/>
          <w:color w:val="000000" w:themeColor="text1"/>
        </w:rPr>
      </w:pPr>
    </w:p>
    <w:p w14:paraId="2A9120CC" w14:textId="77777777" w:rsidR="00833AED" w:rsidRPr="00AF0CC3" w:rsidRDefault="00833AED" w:rsidP="00833AED">
      <w:pPr>
        <w:spacing w:line="240" w:lineRule="auto"/>
        <w:rPr>
          <w:rFonts w:ascii="Times New Roman" w:hAnsi="Times New Roman" w:cs="Times New Roman"/>
          <w:color w:val="000000" w:themeColor="text1"/>
        </w:rPr>
      </w:pPr>
      <w:r w:rsidRPr="00AF0CC3">
        <w:rPr>
          <w:rFonts w:ascii="Times New Roman" w:hAnsi="Times New Roman" w:cs="Times New Roman"/>
          <w:color w:val="000000" w:themeColor="text1"/>
        </w:rPr>
        <w:t>Related studies on African development governance similarly highlight the importance of politically embedded institutions that can coordinate investments and enforce implementation decisions over time. Infrastructure performance, therefore, reflects not only technical capacity but also the ability of state institutions to maintain consistent policy direction and administrative discipline (Booth &amp; Golooba-Mutebi, 2012).</w:t>
      </w:r>
    </w:p>
    <w:p w14:paraId="1CA3F7B8" w14:textId="77777777" w:rsidR="00833AED" w:rsidRPr="00AF0CC3" w:rsidRDefault="00833AED" w:rsidP="00833AED">
      <w:pPr>
        <w:spacing w:line="240" w:lineRule="auto"/>
        <w:rPr>
          <w:rFonts w:ascii="Times New Roman" w:hAnsi="Times New Roman" w:cs="Times New Roman"/>
          <w:color w:val="000000" w:themeColor="text1"/>
        </w:rPr>
      </w:pPr>
    </w:p>
    <w:p w14:paraId="59631DDE" w14:textId="77777777" w:rsidR="00833AED" w:rsidRPr="00AF0CC3" w:rsidRDefault="00833AED" w:rsidP="00833AED">
      <w:pPr>
        <w:spacing w:line="240" w:lineRule="auto"/>
        <w:rPr>
          <w:rFonts w:ascii="Times New Roman" w:hAnsi="Times New Roman" w:cs="Times New Roman"/>
          <w:color w:val="000000" w:themeColor="text1"/>
        </w:rPr>
      </w:pPr>
      <w:r w:rsidRPr="00AF0CC3">
        <w:rPr>
          <w:rFonts w:ascii="Times New Roman" w:hAnsi="Times New Roman" w:cs="Times New Roman"/>
          <w:color w:val="000000" w:themeColor="text1"/>
        </w:rPr>
        <w:t>Political settlements research further indicates that institutional effectiveness depends on the alignment between formal governance rules and underlying distributions of political power. When this alignment is weak, enforcement capacity declines and infrastructure projects become more vulnerable to delays, renegotiation, or breakdown in implementation (Khan, 2010).</w:t>
      </w:r>
    </w:p>
    <w:p w14:paraId="4A7DA730" w14:textId="77777777" w:rsidR="00833AED" w:rsidRPr="00AF0CC3" w:rsidRDefault="00833AED" w:rsidP="00833AED">
      <w:pPr>
        <w:spacing w:line="240" w:lineRule="auto"/>
        <w:rPr>
          <w:rFonts w:ascii="Times New Roman" w:hAnsi="Times New Roman" w:cs="Times New Roman"/>
          <w:color w:val="000000" w:themeColor="text1"/>
        </w:rPr>
      </w:pPr>
      <w:r w:rsidRPr="00AF0CC3">
        <w:rPr>
          <w:rFonts w:ascii="Times New Roman" w:hAnsi="Times New Roman" w:cs="Times New Roman"/>
          <w:color w:val="000000" w:themeColor="text1"/>
        </w:rPr>
        <w:t>These broader insights offer a helpful perspective for analyzing how governance systems function within specific national settings, including Kenya’s developing system of devolved water infrastructure management.</w:t>
      </w:r>
    </w:p>
    <w:p w14:paraId="5183B899" w14:textId="77777777" w:rsidR="00833AED" w:rsidRPr="00AF0CC3" w:rsidRDefault="00833AED" w:rsidP="00833AED">
      <w:pPr>
        <w:spacing w:line="240" w:lineRule="auto"/>
        <w:rPr>
          <w:rFonts w:ascii="Times New Roman" w:hAnsi="Times New Roman" w:cs="Times New Roman"/>
          <w:color w:val="000000" w:themeColor="text1"/>
        </w:rPr>
      </w:pPr>
    </w:p>
    <w:p w14:paraId="454DAF75" w14:textId="1126F132" w:rsidR="00833AED" w:rsidRPr="00AF0CC3" w:rsidRDefault="00833AED" w:rsidP="00037121">
      <w:pPr>
        <w:pStyle w:val="Heading3"/>
        <w:rPr>
          <w:rFonts w:cs="Times New Roman"/>
          <w:b w:val="0"/>
          <w:bCs/>
          <w:color w:val="000000" w:themeColor="text1"/>
          <w:szCs w:val="24"/>
        </w:rPr>
      </w:pPr>
      <w:bookmarkStart w:id="157" w:name="_Toc223623394"/>
      <w:bookmarkStart w:id="158" w:name="_Toc234344786"/>
      <w:bookmarkStart w:id="159" w:name="_Toc234489018"/>
      <w:r w:rsidRPr="00AF0CC3">
        <w:rPr>
          <w:rStyle w:val="Heading3Char"/>
          <w:rFonts w:cs="Times New Roman"/>
          <w:color w:val="000000" w:themeColor="text1"/>
          <w:szCs w:val="24"/>
        </w:rPr>
        <w:t>Decentralization and Institutional Fragmentation in Kenya</w:t>
      </w:r>
      <w:bookmarkEnd w:id="157"/>
      <w:bookmarkEnd w:id="158"/>
      <w:bookmarkEnd w:id="159"/>
    </w:p>
    <w:p w14:paraId="5050E83B" w14:textId="77777777" w:rsidR="00833AED" w:rsidRPr="00AF0CC3" w:rsidRDefault="00833AED" w:rsidP="00833AED">
      <w:pPr>
        <w:spacing w:line="240" w:lineRule="auto"/>
        <w:rPr>
          <w:rFonts w:ascii="Times New Roman" w:hAnsi="Times New Roman" w:cs="Times New Roman"/>
          <w:color w:val="000000" w:themeColor="text1"/>
        </w:rPr>
      </w:pPr>
    </w:p>
    <w:p w14:paraId="4AE9F946" w14:textId="77777777" w:rsidR="00833AED" w:rsidRPr="00AF0CC3" w:rsidRDefault="00833AED" w:rsidP="00833AED">
      <w:pPr>
        <w:spacing w:line="240" w:lineRule="auto"/>
        <w:rPr>
          <w:rFonts w:ascii="Times New Roman" w:hAnsi="Times New Roman" w:cs="Times New Roman"/>
          <w:color w:val="000000" w:themeColor="text1"/>
        </w:rPr>
      </w:pPr>
      <w:r w:rsidRPr="00AF0CC3">
        <w:rPr>
          <w:rFonts w:ascii="Times New Roman" w:hAnsi="Times New Roman" w:cs="Times New Roman"/>
          <w:color w:val="000000" w:themeColor="text1"/>
        </w:rPr>
        <w:lastRenderedPageBreak/>
        <w:t>Decentralization reforms across East Africa were intended to improve accountability and service delivery by bringing decision-making closer to local populations. In Kenya, the 2010 Constitution fundamentally restructured governance by devolving responsibility for water service provision to county governments while retaining national oversight of water resources and large-scale infrastructure investment.</w:t>
      </w:r>
    </w:p>
    <w:p w14:paraId="0D0CC41B" w14:textId="77777777" w:rsidR="00833AED" w:rsidRPr="00AF0CC3" w:rsidRDefault="00833AED" w:rsidP="00833AED">
      <w:pPr>
        <w:spacing w:line="240" w:lineRule="auto"/>
        <w:rPr>
          <w:rFonts w:ascii="Times New Roman" w:hAnsi="Times New Roman" w:cs="Times New Roman"/>
          <w:color w:val="000000" w:themeColor="text1"/>
        </w:rPr>
      </w:pPr>
      <w:r w:rsidRPr="00AF0CC3">
        <w:rPr>
          <w:rFonts w:ascii="Times New Roman" w:hAnsi="Times New Roman" w:cs="Times New Roman"/>
          <w:color w:val="000000" w:themeColor="text1"/>
        </w:rPr>
        <w:t>Kenya’s 2010 Constitution restructured governance through devolution, assigning counties responsibility for water service provision while retaining national authority over water resources and large infrastructure. In principle, decentralization was intended to improve accountability and responsiveness.</w:t>
      </w:r>
    </w:p>
    <w:p w14:paraId="3DCBF2D6" w14:textId="77777777" w:rsidR="00833AED" w:rsidRPr="00AF0CC3" w:rsidRDefault="00833AED" w:rsidP="00833AED">
      <w:pPr>
        <w:spacing w:line="240" w:lineRule="auto"/>
        <w:rPr>
          <w:rFonts w:ascii="Times New Roman" w:hAnsi="Times New Roman" w:cs="Times New Roman"/>
          <w:color w:val="000000" w:themeColor="text1"/>
        </w:rPr>
      </w:pPr>
    </w:p>
    <w:p w14:paraId="542FC9F7" w14:textId="77777777" w:rsidR="00833AED" w:rsidRPr="00AF0CC3" w:rsidRDefault="00833AED" w:rsidP="00833AED">
      <w:pPr>
        <w:spacing w:line="240" w:lineRule="auto"/>
        <w:rPr>
          <w:rFonts w:ascii="Times New Roman" w:hAnsi="Times New Roman" w:cs="Times New Roman"/>
          <w:color w:val="000000" w:themeColor="text1"/>
        </w:rPr>
      </w:pPr>
      <w:r w:rsidRPr="00AF0CC3">
        <w:rPr>
          <w:rFonts w:ascii="Times New Roman" w:hAnsi="Times New Roman" w:cs="Times New Roman"/>
          <w:color w:val="000000" w:themeColor="text1"/>
        </w:rPr>
        <w:t>In practice, literature suggests a more complex outcome. Harris et al. (2022) show that responsibilities shifted faster than administrative capacity developed. Counties were tasked with implementing capital-intensive projects despite limited experience in procurement, contract management, or fiscal risk assessment.</w:t>
      </w:r>
    </w:p>
    <w:p w14:paraId="4863FAD9" w14:textId="77777777" w:rsidR="00833AED" w:rsidRPr="00AF0CC3" w:rsidRDefault="00833AED" w:rsidP="00833AED">
      <w:pPr>
        <w:spacing w:line="240" w:lineRule="auto"/>
        <w:rPr>
          <w:rFonts w:ascii="Times New Roman" w:hAnsi="Times New Roman" w:cs="Times New Roman"/>
          <w:color w:val="000000" w:themeColor="text1"/>
        </w:rPr>
      </w:pPr>
    </w:p>
    <w:p w14:paraId="3E9B22CF" w14:textId="77777777" w:rsidR="00833AED" w:rsidRPr="00AF0CC3" w:rsidRDefault="00833AED" w:rsidP="00833AED">
      <w:pPr>
        <w:spacing w:line="240" w:lineRule="auto"/>
        <w:rPr>
          <w:rFonts w:ascii="Times New Roman" w:hAnsi="Times New Roman" w:cs="Times New Roman"/>
          <w:color w:val="000000" w:themeColor="text1"/>
        </w:rPr>
      </w:pPr>
      <w:r w:rsidRPr="00AF0CC3">
        <w:rPr>
          <w:rFonts w:ascii="Times New Roman" w:hAnsi="Times New Roman" w:cs="Times New Roman"/>
          <w:color w:val="000000" w:themeColor="text1"/>
        </w:rPr>
        <w:t>Water infrastructure often requires coordination among national ministries, regulatory bodies, county governments, utilities, and communities. Fragmented mandates create ambiguity about funding responsibilities and oversight authority. Decision-making slows, and accountability diffuses.</w:t>
      </w:r>
    </w:p>
    <w:p w14:paraId="60934014" w14:textId="77777777" w:rsidR="00833AED" w:rsidRPr="00AF0CC3" w:rsidRDefault="00833AED" w:rsidP="00833AED">
      <w:pPr>
        <w:spacing w:line="240" w:lineRule="auto"/>
        <w:rPr>
          <w:rFonts w:ascii="Times New Roman" w:hAnsi="Times New Roman" w:cs="Times New Roman"/>
          <w:color w:val="000000" w:themeColor="text1"/>
        </w:rPr>
      </w:pPr>
    </w:p>
    <w:p w14:paraId="0C0E3A27" w14:textId="77777777" w:rsidR="00833AED" w:rsidRPr="00AF0CC3" w:rsidRDefault="00833AED" w:rsidP="00833AED">
      <w:pPr>
        <w:spacing w:line="240" w:lineRule="auto"/>
        <w:rPr>
          <w:rFonts w:ascii="Times New Roman" w:hAnsi="Times New Roman" w:cs="Times New Roman"/>
          <w:color w:val="000000" w:themeColor="text1"/>
        </w:rPr>
      </w:pPr>
      <w:r w:rsidRPr="00AF0CC3">
        <w:rPr>
          <w:rFonts w:ascii="Times New Roman" w:hAnsi="Times New Roman" w:cs="Times New Roman"/>
          <w:color w:val="000000" w:themeColor="text1"/>
        </w:rPr>
        <w:t>Boone et al. (2019) further demonstrate that land law reform and devolution have multiplied veto points in land acquisition. Projects requiring land clearance may encounter resistance from multiple actors, each capable of delaying progress. Financing alone cannot resolve these structural impediments. Institutional fragmentation, therefore, becomes a structural pathway to stalling.</w:t>
      </w:r>
    </w:p>
    <w:p w14:paraId="18D99973" w14:textId="77777777" w:rsidR="00833AED" w:rsidRPr="00AF0CC3" w:rsidRDefault="00833AED" w:rsidP="00833AED">
      <w:pPr>
        <w:spacing w:line="240" w:lineRule="auto"/>
        <w:rPr>
          <w:rFonts w:ascii="Times New Roman" w:hAnsi="Times New Roman" w:cs="Times New Roman"/>
          <w:color w:val="000000" w:themeColor="text1"/>
        </w:rPr>
      </w:pPr>
    </w:p>
    <w:p w14:paraId="6EE09BDA" w14:textId="5FD9BD1F" w:rsidR="00833AED" w:rsidRPr="00AF0CC3" w:rsidRDefault="00833AED" w:rsidP="00037121">
      <w:pPr>
        <w:pStyle w:val="Heading3"/>
        <w:rPr>
          <w:rStyle w:val="Heading3Char"/>
          <w:rFonts w:cs="Times New Roman"/>
          <w:color w:val="000000" w:themeColor="text1"/>
          <w:szCs w:val="24"/>
        </w:rPr>
      </w:pPr>
      <w:bookmarkStart w:id="160" w:name="_Toc223623395"/>
      <w:bookmarkStart w:id="161" w:name="_Toc234344787"/>
      <w:bookmarkStart w:id="162" w:name="_Toc234489019"/>
      <w:r w:rsidRPr="00AF0CC3">
        <w:rPr>
          <w:rStyle w:val="Heading3Char"/>
          <w:rFonts w:cs="Times New Roman"/>
          <w:color w:val="000000" w:themeColor="text1"/>
          <w:szCs w:val="24"/>
        </w:rPr>
        <w:t>Political Transition, Veto Players, and Infrastructure Continuity</w:t>
      </w:r>
      <w:bookmarkEnd w:id="160"/>
      <w:bookmarkEnd w:id="161"/>
      <w:bookmarkEnd w:id="162"/>
    </w:p>
    <w:p w14:paraId="39C7FA8C" w14:textId="77777777" w:rsidR="00833AED" w:rsidRPr="00AF0CC3" w:rsidRDefault="00833AED" w:rsidP="00833AED">
      <w:pPr>
        <w:spacing w:line="240" w:lineRule="auto"/>
        <w:rPr>
          <w:rFonts w:ascii="Times New Roman" w:hAnsi="Times New Roman" w:cs="Times New Roman"/>
          <w:color w:val="000000" w:themeColor="text1"/>
        </w:rPr>
      </w:pPr>
      <w:r w:rsidRPr="00AF0CC3">
        <w:rPr>
          <w:rFonts w:ascii="Times New Roman" w:hAnsi="Times New Roman" w:cs="Times New Roman"/>
          <w:color w:val="000000" w:themeColor="text1"/>
        </w:rPr>
        <w:t>Infrastructure projects span multiple years, often extending beyond election cycles. Political transition can therefore disrupt project continuity, particularly when new administrations reassess predecessor commitments. In Kenya’s devolved system, overlapping authority between national and county governments introduces additional veto players capable of delaying land acquisition, renegotiating funding terms, or altering prioritization.</w:t>
      </w:r>
    </w:p>
    <w:p w14:paraId="47E3AC8B" w14:textId="77777777" w:rsidR="00833AED" w:rsidRPr="00AF0CC3" w:rsidRDefault="00833AED" w:rsidP="00833AED">
      <w:pPr>
        <w:spacing w:line="240" w:lineRule="auto"/>
        <w:rPr>
          <w:rFonts w:ascii="Times New Roman" w:hAnsi="Times New Roman" w:cs="Times New Roman"/>
          <w:color w:val="000000" w:themeColor="text1"/>
        </w:rPr>
      </w:pPr>
      <w:r w:rsidRPr="00AF0CC3">
        <w:rPr>
          <w:rFonts w:ascii="Times New Roman" w:hAnsi="Times New Roman" w:cs="Times New Roman"/>
          <w:color w:val="000000" w:themeColor="text1"/>
        </w:rPr>
        <w:t>Political turnover does not automatically lead to project failure. However, when governance systems lack institutional insulation from electoral cycles, political transitions can increase uncertainty, slow decisions, and weaken oversight. Projects starting implementation just before or during transitions may face a higher risk of suspension, especially if fiscal commitments are reevaluated.</w:t>
      </w:r>
    </w:p>
    <w:p w14:paraId="045F289E" w14:textId="77777777" w:rsidR="00833AED" w:rsidRPr="00AF0CC3" w:rsidRDefault="00833AED" w:rsidP="00833AED">
      <w:pPr>
        <w:spacing w:line="240" w:lineRule="auto"/>
        <w:rPr>
          <w:rFonts w:ascii="Times New Roman" w:hAnsi="Times New Roman" w:cs="Times New Roman"/>
          <w:color w:val="000000" w:themeColor="text1"/>
        </w:rPr>
      </w:pPr>
      <w:r w:rsidRPr="00AF0CC3">
        <w:rPr>
          <w:rFonts w:ascii="Times New Roman" w:hAnsi="Times New Roman" w:cs="Times New Roman"/>
          <w:color w:val="000000" w:themeColor="text1"/>
        </w:rPr>
        <w:t>Political risk, therefore, interacts with governance quality rather than substituting for it. Strong institutional continuity buffers electoral change; weak institutionalization turns political transition into a disruption to delivery.</w:t>
      </w:r>
    </w:p>
    <w:p w14:paraId="51A5D9E3" w14:textId="77777777" w:rsidR="00833AED" w:rsidRPr="00AF0CC3" w:rsidRDefault="00833AED" w:rsidP="00833AED">
      <w:pPr>
        <w:spacing w:line="240" w:lineRule="auto"/>
        <w:rPr>
          <w:rFonts w:ascii="Times New Roman" w:hAnsi="Times New Roman" w:cs="Times New Roman"/>
          <w:color w:val="000000" w:themeColor="text1"/>
        </w:rPr>
      </w:pPr>
    </w:p>
    <w:p w14:paraId="62A4C4E9" w14:textId="77BEF033" w:rsidR="00833AED" w:rsidRPr="00AF0CC3" w:rsidRDefault="00833AED" w:rsidP="00037121">
      <w:pPr>
        <w:pStyle w:val="Heading3"/>
        <w:rPr>
          <w:rFonts w:cs="Times New Roman"/>
          <w:b w:val="0"/>
          <w:bCs/>
          <w:color w:val="000000" w:themeColor="text1"/>
          <w:szCs w:val="24"/>
        </w:rPr>
      </w:pPr>
      <w:bookmarkStart w:id="163" w:name="_Toc223623396"/>
      <w:bookmarkStart w:id="164" w:name="_Toc234344788"/>
      <w:bookmarkStart w:id="165" w:name="_Toc234489020"/>
      <w:r w:rsidRPr="00AF0CC3">
        <w:rPr>
          <w:rStyle w:val="Heading3Char"/>
          <w:rFonts w:cs="Times New Roman"/>
          <w:color w:val="000000" w:themeColor="text1"/>
          <w:szCs w:val="24"/>
        </w:rPr>
        <w:t>Governance Failures in Kenya’s Water Sector</w:t>
      </w:r>
      <w:bookmarkEnd w:id="163"/>
      <w:bookmarkEnd w:id="164"/>
      <w:bookmarkEnd w:id="165"/>
    </w:p>
    <w:p w14:paraId="66230A9D" w14:textId="77777777" w:rsidR="00833AED" w:rsidRPr="00AF0CC3" w:rsidRDefault="00833AED" w:rsidP="00833AED">
      <w:pPr>
        <w:spacing w:line="240" w:lineRule="auto"/>
        <w:rPr>
          <w:rFonts w:ascii="Times New Roman" w:hAnsi="Times New Roman" w:cs="Times New Roman"/>
          <w:color w:val="000000" w:themeColor="text1"/>
        </w:rPr>
      </w:pPr>
    </w:p>
    <w:p w14:paraId="695B1F6B" w14:textId="77777777" w:rsidR="00833AED" w:rsidRPr="00AF0CC3" w:rsidRDefault="00833AED" w:rsidP="00833AED">
      <w:pPr>
        <w:spacing w:line="240" w:lineRule="auto"/>
        <w:rPr>
          <w:rFonts w:ascii="Times New Roman" w:hAnsi="Times New Roman" w:cs="Times New Roman"/>
          <w:color w:val="000000" w:themeColor="text1"/>
        </w:rPr>
      </w:pPr>
      <w:r w:rsidRPr="00AF0CC3">
        <w:rPr>
          <w:rFonts w:ascii="Times New Roman" w:hAnsi="Times New Roman" w:cs="Times New Roman"/>
          <w:color w:val="000000" w:themeColor="text1"/>
        </w:rPr>
        <w:t>Kenya’s policy ambitions are not modest. Vision 2030 and the National Water Master Plan articulate extensive goals for water storage, irrigation expansion, and urban supply. Capital mobilization through public borrowing, donor finance, and PPP initiatives has been substantial.</w:t>
      </w:r>
    </w:p>
    <w:p w14:paraId="67D14BC6" w14:textId="77777777" w:rsidR="00833AED" w:rsidRPr="00AF0CC3" w:rsidRDefault="00833AED" w:rsidP="00833AED">
      <w:pPr>
        <w:spacing w:line="240" w:lineRule="auto"/>
        <w:rPr>
          <w:rFonts w:ascii="Times New Roman" w:hAnsi="Times New Roman" w:cs="Times New Roman"/>
          <w:color w:val="000000" w:themeColor="text1"/>
        </w:rPr>
      </w:pPr>
    </w:p>
    <w:p w14:paraId="6354C717" w14:textId="77777777" w:rsidR="00833AED" w:rsidRPr="00AF0CC3" w:rsidRDefault="00833AED" w:rsidP="00833AED">
      <w:pPr>
        <w:spacing w:line="240" w:lineRule="auto"/>
        <w:rPr>
          <w:rFonts w:ascii="Times New Roman" w:hAnsi="Times New Roman" w:cs="Times New Roman"/>
          <w:color w:val="000000" w:themeColor="text1"/>
        </w:rPr>
      </w:pPr>
      <w:r w:rsidRPr="00AF0CC3">
        <w:rPr>
          <w:rFonts w:ascii="Times New Roman" w:hAnsi="Times New Roman" w:cs="Times New Roman"/>
          <w:color w:val="000000" w:themeColor="text1"/>
        </w:rPr>
        <w:t>However, Auditor-General reports repeatedly identify similar weaknesses: delayed land acquisition, incomplete feasibility assessments, procurement irregularities, payment delays, and excessive variation orders. These findings recur across financing models and implementing agencies. The pattern suggests systemic governance challenges rather than isolated mismanagement.</w:t>
      </w:r>
    </w:p>
    <w:p w14:paraId="4666A73B" w14:textId="77777777" w:rsidR="00833AED" w:rsidRPr="00AF0CC3" w:rsidRDefault="00833AED" w:rsidP="00833AED">
      <w:pPr>
        <w:spacing w:line="240" w:lineRule="auto"/>
        <w:rPr>
          <w:rFonts w:ascii="Times New Roman" w:hAnsi="Times New Roman" w:cs="Times New Roman"/>
          <w:color w:val="000000" w:themeColor="text1"/>
        </w:rPr>
      </w:pPr>
    </w:p>
    <w:p w14:paraId="6B2A4F28" w14:textId="77777777" w:rsidR="00833AED" w:rsidRPr="00AF0CC3" w:rsidRDefault="00833AED" w:rsidP="00833AED">
      <w:pPr>
        <w:spacing w:line="240" w:lineRule="auto"/>
        <w:rPr>
          <w:rFonts w:ascii="Times New Roman" w:hAnsi="Times New Roman" w:cs="Times New Roman"/>
          <w:color w:val="000000" w:themeColor="text1"/>
        </w:rPr>
      </w:pPr>
      <w:r w:rsidRPr="00AF0CC3">
        <w:rPr>
          <w:rFonts w:ascii="Times New Roman" w:hAnsi="Times New Roman" w:cs="Times New Roman"/>
          <w:color w:val="000000" w:themeColor="text1"/>
        </w:rPr>
        <w:t>Development partner supervision reports echo this diagnosis. World Bank project documents frequently note coordination weaknesses and challenges in implementing safeguards. Corrective measures are proposed, but implementation is uneven. Projects drift into prolonged inactivity.</w:t>
      </w:r>
    </w:p>
    <w:p w14:paraId="512BB1BC" w14:textId="77777777" w:rsidR="00833AED" w:rsidRPr="00AF0CC3" w:rsidRDefault="00833AED" w:rsidP="00833AED">
      <w:pPr>
        <w:spacing w:line="240" w:lineRule="auto"/>
        <w:rPr>
          <w:rFonts w:ascii="Times New Roman" w:hAnsi="Times New Roman" w:cs="Times New Roman"/>
          <w:color w:val="000000" w:themeColor="text1"/>
        </w:rPr>
      </w:pPr>
    </w:p>
    <w:p w14:paraId="144E4B0C" w14:textId="77777777" w:rsidR="00833AED" w:rsidRPr="00AF0CC3" w:rsidRDefault="00833AED" w:rsidP="00833AED">
      <w:pPr>
        <w:spacing w:line="240" w:lineRule="auto"/>
        <w:rPr>
          <w:rFonts w:ascii="Times New Roman" w:hAnsi="Times New Roman" w:cs="Times New Roman"/>
          <w:color w:val="000000" w:themeColor="text1"/>
        </w:rPr>
      </w:pPr>
      <w:r w:rsidRPr="00AF0CC3">
        <w:rPr>
          <w:rFonts w:ascii="Times New Roman" w:hAnsi="Times New Roman" w:cs="Times New Roman"/>
          <w:color w:val="000000" w:themeColor="text1"/>
        </w:rPr>
        <w:t>The result is a growing portfolio of partially completed assets that generate fiscal obligations without delivering services. From a governance perspective, this reflects not only execution failure but also failures of accountability and risk management.</w:t>
      </w:r>
    </w:p>
    <w:p w14:paraId="1AA1C55B" w14:textId="77777777" w:rsidR="00833AED" w:rsidRPr="00AF0CC3" w:rsidRDefault="00833AED" w:rsidP="00833AED">
      <w:pPr>
        <w:spacing w:line="240" w:lineRule="auto"/>
        <w:rPr>
          <w:rFonts w:ascii="Times New Roman" w:hAnsi="Times New Roman" w:cs="Times New Roman"/>
          <w:color w:val="000000" w:themeColor="text1"/>
        </w:rPr>
      </w:pPr>
      <w:r w:rsidRPr="00AF0CC3">
        <w:rPr>
          <w:rFonts w:ascii="Times New Roman" w:hAnsi="Times New Roman" w:cs="Times New Roman"/>
          <w:color w:val="000000" w:themeColor="text1"/>
        </w:rPr>
        <w:t>Studies of water-sector reform in Kenya similarly show that institutional restructuring alone does not guarantee improved infrastructure performance, particularly where regulatory capacity and coordination mechanisms remain weak (K’Akumu &amp; Appida, 2006).</w:t>
      </w:r>
    </w:p>
    <w:p w14:paraId="4B1CFE2A" w14:textId="77777777" w:rsidR="00833AED" w:rsidRPr="00AF0CC3" w:rsidRDefault="00833AED" w:rsidP="00833AED">
      <w:pPr>
        <w:spacing w:line="240" w:lineRule="auto"/>
        <w:rPr>
          <w:rFonts w:ascii="Times New Roman" w:hAnsi="Times New Roman" w:cs="Times New Roman"/>
          <w:color w:val="000000" w:themeColor="text1"/>
        </w:rPr>
      </w:pPr>
    </w:p>
    <w:p w14:paraId="324F5D63" w14:textId="77777777" w:rsidR="00833AED" w:rsidRPr="00AF0CC3" w:rsidRDefault="00833AED" w:rsidP="00833AED">
      <w:pPr>
        <w:spacing w:line="240" w:lineRule="auto"/>
        <w:rPr>
          <w:rFonts w:ascii="Times New Roman" w:hAnsi="Times New Roman" w:cs="Times New Roman"/>
          <w:color w:val="000000" w:themeColor="text1"/>
        </w:rPr>
      </w:pPr>
    </w:p>
    <w:p w14:paraId="29BE676C" w14:textId="7C3A4801" w:rsidR="00833AED" w:rsidRPr="00AF0CC3" w:rsidRDefault="00833AED" w:rsidP="00F24F41">
      <w:pPr>
        <w:pStyle w:val="Heading3"/>
        <w:rPr>
          <w:rFonts w:cs="Times New Roman"/>
          <w:color w:val="000000" w:themeColor="text1"/>
          <w:szCs w:val="24"/>
        </w:rPr>
      </w:pPr>
      <w:bookmarkStart w:id="166" w:name="_Toc223623397"/>
      <w:bookmarkStart w:id="167" w:name="_Toc234344789"/>
      <w:bookmarkStart w:id="168" w:name="_Toc234489021"/>
      <w:r w:rsidRPr="00AF0CC3">
        <w:rPr>
          <w:rFonts w:cs="Times New Roman"/>
          <w:color w:val="000000" w:themeColor="text1"/>
          <w:szCs w:val="24"/>
        </w:rPr>
        <w:t>Climate Stress and Institutional Response in Kenya</w:t>
      </w:r>
      <w:bookmarkEnd w:id="166"/>
      <w:bookmarkEnd w:id="167"/>
      <w:bookmarkEnd w:id="168"/>
    </w:p>
    <w:p w14:paraId="08926684" w14:textId="77777777" w:rsidR="00833AED" w:rsidRPr="00AF0CC3" w:rsidRDefault="00833AED" w:rsidP="00833AED">
      <w:pPr>
        <w:spacing w:line="240" w:lineRule="auto"/>
        <w:rPr>
          <w:rFonts w:ascii="Times New Roman" w:hAnsi="Times New Roman" w:cs="Times New Roman"/>
          <w:color w:val="000000" w:themeColor="text1"/>
        </w:rPr>
      </w:pPr>
    </w:p>
    <w:p w14:paraId="737385FB" w14:textId="77777777" w:rsidR="00833AED" w:rsidRPr="00AF0CC3" w:rsidRDefault="00833AED" w:rsidP="00833AED">
      <w:pPr>
        <w:spacing w:line="240" w:lineRule="auto"/>
        <w:rPr>
          <w:rFonts w:ascii="Times New Roman" w:hAnsi="Times New Roman" w:cs="Times New Roman"/>
          <w:color w:val="000000" w:themeColor="text1"/>
        </w:rPr>
      </w:pPr>
      <w:r w:rsidRPr="00AF0CC3">
        <w:rPr>
          <w:rFonts w:ascii="Times New Roman" w:hAnsi="Times New Roman" w:cs="Times New Roman"/>
          <w:color w:val="000000" w:themeColor="text1"/>
        </w:rPr>
        <w:t>Climate variability intensifies these governance weaknesses. Droughts disrupt construction schedules and undermine reservoir viability. Floods damage incomplete works. Emergency reallocations during crises divert funds from infrastructure projects, worsening payment delays.</w:t>
      </w:r>
    </w:p>
    <w:p w14:paraId="31E7D895" w14:textId="77777777" w:rsidR="00833AED" w:rsidRPr="00AF0CC3" w:rsidRDefault="00833AED" w:rsidP="00833AED">
      <w:pPr>
        <w:spacing w:line="240" w:lineRule="auto"/>
        <w:rPr>
          <w:rFonts w:ascii="Times New Roman" w:hAnsi="Times New Roman" w:cs="Times New Roman"/>
          <w:color w:val="000000" w:themeColor="text1"/>
        </w:rPr>
      </w:pPr>
    </w:p>
    <w:p w14:paraId="266CA346" w14:textId="77777777" w:rsidR="00833AED" w:rsidRPr="00AF0CC3" w:rsidRDefault="00833AED" w:rsidP="00833AED">
      <w:pPr>
        <w:spacing w:line="240" w:lineRule="auto"/>
        <w:rPr>
          <w:rFonts w:ascii="Times New Roman" w:hAnsi="Times New Roman" w:cs="Times New Roman"/>
          <w:color w:val="000000" w:themeColor="text1"/>
        </w:rPr>
      </w:pPr>
      <w:r w:rsidRPr="00AF0CC3">
        <w:rPr>
          <w:rFonts w:ascii="Times New Roman" w:hAnsi="Times New Roman" w:cs="Times New Roman"/>
          <w:color w:val="000000" w:themeColor="text1"/>
        </w:rPr>
        <w:t>FEWS NET and NDMA reports illustrate how climate shocks intersect with bureaucratic bottlenecks. Disputes over responsibility for flood damage or insurance coverage can prolong suspensions. Where adaptive capacity is weak, projects accumulate unresolved technical and financial challenges until construction halts. Climate events, therefore, expose rather than create institutional fragility.</w:t>
      </w:r>
    </w:p>
    <w:p w14:paraId="30C0716C" w14:textId="77777777" w:rsidR="00833AED" w:rsidRPr="00AF0CC3" w:rsidRDefault="00833AED" w:rsidP="00833AED">
      <w:pPr>
        <w:spacing w:line="240" w:lineRule="auto"/>
        <w:rPr>
          <w:rFonts w:ascii="Times New Roman" w:hAnsi="Times New Roman" w:cs="Times New Roman"/>
          <w:color w:val="000000" w:themeColor="text1"/>
        </w:rPr>
      </w:pPr>
    </w:p>
    <w:p w14:paraId="61CC1087" w14:textId="16E3F627" w:rsidR="00833AED" w:rsidRPr="00AF0CC3" w:rsidRDefault="00833AED" w:rsidP="00037121">
      <w:pPr>
        <w:pStyle w:val="Heading3"/>
        <w:rPr>
          <w:rFonts w:cs="Times New Roman"/>
          <w:b w:val="0"/>
          <w:bCs/>
          <w:color w:val="000000" w:themeColor="text1"/>
          <w:szCs w:val="24"/>
        </w:rPr>
      </w:pPr>
      <w:bookmarkStart w:id="169" w:name="_Toc223623398"/>
      <w:bookmarkStart w:id="170" w:name="_Toc234344790"/>
      <w:bookmarkStart w:id="171" w:name="_Toc234489022"/>
      <w:r w:rsidRPr="00AF0CC3">
        <w:rPr>
          <w:rStyle w:val="Heading3Char"/>
          <w:rFonts w:cs="Times New Roman"/>
          <w:color w:val="000000" w:themeColor="text1"/>
          <w:szCs w:val="24"/>
        </w:rPr>
        <w:t>Implications for This Study</w:t>
      </w:r>
      <w:bookmarkEnd w:id="169"/>
      <w:bookmarkEnd w:id="170"/>
      <w:bookmarkEnd w:id="171"/>
    </w:p>
    <w:p w14:paraId="6CA2F224" w14:textId="77777777" w:rsidR="00833AED" w:rsidRPr="00AF0CC3" w:rsidRDefault="00833AED" w:rsidP="00833AED">
      <w:pPr>
        <w:spacing w:line="240" w:lineRule="auto"/>
        <w:rPr>
          <w:rFonts w:ascii="Times New Roman" w:hAnsi="Times New Roman" w:cs="Times New Roman"/>
          <w:color w:val="000000" w:themeColor="text1"/>
        </w:rPr>
      </w:pPr>
    </w:p>
    <w:p w14:paraId="42304CE2" w14:textId="77777777" w:rsidR="00833AED" w:rsidRPr="00AF0CC3" w:rsidRDefault="00833AED" w:rsidP="00833AED">
      <w:pPr>
        <w:spacing w:line="240" w:lineRule="auto"/>
        <w:rPr>
          <w:rFonts w:ascii="Times New Roman" w:hAnsi="Times New Roman" w:cs="Times New Roman"/>
          <w:color w:val="000000" w:themeColor="text1"/>
        </w:rPr>
      </w:pPr>
      <w:r w:rsidRPr="00AF0CC3">
        <w:rPr>
          <w:rFonts w:ascii="Times New Roman" w:hAnsi="Times New Roman" w:cs="Times New Roman"/>
          <w:color w:val="000000" w:themeColor="text1"/>
        </w:rPr>
        <w:t>Regional and Kenyan evidence make two analytical imperatives visible.</w:t>
      </w:r>
    </w:p>
    <w:p w14:paraId="5202530A" w14:textId="77777777" w:rsidR="00833AED" w:rsidRPr="00AF0CC3" w:rsidRDefault="00833AED" w:rsidP="00833AED">
      <w:pPr>
        <w:spacing w:line="240" w:lineRule="auto"/>
        <w:rPr>
          <w:rFonts w:ascii="Times New Roman" w:hAnsi="Times New Roman" w:cs="Times New Roman"/>
          <w:color w:val="000000" w:themeColor="text1"/>
        </w:rPr>
      </w:pPr>
    </w:p>
    <w:p w14:paraId="3E3897C6" w14:textId="77777777" w:rsidR="00833AED" w:rsidRPr="00AF0CC3" w:rsidRDefault="00833AED" w:rsidP="00833AED">
      <w:pPr>
        <w:spacing w:line="240" w:lineRule="auto"/>
        <w:rPr>
          <w:rFonts w:ascii="Times New Roman" w:hAnsi="Times New Roman" w:cs="Times New Roman"/>
          <w:color w:val="000000" w:themeColor="text1"/>
        </w:rPr>
      </w:pPr>
      <w:r w:rsidRPr="00AF0CC3">
        <w:rPr>
          <w:rFonts w:ascii="Times New Roman" w:hAnsi="Times New Roman" w:cs="Times New Roman"/>
          <w:color w:val="000000" w:themeColor="text1"/>
        </w:rPr>
        <w:t>First, the quality of governance must be examined at the project level. National governance indices cannot explain why one dam progresses while another stalls within the same institutional framework.</w:t>
      </w:r>
    </w:p>
    <w:p w14:paraId="1C236B69" w14:textId="77777777" w:rsidR="00833AED" w:rsidRPr="00AF0CC3" w:rsidRDefault="00833AED" w:rsidP="00833AED">
      <w:pPr>
        <w:spacing w:line="240" w:lineRule="auto"/>
        <w:rPr>
          <w:rFonts w:ascii="Times New Roman" w:hAnsi="Times New Roman" w:cs="Times New Roman"/>
          <w:color w:val="000000" w:themeColor="text1"/>
        </w:rPr>
      </w:pPr>
      <w:r w:rsidRPr="00AF0CC3">
        <w:rPr>
          <w:rFonts w:ascii="Times New Roman" w:hAnsi="Times New Roman" w:cs="Times New Roman"/>
          <w:color w:val="000000" w:themeColor="text1"/>
        </w:rPr>
        <w:t>Second, project stalling must be treated as a distinct outcome. It reflects cumulative governance failure rather than a temporary delay.</w:t>
      </w:r>
    </w:p>
    <w:p w14:paraId="15DC64E0" w14:textId="77777777" w:rsidR="00833AED" w:rsidRPr="00AF0CC3" w:rsidRDefault="00833AED" w:rsidP="00833AED">
      <w:pPr>
        <w:spacing w:line="240" w:lineRule="auto"/>
        <w:rPr>
          <w:rFonts w:ascii="Times New Roman" w:hAnsi="Times New Roman" w:cs="Times New Roman"/>
          <w:color w:val="000000" w:themeColor="text1"/>
        </w:rPr>
      </w:pPr>
      <w:r w:rsidRPr="00AF0CC3">
        <w:rPr>
          <w:rFonts w:ascii="Times New Roman" w:hAnsi="Times New Roman" w:cs="Times New Roman"/>
          <w:color w:val="000000" w:themeColor="text1"/>
        </w:rPr>
        <w:t>By focusing on Kenyan water infrastructure projects and operationalizing governance quality across the project lifecycle, this study addresses limitations in both regional and global literature. It moves beyond descriptive diagnosis toward measurable institutional explanation.</w:t>
      </w:r>
    </w:p>
    <w:p w14:paraId="4316B506" w14:textId="77777777" w:rsidR="00833AED" w:rsidRPr="00AF0CC3" w:rsidRDefault="00833AED" w:rsidP="00833AED">
      <w:pPr>
        <w:spacing w:line="240" w:lineRule="auto"/>
        <w:rPr>
          <w:rFonts w:ascii="Times New Roman" w:hAnsi="Times New Roman" w:cs="Times New Roman"/>
          <w:color w:val="000000" w:themeColor="text1"/>
        </w:rPr>
      </w:pPr>
    </w:p>
    <w:p w14:paraId="0621F505" w14:textId="24A4466E" w:rsidR="00A56614" w:rsidRPr="00AF0CC3" w:rsidRDefault="00A56614" w:rsidP="00A56614">
      <w:pPr>
        <w:pStyle w:val="Caption"/>
        <w:keepNext/>
        <w:rPr>
          <w:rFonts w:ascii="Times New Roman" w:hAnsi="Times New Roman" w:cs="Times New Roman"/>
          <w:sz w:val="24"/>
          <w:szCs w:val="24"/>
        </w:rPr>
      </w:pPr>
      <w:bookmarkStart w:id="172" w:name="_Toc234437361"/>
      <w:r w:rsidRPr="00AF0CC3">
        <w:rPr>
          <w:rFonts w:ascii="Times New Roman" w:hAnsi="Times New Roman" w:cs="Times New Roman"/>
          <w:sz w:val="24"/>
          <w:szCs w:val="24"/>
        </w:rPr>
        <w:t xml:space="preserve">Table </w:t>
      </w:r>
      <w:r w:rsidR="007F4206" w:rsidRPr="00AF0CC3">
        <w:rPr>
          <w:rFonts w:ascii="Times New Roman" w:hAnsi="Times New Roman" w:cs="Times New Roman"/>
          <w:sz w:val="24"/>
          <w:szCs w:val="24"/>
        </w:rPr>
        <w:fldChar w:fldCharType="begin"/>
      </w:r>
      <w:r w:rsidR="007F4206" w:rsidRPr="00AF0CC3">
        <w:rPr>
          <w:rFonts w:ascii="Times New Roman" w:hAnsi="Times New Roman" w:cs="Times New Roman"/>
          <w:sz w:val="24"/>
          <w:szCs w:val="24"/>
        </w:rPr>
        <w:instrText xml:space="preserve"> STYLEREF 1 \s </w:instrText>
      </w:r>
      <w:r w:rsidR="007F4206" w:rsidRPr="00AF0CC3">
        <w:rPr>
          <w:rFonts w:ascii="Times New Roman" w:hAnsi="Times New Roman" w:cs="Times New Roman"/>
          <w:sz w:val="24"/>
          <w:szCs w:val="24"/>
        </w:rPr>
        <w:fldChar w:fldCharType="separate"/>
      </w:r>
      <w:r w:rsidR="007F4206" w:rsidRPr="00AF0CC3">
        <w:rPr>
          <w:rFonts w:ascii="Times New Roman" w:hAnsi="Times New Roman" w:cs="Times New Roman"/>
          <w:noProof/>
          <w:sz w:val="24"/>
          <w:szCs w:val="24"/>
        </w:rPr>
        <w:t>2</w:t>
      </w:r>
      <w:r w:rsidR="007F4206" w:rsidRPr="00AF0CC3">
        <w:rPr>
          <w:rFonts w:ascii="Times New Roman" w:hAnsi="Times New Roman" w:cs="Times New Roman"/>
          <w:noProof/>
          <w:sz w:val="24"/>
          <w:szCs w:val="24"/>
        </w:rPr>
        <w:fldChar w:fldCharType="end"/>
      </w:r>
      <w:r w:rsidR="007F4206" w:rsidRPr="00AF0CC3">
        <w:rPr>
          <w:rFonts w:ascii="Times New Roman" w:hAnsi="Times New Roman" w:cs="Times New Roman"/>
          <w:sz w:val="24"/>
          <w:szCs w:val="24"/>
        </w:rPr>
        <w:noBreakHyphen/>
      </w:r>
      <w:r w:rsidR="007F4206" w:rsidRPr="00AF0CC3">
        <w:rPr>
          <w:rFonts w:ascii="Times New Roman" w:hAnsi="Times New Roman" w:cs="Times New Roman"/>
          <w:sz w:val="24"/>
          <w:szCs w:val="24"/>
        </w:rPr>
        <w:fldChar w:fldCharType="begin"/>
      </w:r>
      <w:r w:rsidR="007F4206" w:rsidRPr="00AF0CC3">
        <w:rPr>
          <w:rFonts w:ascii="Times New Roman" w:hAnsi="Times New Roman" w:cs="Times New Roman"/>
          <w:sz w:val="24"/>
          <w:szCs w:val="24"/>
        </w:rPr>
        <w:instrText xml:space="preserve"> SEQ Table \* ARABIC \s 1 </w:instrText>
      </w:r>
      <w:r w:rsidR="007F4206" w:rsidRPr="00AF0CC3">
        <w:rPr>
          <w:rFonts w:ascii="Times New Roman" w:hAnsi="Times New Roman" w:cs="Times New Roman"/>
          <w:sz w:val="24"/>
          <w:szCs w:val="24"/>
        </w:rPr>
        <w:fldChar w:fldCharType="separate"/>
      </w:r>
      <w:r w:rsidR="007F4206" w:rsidRPr="00AF0CC3">
        <w:rPr>
          <w:rFonts w:ascii="Times New Roman" w:hAnsi="Times New Roman" w:cs="Times New Roman"/>
          <w:noProof/>
          <w:sz w:val="24"/>
          <w:szCs w:val="24"/>
        </w:rPr>
        <w:t>6</w:t>
      </w:r>
      <w:r w:rsidR="007F4206" w:rsidRPr="00AF0CC3">
        <w:rPr>
          <w:rFonts w:ascii="Times New Roman" w:hAnsi="Times New Roman" w:cs="Times New Roman"/>
          <w:noProof/>
          <w:sz w:val="24"/>
          <w:szCs w:val="24"/>
        </w:rPr>
        <w:fldChar w:fldCharType="end"/>
      </w:r>
      <w:r w:rsidRPr="00AF0CC3">
        <w:rPr>
          <w:rFonts w:ascii="Times New Roman" w:hAnsi="Times New Roman" w:cs="Times New Roman"/>
          <w:sz w:val="24"/>
          <w:szCs w:val="24"/>
        </w:rPr>
        <w:t xml:space="preserve"> Governance Challenges in Kenyan Water Infrastructure Projects</w:t>
      </w:r>
      <w:bookmarkEnd w:id="172"/>
    </w:p>
    <w:tbl>
      <w:tblPr>
        <w:tblStyle w:val="TableGrid"/>
        <w:tblW w:w="9355" w:type="dxa"/>
        <w:tblInd w:w="0" w:type="dxa"/>
        <w:tblLook w:val="04A0" w:firstRow="1" w:lastRow="0" w:firstColumn="1" w:lastColumn="0" w:noHBand="0" w:noVBand="1"/>
      </w:tblPr>
      <w:tblGrid>
        <w:gridCol w:w="2160"/>
        <w:gridCol w:w="2425"/>
        <w:gridCol w:w="2160"/>
        <w:gridCol w:w="2610"/>
      </w:tblGrid>
      <w:tr w:rsidR="00833AED" w:rsidRPr="00AF0CC3" w14:paraId="7CF54F9B" w14:textId="77777777" w:rsidTr="00E73C98">
        <w:tc>
          <w:tcPr>
            <w:tcW w:w="2160" w:type="dxa"/>
            <w:tcBorders>
              <w:top w:val="single" w:sz="4" w:space="0" w:color="auto"/>
              <w:left w:val="single" w:sz="4" w:space="0" w:color="auto"/>
              <w:bottom w:val="single" w:sz="4" w:space="0" w:color="auto"/>
              <w:right w:val="single" w:sz="4" w:space="0" w:color="auto"/>
            </w:tcBorders>
            <w:hideMark/>
          </w:tcPr>
          <w:p w14:paraId="757D08ED" w14:textId="77777777" w:rsidR="00833AED" w:rsidRPr="00AF0CC3" w:rsidRDefault="00833AED" w:rsidP="00833AED">
            <w:pPr>
              <w:rPr>
                <w:rFonts w:ascii="Times New Roman" w:hAnsi="Times New Roman"/>
                <w:color w:val="000000" w:themeColor="text1"/>
                <w:sz w:val="24"/>
                <w:szCs w:val="24"/>
              </w:rPr>
            </w:pPr>
            <w:r w:rsidRPr="00AF0CC3">
              <w:rPr>
                <w:rFonts w:ascii="Times New Roman" w:hAnsi="Times New Roman"/>
                <w:color w:val="000000" w:themeColor="text1"/>
                <w:sz w:val="24"/>
                <w:szCs w:val="24"/>
              </w:rPr>
              <w:t>Governance Dimension</w:t>
            </w:r>
          </w:p>
        </w:tc>
        <w:tc>
          <w:tcPr>
            <w:tcW w:w="2425" w:type="dxa"/>
            <w:tcBorders>
              <w:top w:val="single" w:sz="4" w:space="0" w:color="auto"/>
              <w:left w:val="single" w:sz="4" w:space="0" w:color="auto"/>
              <w:bottom w:val="single" w:sz="4" w:space="0" w:color="auto"/>
              <w:right w:val="single" w:sz="4" w:space="0" w:color="auto"/>
            </w:tcBorders>
            <w:hideMark/>
          </w:tcPr>
          <w:p w14:paraId="58CC5419" w14:textId="77777777" w:rsidR="00833AED" w:rsidRPr="00AF0CC3" w:rsidRDefault="00833AED" w:rsidP="00833AED">
            <w:pPr>
              <w:rPr>
                <w:rFonts w:ascii="Times New Roman" w:hAnsi="Times New Roman"/>
                <w:color w:val="000000" w:themeColor="text1"/>
                <w:sz w:val="24"/>
                <w:szCs w:val="24"/>
              </w:rPr>
            </w:pPr>
            <w:r w:rsidRPr="00AF0CC3">
              <w:rPr>
                <w:rFonts w:ascii="Times New Roman" w:hAnsi="Times New Roman"/>
                <w:color w:val="000000" w:themeColor="text1"/>
                <w:sz w:val="24"/>
                <w:szCs w:val="24"/>
              </w:rPr>
              <w:t>Observed Challenge in Kenya</w:t>
            </w:r>
          </w:p>
        </w:tc>
        <w:tc>
          <w:tcPr>
            <w:tcW w:w="2160" w:type="dxa"/>
            <w:tcBorders>
              <w:top w:val="single" w:sz="4" w:space="0" w:color="auto"/>
              <w:left w:val="single" w:sz="4" w:space="0" w:color="auto"/>
              <w:bottom w:val="single" w:sz="4" w:space="0" w:color="auto"/>
              <w:right w:val="single" w:sz="4" w:space="0" w:color="auto"/>
            </w:tcBorders>
            <w:hideMark/>
          </w:tcPr>
          <w:p w14:paraId="31C3216B" w14:textId="77777777" w:rsidR="00833AED" w:rsidRPr="00AF0CC3" w:rsidRDefault="00833AED" w:rsidP="00833AED">
            <w:pPr>
              <w:rPr>
                <w:rFonts w:ascii="Times New Roman" w:hAnsi="Times New Roman"/>
                <w:color w:val="000000" w:themeColor="text1"/>
                <w:sz w:val="24"/>
                <w:szCs w:val="24"/>
              </w:rPr>
            </w:pPr>
            <w:r w:rsidRPr="00AF0CC3">
              <w:rPr>
                <w:rFonts w:ascii="Times New Roman" w:hAnsi="Times New Roman"/>
                <w:color w:val="000000" w:themeColor="text1"/>
                <w:sz w:val="24"/>
                <w:szCs w:val="24"/>
              </w:rPr>
              <w:t>Illustrative Evidence (Peer-Reviewed / Audit)</w:t>
            </w:r>
          </w:p>
        </w:tc>
        <w:tc>
          <w:tcPr>
            <w:tcW w:w="2610" w:type="dxa"/>
            <w:tcBorders>
              <w:top w:val="single" w:sz="4" w:space="0" w:color="auto"/>
              <w:left w:val="single" w:sz="4" w:space="0" w:color="auto"/>
              <w:bottom w:val="single" w:sz="4" w:space="0" w:color="auto"/>
              <w:right w:val="single" w:sz="4" w:space="0" w:color="auto"/>
            </w:tcBorders>
            <w:hideMark/>
          </w:tcPr>
          <w:p w14:paraId="25E5D3A6" w14:textId="77777777" w:rsidR="00833AED" w:rsidRPr="00AF0CC3" w:rsidRDefault="00833AED" w:rsidP="00833AED">
            <w:pPr>
              <w:rPr>
                <w:rFonts w:ascii="Times New Roman" w:hAnsi="Times New Roman"/>
                <w:color w:val="000000" w:themeColor="text1"/>
                <w:sz w:val="24"/>
                <w:szCs w:val="24"/>
              </w:rPr>
            </w:pPr>
            <w:r w:rsidRPr="00AF0CC3">
              <w:rPr>
                <w:rFonts w:ascii="Times New Roman" w:hAnsi="Times New Roman"/>
                <w:color w:val="000000" w:themeColor="text1"/>
                <w:sz w:val="24"/>
                <w:szCs w:val="24"/>
              </w:rPr>
              <w:t>Implication for Project Performance</w:t>
            </w:r>
          </w:p>
        </w:tc>
      </w:tr>
      <w:tr w:rsidR="00833AED" w:rsidRPr="00AF0CC3" w14:paraId="7E8AFF27" w14:textId="77777777" w:rsidTr="00E73C98">
        <w:tc>
          <w:tcPr>
            <w:tcW w:w="2160" w:type="dxa"/>
            <w:tcBorders>
              <w:top w:val="single" w:sz="4" w:space="0" w:color="auto"/>
              <w:left w:val="single" w:sz="4" w:space="0" w:color="auto"/>
              <w:bottom w:val="single" w:sz="4" w:space="0" w:color="auto"/>
              <w:right w:val="single" w:sz="4" w:space="0" w:color="auto"/>
            </w:tcBorders>
            <w:hideMark/>
          </w:tcPr>
          <w:p w14:paraId="69FBF860" w14:textId="77777777" w:rsidR="00833AED" w:rsidRPr="00AF0CC3" w:rsidRDefault="00833AED" w:rsidP="00833AED">
            <w:pPr>
              <w:rPr>
                <w:rFonts w:ascii="Times New Roman" w:hAnsi="Times New Roman"/>
                <w:color w:val="000000" w:themeColor="text1"/>
                <w:sz w:val="24"/>
                <w:szCs w:val="24"/>
              </w:rPr>
            </w:pPr>
            <w:r w:rsidRPr="00AF0CC3">
              <w:rPr>
                <w:rFonts w:ascii="Times New Roman" w:hAnsi="Times New Roman"/>
                <w:color w:val="000000" w:themeColor="text1"/>
                <w:sz w:val="24"/>
                <w:szCs w:val="24"/>
              </w:rPr>
              <w:t>Project Preparation</w:t>
            </w:r>
          </w:p>
        </w:tc>
        <w:tc>
          <w:tcPr>
            <w:tcW w:w="2425" w:type="dxa"/>
            <w:tcBorders>
              <w:top w:val="single" w:sz="4" w:space="0" w:color="auto"/>
              <w:left w:val="single" w:sz="4" w:space="0" w:color="auto"/>
              <w:bottom w:val="single" w:sz="4" w:space="0" w:color="auto"/>
              <w:right w:val="single" w:sz="4" w:space="0" w:color="auto"/>
            </w:tcBorders>
            <w:hideMark/>
          </w:tcPr>
          <w:p w14:paraId="02745983" w14:textId="77777777" w:rsidR="00833AED" w:rsidRPr="00AF0CC3" w:rsidRDefault="00833AED" w:rsidP="00833AED">
            <w:pPr>
              <w:rPr>
                <w:rFonts w:ascii="Times New Roman" w:hAnsi="Times New Roman"/>
                <w:color w:val="000000" w:themeColor="text1"/>
                <w:sz w:val="24"/>
                <w:szCs w:val="24"/>
              </w:rPr>
            </w:pPr>
            <w:r w:rsidRPr="00AF0CC3">
              <w:rPr>
                <w:rFonts w:ascii="Times New Roman" w:hAnsi="Times New Roman"/>
                <w:color w:val="000000" w:themeColor="text1"/>
                <w:sz w:val="24"/>
                <w:szCs w:val="24"/>
              </w:rPr>
              <w:t>Incomplete feasibility analysis and unresolved land acquisition before procurement</w:t>
            </w:r>
          </w:p>
        </w:tc>
        <w:tc>
          <w:tcPr>
            <w:tcW w:w="2160" w:type="dxa"/>
            <w:tcBorders>
              <w:top w:val="single" w:sz="4" w:space="0" w:color="auto"/>
              <w:left w:val="single" w:sz="4" w:space="0" w:color="auto"/>
              <w:bottom w:val="single" w:sz="4" w:space="0" w:color="auto"/>
              <w:right w:val="single" w:sz="4" w:space="0" w:color="auto"/>
            </w:tcBorders>
            <w:hideMark/>
          </w:tcPr>
          <w:p w14:paraId="449AB9E0" w14:textId="77777777" w:rsidR="00833AED" w:rsidRPr="00AF0CC3" w:rsidRDefault="00833AED" w:rsidP="00833AED">
            <w:pPr>
              <w:rPr>
                <w:rFonts w:ascii="Times New Roman" w:hAnsi="Times New Roman"/>
                <w:color w:val="000000" w:themeColor="text1"/>
                <w:sz w:val="24"/>
                <w:szCs w:val="24"/>
              </w:rPr>
            </w:pPr>
            <w:r w:rsidRPr="00AF0CC3">
              <w:rPr>
                <w:rFonts w:ascii="Times New Roman" w:hAnsi="Times New Roman"/>
                <w:color w:val="000000" w:themeColor="text1"/>
                <w:sz w:val="24"/>
                <w:szCs w:val="24"/>
              </w:rPr>
              <w:t>Boone et al. (2019). Auditor-General Reports on delayed land compensation</w:t>
            </w:r>
          </w:p>
        </w:tc>
        <w:tc>
          <w:tcPr>
            <w:tcW w:w="2610" w:type="dxa"/>
            <w:tcBorders>
              <w:top w:val="single" w:sz="4" w:space="0" w:color="auto"/>
              <w:left w:val="single" w:sz="4" w:space="0" w:color="auto"/>
              <w:bottom w:val="single" w:sz="4" w:space="0" w:color="auto"/>
              <w:right w:val="single" w:sz="4" w:space="0" w:color="auto"/>
            </w:tcBorders>
            <w:hideMark/>
          </w:tcPr>
          <w:p w14:paraId="7ED9A48F" w14:textId="77777777" w:rsidR="00833AED" w:rsidRPr="00AF0CC3" w:rsidRDefault="00833AED" w:rsidP="00833AED">
            <w:pPr>
              <w:rPr>
                <w:rFonts w:ascii="Times New Roman" w:hAnsi="Times New Roman"/>
                <w:color w:val="000000" w:themeColor="text1"/>
                <w:sz w:val="24"/>
                <w:szCs w:val="24"/>
              </w:rPr>
            </w:pPr>
            <w:r w:rsidRPr="00AF0CC3">
              <w:rPr>
                <w:rFonts w:ascii="Times New Roman" w:hAnsi="Times New Roman"/>
                <w:color w:val="000000" w:themeColor="text1"/>
                <w:sz w:val="24"/>
                <w:szCs w:val="24"/>
              </w:rPr>
              <w:t>Heightened risk of injunctions, redesign, and prolonged implementation delay</w:t>
            </w:r>
          </w:p>
        </w:tc>
      </w:tr>
      <w:tr w:rsidR="00833AED" w:rsidRPr="00AF0CC3" w14:paraId="311C0A3E" w14:textId="77777777" w:rsidTr="00E73C98">
        <w:tc>
          <w:tcPr>
            <w:tcW w:w="2160" w:type="dxa"/>
            <w:tcBorders>
              <w:top w:val="single" w:sz="4" w:space="0" w:color="auto"/>
              <w:left w:val="single" w:sz="4" w:space="0" w:color="auto"/>
              <w:bottom w:val="single" w:sz="4" w:space="0" w:color="auto"/>
              <w:right w:val="single" w:sz="4" w:space="0" w:color="auto"/>
            </w:tcBorders>
            <w:hideMark/>
          </w:tcPr>
          <w:p w14:paraId="356B6917" w14:textId="77777777" w:rsidR="00833AED" w:rsidRPr="00AF0CC3" w:rsidRDefault="00833AED" w:rsidP="00833AED">
            <w:pPr>
              <w:rPr>
                <w:rFonts w:ascii="Times New Roman" w:hAnsi="Times New Roman"/>
                <w:color w:val="000000" w:themeColor="text1"/>
                <w:sz w:val="24"/>
                <w:szCs w:val="24"/>
              </w:rPr>
            </w:pPr>
            <w:r w:rsidRPr="00AF0CC3">
              <w:rPr>
                <w:rFonts w:ascii="Times New Roman" w:hAnsi="Times New Roman"/>
                <w:color w:val="000000" w:themeColor="text1"/>
                <w:sz w:val="24"/>
                <w:szCs w:val="24"/>
              </w:rPr>
              <w:t>Procurement &amp; contracting</w:t>
            </w:r>
          </w:p>
        </w:tc>
        <w:tc>
          <w:tcPr>
            <w:tcW w:w="2425" w:type="dxa"/>
            <w:tcBorders>
              <w:top w:val="single" w:sz="4" w:space="0" w:color="auto"/>
              <w:left w:val="single" w:sz="4" w:space="0" w:color="auto"/>
              <w:bottom w:val="single" w:sz="4" w:space="0" w:color="auto"/>
              <w:right w:val="single" w:sz="4" w:space="0" w:color="auto"/>
            </w:tcBorders>
            <w:hideMark/>
          </w:tcPr>
          <w:p w14:paraId="74AB5CD0" w14:textId="77777777" w:rsidR="00833AED" w:rsidRPr="00AF0CC3" w:rsidRDefault="00833AED" w:rsidP="00833AED">
            <w:pPr>
              <w:rPr>
                <w:rFonts w:ascii="Times New Roman" w:hAnsi="Times New Roman"/>
                <w:color w:val="000000" w:themeColor="text1"/>
                <w:sz w:val="24"/>
                <w:szCs w:val="24"/>
              </w:rPr>
            </w:pPr>
            <w:r w:rsidRPr="00AF0CC3">
              <w:rPr>
                <w:rFonts w:ascii="Times New Roman" w:hAnsi="Times New Roman"/>
                <w:color w:val="000000" w:themeColor="text1"/>
                <w:sz w:val="24"/>
                <w:szCs w:val="24"/>
              </w:rPr>
              <w:t>Compressed timelines and limited competitive bidding</w:t>
            </w:r>
          </w:p>
        </w:tc>
        <w:tc>
          <w:tcPr>
            <w:tcW w:w="2160" w:type="dxa"/>
            <w:tcBorders>
              <w:top w:val="single" w:sz="4" w:space="0" w:color="auto"/>
              <w:left w:val="single" w:sz="4" w:space="0" w:color="auto"/>
              <w:bottom w:val="single" w:sz="4" w:space="0" w:color="auto"/>
              <w:right w:val="single" w:sz="4" w:space="0" w:color="auto"/>
            </w:tcBorders>
            <w:hideMark/>
          </w:tcPr>
          <w:p w14:paraId="6D148003" w14:textId="77777777" w:rsidR="00833AED" w:rsidRPr="00AF0CC3" w:rsidRDefault="00833AED" w:rsidP="00833AED">
            <w:pPr>
              <w:rPr>
                <w:rFonts w:ascii="Times New Roman" w:hAnsi="Times New Roman"/>
                <w:color w:val="000000" w:themeColor="text1"/>
                <w:sz w:val="24"/>
                <w:szCs w:val="24"/>
              </w:rPr>
            </w:pPr>
            <w:r w:rsidRPr="00AF0CC3">
              <w:rPr>
                <w:rFonts w:ascii="Times New Roman" w:hAnsi="Times New Roman"/>
                <w:color w:val="000000" w:themeColor="text1"/>
                <w:sz w:val="24"/>
                <w:szCs w:val="24"/>
              </w:rPr>
              <w:t>Harris et al. (2022); Auditor-General findings on procurement weaknesses</w:t>
            </w:r>
          </w:p>
        </w:tc>
        <w:tc>
          <w:tcPr>
            <w:tcW w:w="2610" w:type="dxa"/>
            <w:tcBorders>
              <w:top w:val="single" w:sz="4" w:space="0" w:color="auto"/>
              <w:left w:val="single" w:sz="4" w:space="0" w:color="auto"/>
              <w:bottom w:val="single" w:sz="4" w:space="0" w:color="auto"/>
              <w:right w:val="single" w:sz="4" w:space="0" w:color="auto"/>
            </w:tcBorders>
            <w:hideMark/>
          </w:tcPr>
          <w:p w14:paraId="467FD505" w14:textId="77777777" w:rsidR="00833AED" w:rsidRPr="00AF0CC3" w:rsidRDefault="00833AED" w:rsidP="00833AED">
            <w:pPr>
              <w:rPr>
                <w:rFonts w:ascii="Times New Roman" w:hAnsi="Times New Roman"/>
                <w:color w:val="000000" w:themeColor="text1"/>
                <w:sz w:val="24"/>
                <w:szCs w:val="24"/>
              </w:rPr>
            </w:pPr>
            <w:r w:rsidRPr="00AF0CC3">
              <w:rPr>
                <w:rFonts w:ascii="Times New Roman" w:hAnsi="Times New Roman"/>
                <w:color w:val="000000" w:themeColor="text1"/>
                <w:sz w:val="24"/>
                <w:szCs w:val="24"/>
              </w:rPr>
              <w:t>Greater likelihood of disputes, renegotiation, and cost escalation</w:t>
            </w:r>
          </w:p>
        </w:tc>
      </w:tr>
      <w:tr w:rsidR="00833AED" w:rsidRPr="00AF0CC3" w14:paraId="399CBF14" w14:textId="77777777" w:rsidTr="00E73C98">
        <w:tc>
          <w:tcPr>
            <w:tcW w:w="2160" w:type="dxa"/>
            <w:tcBorders>
              <w:top w:val="single" w:sz="4" w:space="0" w:color="auto"/>
              <w:left w:val="single" w:sz="4" w:space="0" w:color="auto"/>
              <w:bottom w:val="single" w:sz="4" w:space="0" w:color="auto"/>
              <w:right w:val="single" w:sz="4" w:space="0" w:color="auto"/>
            </w:tcBorders>
            <w:hideMark/>
          </w:tcPr>
          <w:p w14:paraId="1BC1B5CE" w14:textId="77777777" w:rsidR="00833AED" w:rsidRPr="00AF0CC3" w:rsidRDefault="00833AED" w:rsidP="00833AED">
            <w:pPr>
              <w:rPr>
                <w:rFonts w:ascii="Times New Roman" w:hAnsi="Times New Roman"/>
                <w:color w:val="000000" w:themeColor="text1"/>
                <w:sz w:val="24"/>
                <w:szCs w:val="24"/>
              </w:rPr>
            </w:pPr>
            <w:r w:rsidRPr="00AF0CC3">
              <w:rPr>
                <w:rFonts w:ascii="Times New Roman" w:hAnsi="Times New Roman"/>
                <w:color w:val="000000" w:themeColor="text1"/>
                <w:sz w:val="24"/>
                <w:szCs w:val="24"/>
              </w:rPr>
              <w:t>Risk Allocation &amp; Fiscal Discipline</w:t>
            </w:r>
          </w:p>
        </w:tc>
        <w:tc>
          <w:tcPr>
            <w:tcW w:w="2425" w:type="dxa"/>
            <w:tcBorders>
              <w:top w:val="single" w:sz="4" w:space="0" w:color="auto"/>
              <w:left w:val="single" w:sz="4" w:space="0" w:color="auto"/>
              <w:bottom w:val="single" w:sz="4" w:space="0" w:color="auto"/>
              <w:right w:val="single" w:sz="4" w:space="0" w:color="auto"/>
            </w:tcBorders>
            <w:hideMark/>
          </w:tcPr>
          <w:p w14:paraId="71686C09" w14:textId="77777777" w:rsidR="00833AED" w:rsidRPr="00AF0CC3" w:rsidRDefault="00833AED" w:rsidP="00833AED">
            <w:pPr>
              <w:rPr>
                <w:rFonts w:ascii="Times New Roman" w:hAnsi="Times New Roman"/>
                <w:color w:val="000000" w:themeColor="text1"/>
                <w:sz w:val="24"/>
                <w:szCs w:val="24"/>
              </w:rPr>
            </w:pPr>
            <w:r w:rsidRPr="00AF0CC3">
              <w:rPr>
                <w:rFonts w:ascii="Times New Roman" w:hAnsi="Times New Roman"/>
                <w:color w:val="000000" w:themeColor="text1"/>
                <w:sz w:val="24"/>
                <w:szCs w:val="24"/>
              </w:rPr>
              <w:t>Ambiguous allocation of land and climate risks; limited disclosure of contingent liabilities</w:t>
            </w:r>
          </w:p>
        </w:tc>
        <w:tc>
          <w:tcPr>
            <w:tcW w:w="2160" w:type="dxa"/>
            <w:tcBorders>
              <w:top w:val="single" w:sz="4" w:space="0" w:color="auto"/>
              <w:left w:val="single" w:sz="4" w:space="0" w:color="auto"/>
              <w:bottom w:val="single" w:sz="4" w:space="0" w:color="auto"/>
              <w:right w:val="single" w:sz="4" w:space="0" w:color="auto"/>
            </w:tcBorders>
            <w:hideMark/>
          </w:tcPr>
          <w:p w14:paraId="4E058B0E" w14:textId="77777777" w:rsidR="00833AED" w:rsidRPr="00AF0CC3" w:rsidRDefault="00833AED" w:rsidP="00833AED">
            <w:pPr>
              <w:rPr>
                <w:rFonts w:ascii="Times New Roman" w:hAnsi="Times New Roman"/>
                <w:color w:val="000000" w:themeColor="text1"/>
                <w:sz w:val="24"/>
                <w:szCs w:val="24"/>
              </w:rPr>
            </w:pPr>
            <w:r w:rsidRPr="00AF0CC3">
              <w:rPr>
                <w:rFonts w:ascii="Times New Roman" w:hAnsi="Times New Roman"/>
                <w:color w:val="000000" w:themeColor="text1"/>
                <w:sz w:val="24"/>
                <w:szCs w:val="24"/>
              </w:rPr>
              <w:t>Romero &amp; Van de Poel (2022) on PPP risk allocation dynamics</w:t>
            </w:r>
          </w:p>
        </w:tc>
        <w:tc>
          <w:tcPr>
            <w:tcW w:w="2610" w:type="dxa"/>
            <w:tcBorders>
              <w:top w:val="single" w:sz="4" w:space="0" w:color="auto"/>
              <w:left w:val="single" w:sz="4" w:space="0" w:color="auto"/>
              <w:bottom w:val="single" w:sz="4" w:space="0" w:color="auto"/>
              <w:right w:val="single" w:sz="4" w:space="0" w:color="auto"/>
            </w:tcBorders>
            <w:hideMark/>
          </w:tcPr>
          <w:p w14:paraId="45B4869B" w14:textId="77777777" w:rsidR="00833AED" w:rsidRPr="00AF0CC3" w:rsidRDefault="00833AED" w:rsidP="00833AED">
            <w:pPr>
              <w:rPr>
                <w:rFonts w:ascii="Times New Roman" w:hAnsi="Times New Roman"/>
                <w:color w:val="000000" w:themeColor="text1"/>
                <w:sz w:val="24"/>
                <w:szCs w:val="24"/>
              </w:rPr>
            </w:pPr>
            <w:r w:rsidRPr="00AF0CC3">
              <w:rPr>
                <w:rFonts w:ascii="Times New Roman" w:hAnsi="Times New Roman"/>
                <w:color w:val="000000" w:themeColor="text1"/>
                <w:sz w:val="24"/>
                <w:szCs w:val="24"/>
              </w:rPr>
              <w:t>Increased probability of renegotiation and project suspension</w:t>
            </w:r>
          </w:p>
        </w:tc>
      </w:tr>
      <w:tr w:rsidR="00833AED" w:rsidRPr="00AF0CC3" w14:paraId="5582E305" w14:textId="77777777" w:rsidTr="00E73C98">
        <w:tc>
          <w:tcPr>
            <w:tcW w:w="2160" w:type="dxa"/>
            <w:tcBorders>
              <w:top w:val="single" w:sz="4" w:space="0" w:color="auto"/>
              <w:left w:val="single" w:sz="4" w:space="0" w:color="auto"/>
              <w:bottom w:val="single" w:sz="4" w:space="0" w:color="auto"/>
              <w:right w:val="single" w:sz="4" w:space="0" w:color="auto"/>
            </w:tcBorders>
            <w:hideMark/>
          </w:tcPr>
          <w:p w14:paraId="4D5B22C7" w14:textId="77777777" w:rsidR="00833AED" w:rsidRPr="00AF0CC3" w:rsidRDefault="00833AED" w:rsidP="00833AED">
            <w:pPr>
              <w:rPr>
                <w:rFonts w:ascii="Times New Roman" w:hAnsi="Times New Roman"/>
                <w:color w:val="000000" w:themeColor="text1"/>
                <w:sz w:val="24"/>
                <w:szCs w:val="24"/>
              </w:rPr>
            </w:pPr>
            <w:r w:rsidRPr="00AF0CC3">
              <w:rPr>
                <w:rFonts w:ascii="Times New Roman" w:hAnsi="Times New Roman"/>
                <w:color w:val="000000" w:themeColor="text1"/>
                <w:sz w:val="24"/>
                <w:szCs w:val="24"/>
              </w:rPr>
              <w:t>Implementation &amp; Contract Management</w:t>
            </w:r>
          </w:p>
        </w:tc>
        <w:tc>
          <w:tcPr>
            <w:tcW w:w="2425" w:type="dxa"/>
            <w:tcBorders>
              <w:top w:val="single" w:sz="4" w:space="0" w:color="auto"/>
              <w:left w:val="single" w:sz="4" w:space="0" w:color="auto"/>
              <w:bottom w:val="single" w:sz="4" w:space="0" w:color="auto"/>
              <w:right w:val="single" w:sz="4" w:space="0" w:color="auto"/>
            </w:tcBorders>
            <w:hideMark/>
          </w:tcPr>
          <w:p w14:paraId="3C521531" w14:textId="77777777" w:rsidR="00833AED" w:rsidRPr="00AF0CC3" w:rsidRDefault="00833AED" w:rsidP="00833AED">
            <w:pPr>
              <w:rPr>
                <w:rFonts w:ascii="Times New Roman" w:hAnsi="Times New Roman"/>
                <w:color w:val="000000" w:themeColor="text1"/>
                <w:sz w:val="24"/>
                <w:szCs w:val="24"/>
              </w:rPr>
            </w:pPr>
            <w:r w:rsidRPr="00AF0CC3">
              <w:rPr>
                <w:rFonts w:ascii="Times New Roman" w:hAnsi="Times New Roman"/>
                <w:color w:val="000000" w:themeColor="text1"/>
                <w:sz w:val="24"/>
                <w:szCs w:val="24"/>
              </w:rPr>
              <w:t>Delayed contractor payments and excessive variation orders</w:t>
            </w:r>
          </w:p>
        </w:tc>
        <w:tc>
          <w:tcPr>
            <w:tcW w:w="2160" w:type="dxa"/>
            <w:tcBorders>
              <w:top w:val="single" w:sz="4" w:space="0" w:color="auto"/>
              <w:left w:val="single" w:sz="4" w:space="0" w:color="auto"/>
              <w:bottom w:val="single" w:sz="4" w:space="0" w:color="auto"/>
              <w:right w:val="single" w:sz="4" w:space="0" w:color="auto"/>
            </w:tcBorders>
            <w:hideMark/>
          </w:tcPr>
          <w:p w14:paraId="3403DE08" w14:textId="77777777" w:rsidR="00833AED" w:rsidRPr="00AF0CC3" w:rsidRDefault="00833AED" w:rsidP="00833AED">
            <w:pPr>
              <w:rPr>
                <w:rFonts w:ascii="Times New Roman" w:hAnsi="Times New Roman"/>
                <w:color w:val="000000" w:themeColor="text1"/>
                <w:sz w:val="24"/>
                <w:szCs w:val="24"/>
              </w:rPr>
            </w:pPr>
            <w:r w:rsidRPr="00AF0CC3">
              <w:rPr>
                <w:rFonts w:ascii="Times New Roman" w:hAnsi="Times New Roman"/>
                <w:color w:val="000000" w:themeColor="text1"/>
                <w:sz w:val="24"/>
                <w:szCs w:val="24"/>
              </w:rPr>
              <w:t>Republic of Kenya Auditor-General Reports; project supervision reviews</w:t>
            </w:r>
          </w:p>
        </w:tc>
        <w:tc>
          <w:tcPr>
            <w:tcW w:w="2610" w:type="dxa"/>
            <w:tcBorders>
              <w:top w:val="single" w:sz="4" w:space="0" w:color="auto"/>
              <w:left w:val="single" w:sz="4" w:space="0" w:color="auto"/>
              <w:bottom w:val="single" w:sz="4" w:space="0" w:color="auto"/>
              <w:right w:val="single" w:sz="4" w:space="0" w:color="auto"/>
            </w:tcBorders>
            <w:hideMark/>
          </w:tcPr>
          <w:p w14:paraId="13699B98" w14:textId="77777777" w:rsidR="00833AED" w:rsidRPr="00AF0CC3" w:rsidRDefault="00833AED" w:rsidP="00833AED">
            <w:pPr>
              <w:rPr>
                <w:rFonts w:ascii="Times New Roman" w:hAnsi="Times New Roman"/>
                <w:color w:val="000000" w:themeColor="text1"/>
                <w:sz w:val="24"/>
                <w:szCs w:val="24"/>
              </w:rPr>
            </w:pPr>
            <w:r w:rsidRPr="00AF0CC3">
              <w:rPr>
                <w:rFonts w:ascii="Times New Roman" w:hAnsi="Times New Roman"/>
                <w:color w:val="000000" w:themeColor="text1"/>
                <w:sz w:val="24"/>
                <w:szCs w:val="24"/>
              </w:rPr>
              <w:t>Contractor slowdowns, withdrawal, and extended inactivity</w:t>
            </w:r>
          </w:p>
        </w:tc>
      </w:tr>
      <w:tr w:rsidR="00833AED" w:rsidRPr="00AF0CC3" w14:paraId="738FBD2B" w14:textId="77777777" w:rsidTr="00E73C98">
        <w:tc>
          <w:tcPr>
            <w:tcW w:w="2160" w:type="dxa"/>
            <w:tcBorders>
              <w:top w:val="single" w:sz="4" w:space="0" w:color="auto"/>
              <w:left w:val="single" w:sz="4" w:space="0" w:color="auto"/>
              <w:bottom w:val="single" w:sz="4" w:space="0" w:color="auto"/>
              <w:right w:val="single" w:sz="4" w:space="0" w:color="auto"/>
            </w:tcBorders>
            <w:hideMark/>
          </w:tcPr>
          <w:p w14:paraId="194C17A0" w14:textId="77777777" w:rsidR="00833AED" w:rsidRPr="00AF0CC3" w:rsidRDefault="00833AED" w:rsidP="00833AED">
            <w:pPr>
              <w:rPr>
                <w:rFonts w:ascii="Times New Roman" w:hAnsi="Times New Roman"/>
                <w:color w:val="000000" w:themeColor="text1"/>
                <w:sz w:val="24"/>
                <w:szCs w:val="24"/>
              </w:rPr>
            </w:pPr>
            <w:r w:rsidRPr="00AF0CC3">
              <w:rPr>
                <w:rFonts w:ascii="Times New Roman" w:hAnsi="Times New Roman"/>
                <w:color w:val="000000" w:themeColor="text1"/>
                <w:sz w:val="24"/>
                <w:szCs w:val="24"/>
              </w:rPr>
              <w:t>Oversight &amp; Accountability</w:t>
            </w:r>
          </w:p>
        </w:tc>
        <w:tc>
          <w:tcPr>
            <w:tcW w:w="2425" w:type="dxa"/>
            <w:tcBorders>
              <w:top w:val="single" w:sz="4" w:space="0" w:color="auto"/>
              <w:left w:val="single" w:sz="4" w:space="0" w:color="auto"/>
              <w:bottom w:val="single" w:sz="4" w:space="0" w:color="auto"/>
              <w:right w:val="single" w:sz="4" w:space="0" w:color="auto"/>
            </w:tcBorders>
            <w:hideMark/>
          </w:tcPr>
          <w:p w14:paraId="173322AE" w14:textId="77777777" w:rsidR="00833AED" w:rsidRPr="00AF0CC3" w:rsidRDefault="00833AED" w:rsidP="00833AED">
            <w:pPr>
              <w:rPr>
                <w:rFonts w:ascii="Times New Roman" w:hAnsi="Times New Roman"/>
                <w:color w:val="000000" w:themeColor="text1"/>
                <w:sz w:val="24"/>
                <w:szCs w:val="24"/>
              </w:rPr>
            </w:pPr>
            <w:r w:rsidRPr="00AF0CC3">
              <w:rPr>
                <w:rFonts w:ascii="Times New Roman" w:hAnsi="Times New Roman"/>
                <w:color w:val="000000" w:themeColor="text1"/>
                <w:sz w:val="24"/>
                <w:szCs w:val="24"/>
              </w:rPr>
              <w:t xml:space="preserve">Weak follow-through on audit findings; </w:t>
            </w:r>
            <w:r w:rsidRPr="00AF0CC3">
              <w:rPr>
                <w:rFonts w:ascii="Times New Roman" w:hAnsi="Times New Roman"/>
                <w:color w:val="000000" w:themeColor="text1"/>
                <w:sz w:val="24"/>
                <w:szCs w:val="24"/>
              </w:rPr>
              <w:lastRenderedPageBreak/>
              <w:t>overlapping mandates under devolution</w:t>
            </w:r>
          </w:p>
        </w:tc>
        <w:tc>
          <w:tcPr>
            <w:tcW w:w="2160" w:type="dxa"/>
            <w:tcBorders>
              <w:top w:val="single" w:sz="4" w:space="0" w:color="auto"/>
              <w:left w:val="single" w:sz="4" w:space="0" w:color="auto"/>
              <w:bottom w:val="single" w:sz="4" w:space="0" w:color="auto"/>
              <w:right w:val="single" w:sz="4" w:space="0" w:color="auto"/>
            </w:tcBorders>
            <w:hideMark/>
          </w:tcPr>
          <w:p w14:paraId="1FC6209D" w14:textId="77777777" w:rsidR="00833AED" w:rsidRPr="00AF0CC3" w:rsidRDefault="00833AED" w:rsidP="00833AED">
            <w:pPr>
              <w:rPr>
                <w:rFonts w:ascii="Times New Roman" w:hAnsi="Times New Roman"/>
                <w:color w:val="000000" w:themeColor="text1"/>
                <w:sz w:val="24"/>
                <w:szCs w:val="24"/>
              </w:rPr>
            </w:pPr>
            <w:r w:rsidRPr="00AF0CC3">
              <w:rPr>
                <w:rFonts w:ascii="Times New Roman" w:hAnsi="Times New Roman"/>
                <w:color w:val="000000" w:themeColor="text1"/>
                <w:sz w:val="24"/>
                <w:szCs w:val="24"/>
              </w:rPr>
              <w:lastRenderedPageBreak/>
              <w:t xml:space="preserve">Harris et al. (2022) on decentralization </w:t>
            </w:r>
            <w:r w:rsidRPr="00AF0CC3">
              <w:rPr>
                <w:rFonts w:ascii="Times New Roman" w:hAnsi="Times New Roman"/>
                <w:color w:val="000000" w:themeColor="text1"/>
                <w:sz w:val="24"/>
                <w:szCs w:val="24"/>
              </w:rPr>
              <w:lastRenderedPageBreak/>
              <w:t>and institutional fragmentation</w:t>
            </w:r>
          </w:p>
        </w:tc>
        <w:tc>
          <w:tcPr>
            <w:tcW w:w="2610" w:type="dxa"/>
            <w:tcBorders>
              <w:top w:val="single" w:sz="4" w:space="0" w:color="auto"/>
              <w:left w:val="single" w:sz="4" w:space="0" w:color="auto"/>
              <w:bottom w:val="single" w:sz="4" w:space="0" w:color="auto"/>
              <w:right w:val="single" w:sz="4" w:space="0" w:color="auto"/>
            </w:tcBorders>
            <w:hideMark/>
          </w:tcPr>
          <w:p w14:paraId="0EDDF1BE" w14:textId="77777777" w:rsidR="00833AED" w:rsidRPr="00AF0CC3" w:rsidRDefault="00833AED" w:rsidP="00833AED">
            <w:pPr>
              <w:rPr>
                <w:rFonts w:ascii="Times New Roman" w:hAnsi="Times New Roman"/>
                <w:color w:val="000000" w:themeColor="text1"/>
                <w:sz w:val="24"/>
                <w:szCs w:val="24"/>
              </w:rPr>
            </w:pPr>
            <w:r w:rsidRPr="00AF0CC3">
              <w:rPr>
                <w:rFonts w:ascii="Times New Roman" w:hAnsi="Times New Roman"/>
                <w:color w:val="000000" w:themeColor="text1"/>
                <w:sz w:val="24"/>
                <w:szCs w:val="24"/>
              </w:rPr>
              <w:lastRenderedPageBreak/>
              <w:t>Cumulative governance failure leading to stalled delivery</w:t>
            </w:r>
          </w:p>
        </w:tc>
      </w:tr>
    </w:tbl>
    <w:p w14:paraId="6C590ED5" w14:textId="77777777" w:rsidR="00833AED" w:rsidRPr="00AF0CC3" w:rsidRDefault="00833AED" w:rsidP="00833AED">
      <w:pPr>
        <w:spacing w:line="240" w:lineRule="auto"/>
        <w:rPr>
          <w:rFonts w:ascii="Times New Roman" w:hAnsi="Times New Roman" w:cs="Times New Roman"/>
          <w:color w:val="000000" w:themeColor="text1"/>
        </w:rPr>
      </w:pPr>
    </w:p>
    <w:p w14:paraId="2F9AF718" w14:textId="6DC6E894" w:rsidR="00833AED" w:rsidRPr="00AF0CC3" w:rsidRDefault="00833AED" w:rsidP="00833AED">
      <w:pPr>
        <w:spacing w:line="240" w:lineRule="auto"/>
        <w:rPr>
          <w:rFonts w:ascii="Times New Roman" w:hAnsi="Times New Roman" w:cs="Times New Roman"/>
          <w:color w:val="000000" w:themeColor="text1"/>
        </w:rPr>
      </w:pPr>
      <w:r w:rsidRPr="00AF0CC3">
        <w:rPr>
          <w:rFonts w:ascii="Times New Roman" w:hAnsi="Times New Roman" w:cs="Times New Roman"/>
          <w:color w:val="000000" w:themeColor="text1"/>
        </w:rPr>
        <w:t>Table 2</w:t>
      </w:r>
      <w:r w:rsidR="00A56614" w:rsidRPr="00AF0CC3">
        <w:rPr>
          <w:rFonts w:ascii="Times New Roman" w:hAnsi="Times New Roman" w:cs="Times New Roman"/>
          <w:color w:val="000000" w:themeColor="text1"/>
        </w:rPr>
        <w:t>-</w:t>
      </w:r>
      <w:r w:rsidRPr="00AF0CC3">
        <w:rPr>
          <w:rFonts w:ascii="Times New Roman" w:hAnsi="Times New Roman" w:cs="Times New Roman"/>
          <w:color w:val="000000" w:themeColor="text1"/>
        </w:rPr>
        <w:t>6 contextualizes the analysis within Kenya’s institutional environment. It identifies recurring governance bottlenecks, land acquisition disputes, fragmented mandates, and delayed payments, all of which are consistently associated with stalled delivery. The table underscores that project stalling is not an isolated anomaly but reflects systemic governance patterns. This provides empirical justification for focusing on project-level governance quality in the Kenyan water sector.</w:t>
      </w:r>
    </w:p>
    <w:p w14:paraId="670614FB" w14:textId="77777777" w:rsidR="00833AED" w:rsidRPr="00AF0CC3" w:rsidRDefault="00833AED" w:rsidP="00833AED">
      <w:pPr>
        <w:spacing w:line="240" w:lineRule="auto"/>
        <w:rPr>
          <w:rFonts w:ascii="Times New Roman" w:hAnsi="Times New Roman" w:cs="Times New Roman"/>
          <w:color w:val="000000" w:themeColor="text1"/>
        </w:rPr>
      </w:pPr>
    </w:p>
    <w:p w14:paraId="05446203" w14:textId="77777777" w:rsidR="00FC14AE" w:rsidRPr="00AF0CC3" w:rsidRDefault="00833AED" w:rsidP="00FC14AE">
      <w:pPr>
        <w:keepNext/>
        <w:spacing w:line="240" w:lineRule="auto"/>
        <w:rPr>
          <w:rFonts w:ascii="Times New Roman" w:hAnsi="Times New Roman" w:cs="Times New Roman"/>
        </w:rPr>
      </w:pPr>
      <w:r w:rsidRPr="00AF0CC3">
        <w:rPr>
          <w:rFonts w:ascii="Times New Roman" w:hAnsi="Times New Roman" w:cs="Times New Roman"/>
          <w:noProof/>
          <w:color w:val="000000" w:themeColor="text1"/>
        </w:rPr>
        <w:drawing>
          <wp:inline distT="0" distB="0" distL="0" distR="0" wp14:anchorId="720F2C84" wp14:editId="4B2BAEBA">
            <wp:extent cx="5943600" cy="4038600"/>
            <wp:effectExtent l="0" t="0" r="0" b="0"/>
            <wp:docPr id="1252539438" name="Graph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52539438" name=""/>
                    <pic:cNvPicPr/>
                  </pic:nvPicPr>
                  <pic:blipFill>
                    <a:blip r:embed="rId23">
                      <a:extLst>
                        <a:ext uri="{96DAC541-7B7A-43D3-8B79-37D633B846F1}">
                          <asvg:svgBlip xmlns:asvg="http://schemas.microsoft.com/office/drawing/2016/SVG/main" r:embed="rId24"/>
                        </a:ext>
                      </a:extLst>
                    </a:blip>
                    <a:stretch>
                      <a:fillRect/>
                    </a:stretch>
                  </pic:blipFill>
                  <pic:spPr>
                    <a:xfrm>
                      <a:off x="0" y="0"/>
                      <a:ext cx="5943600" cy="4038600"/>
                    </a:xfrm>
                    <a:prstGeom prst="rect">
                      <a:avLst/>
                    </a:prstGeom>
                  </pic:spPr>
                </pic:pic>
              </a:graphicData>
            </a:graphic>
          </wp:inline>
        </w:drawing>
      </w:r>
    </w:p>
    <w:p w14:paraId="47CA3903" w14:textId="13EFA3CE" w:rsidR="00833AED" w:rsidRPr="00AF0CC3" w:rsidRDefault="00FC14AE" w:rsidP="00FC14AE">
      <w:pPr>
        <w:pStyle w:val="Caption"/>
        <w:rPr>
          <w:rFonts w:ascii="Times New Roman" w:hAnsi="Times New Roman" w:cs="Times New Roman"/>
          <w:b/>
          <w:bCs/>
          <w:color w:val="000000" w:themeColor="text1"/>
          <w:sz w:val="24"/>
          <w:szCs w:val="24"/>
        </w:rPr>
      </w:pPr>
      <w:bookmarkStart w:id="173" w:name="_Toc234481927"/>
      <w:r w:rsidRPr="00AF0CC3">
        <w:rPr>
          <w:rFonts w:ascii="Times New Roman" w:hAnsi="Times New Roman" w:cs="Times New Roman"/>
          <w:sz w:val="24"/>
          <w:szCs w:val="24"/>
        </w:rPr>
        <w:t xml:space="preserve">Figure </w:t>
      </w:r>
      <w:r w:rsidR="00052921" w:rsidRPr="00AF0CC3">
        <w:rPr>
          <w:rFonts w:ascii="Times New Roman" w:hAnsi="Times New Roman" w:cs="Times New Roman"/>
          <w:sz w:val="24"/>
          <w:szCs w:val="24"/>
        </w:rPr>
        <w:fldChar w:fldCharType="begin"/>
      </w:r>
      <w:r w:rsidR="00052921" w:rsidRPr="00AF0CC3">
        <w:rPr>
          <w:rFonts w:ascii="Times New Roman" w:hAnsi="Times New Roman" w:cs="Times New Roman"/>
          <w:sz w:val="24"/>
          <w:szCs w:val="24"/>
        </w:rPr>
        <w:instrText xml:space="preserve"> STYLEREF 1 \s </w:instrText>
      </w:r>
      <w:r w:rsidR="00052921" w:rsidRPr="00AF0CC3">
        <w:rPr>
          <w:rFonts w:ascii="Times New Roman" w:hAnsi="Times New Roman" w:cs="Times New Roman"/>
          <w:sz w:val="24"/>
          <w:szCs w:val="24"/>
        </w:rPr>
        <w:fldChar w:fldCharType="separate"/>
      </w:r>
      <w:r w:rsidR="00052921" w:rsidRPr="00AF0CC3">
        <w:rPr>
          <w:rFonts w:ascii="Times New Roman" w:hAnsi="Times New Roman" w:cs="Times New Roman"/>
          <w:noProof/>
          <w:sz w:val="24"/>
          <w:szCs w:val="24"/>
        </w:rPr>
        <w:t>2</w:t>
      </w:r>
      <w:r w:rsidR="00052921" w:rsidRPr="00AF0CC3">
        <w:rPr>
          <w:rFonts w:ascii="Times New Roman" w:hAnsi="Times New Roman" w:cs="Times New Roman"/>
          <w:noProof/>
          <w:sz w:val="24"/>
          <w:szCs w:val="24"/>
        </w:rPr>
        <w:fldChar w:fldCharType="end"/>
      </w:r>
      <w:r w:rsidR="00BF2261" w:rsidRPr="00AF0CC3">
        <w:rPr>
          <w:rFonts w:ascii="Times New Roman" w:hAnsi="Times New Roman" w:cs="Times New Roman"/>
          <w:sz w:val="24"/>
          <w:szCs w:val="24"/>
        </w:rPr>
        <w:t>.</w:t>
      </w:r>
      <w:r w:rsidR="00052921" w:rsidRPr="00AF0CC3">
        <w:rPr>
          <w:rFonts w:ascii="Times New Roman" w:hAnsi="Times New Roman" w:cs="Times New Roman"/>
          <w:sz w:val="24"/>
          <w:szCs w:val="24"/>
        </w:rPr>
        <w:fldChar w:fldCharType="begin"/>
      </w:r>
      <w:r w:rsidR="00052921" w:rsidRPr="00AF0CC3">
        <w:rPr>
          <w:rFonts w:ascii="Times New Roman" w:hAnsi="Times New Roman" w:cs="Times New Roman"/>
          <w:sz w:val="24"/>
          <w:szCs w:val="24"/>
        </w:rPr>
        <w:instrText xml:space="preserve"> SEQ Figure \* ARABIC \s 1 </w:instrText>
      </w:r>
      <w:r w:rsidR="00052921" w:rsidRPr="00AF0CC3">
        <w:rPr>
          <w:rFonts w:ascii="Times New Roman" w:hAnsi="Times New Roman" w:cs="Times New Roman"/>
          <w:sz w:val="24"/>
          <w:szCs w:val="24"/>
        </w:rPr>
        <w:fldChar w:fldCharType="separate"/>
      </w:r>
      <w:r w:rsidR="00052921" w:rsidRPr="00AF0CC3">
        <w:rPr>
          <w:rFonts w:ascii="Times New Roman" w:hAnsi="Times New Roman" w:cs="Times New Roman"/>
          <w:noProof/>
          <w:sz w:val="24"/>
          <w:szCs w:val="24"/>
        </w:rPr>
        <w:t>4</w:t>
      </w:r>
      <w:r w:rsidR="00052921" w:rsidRPr="00AF0CC3">
        <w:rPr>
          <w:rFonts w:ascii="Times New Roman" w:hAnsi="Times New Roman" w:cs="Times New Roman"/>
          <w:noProof/>
          <w:sz w:val="24"/>
          <w:szCs w:val="24"/>
        </w:rPr>
        <w:fldChar w:fldCharType="end"/>
      </w:r>
      <w:r w:rsidRPr="00AF0CC3">
        <w:rPr>
          <w:rFonts w:ascii="Times New Roman" w:hAnsi="Times New Roman" w:cs="Times New Roman"/>
          <w:sz w:val="24"/>
          <w:szCs w:val="24"/>
        </w:rPr>
        <w:t xml:space="preserve"> Institutional Fragmentation and Project Stalling in Kenya</w:t>
      </w:r>
      <w:bookmarkEnd w:id="173"/>
    </w:p>
    <w:p w14:paraId="33FA14F6" w14:textId="77777777" w:rsidR="00833AED" w:rsidRPr="00AF0CC3" w:rsidRDefault="00833AED" w:rsidP="00833AED">
      <w:pPr>
        <w:spacing w:line="240" w:lineRule="auto"/>
        <w:rPr>
          <w:rFonts w:ascii="Times New Roman" w:hAnsi="Times New Roman" w:cs="Times New Roman"/>
          <w:color w:val="000000" w:themeColor="text1"/>
        </w:rPr>
      </w:pPr>
      <w:r w:rsidRPr="00AF0CC3">
        <w:rPr>
          <w:rFonts w:ascii="Times New Roman" w:hAnsi="Times New Roman" w:cs="Times New Roman"/>
          <w:color w:val="000000" w:themeColor="text1"/>
        </w:rPr>
        <w:t>Figure 2.4 illustrates how overlapping mandates between national agencies and county governments create ambiguity in land acquisition, funding responsibility, and oversight. Institutional fragmentation slows coordination and weakens accountability, increasing the likelihood that water infrastructure projects will be suspended for prolonged periods.</w:t>
      </w:r>
    </w:p>
    <w:p w14:paraId="1C02F849" w14:textId="77777777" w:rsidR="00833AED" w:rsidRPr="00AF0CC3" w:rsidRDefault="00833AED" w:rsidP="00833AED">
      <w:pPr>
        <w:spacing w:line="240" w:lineRule="auto"/>
        <w:rPr>
          <w:rFonts w:ascii="Times New Roman" w:hAnsi="Times New Roman" w:cs="Times New Roman"/>
          <w:color w:val="000000" w:themeColor="text1"/>
        </w:rPr>
      </w:pPr>
    </w:p>
    <w:p w14:paraId="38FBD6F8" w14:textId="77777777" w:rsidR="00833AED" w:rsidRPr="00AF0CC3" w:rsidRDefault="00833AED" w:rsidP="00833AED">
      <w:pPr>
        <w:spacing w:line="240" w:lineRule="auto"/>
        <w:rPr>
          <w:rFonts w:ascii="Times New Roman" w:hAnsi="Times New Roman" w:cs="Times New Roman"/>
          <w:color w:val="000000" w:themeColor="text1"/>
        </w:rPr>
      </w:pPr>
      <w:r w:rsidRPr="00AF0CC3">
        <w:rPr>
          <w:rFonts w:ascii="Times New Roman" w:hAnsi="Times New Roman" w:cs="Times New Roman"/>
          <w:color w:val="000000" w:themeColor="text1"/>
        </w:rPr>
        <w:t xml:space="preserve">In Kenya, stalled water projects are not isolated anomalies but part of a broader pattern linking institutional fragmentation, fiscal exposure, and climate variability. Examining these projects at </w:t>
      </w:r>
      <w:r w:rsidRPr="00AF0CC3">
        <w:rPr>
          <w:rFonts w:ascii="Times New Roman" w:hAnsi="Times New Roman" w:cs="Times New Roman"/>
          <w:color w:val="000000" w:themeColor="text1"/>
        </w:rPr>
        <w:lastRenderedPageBreak/>
        <w:t>the level of governance practice, therefore, offers insight not only into infrastructure performance but also into the functioning of the state itself.</w:t>
      </w:r>
    </w:p>
    <w:p w14:paraId="3072C8C1" w14:textId="77777777" w:rsidR="00833AED" w:rsidRPr="00AF0CC3" w:rsidRDefault="00833AED" w:rsidP="00833AED">
      <w:pPr>
        <w:spacing w:line="240" w:lineRule="auto"/>
        <w:rPr>
          <w:rFonts w:ascii="Times New Roman" w:hAnsi="Times New Roman" w:cs="Times New Roman"/>
          <w:color w:val="000000" w:themeColor="text1"/>
        </w:rPr>
      </w:pPr>
    </w:p>
    <w:p w14:paraId="07C09777" w14:textId="77777777" w:rsidR="007203BA" w:rsidRPr="00AF0CC3" w:rsidRDefault="007203BA" w:rsidP="00833AED">
      <w:pPr>
        <w:spacing w:line="240" w:lineRule="auto"/>
        <w:rPr>
          <w:rFonts w:ascii="Times New Roman" w:hAnsi="Times New Roman" w:cs="Times New Roman"/>
          <w:color w:val="000000" w:themeColor="text1"/>
        </w:rPr>
      </w:pPr>
    </w:p>
    <w:p w14:paraId="4AC71721" w14:textId="426705D1" w:rsidR="007203BA" w:rsidRPr="00AF0CC3" w:rsidRDefault="007203BA" w:rsidP="00F24F41">
      <w:pPr>
        <w:pStyle w:val="Heading3"/>
        <w:rPr>
          <w:rFonts w:cs="Times New Roman"/>
          <w:color w:val="000000" w:themeColor="text1"/>
          <w:szCs w:val="24"/>
        </w:rPr>
      </w:pPr>
      <w:bookmarkStart w:id="174" w:name="_Toc234344791"/>
      <w:bookmarkStart w:id="175" w:name="_Toc234489023"/>
      <w:r w:rsidRPr="00AF0CC3">
        <w:rPr>
          <w:rFonts w:cs="Times New Roman"/>
          <w:color w:val="000000" w:themeColor="text1"/>
          <w:szCs w:val="24"/>
        </w:rPr>
        <w:t>Critical Evaluation of Existing Infrastructure Governance Literature</w:t>
      </w:r>
      <w:bookmarkEnd w:id="174"/>
      <w:bookmarkEnd w:id="175"/>
    </w:p>
    <w:p w14:paraId="52CF3A62" w14:textId="77777777" w:rsidR="007203BA" w:rsidRPr="00AF0CC3" w:rsidRDefault="007203BA" w:rsidP="007203BA">
      <w:pPr>
        <w:spacing w:line="240" w:lineRule="auto"/>
        <w:rPr>
          <w:rFonts w:ascii="Times New Roman" w:hAnsi="Times New Roman" w:cs="Times New Roman"/>
          <w:color w:val="000000" w:themeColor="text1"/>
        </w:rPr>
      </w:pPr>
    </w:p>
    <w:p w14:paraId="72FFA2EE" w14:textId="77777777" w:rsidR="007203BA" w:rsidRPr="00AF0CC3" w:rsidRDefault="007203BA" w:rsidP="007203BA">
      <w:pPr>
        <w:spacing w:line="240" w:lineRule="auto"/>
        <w:rPr>
          <w:rFonts w:ascii="Times New Roman" w:hAnsi="Times New Roman" w:cs="Times New Roman"/>
          <w:color w:val="000000" w:themeColor="text1"/>
        </w:rPr>
      </w:pPr>
      <w:r w:rsidRPr="00AF0CC3">
        <w:rPr>
          <w:rFonts w:ascii="Times New Roman" w:hAnsi="Times New Roman" w:cs="Times New Roman"/>
          <w:color w:val="000000" w:themeColor="text1"/>
        </w:rPr>
        <w:t>The preceding review demonstrates that infrastructure governance has attracted increasing scholarly attention over the past two decades. Research has examined governance from multiple perspectives, including institutional capacity, procurement systems, public-private partnerships, accountability, stakeholder participation, project management, and financing arrangements (Flyvbjerg, 2014; OECD, 2020; Osei-Kyei &amp; Chan, 2017; World Bank, 2017). Collectively, these studies have advanced understanding of the institutional factors associated with infrastructure performance. Nevertheless, several important conceptual and empirical limitations remain that justify further investigation.</w:t>
      </w:r>
    </w:p>
    <w:p w14:paraId="541A82CA" w14:textId="77777777" w:rsidR="007203BA" w:rsidRPr="00AF0CC3" w:rsidRDefault="007203BA" w:rsidP="007203BA">
      <w:pPr>
        <w:spacing w:line="240" w:lineRule="auto"/>
        <w:rPr>
          <w:rFonts w:ascii="Times New Roman" w:hAnsi="Times New Roman" w:cs="Times New Roman"/>
          <w:color w:val="000000" w:themeColor="text1"/>
        </w:rPr>
      </w:pPr>
    </w:p>
    <w:p w14:paraId="181862D1" w14:textId="27D88694" w:rsidR="007203BA" w:rsidRPr="00AF0CC3" w:rsidRDefault="007203BA" w:rsidP="007203BA">
      <w:pPr>
        <w:spacing w:line="240" w:lineRule="auto"/>
        <w:rPr>
          <w:rFonts w:ascii="Times New Roman" w:hAnsi="Times New Roman" w:cs="Times New Roman"/>
          <w:color w:val="000000" w:themeColor="text1"/>
        </w:rPr>
      </w:pPr>
      <w:r w:rsidRPr="00AF0CC3">
        <w:rPr>
          <w:rFonts w:ascii="Times New Roman" w:hAnsi="Times New Roman" w:cs="Times New Roman"/>
          <w:color w:val="000000" w:themeColor="text1"/>
        </w:rPr>
        <w:t xml:space="preserve">A first limitation concerns the tendency to examine governance through individual administrative dimensions rather than as an integrated institutional system. Existing studies frequently focus on specific governance components such as procurement transparency, financial accountability, contract management, or stakeholder participation, often treating these mechanisms as independent determinants of project success. While such approaches provide valuable insights into particular governance functions, they offer comparatively limited understanding of how governance processes interact throughout the project lifecycle. Infrastructure projects operate through interconnected institutional arrangements in which weaknesses affecting one governance function may influence the effectiveness of others. Consequently, </w:t>
      </w:r>
      <w:r w:rsidR="00F866DB" w:rsidRPr="00AF0CC3">
        <w:rPr>
          <w:rFonts w:ascii="Times New Roman" w:hAnsi="Times New Roman" w:cs="Times New Roman"/>
          <w:color w:val="000000" w:themeColor="text1"/>
        </w:rPr>
        <w:t>analyzing</w:t>
      </w:r>
      <w:r w:rsidRPr="00AF0CC3">
        <w:rPr>
          <w:rFonts w:ascii="Times New Roman" w:hAnsi="Times New Roman" w:cs="Times New Roman"/>
          <w:color w:val="000000" w:themeColor="text1"/>
        </w:rPr>
        <w:t xml:space="preserve"> governance dimensions in isolation may oversimplify the institutional complexity through which infrastructure outcomes are shaped.</w:t>
      </w:r>
    </w:p>
    <w:p w14:paraId="7A93A0D2" w14:textId="77777777" w:rsidR="007203BA" w:rsidRPr="00AF0CC3" w:rsidRDefault="007203BA" w:rsidP="007203BA">
      <w:pPr>
        <w:spacing w:line="240" w:lineRule="auto"/>
        <w:rPr>
          <w:rFonts w:ascii="Times New Roman" w:hAnsi="Times New Roman" w:cs="Times New Roman"/>
          <w:color w:val="000000" w:themeColor="text1"/>
        </w:rPr>
      </w:pPr>
    </w:p>
    <w:p w14:paraId="0C8DA1A3" w14:textId="6B93EBC6" w:rsidR="007203BA" w:rsidRPr="00AF0CC3" w:rsidRDefault="007203BA" w:rsidP="007203BA">
      <w:pPr>
        <w:spacing w:line="240" w:lineRule="auto"/>
        <w:rPr>
          <w:rFonts w:ascii="Times New Roman" w:hAnsi="Times New Roman" w:cs="Times New Roman"/>
          <w:color w:val="000000" w:themeColor="text1"/>
        </w:rPr>
      </w:pPr>
      <w:r w:rsidRPr="00AF0CC3">
        <w:rPr>
          <w:rFonts w:ascii="Times New Roman" w:hAnsi="Times New Roman" w:cs="Times New Roman"/>
          <w:color w:val="000000" w:themeColor="text1"/>
        </w:rPr>
        <w:t xml:space="preserve">A second limitation relates to the </w:t>
      </w:r>
      <w:r w:rsidR="00F866DB" w:rsidRPr="00AF0CC3">
        <w:rPr>
          <w:rFonts w:ascii="Times New Roman" w:hAnsi="Times New Roman" w:cs="Times New Roman"/>
          <w:color w:val="000000" w:themeColor="text1"/>
        </w:rPr>
        <w:t>conceptualization</w:t>
      </w:r>
      <w:r w:rsidRPr="00AF0CC3">
        <w:rPr>
          <w:rFonts w:ascii="Times New Roman" w:hAnsi="Times New Roman" w:cs="Times New Roman"/>
          <w:color w:val="000000" w:themeColor="text1"/>
        </w:rPr>
        <w:t xml:space="preserve"> of governance within lifecycle governance frameworks. Existing lifecycle perspectives appropriately </w:t>
      </w:r>
      <w:r w:rsidR="00F866DB" w:rsidRPr="00AF0CC3">
        <w:rPr>
          <w:rFonts w:ascii="Times New Roman" w:hAnsi="Times New Roman" w:cs="Times New Roman"/>
          <w:color w:val="000000" w:themeColor="text1"/>
        </w:rPr>
        <w:t>recognize</w:t>
      </w:r>
      <w:r w:rsidRPr="00AF0CC3">
        <w:rPr>
          <w:rFonts w:ascii="Times New Roman" w:hAnsi="Times New Roman" w:cs="Times New Roman"/>
          <w:color w:val="000000" w:themeColor="text1"/>
        </w:rPr>
        <w:t xml:space="preserve"> that governance extends across project identification, planning, procurement, implementation, monitoring, and evaluation. However, these frameworks largely describe governance responsibilities associated with individual stages without adequately explaining how governance deficiencies emerging during one phase may accumulate and influence performance during subsequent stages. They therefore provide only limited theoretical explanation for the systemic nature of governance failure. This omission is particularly important for large infrastructure projects, where implementation frequently extends over several years and involves multiple institutional actors operating under changing political, financial, and environmental conditions.</w:t>
      </w:r>
    </w:p>
    <w:p w14:paraId="307E9BBE" w14:textId="77777777" w:rsidR="007203BA" w:rsidRPr="00AF0CC3" w:rsidRDefault="007203BA" w:rsidP="007203BA">
      <w:pPr>
        <w:spacing w:line="240" w:lineRule="auto"/>
        <w:rPr>
          <w:rFonts w:ascii="Times New Roman" w:hAnsi="Times New Roman" w:cs="Times New Roman"/>
          <w:color w:val="000000" w:themeColor="text1"/>
        </w:rPr>
      </w:pPr>
    </w:p>
    <w:p w14:paraId="0429A457" w14:textId="47BB1295" w:rsidR="007203BA" w:rsidRPr="00AF0CC3" w:rsidRDefault="007203BA" w:rsidP="007203BA">
      <w:pPr>
        <w:spacing w:line="240" w:lineRule="auto"/>
        <w:rPr>
          <w:rFonts w:ascii="Times New Roman" w:hAnsi="Times New Roman" w:cs="Times New Roman"/>
          <w:color w:val="000000" w:themeColor="text1"/>
        </w:rPr>
      </w:pPr>
      <w:r w:rsidRPr="00AF0CC3">
        <w:rPr>
          <w:rFonts w:ascii="Times New Roman" w:hAnsi="Times New Roman" w:cs="Times New Roman"/>
          <w:color w:val="000000" w:themeColor="text1"/>
        </w:rPr>
        <w:t xml:space="preserve">A third limitation concerns the measurement of governance quality. Although governance is widely </w:t>
      </w:r>
      <w:r w:rsidR="00F866DB" w:rsidRPr="00AF0CC3">
        <w:rPr>
          <w:rFonts w:ascii="Times New Roman" w:hAnsi="Times New Roman" w:cs="Times New Roman"/>
          <w:color w:val="000000" w:themeColor="text1"/>
        </w:rPr>
        <w:t>recognized</w:t>
      </w:r>
      <w:r w:rsidRPr="00AF0CC3">
        <w:rPr>
          <w:rFonts w:ascii="Times New Roman" w:hAnsi="Times New Roman" w:cs="Times New Roman"/>
          <w:color w:val="000000" w:themeColor="text1"/>
        </w:rPr>
        <w:t xml:space="preserve"> as an important determinant of infrastructure performance, relatively few </w:t>
      </w:r>
      <w:r w:rsidRPr="00AF0CC3">
        <w:rPr>
          <w:rFonts w:ascii="Times New Roman" w:hAnsi="Times New Roman" w:cs="Times New Roman"/>
          <w:color w:val="000000" w:themeColor="text1"/>
        </w:rPr>
        <w:lastRenderedPageBreak/>
        <w:t xml:space="preserve">studies have attempted to </w:t>
      </w:r>
      <w:r w:rsidR="00F866DB" w:rsidRPr="00AF0CC3">
        <w:rPr>
          <w:rFonts w:ascii="Times New Roman" w:hAnsi="Times New Roman" w:cs="Times New Roman"/>
          <w:color w:val="000000" w:themeColor="text1"/>
        </w:rPr>
        <w:t>operationalize</w:t>
      </w:r>
      <w:r w:rsidRPr="00AF0CC3">
        <w:rPr>
          <w:rFonts w:ascii="Times New Roman" w:hAnsi="Times New Roman" w:cs="Times New Roman"/>
          <w:color w:val="000000" w:themeColor="text1"/>
        </w:rPr>
        <w:t xml:space="preserve"> governance through structured, project-level measurement. Much of the existing literature relies on qualitative case studies, national governance indicators, perception-based indices, or institutional descriptions that are not designed to assess governance quality at the level of individual infrastructure projects. While these approaches contribute valuable contextual understanding, they make it difficult to examine systematically how variations in governance quality are associated with differences in project outcomes. This methodological gap limits opportunities for empirical testing and comparison across projects.</w:t>
      </w:r>
    </w:p>
    <w:p w14:paraId="4C9248B0" w14:textId="77777777" w:rsidR="007203BA" w:rsidRPr="00AF0CC3" w:rsidRDefault="007203BA" w:rsidP="007203BA">
      <w:pPr>
        <w:spacing w:line="240" w:lineRule="auto"/>
        <w:rPr>
          <w:rFonts w:ascii="Times New Roman" w:hAnsi="Times New Roman" w:cs="Times New Roman"/>
          <w:color w:val="000000" w:themeColor="text1"/>
        </w:rPr>
      </w:pPr>
    </w:p>
    <w:p w14:paraId="22FB72CA" w14:textId="0B56DC55" w:rsidR="007203BA" w:rsidRPr="00AF0CC3" w:rsidRDefault="007203BA" w:rsidP="007203BA">
      <w:pPr>
        <w:spacing w:line="240" w:lineRule="auto"/>
        <w:rPr>
          <w:rFonts w:ascii="Times New Roman" w:hAnsi="Times New Roman" w:cs="Times New Roman"/>
          <w:color w:val="000000" w:themeColor="text1"/>
        </w:rPr>
      </w:pPr>
      <w:r w:rsidRPr="00AF0CC3">
        <w:rPr>
          <w:rFonts w:ascii="Times New Roman" w:hAnsi="Times New Roman" w:cs="Times New Roman"/>
          <w:color w:val="000000" w:themeColor="text1"/>
        </w:rPr>
        <w:t xml:space="preserve">A further limitation is the predominant emphasis placed on project efficiency and delivery performance. Existing governance literature frequently evaluates success through measures such as project completion, adherence to budget, procurement compliance, or implementation efficiency (Flyvbjerg, 2014; OECD, 2020). Comparatively less attention has been given to the relationship between governance quality and institutional resilience, particularly within environments </w:t>
      </w:r>
      <w:r w:rsidR="00F866DB" w:rsidRPr="00AF0CC3">
        <w:rPr>
          <w:rFonts w:ascii="Times New Roman" w:hAnsi="Times New Roman" w:cs="Times New Roman"/>
          <w:color w:val="000000" w:themeColor="text1"/>
        </w:rPr>
        <w:t>characterized</w:t>
      </w:r>
      <w:r w:rsidRPr="00AF0CC3">
        <w:rPr>
          <w:rFonts w:ascii="Times New Roman" w:hAnsi="Times New Roman" w:cs="Times New Roman"/>
          <w:color w:val="000000" w:themeColor="text1"/>
        </w:rPr>
        <w:t xml:space="preserve"> by climate variability, political transition, and administrative uncertainty. As infrastructure systems increasingly operate under conditions of environmental disruption, governance may need to be understood not only as a mechanism for improving efficiency but also as an institutional capability supporting adaptation, continuity, and resilience.</w:t>
      </w:r>
    </w:p>
    <w:p w14:paraId="236F639C" w14:textId="77777777" w:rsidR="007203BA" w:rsidRPr="00AF0CC3" w:rsidRDefault="007203BA" w:rsidP="007203BA">
      <w:pPr>
        <w:spacing w:line="240" w:lineRule="auto"/>
        <w:rPr>
          <w:rFonts w:ascii="Times New Roman" w:hAnsi="Times New Roman" w:cs="Times New Roman"/>
          <w:color w:val="000000" w:themeColor="text1"/>
        </w:rPr>
      </w:pPr>
    </w:p>
    <w:p w14:paraId="034D224E" w14:textId="6357FA98" w:rsidR="007203BA" w:rsidRPr="00AF0CC3" w:rsidRDefault="007203BA" w:rsidP="007203BA">
      <w:pPr>
        <w:spacing w:line="240" w:lineRule="auto"/>
        <w:rPr>
          <w:rFonts w:ascii="Times New Roman" w:hAnsi="Times New Roman" w:cs="Times New Roman"/>
          <w:color w:val="000000" w:themeColor="text1"/>
        </w:rPr>
      </w:pPr>
      <w:r w:rsidRPr="00AF0CC3">
        <w:rPr>
          <w:rFonts w:ascii="Times New Roman" w:hAnsi="Times New Roman" w:cs="Times New Roman"/>
          <w:color w:val="000000" w:themeColor="text1"/>
        </w:rPr>
        <w:t xml:space="preserve">The literature also demonstrates a geographical imbalance. Much of the empirical evidence informing contemporary infrastructure governance theory has been generated from high-income countries or large international infrastructure programmes. Although an expanding body of research has examined governance within low- and middle-income countries, comparatively fewer studies have investigated governance quality within African infrastructure systems using systematic project-level evidence. Moreover, many existing studies draw on sectors such as transport or energy, while governance challenges within water infrastructure—particularly those associated with climate exposure, long implementation horizons, and multi-level institutional coordination—remain comparatively underexplored. This limits understanding of how governance operates within sectors </w:t>
      </w:r>
      <w:r w:rsidR="00F866DB" w:rsidRPr="00AF0CC3">
        <w:rPr>
          <w:rFonts w:ascii="Times New Roman" w:hAnsi="Times New Roman" w:cs="Times New Roman"/>
          <w:color w:val="000000" w:themeColor="text1"/>
        </w:rPr>
        <w:t>characterized</w:t>
      </w:r>
      <w:r w:rsidRPr="00AF0CC3">
        <w:rPr>
          <w:rFonts w:ascii="Times New Roman" w:hAnsi="Times New Roman" w:cs="Times New Roman"/>
          <w:color w:val="000000" w:themeColor="text1"/>
        </w:rPr>
        <w:t xml:space="preserve"> by high environmental uncertainty and complex stakeholder relationships.</w:t>
      </w:r>
    </w:p>
    <w:p w14:paraId="4129BA84" w14:textId="77777777" w:rsidR="007203BA" w:rsidRPr="00AF0CC3" w:rsidRDefault="007203BA" w:rsidP="007203BA">
      <w:pPr>
        <w:spacing w:line="240" w:lineRule="auto"/>
        <w:rPr>
          <w:rFonts w:ascii="Times New Roman" w:hAnsi="Times New Roman" w:cs="Times New Roman"/>
          <w:color w:val="000000" w:themeColor="text1"/>
        </w:rPr>
      </w:pPr>
    </w:p>
    <w:p w14:paraId="78E52BED" w14:textId="5F9DFDC6" w:rsidR="007203BA" w:rsidRPr="00AF0CC3" w:rsidRDefault="007203BA" w:rsidP="007203BA">
      <w:pPr>
        <w:spacing w:line="240" w:lineRule="auto"/>
        <w:rPr>
          <w:rFonts w:ascii="Times New Roman" w:hAnsi="Times New Roman" w:cs="Times New Roman"/>
          <w:color w:val="000000" w:themeColor="text1"/>
        </w:rPr>
      </w:pPr>
      <w:r w:rsidRPr="00AF0CC3">
        <w:rPr>
          <w:rFonts w:ascii="Times New Roman" w:hAnsi="Times New Roman" w:cs="Times New Roman"/>
          <w:color w:val="000000" w:themeColor="text1"/>
        </w:rPr>
        <w:t xml:space="preserve">The Kenyan context further illustrates the importance of context-specific governance analysis. Since the introduction of devolved government under the Constitution of Kenya (2010), infrastructure delivery has increasingly depended on coordination among national ministries, county governments, regulators, development partners, contractors, and local communities. This </w:t>
      </w:r>
      <w:r w:rsidR="00F866DB" w:rsidRPr="00AF0CC3">
        <w:rPr>
          <w:rFonts w:ascii="Times New Roman" w:hAnsi="Times New Roman" w:cs="Times New Roman"/>
          <w:color w:val="000000" w:themeColor="text1"/>
        </w:rPr>
        <w:t>decentralized</w:t>
      </w:r>
      <w:r w:rsidRPr="00AF0CC3">
        <w:rPr>
          <w:rFonts w:ascii="Times New Roman" w:hAnsi="Times New Roman" w:cs="Times New Roman"/>
          <w:color w:val="000000" w:themeColor="text1"/>
        </w:rPr>
        <w:t xml:space="preserve"> governance environment creates institutional interfaces that are less prominent within more </w:t>
      </w:r>
      <w:r w:rsidR="00F866DB" w:rsidRPr="00AF0CC3">
        <w:rPr>
          <w:rFonts w:ascii="Times New Roman" w:hAnsi="Times New Roman" w:cs="Times New Roman"/>
          <w:color w:val="000000" w:themeColor="text1"/>
        </w:rPr>
        <w:t>centralized</w:t>
      </w:r>
      <w:r w:rsidRPr="00AF0CC3">
        <w:rPr>
          <w:rFonts w:ascii="Times New Roman" w:hAnsi="Times New Roman" w:cs="Times New Roman"/>
          <w:color w:val="000000" w:themeColor="text1"/>
        </w:rPr>
        <w:t xml:space="preserve"> administrative systems. Consequently, governance challenges may arise not only from weaknesses within individual institutions but also from the complexity of coordinating multiple </w:t>
      </w:r>
      <w:r w:rsidR="002B25DB" w:rsidRPr="00AF0CC3">
        <w:rPr>
          <w:rFonts w:ascii="Times New Roman" w:hAnsi="Times New Roman" w:cs="Times New Roman"/>
          <w:color w:val="000000" w:themeColor="text1"/>
        </w:rPr>
        <w:t>organizations</w:t>
      </w:r>
      <w:r w:rsidRPr="00AF0CC3">
        <w:rPr>
          <w:rFonts w:ascii="Times New Roman" w:hAnsi="Times New Roman" w:cs="Times New Roman"/>
          <w:color w:val="000000" w:themeColor="text1"/>
        </w:rPr>
        <w:t xml:space="preserve"> with differing capacities, mandates, and incentives. Existing governance frameworks provide comparatively limited </w:t>
      </w:r>
      <w:r w:rsidR="003A19C6" w:rsidRPr="00AF0CC3">
        <w:rPr>
          <w:rFonts w:ascii="Times New Roman" w:hAnsi="Times New Roman" w:cs="Times New Roman"/>
          <w:color w:val="000000" w:themeColor="text1"/>
        </w:rPr>
        <w:t>explanations</w:t>
      </w:r>
      <w:r w:rsidRPr="00AF0CC3">
        <w:rPr>
          <w:rFonts w:ascii="Times New Roman" w:hAnsi="Times New Roman" w:cs="Times New Roman"/>
          <w:color w:val="000000" w:themeColor="text1"/>
        </w:rPr>
        <w:t xml:space="preserve"> of how such institutional complexity influences infrastructure delivery, indicating the need for context-sensitive governance research.</w:t>
      </w:r>
    </w:p>
    <w:p w14:paraId="0AD30901" w14:textId="77777777" w:rsidR="007203BA" w:rsidRPr="00AF0CC3" w:rsidRDefault="007203BA" w:rsidP="007203BA">
      <w:pPr>
        <w:spacing w:line="240" w:lineRule="auto"/>
        <w:rPr>
          <w:rFonts w:ascii="Times New Roman" w:hAnsi="Times New Roman" w:cs="Times New Roman"/>
          <w:color w:val="000000" w:themeColor="text1"/>
        </w:rPr>
      </w:pPr>
    </w:p>
    <w:p w14:paraId="01072F0F" w14:textId="3FCABB58" w:rsidR="007203BA" w:rsidRPr="00AF0CC3" w:rsidRDefault="007203BA" w:rsidP="007203BA">
      <w:pPr>
        <w:spacing w:line="240" w:lineRule="auto"/>
        <w:rPr>
          <w:rFonts w:ascii="Times New Roman" w:hAnsi="Times New Roman" w:cs="Times New Roman"/>
          <w:color w:val="000000" w:themeColor="text1"/>
        </w:rPr>
      </w:pPr>
      <w:r w:rsidRPr="00AF0CC3">
        <w:rPr>
          <w:rFonts w:ascii="Times New Roman" w:hAnsi="Times New Roman" w:cs="Times New Roman"/>
          <w:color w:val="000000" w:themeColor="text1"/>
        </w:rPr>
        <w:t xml:space="preserve">Collectively, these limitations suggest that existing infrastructure governance literature remains incomplete in three important respects. First, governance requires greater </w:t>
      </w:r>
      <w:r w:rsidR="002B25DB" w:rsidRPr="00AF0CC3">
        <w:rPr>
          <w:rFonts w:ascii="Times New Roman" w:hAnsi="Times New Roman" w:cs="Times New Roman"/>
          <w:color w:val="000000" w:themeColor="text1"/>
        </w:rPr>
        <w:t>conceptualization</w:t>
      </w:r>
      <w:r w:rsidRPr="00AF0CC3">
        <w:rPr>
          <w:rFonts w:ascii="Times New Roman" w:hAnsi="Times New Roman" w:cs="Times New Roman"/>
          <w:color w:val="000000" w:themeColor="text1"/>
        </w:rPr>
        <w:t xml:space="preserve"> as an integrated institutional capability rather than a collection of independent administrative functions. Second, stronger empirical approaches are needed to measure governance quality systematically at the project level and examine its relationship with infrastructure outcomes. Third, greater attention should be given to the role of governance in supporting resilience within infrastructure systems operating under conditions of climate uncertainty, political transition, and </w:t>
      </w:r>
      <w:r w:rsidR="002B25DB" w:rsidRPr="00AF0CC3">
        <w:rPr>
          <w:rFonts w:ascii="Times New Roman" w:hAnsi="Times New Roman" w:cs="Times New Roman"/>
          <w:color w:val="000000" w:themeColor="text1"/>
        </w:rPr>
        <w:t>decentralized</w:t>
      </w:r>
      <w:r w:rsidRPr="00AF0CC3">
        <w:rPr>
          <w:rFonts w:ascii="Times New Roman" w:hAnsi="Times New Roman" w:cs="Times New Roman"/>
          <w:color w:val="000000" w:themeColor="text1"/>
        </w:rPr>
        <w:t xml:space="preserve"> governance. Addressing these limitations provides the rationale for the present study and informs the development of the Governance Quality Index, the empirical analyses undertaken in subsequent chapters, and the theoretical contributions advanced in Chapter Five.</w:t>
      </w:r>
    </w:p>
    <w:p w14:paraId="4C6AEF85" w14:textId="77777777" w:rsidR="007203BA" w:rsidRPr="00AF0CC3" w:rsidRDefault="007203BA" w:rsidP="00833AED">
      <w:pPr>
        <w:spacing w:line="240" w:lineRule="auto"/>
        <w:rPr>
          <w:rFonts w:ascii="Times New Roman" w:hAnsi="Times New Roman" w:cs="Times New Roman"/>
          <w:color w:val="000000" w:themeColor="text1"/>
        </w:rPr>
      </w:pPr>
    </w:p>
    <w:p w14:paraId="69D0C311" w14:textId="77777777" w:rsidR="007203BA" w:rsidRPr="00AF0CC3" w:rsidRDefault="007203BA" w:rsidP="00833AED">
      <w:pPr>
        <w:spacing w:line="240" w:lineRule="auto"/>
        <w:rPr>
          <w:rFonts w:ascii="Times New Roman" w:hAnsi="Times New Roman" w:cs="Times New Roman"/>
          <w:color w:val="000000" w:themeColor="text1"/>
        </w:rPr>
      </w:pPr>
    </w:p>
    <w:p w14:paraId="5647AED4" w14:textId="77777777" w:rsidR="007203BA" w:rsidRPr="00AF0CC3" w:rsidRDefault="007203BA" w:rsidP="00833AED">
      <w:pPr>
        <w:spacing w:line="240" w:lineRule="auto"/>
        <w:rPr>
          <w:rFonts w:ascii="Times New Roman" w:hAnsi="Times New Roman" w:cs="Times New Roman"/>
          <w:color w:val="000000" w:themeColor="text1"/>
        </w:rPr>
      </w:pPr>
    </w:p>
    <w:p w14:paraId="3E8C53BA" w14:textId="21CD01DA" w:rsidR="00833AED" w:rsidRPr="00AF0CC3" w:rsidRDefault="00833AED" w:rsidP="00EA7568">
      <w:pPr>
        <w:pStyle w:val="Heading2"/>
        <w:rPr>
          <w:rFonts w:cs="Times New Roman"/>
          <w:color w:val="000000" w:themeColor="text1"/>
          <w:szCs w:val="24"/>
        </w:rPr>
      </w:pPr>
      <w:bookmarkStart w:id="176" w:name="_Toc223623399"/>
      <w:bookmarkStart w:id="177" w:name="_Toc234344792"/>
      <w:bookmarkStart w:id="178" w:name="_Toc234489024"/>
      <w:r w:rsidRPr="00AF0CC3">
        <w:rPr>
          <w:rFonts w:cs="Times New Roman"/>
          <w:color w:val="000000" w:themeColor="text1"/>
          <w:szCs w:val="24"/>
        </w:rPr>
        <w:t>Synthesis of Literature Gaps</w:t>
      </w:r>
      <w:bookmarkEnd w:id="176"/>
      <w:bookmarkEnd w:id="177"/>
      <w:bookmarkEnd w:id="178"/>
    </w:p>
    <w:p w14:paraId="2874E894" w14:textId="77777777" w:rsidR="00833AED" w:rsidRPr="00AF0CC3" w:rsidRDefault="00833AED" w:rsidP="00833AED">
      <w:pPr>
        <w:spacing w:line="240" w:lineRule="auto"/>
        <w:rPr>
          <w:rFonts w:ascii="Times New Roman" w:hAnsi="Times New Roman" w:cs="Times New Roman"/>
          <w:color w:val="000000" w:themeColor="text1"/>
        </w:rPr>
      </w:pPr>
    </w:p>
    <w:p w14:paraId="280B3FB9" w14:textId="43014F4F" w:rsidR="00833AED" w:rsidRPr="00AF0CC3" w:rsidRDefault="00833AED" w:rsidP="00833AED">
      <w:pPr>
        <w:spacing w:line="240" w:lineRule="auto"/>
        <w:rPr>
          <w:rFonts w:ascii="Times New Roman" w:hAnsi="Times New Roman" w:cs="Times New Roman"/>
          <w:color w:val="000000" w:themeColor="text1"/>
        </w:rPr>
      </w:pPr>
      <w:r w:rsidRPr="00AF0CC3">
        <w:rPr>
          <w:rFonts w:ascii="Times New Roman" w:hAnsi="Times New Roman" w:cs="Times New Roman"/>
          <w:color w:val="000000" w:themeColor="text1"/>
        </w:rPr>
        <w:t xml:space="preserve">The preceding sections demonstrate that scholarship on infrastructure governance has grown in scope and sophistication. There is now broad recognition that governance matters for project performance. However, recognition alone has not resolved a more basic problem: </w:t>
      </w:r>
      <w:r w:rsidR="003A19C6" w:rsidRPr="00AF0CC3">
        <w:rPr>
          <w:rFonts w:ascii="Times New Roman" w:hAnsi="Times New Roman" w:cs="Times New Roman"/>
          <w:color w:val="000000" w:themeColor="text1"/>
        </w:rPr>
        <w:t>literature</w:t>
      </w:r>
      <w:r w:rsidRPr="00AF0CC3">
        <w:rPr>
          <w:rFonts w:ascii="Times New Roman" w:hAnsi="Times New Roman" w:cs="Times New Roman"/>
          <w:color w:val="000000" w:themeColor="text1"/>
        </w:rPr>
        <w:t xml:space="preserve"> still struggles to explain why some projects not only underperform but also stall altogether.</w:t>
      </w:r>
    </w:p>
    <w:p w14:paraId="52985A66" w14:textId="77777777" w:rsidR="00833AED" w:rsidRPr="00AF0CC3" w:rsidRDefault="00833AED" w:rsidP="00833AED">
      <w:pPr>
        <w:spacing w:line="240" w:lineRule="auto"/>
        <w:rPr>
          <w:rFonts w:ascii="Times New Roman" w:hAnsi="Times New Roman" w:cs="Times New Roman"/>
          <w:color w:val="000000" w:themeColor="text1"/>
        </w:rPr>
      </w:pPr>
    </w:p>
    <w:p w14:paraId="39D0CBC1" w14:textId="77777777" w:rsidR="00833AED" w:rsidRPr="00AF0CC3" w:rsidRDefault="00833AED" w:rsidP="00833AED">
      <w:pPr>
        <w:spacing w:line="240" w:lineRule="auto"/>
        <w:rPr>
          <w:rFonts w:ascii="Times New Roman" w:hAnsi="Times New Roman" w:cs="Times New Roman"/>
          <w:color w:val="000000" w:themeColor="text1"/>
        </w:rPr>
      </w:pPr>
      <w:r w:rsidRPr="00AF0CC3">
        <w:rPr>
          <w:rFonts w:ascii="Times New Roman" w:hAnsi="Times New Roman" w:cs="Times New Roman"/>
          <w:color w:val="000000" w:themeColor="text1"/>
        </w:rPr>
        <w:t>This difficulty is not accidental. It reflects deeper analytical habits, how performance is measured, how governance is operationalized, and how infrastructure lifecycles are conceptualized. When these habits are examined together, several persistent gaps become visible. They are not isolated omissions; they are interconnected limitations that shape how infrastructure failure is understood.</w:t>
      </w:r>
    </w:p>
    <w:p w14:paraId="1A2576A5" w14:textId="77777777" w:rsidR="00833AED" w:rsidRPr="00AF0CC3" w:rsidRDefault="00833AED" w:rsidP="00833AED">
      <w:pPr>
        <w:spacing w:line="240" w:lineRule="auto"/>
        <w:rPr>
          <w:rFonts w:ascii="Times New Roman" w:hAnsi="Times New Roman" w:cs="Times New Roman"/>
          <w:color w:val="000000" w:themeColor="text1"/>
        </w:rPr>
      </w:pPr>
      <w:r w:rsidRPr="00AF0CC3">
        <w:rPr>
          <w:rFonts w:ascii="Times New Roman" w:hAnsi="Times New Roman" w:cs="Times New Roman"/>
          <w:color w:val="000000" w:themeColor="text1"/>
        </w:rPr>
        <w:t>Five gaps are particularly relevant to this study.</w:t>
      </w:r>
    </w:p>
    <w:p w14:paraId="2A454F04" w14:textId="77777777" w:rsidR="00833AED" w:rsidRPr="00AF0CC3" w:rsidRDefault="00833AED" w:rsidP="00833AED">
      <w:pPr>
        <w:spacing w:line="240" w:lineRule="auto"/>
        <w:rPr>
          <w:rFonts w:ascii="Times New Roman" w:hAnsi="Times New Roman" w:cs="Times New Roman"/>
          <w:color w:val="000000" w:themeColor="text1"/>
        </w:rPr>
      </w:pPr>
    </w:p>
    <w:p w14:paraId="3FF51356" w14:textId="0BB3FA6B" w:rsidR="00833AED" w:rsidRPr="00AF0CC3" w:rsidRDefault="00833AED" w:rsidP="00F24F41">
      <w:pPr>
        <w:pStyle w:val="Heading3"/>
        <w:rPr>
          <w:rFonts w:cs="Times New Roman"/>
          <w:color w:val="000000" w:themeColor="text1"/>
          <w:szCs w:val="24"/>
        </w:rPr>
      </w:pPr>
      <w:bookmarkStart w:id="179" w:name="_Toc223623400"/>
      <w:bookmarkStart w:id="180" w:name="_Toc234344793"/>
      <w:bookmarkStart w:id="181" w:name="_Toc234489025"/>
      <w:r w:rsidRPr="00AF0CC3">
        <w:rPr>
          <w:rFonts w:cs="Times New Roman"/>
          <w:color w:val="000000" w:themeColor="text1"/>
          <w:szCs w:val="24"/>
        </w:rPr>
        <w:t>Limited Attention to Project Stalling as a Distinct Outcome</w:t>
      </w:r>
      <w:bookmarkEnd w:id="179"/>
      <w:bookmarkEnd w:id="180"/>
      <w:bookmarkEnd w:id="181"/>
    </w:p>
    <w:p w14:paraId="37F39DA3" w14:textId="77777777" w:rsidR="00833AED" w:rsidRPr="00AF0CC3" w:rsidRDefault="00833AED" w:rsidP="00833AED">
      <w:pPr>
        <w:spacing w:line="240" w:lineRule="auto"/>
        <w:rPr>
          <w:rFonts w:ascii="Times New Roman" w:hAnsi="Times New Roman" w:cs="Times New Roman"/>
          <w:color w:val="000000" w:themeColor="text1"/>
        </w:rPr>
      </w:pPr>
    </w:p>
    <w:p w14:paraId="17F3566D" w14:textId="77777777" w:rsidR="00833AED" w:rsidRPr="00AF0CC3" w:rsidRDefault="00833AED" w:rsidP="00833AED">
      <w:pPr>
        <w:spacing w:line="240" w:lineRule="auto"/>
        <w:rPr>
          <w:rFonts w:ascii="Times New Roman" w:hAnsi="Times New Roman" w:cs="Times New Roman"/>
          <w:color w:val="000000" w:themeColor="text1"/>
        </w:rPr>
      </w:pPr>
      <w:r w:rsidRPr="00AF0CC3">
        <w:rPr>
          <w:rFonts w:ascii="Times New Roman" w:hAnsi="Times New Roman" w:cs="Times New Roman"/>
          <w:color w:val="000000" w:themeColor="text1"/>
        </w:rPr>
        <w:t>Most infrastructure studies treat delay and cost escalation as the central indicators of failure. These measures are useful but incomplete.</w:t>
      </w:r>
    </w:p>
    <w:p w14:paraId="6D474FC3" w14:textId="77777777" w:rsidR="00833AED" w:rsidRPr="00AF0CC3" w:rsidRDefault="00833AED" w:rsidP="00833AED">
      <w:pPr>
        <w:spacing w:line="240" w:lineRule="auto"/>
        <w:rPr>
          <w:rFonts w:ascii="Times New Roman" w:hAnsi="Times New Roman" w:cs="Times New Roman"/>
          <w:color w:val="000000" w:themeColor="text1"/>
        </w:rPr>
      </w:pPr>
    </w:p>
    <w:p w14:paraId="63CBE692" w14:textId="77777777" w:rsidR="00833AED" w:rsidRPr="00AF0CC3" w:rsidRDefault="00833AED" w:rsidP="00833AED">
      <w:pPr>
        <w:spacing w:line="240" w:lineRule="auto"/>
        <w:rPr>
          <w:rFonts w:ascii="Times New Roman" w:hAnsi="Times New Roman" w:cs="Times New Roman"/>
          <w:color w:val="000000" w:themeColor="text1"/>
        </w:rPr>
      </w:pPr>
      <w:r w:rsidRPr="00AF0CC3">
        <w:rPr>
          <w:rFonts w:ascii="Times New Roman" w:hAnsi="Times New Roman" w:cs="Times New Roman"/>
          <w:color w:val="000000" w:themeColor="text1"/>
        </w:rPr>
        <w:t>Projects that stall, with construction halting for extended periods without service delivery, are rarely analyzed as a distinct category. They tend to disappear into broad classifications of “delay” or are excluded from datasets once activity ceases. As a result, the most severe form of delivery breakdown is analytically blurred.</w:t>
      </w:r>
    </w:p>
    <w:p w14:paraId="20595D43" w14:textId="77777777" w:rsidR="00833AED" w:rsidRPr="00AF0CC3" w:rsidRDefault="00833AED" w:rsidP="00833AED">
      <w:pPr>
        <w:spacing w:line="240" w:lineRule="auto"/>
        <w:rPr>
          <w:rFonts w:ascii="Times New Roman" w:hAnsi="Times New Roman" w:cs="Times New Roman"/>
          <w:color w:val="000000" w:themeColor="text1"/>
        </w:rPr>
      </w:pPr>
    </w:p>
    <w:p w14:paraId="1F5B8E3C" w14:textId="77777777" w:rsidR="00833AED" w:rsidRPr="00AF0CC3" w:rsidRDefault="00833AED" w:rsidP="00833AED">
      <w:pPr>
        <w:spacing w:line="240" w:lineRule="auto"/>
        <w:rPr>
          <w:rFonts w:ascii="Times New Roman" w:hAnsi="Times New Roman" w:cs="Times New Roman"/>
          <w:color w:val="000000" w:themeColor="text1"/>
        </w:rPr>
      </w:pPr>
      <w:r w:rsidRPr="00AF0CC3">
        <w:rPr>
          <w:rFonts w:ascii="Times New Roman" w:hAnsi="Times New Roman" w:cs="Times New Roman"/>
          <w:color w:val="000000" w:themeColor="text1"/>
        </w:rPr>
        <w:t>This distinction matters, especially in contexts where stalled projects continue to generate fiscal obligations. A stalled project is not merely a delayed one. It signals a breakdown in institutional coordination, risk management, or political commitment. Financial obligations may persist. Assets deteriorate. Public confidence erodes. However, the literature has not consistently defined, operationalized, or measured stalling as a distinct outcome.</w:t>
      </w:r>
    </w:p>
    <w:p w14:paraId="166C64CC" w14:textId="77777777" w:rsidR="00833AED" w:rsidRPr="00AF0CC3" w:rsidRDefault="00833AED" w:rsidP="00833AED">
      <w:pPr>
        <w:spacing w:line="240" w:lineRule="auto"/>
        <w:rPr>
          <w:rFonts w:ascii="Times New Roman" w:hAnsi="Times New Roman" w:cs="Times New Roman"/>
          <w:color w:val="000000" w:themeColor="text1"/>
        </w:rPr>
      </w:pPr>
    </w:p>
    <w:p w14:paraId="5763A725" w14:textId="77777777" w:rsidR="00833AED" w:rsidRPr="00AF0CC3" w:rsidRDefault="00833AED" w:rsidP="00833AED">
      <w:pPr>
        <w:spacing w:line="240" w:lineRule="auto"/>
        <w:rPr>
          <w:rFonts w:ascii="Times New Roman" w:hAnsi="Times New Roman" w:cs="Times New Roman"/>
          <w:color w:val="000000" w:themeColor="text1"/>
        </w:rPr>
      </w:pPr>
      <w:r w:rsidRPr="00AF0CC3">
        <w:rPr>
          <w:rFonts w:ascii="Times New Roman" w:hAnsi="Times New Roman" w:cs="Times New Roman"/>
          <w:color w:val="000000" w:themeColor="text1"/>
        </w:rPr>
        <w:t>The absence of this distinction weakens explanatory power. Without distinguishing between recoverable delay and prolonged inactivity, it becomes difficult to identify the governance mechanisms that push projects past a tipping point.</w:t>
      </w:r>
    </w:p>
    <w:p w14:paraId="251029C2" w14:textId="77777777" w:rsidR="00833AED" w:rsidRPr="00AF0CC3" w:rsidRDefault="00833AED" w:rsidP="00833AED">
      <w:pPr>
        <w:spacing w:line="240" w:lineRule="auto"/>
        <w:rPr>
          <w:rFonts w:ascii="Times New Roman" w:hAnsi="Times New Roman" w:cs="Times New Roman"/>
          <w:color w:val="000000" w:themeColor="text1"/>
        </w:rPr>
      </w:pPr>
    </w:p>
    <w:p w14:paraId="781EBFDB" w14:textId="06B27846" w:rsidR="00833AED" w:rsidRPr="00AF0CC3" w:rsidRDefault="00833AED" w:rsidP="00EA7568">
      <w:pPr>
        <w:pStyle w:val="Heading3"/>
        <w:rPr>
          <w:rFonts w:cs="Times New Roman"/>
          <w:b w:val="0"/>
          <w:bCs/>
          <w:color w:val="000000" w:themeColor="text1"/>
          <w:szCs w:val="24"/>
        </w:rPr>
      </w:pPr>
      <w:bookmarkStart w:id="182" w:name="_Toc223623401"/>
      <w:bookmarkStart w:id="183" w:name="_Toc234344794"/>
      <w:bookmarkStart w:id="184" w:name="_Toc234489026"/>
      <w:r w:rsidRPr="00AF0CC3">
        <w:rPr>
          <w:rStyle w:val="Heading3Char"/>
          <w:rFonts w:cs="Times New Roman"/>
          <w:color w:val="000000" w:themeColor="text1"/>
          <w:szCs w:val="24"/>
        </w:rPr>
        <w:t>Weak Operationalization of Governance Quality at the Project Level</w:t>
      </w:r>
      <w:bookmarkEnd w:id="182"/>
      <w:bookmarkEnd w:id="183"/>
      <w:bookmarkEnd w:id="184"/>
    </w:p>
    <w:p w14:paraId="4EB3203B" w14:textId="77777777" w:rsidR="00833AED" w:rsidRPr="00AF0CC3" w:rsidRDefault="00833AED" w:rsidP="00833AED">
      <w:pPr>
        <w:spacing w:line="240" w:lineRule="auto"/>
        <w:rPr>
          <w:rFonts w:ascii="Times New Roman" w:hAnsi="Times New Roman" w:cs="Times New Roman"/>
          <w:color w:val="000000" w:themeColor="text1"/>
        </w:rPr>
      </w:pPr>
      <w:r w:rsidRPr="00AF0CC3">
        <w:rPr>
          <w:rFonts w:ascii="Times New Roman" w:hAnsi="Times New Roman" w:cs="Times New Roman"/>
          <w:color w:val="000000" w:themeColor="text1"/>
        </w:rPr>
        <w:t>Governance is frequently invoked as critical, but systematic measurement at the project level remains surprisingly rare. Many studies rely on national-level governance indices, corruption perceptions, or broad institutional classifications. These indicators are helpful for cross-country comparison but provide limited insight into why projects within the same country produce divergent outcomes. They flatten variation.</w:t>
      </w:r>
    </w:p>
    <w:p w14:paraId="48E85206" w14:textId="77777777" w:rsidR="00833AED" w:rsidRPr="00AF0CC3" w:rsidRDefault="00833AED" w:rsidP="00833AED">
      <w:pPr>
        <w:spacing w:line="240" w:lineRule="auto"/>
        <w:rPr>
          <w:rFonts w:ascii="Times New Roman" w:hAnsi="Times New Roman" w:cs="Times New Roman"/>
          <w:color w:val="000000" w:themeColor="text1"/>
        </w:rPr>
      </w:pPr>
    </w:p>
    <w:p w14:paraId="139F7AD0" w14:textId="77777777" w:rsidR="00833AED" w:rsidRPr="00AF0CC3" w:rsidRDefault="00833AED" w:rsidP="00833AED">
      <w:pPr>
        <w:spacing w:line="240" w:lineRule="auto"/>
        <w:rPr>
          <w:rFonts w:ascii="Times New Roman" w:hAnsi="Times New Roman" w:cs="Times New Roman"/>
          <w:color w:val="000000" w:themeColor="text1"/>
        </w:rPr>
      </w:pPr>
      <w:r w:rsidRPr="00AF0CC3">
        <w:rPr>
          <w:rFonts w:ascii="Times New Roman" w:hAnsi="Times New Roman" w:cs="Times New Roman"/>
          <w:color w:val="000000" w:themeColor="text1"/>
        </w:rPr>
        <w:t>What remains largely missing is systematic measurement of governance practices at the level of individual projects, the quality of feasibility studies, the clarity of risk allocation, the discipline of procurement processes, the strength of contract management, and the responsiveness of oversight mechanisms.</w:t>
      </w:r>
    </w:p>
    <w:p w14:paraId="68372DBD" w14:textId="77777777" w:rsidR="00833AED" w:rsidRPr="00AF0CC3" w:rsidRDefault="00833AED" w:rsidP="00833AED">
      <w:pPr>
        <w:spacing w:line="240" w:lineRule="auto"/>
        <w:rPr>
          <w:rFonts w:ascii="Times New Roman" w:hAnsi="Times New Roman" w:cs="Times New Roman"/>
          <w:color w:val="000000" w:themeColor="text1"/>
        </w:rPr>
      </w:pPr>
    </w:p>
    <w:p w14:paraId="27E2A3FF" w14:textId="77777777" w:rsidR="00833AED" w:rsidRPr="00AF0CC3" w:rsidRDefault="00833AED" w:rsidP="00833AED">
      <w:pPr>
        <w:spacing w:line="240" w:lineRule="auto"/>
        <w:rPr>
          <w:rFonts w:ascii="Times New Roman" w:hAnsi="Times New Roman" w:cs="Times New Roman"/>
          <w:color w:val="000000" w:themeColor="text1"/>
        </w:rPr>
      </w:pPr>
      <w:r w:rsidRPr="00AF0CC3">
        <w:rPr>
          <w:rFonts w:ascii="Times New Roman" w:hAnsi="Times New Roman" w:cs="Times New Roman"/>
          <w:color w:val="000000" w:themeColor="text1"/>
        </w:rPr>
        <w:t>Without such operationalization, governance remains a contextual backdrop rather than an empirical variable. To move beyond this limitation, the study operationalizes governance quality directly at the project level. Governance Quality Index is grounded in observable evidence rather than perception-based proxies.</w:t>
      </w:r>
    </w:p>
    <w:p w14:paraId="3CBA3C89" w14:textId="77777777" w:rsidR="00833AED" w:rsidRPr="00AF0CC3" w:rsidRDefault="00833AED" w:rsidP="00833AED">
      <w:pPr>
        <w:spacing w:line="240" w:lineRule="auto"/>
        <w:rPr>
          <w:rFonts w:ascii="Times New Roman" w:hAnsi="Times New Roman" w:cs="Times New Roman"/>
          <w:color w:val="000000" w:themeColor="text1"/>
        </w:rPr>
      </w:pPr>
    </w:p>
    <w:p w14:paraId="4FB137E0" w14:textId="07BCCA7C" w:rsidR="00833AED" w:rsidRPr="00AF0CC3" w:rsidRDefault="00833AED" w:rsidP="00F24F41">
      <w:pPr>
        <w:pStyle w:val="Heading3"/>
        <w:rPr>
          <w:rFonts w:cs="Times New Roman"/>
          <w:color w:val="000000" w:themeColor="text1"/>
          <w:szCs w:val="24"/>
        </w:rPr>
      </w:pPr>
      <w:bookmarkStart w:id="185" w:name="_Toc223623402"/>
      <w:bookmarkStart w:id="186" w:name="_Toc234344795"/>
      <w:bookmarkStart w:id="187" w:name="_Toc234489027"/>
      <w:r w:rsidRPr="00AF0CC3">
        <w:rPr>
          <w:rFonts w:cs="Times New Roman"/>
          <w:color w:val="000000" w:themeColor="text1"/>
          <w:szCs w:val="24"/>
        </w:rPr>
        <w:t>Fragmented Treatment of the Infrastructure Lifecycle</w:t>
      </w:r>
      <w:bookmarkEnd w:id="185"/>
      <w:bookmarkEnd w:id="186"/>
      <w:bookmarkEnd w:id="187"/>
    </w:p>
    <w:p w14:paraId="5CB959A0" w14:textId="77777777" w:rsidR="00833AED" w:rsidRPr="00AF0CC3" w:rsidRDefault="00833AED" w:rsidP="00833AED">
      <w:pPr>
        <w:spacing w:line="240" w:lineRule="auto"/>
        <w:rPr>
          <w:rFonts w:ascii="Times New Roman" w:hAnsi="Times New Roman" w:cs="Times New Roman"/>
          <w:color w:val="000000" w:themeColor="text1"/>
        </w:rPr>
      </w:pPr>
    </w:p>
    <w:p w14:paraId="4DB03361" w14:textId="77777777" w:rsidR="00833AED" w:rsidRPr="00AF0CC3" w:rsidRDefault="00833AED" w:rsidP="00833AED">
      <w:pPr>
        <w:spacing w:line="240" w:lineRule="auto"/>
        <w:rPr>
          <w:rFonts w:ascii="Times New Roman" w:hAnsi="Times New Roman" w:cs="Times New Roman"/>
          <w:color w:val="000000" w:themeColor="text1"/>
        </w:rPr>
      </w:pPr>
      <w:r w:rsidRPr="00AF0CC3">
        <w:rPr>
          <w:rFonts w:ascii="Times New Roman" w:hAnsi="Times New Roman" w:cs="Times New Roman"/>
          <w:color w:val="000000" w:themeColor="text1"/>
        </w:rPr>
        <w:t>Another weakness in the literature is treating the infrastructure lifecycle as a set of fragments rather than a connected sequence. Some studies focus narrowly on project preparation. Others examine procurement integrity or renegotiation patterns. Few follow governance across the full lifecycle.</w:t>
      </w:r>
    </w:p>
    <w:p w14:paraId="7BAFEB6C" w14:textId="77777777" w:rsidR="00833AED" w:rsidRPr="00AF0CC3" w:rsidRDefault="00833AED" w:rsidP="00833AED">
      <w:pPr>
        <w:spacing w:line="240" w:lineRule="auto"/>
        <w:rPr>
          <w:rFonts w:ascii="Times New Roman" w:hAnsi="Times New Roman" w:cs="Times New Roman"/>
          <w:color w:val="000000" w:themeColor="text1"/>
        </w:rPr>
      </w:pPr>
    </w:p>
    <w:p w14:paraId="26E7909D" w14:textId="77777777" w:rsidR="00833AED" w:rsidRPr="00AF0CC3" w:rsidRDefault="00833AED" w:rsidP="00833AED">
      <w:pPr>
        <w:spacing w:line="240" w:lineRule="auto"/>
        <w:rPr>
          <w:rFonts w:ascii="Times New Roman" w:hAnsi="Times New Roman" w:cs="Times New Roman"/>
          <w:color w:val="000000" w:themeColor="text1"/>
        </w:rPr>
      </w:pPr>
      <w:r w:rsidRPr="00AF0CC3">
        <w:rPr>
          <w:rFonts w:ascii="Times New Roman" w:hAnsi="Times New Roman" w:cs="Times New Roman"/>
          <w:color w:val="000000" w:themeColor="text1"/>
        </w:rPr>
        <w:t xml:space="preserve">Yet literature itself suggests that failures accumulate. Weak preparation conditions for procurement. Poor risk allocation constrains implementation. Inadequate oversight allows </w:t>
      </w:r>
      <w:r w:rsidRPr="00AF0CC3">
        <w:rPr>
          <w:rFonts w:ascii="Times New Roman" w:hAnsi="Times New Roman" w:cs="Times New Roman"/>
          <w:color w:val="000000" w:themeColor="text1"/>
        </w:rPr>
        <w:lastRenderedPageBreak/>
        <w:t>problems to persist. In practice, projects seldom stall because of a single event; more often, stalling reflects a chain of unresolved governance issues.</w:t>
      </w:r>
    </w:p>
    <w:p w14:paraId="1CA38C9D" w14:textId="77777777" w:rsidR="00833AED" w:rsidRPr="00AF0CC3" w:rsidRDefault="00833AED" w:rsidP="00833AED">
      <w:pPr>
        <w:spacing w:line="240" w:lineRule="auto"/>
        <w:rPr>
          <w:rFonts w:ascii="Times New Roman" w:hAnsi="Times New Roman" w:cs="Times New Roman"/>
          <w:color w:val="000000" w:themeColor="text1"/>
        </w:rPr>
      </w:pPr>
    </w:p>
    <w:p w14:paraId="495611A4" w14:textId="77777777" w:rsidR="00833AED" w:rsidRPr="00AF0CC3" w:rsidRDefault="00833AED" w:rsidP="00833AED">
      <w:pPr>
        <w:spacing w:line="240" w:lineRule="auto"/>
        <w:rPr>
          <w:rFonts w:ascii="Times New Roman" w:hAnsi="Times New Roman" w:cs="Times New Roman"/>
          <w:color w:val="000000" w:themeColor="text1"/>
        </w:rPr>
      </w:pPr>
      <w:r w:rsidRPr="00AF0CC3">
        <w:rPr>
          <w:rFonts w:ascii="Times New Roman" w:hAnsi="Times New Roman" w:cs="Times New Roman"/>
          <w:color w:val="000000" w:themeColor="text1"/>
        </w:rPr>
        <w:t>When stages are analyzed independently, this cumulative dynamic is obscured. The lifecycle perspective adopted in this study responds directly to that fragmentation by examining governance practices across preparation, procurement, implementation, and oversight as interconnected phases.</w:t>
      </w:r>
    </w:p>
    <w:p w14:paraId="05EF99AC" w14:textId="77777777" w:rsidR="00833AED" w:rsidRPr="00AF0CC3" w:rsidRDefault="00833AED" w:rsidP="00833AED">
      <w:pPr>
        <w:spacing w:line="240" w:lineRule="auto"/>
        <w:rPr>
          <w:rFonts w:ascii="Times New Roman" w:hAnsi="Times New Roman" w:cs="Times New Roman"/>
          <w:color w:val="000000" w:themeColor="text1"/>
        </w:rPr>
      </w:pPr>
    </w:p>
    <w:p w14:paraId="53E70DD6" w14:textId="5BFF05CE" w:rsidR="00833AED" w:rsidRPr="00AF0CC3" w:rsidRDefault="00833AED" w:rsidP="007F74C8">
      <w:pPr>
        <w:pStyle w:val="Heading3"/>
        <w:rPr>
          <w:rFonts w:cs="Times New Roman"/>
          <w:color w:val="000000" w:themeColor="text1"/>
          <w:szCs w:val="24"/>
        </w:rPr>
      </w:pPr>
      <w:bookmarkStart w:id="188" w:name="_Toc223623403"/>
      <w:bookmarkStart w:id="189" w:name="_Toc234344796"/>
      <w:bookmarkStart w:id="190" w:name="_Toc234489028"/>
      <w:r w:rsidRPr="00AF0CC3">
        <w:rPr>
          <w:rFonts w:cs="Times New Roman"/>
          <w:color w:val="000000" w:themeColor="text1"/>
          <w:szCs w:val="24"/>
        </w:rPr>
        <w:t>Inadequate Integration of Water Governance and Infrastructure Project Literature</w:t>
      </w:r>
      <w:bookmarkEnd w:id="188"/>
      <w:bookmarkEnd w:id="189"/>
      <w:bookmarkEnd w:id="190"/>
    </w:p>
    <w:p w14:paraId="620AA6FA" w14:textId="77777777" w:rsidR="00833AED" w:rsidRPr="00AF0CC3" w:rsidRDefault="00833AED" w:rsidP="00833AED">
      <w:pPr>
        <w:spacing w:line="240" w:lineRule="auto"/>
        <w:rPr>
          <w:rFonts w:ascii="Times New Roman" w:hAnsi="Times New Roman" w:cs="Times New Roman"/>
          <w:color w:val="000000" w:themeColor="text1"/>
        </w:rPr>
      </w:pPr>
    </w:p>
    <w:p w14:paraId="4DB4B5A9" w14:textId="77777777" w:rsidR="00833AED" w:rsidRPr="00AF0CC3" w:rsidRDefault="00833AED" w:rsidP="00833AED">
      <w:pPr>
        <w:spacing w:line="240" w:lineRule="auto"/>
        <w:rPr>
          <w:rFonts w:ascii="Times New Roman" w:hAnsi="Times New Roman" w:cs="Times New Roman"/>
          <w:color w:val="000000" w:themeColor="text1"/>
        </w:rPr>
      </w:pPr>
      <w:r w:rsidRPr="00AF0CC3">
        <w:rPr>
          <w:rFonts w:ascii="Times New Roman" w:hAnsi="Times New Roman" w:cs="Times New Roman"/>
          <w:color w:val="000000" w:themeColor="text1"/>
        </w:rPr>
        <w:t>Water management governance literature has generated valuable insights into informality, power relations, and socio-ecological complexity. However, it often centers on service provision rather than capital project delivery.</w:t>
      </w:r>
    </w:p>
    <w:p w14:paraId="28AA035D" w14:textId="77777777" w:rsidR="00833AED" w:rsidRPr="00AF0CC3" w:rsidRDefault="00833AED" w:rsidP="00833AED">
      <w:pPr>
        <w:spacing w:line="240" w:lineRule="auto"/>
        <w:rPr>
          <w:rFonts w:ascii="Times New Roman" w:hAnsi="Times New Roman" w:cs="Times New Roman"/>
          <w:color w:val="000000" w:themeColor="text1"/>
        </w:rPr>
      </w:pPr>
    </w:p>
    <w:p w14:paraId="1D4FE100" w14:textId="77777777" w:rsidR="00833AED" w:rsidRPr="00AF0CC3" w:rsidRDefault="00833AED" w:rsidP="00833AED">
      <w:pPr>
        <w:spacing w:line="240" w:lineRule="auto"/>
        <w:rPr>
          <w:rFonts w:ascii="Times New Roman" w:hAnsi="Times New Roman" w:cs="Times New Roman"/>
          <w:color w:val="000000" w:themeColor="text1"/>
        </w:rPr>
      </w:pPr>
      <w:r w:rsidRPr="00AF0CC3">
        <w:rPr>
          <w:rFonts w:ascii="Times New Roman" w:hAnsi="Times New Roman" w:cs="Times New Roman"/>
          <w:color w:val="000000" w:themeColor="text1"/>
        </w:rPr>
        <w:t>Conversely, infrastructure project literature tends to abstract from the social and hydrological contexts that define water systems. Large water projects are analyzed as technical artifacts rather than governance-intensive interventions embedded in contested environments.</w:t>
      </w:r>
    </w:p>
    <w:p w14:paraId="1C778B27" w14:textId="77777777" w:rsidR="00833AED" w:rsidRPr="00AF0CC3" w:rsidRDefault="00833AED" w:rsidP="00833AED">
      <w:pPr>
        <w:spacing w:line="240" w:lineRule="auto"/>
        <w:rPr>
          <w:rFonts w:ascii="Times New Roman" w:hAnsi="Times New Roman" w:cs="Times New Roman"/>
          <w:color w:val="000000" w:themeColor="text1"/>
        </w:rPr>
      </w:pPr>
    </w:p>
    <w:p w14:paraId="31221BF4" w14:textId="77777777" w:rsidR="00833AED" w:rsidRPr="00AF0CC3" w:rsidRDefault="00833AED" w:rsidP="00833AED">
      <w:pPr>
        <w:spacing w:line="240" w:lineRule="auto"/>
        <w:rPr>
          <w:rFonts w:ascii="Times New Roman" w:hAnsi="Times New Roman" w:cs="Times New Roman"/>
          <w:color w:val="000000" w:themeColor="text1"/>
        </w:rPr>
      </w:pPr>
      <w:r w:rsidRPr="00AF0CC3">
        <w:rPr>
          <w:rFonts w:ascii="Times New Roman" w:hAnsi="Times New Roman" w:cs="Times New Roman"/>
          <w:color w:val="000000" w:themeColor="text1"/>
        </w:rPr>
        <w:t>The result is a conceptual divide. Governance is richly theorized in water studies but weakly connected to project delivery outcomes. Infrastructure governance is rigorously analyzed in project studies but often detached from sector-specific realities.</w:t>
      </w:r>
    </w:p>
    <w:p w14:paraId="04972FBE" w14:textId="77777777" w:rsidR="00833AED" w:rsidRPr="00AF0CC3" w:rsidRDefault="00833AED" w:rsidP="00833AED">
      <w:pPr>
        <w:spacing w:line="240" w:lineRule="auto"/>
        <w:rPr>
          <w:rFonts w:ascii="Times New Roman" w:hAnsi="Times New Roman" w:cs="Times New Roman"/>
          <w:color w:val="000000" w:themeColor="text1"/>
        </w:rPr>
      </w:pPr>
    </w:p>
    <w:p w14:paraId="370F462B" w14:textId="77777777" w:rsidR="00833AED" w:rsidRPr="00AF0CC3" w:rsidRDefault="00833AED" w:rsidP="00833AED">
      <w:pPr>
        <w:spacing w:line="240" w:lineRule="auto"/>
        <w:rPr>
          <w:rFonts w:ascii="Times New Roman" w:hAnsi="Times New Roman" w:cs="Times New Roman"/>
          <w:color w:val="000000" w:themeColor="text1"/>
        </w:rPr>
      </w:pPr>
      <w:r w:rsidRPr="00AF0CC3">
        <w:rPr>
          <w:rFonts w:ascii="Times New Roman" w:hAnsi="Times New Roman" w:cs="Times New Roman"/>
          <w:color w:val="000000" w:themeColor="text1"/>
        </w:rPr>
        <w:t>This study bridges that divide by situating water infrastructure delivery within both governance and socio-ecological frameworks.</w:t>
      </w:r>
    </w:p>
    <w:p w14:paraId="6003B7A9" w14:textId="77777777" w:rsidR="00833AED" w:rsidRPr="00AF0CC3" w:rsidRDefault="00833AED" w:rsidP="00833AED">
      <w:pPr>
        <w:spacing w:line="240" w:lineRule="auto"/>
        <w:rPr>
          <w:rFonts w:ascii="Times New Roman" w:hAnsi="Times New Roman" w:cs="Times New Roman"/>
          <w:color w:val="000000" w:themeColor="text1"/>
        </w:rPr>
      </w:pPr>
    </w:p>
    <w:p w14:paraId="09A9B8A6" w14:textId="0C61C6DF" w:rsidR="00833AED" w:rsidRPr="00AF0CC3" w:rsidRDefault="00833AED" w:rsidP="007F74C8">
      <w:pPr>
        <w:pStyle w:val="Heading3"/>
        <w:rPr>
          <w:rFonts w:cs="Times New Roman"/>
          <w:color w:val="000000" w:themeColor="text1"/>
          <w:szCs w:val="24"/>
        </w:rPr>
      </w:pPr>
      <w:bookmarkStart w:id="191" w:name="_Toc223623404"/>
      <w:bookmarkStart w:id="192" w:name="_Toc234344797"/>
      <w:bookmarkStart w:id="193" w:name="_Toc234489029"/>
      <w:r w:rsidRPr="00AF0CC3">
        <w:rPr>
          <w:rFonts w:cs="Times New Roman"/>
          <w:color w:val="000000" w:themeColor="text1"/>
          <w:szCs w:val="24"/>
        </w:rPr>
        <w:t>Climate Risk Treated as Exogenous Rather Than Governance-Mediated</w:t>
      </w:r>
      <w:bookmarkEnd w:id="191"/>
      <w:bookmarkEnd w:id="192"/>
      <w:bookmarkEnd w:id="193"/>
    </w:p>
    <w:p w14:paraId="4F1D5B25" w14:textId="77777777" w:rsidR="00833AED" w:rsidRPr="00AF0CC3" w:rsidRDefault="00833AED" w:rsidP="00833AED">
      <w:pPr>
        <w:spacing w:line="240" w:lineRule="auto"/>
        <w:rPr>
          <w:rFonts w:ascii="Times New Roman" w:hAnsi="Times New Roman" w:cs="Times New Roman"/>
          <w:color w:val="000000" w:themeColor="text1"/>
        </w:rPr>
      </w:pPr>
    </w:p>
    <w:p w14:paraId="343E860A" w14:textId="77777777" w:rsidR="00833AED" w:rsidRPr="00AF0CC3" w:rsidRDefault="00833AED" w:rsidP="00833AED">
      <w:pPr>
        <w:spacing w:line="240" w:lineRule="auto"/>
        <w:rPr>
          <w:rFonts w:ascii="Times New Roman" w:hAnsi="Times New Roman" w:cs="Times New Roman"/>
          <w:color w:val="000000" w:themeColor="text1"/>
        </w:rPr>
      </w:pPr>
      <w:r w:rsidRPr="00AF0CC3">
        <w:rPr>
          <w:rFonts w:ascii="Times New Roman" w:hAnsi="Times New Roman" w:cs="Times New Roman"/>
          <w:color w:val="000000" w:themeColor="text1"/>
        </w:rPr>
        <w:t>Climate variability is increasingly recognized in infrastructure analysis. In much of the infrastructure literature, climate risk is framed as an external shock that operates independently of governance arrangements.</w:t>
      </w:r>
    </w:p>
    <w:p w14:paraId="5DA9012D" w14:textId="77777777" w:rsidR="00833AED" w:rsidRPr="00AF0CC3" w:rsidRDefault="00833AED" w:rsidP="00833AED">
      <w:pPr>
        <w:spacing w:line="240" w:lineRule="auto"/>
        <w:rPr>
          <w:rFonts w:ascii="Times New Roman" w:hAnsi="Times New Roman" w:cs="Times New Roman"/>
          <w:color w:val="000000" w:themeColor="text1"/>
        </w:rPr>
      </w:pPr>
      <w:r w:rsidRPr="00AF0CC3">
        <w:rPr>
          <w:rFonts w:ascii="Times New Roman" w:hAnsi="Times New Roman" w:cs="Times New Roman"/>
          <w:color w:val="000000" w:themeColor="text1"/>
        </w:rPr>
        <w:t>This framing overlooks the mediating role of governance. Exposure alone does not determine outcomes. Institutional capacity, risk allocation, and adaptive mechanisms determine whether climate stress results in manageable adjustment or prolonged disruption.</w:t>
      </w:r>
    </w:p>
    <w:p w14:paraId="379F097E" w14:textId="77777777" w:rsidR="00833AED" w:rsidRPr="00AF0CC3" w:rsidRDefault="00833AED" w:rsidP="00833AED">
      <w:pPr>
        <w:spacing w:line="240" w:lineRule="auto"/>
        <w:rPr>
          <w:rFonts w:ascii="Times New Roman" w:hAnsi="Times New Roman" w:cs="Times New Roman"/>
          <w:color w:val="000000" w:themeColor="text1"/>
        </w:rPr>
      </w:pPr>
    </w:p>
    <w:p w14:paraId="6B3C010F" w14:textId="6D32DC71" w:rsidR="00833AED" w:rsidRPr="00AF0CC3" w:rsidRDefault="00833AED" w:rsidP="00833AED">
      <w:pPr>
        <w:spacing w:line="240" w:lineRule="auto"/>
        <w:rPr>
          <w:rFonts w:ascii="Times New Roman" w:hAnsi="Times New Roman" w:cs="Times New Roman"/>
          <w:color w:val="000000" w:themeColor="text1"/>
        </w:rPr>
      </w:pPr>
      <w:r w:rsidRPr="00AF0CC3">
        <w:rPr>
          <w:rFonts w:ascii="Times New Roman" w:hAnsi="Times New Roman" w:cs="Times New Roman"/>
          <w:color w:val="000000" w:themeColor="text1"/>
        </w:rPr>
        <w:t xml:space="preserve">Adaptive governance scholarship makes this argument conceptually. However, empirical infrastructure studies rarely incorporate it systematically. Climate impacts are often controlled </w:t>
      </w:r>
      <w:r w:rsidR="00327809" w:rsidRPr="00AF0CC3">
        <w:rPr>
          <w:rFonts w:ascii="Times New Roman" w:hAnsi="Times New Roman" w:cs="Times New Roman"/>
          <w:color w:val="000000" w:themeColor="text1"/>
        </w:rPr>
        <w:lastRenderedPageBreak/>
        <w:t>for but</w:t>
      </w:r>
      <w:r w:rsidRPr="00AF0CC3">
        <w:rPr>
          <w:rFonts w:ascii="Times New Roman" w:hAnsi="Times New Roman" w:cs="Times New Roman"/>
          <w:color w:val="000000" w:themeColor="text1"/>
        </w:rPr>
        <w:t xml:space="preserve"> not modeled as interacting with governance quality. By treating climate risk as a moderating factor, this study moves beyond the exogenous shock framing to test whether governance quality buffers or amplifies environmental stress.</w:t>
      </w:r>
    </w:p>
    <w:p w14:paraId="780197EE" w14:textId="77777777" w:rsidR="00833AED" w:rsidRPr="00AF0CC3" w:rsidRDefault="00833AED" w:rsidP="00833AED">
      <w:pPr>
        <w:spacing w:line="240" w:lineRule="auto"/>
        <w:rPr>
          <w:rFonts w:ascii="Times New Roman" w:hAnsi="Times New Roman" w:cs="Times New Roman"/>
          <w:color w:val="000000" w:themeColor="text1"/>
        </w:rPr>
      </w:pPr>
    </w:p>
    <w:p w14:paraId="702E6C7C" w14:textId="77777777" w:rsidR="00833AED" w:rsidRPr="00AF0CC3" w:rsidRDefault="00833AED" w:rsidP="00833AED">
      <w:pPr>
        <w:spacing w:line="240" w:lineRule="auto"/>
        <w:rPr>
          <w:rFonts w:ascii="Times New Roman" w:hAnsi="Times New Roman" w:cs="Times New Roman"/>
          <w:color w:val="000000" w:themeColor="text1"/>
        </w:rPr>
      </w:pPr>
      <w:r w:rsidRPr="00AF0CC3">
        <w:rPr>
          <w:rFonts w:ascii="Times New Roman" w:hAnsi="Times New Roman" w:cs="Times New Roman"/>
          <w:color w:val="000000" w:themeColor="text1"/>
        </w:rPr>
        <w:t>What emerges from this review is that these gaps point to a common underlying limitation: governance is acknowledged as important but insufficiently specified, measured, and linked to extreme project outcomes.</w:t>
      </w:r>
    </w:p>
    <w:p w14:paraId="4004C7F5" w14:textId="77777777" w:rsidR="00833AED" w:rsidRPr="00AF0CC3" w:rsidRDefault="00833AED" w:rsidP="00833AED">
      <w:pPr>
        <w:spacing w:line="240" w:lineRule="auto"/>
        <w:rPr>
          <w:rFonts w:ascii="Times New Roman" w:hAnsi="Times New Roman" w:cs="Times New Roman"/>
          <w:color w:val="000000" w:themeColor="text1"/>
        </w:rPr>
      </w:pPr>
    </w:p>
    <w:p w14:paraId="1277E609" w14:textId="77777777" w:rsidR="00833AED" w:rsidRPr="00AF0CC3" w:rsidRDefault="00833AED" w:rsidP="00833AED">
      <w:pPr>
        <w:spacing w:line="240" w:lineRule="auto"/>
        <w:rPr>
          <w:rFonts w:ascii="Times New Roman" w:hAnsi="Times New Roman" w:cs="Times New Roman"/>
          <w:color w:val="000000" w:themeColor="text1"/>
        </w:rPr>
      </w:pPr>
      <w:r w:rsidRPr="00AF0CC3">
        <w:rPr>
          <w:rFonts w:ascii="Times New Roman" w:hAnsi="Times New Roman" w:cs="Times New Roman"/>
          <w:color w:val="000000" w:themeColor="text1"/>
        </w:rPr>
        <w:t>This study responds in three deliberate ways. First, it conceptualizes project stalling as a distinct dependent variable. Second, it operationalizes governance quality at the project level using verifiable indicators across the lifecycle. Third, it integrates climate exposure as a governance-mediated influence rather than an independent cause.</w:t>
      </w:r>
    </w:p>
    <w:p w14:paraId="1CC0AD8E" w14:textId="77777777" w:rsidR="00833AED" w:rsidRPr="00AF0CC3" w:rsidRDefault="00833AED" w:rsidP="00833AED">
      <w:pPr>
        <w:spacing w:line="240" w:lineRule="auto"/>
        <w:rPr>
          <w:rFonts w:ascii="Times New Roman" w:hAnsi="Times New Roman" w:cs="Times New Roman"/>
          <w:color w:val="000000" w:themeColor="text1"/>
        </w:rPr>
      </w:pPr>
    </w:p>
    <w:p w14:paraId="26CEE29A" w14:textId="77777777" w:rsidR="00833AED" w:rsidRPr="00AF0CC3" w:rsidRDefault="00833AED" w:rsidP="00833AED">
      <w:pPr>
        <w:spacing w:line="240" w:lineRule="auto"/>
        <w:rPr>
          <w:rFonts w:ascii="Times New Roman" w:hAnsi="Times New Roman" w:cs="Times New Roman"/>
          <w:color w:val="000000" w:themeColor="text1"/>
        </w:rPr>
      </w:pPr>
      <w:r w:rsidRPr="00AF0CC3">
        <w:rPr>
          <w:rFonts w:ascii="Times New Roman" w:hAnsi="Times New Roman" w:cs="Times New Roman"/>
          <w:color w:val="000000" w:themeColor="text1"/>
        </w:rPr>
        <w:t>The objective is not to replace existing explanations of delay and cost escalation but to extend them. By focusing on stalled water infrastructure projects in Kenya, the study seeks to illuminate how cumulative governance failures translate into the most severe form of infrastructure underperformance.</w:t>
      </w:r>
    </w:p>
    <w:p w14:paraId="69D7E265" w14:textId="77777777" w:rsidR="00833AED" w:rsidRPr="00AF0CC3" w:rsidRDefault="00833AED" w:rsidP="00833AED">
      <w:pPr>
        <w:spacing w:line="240" w:lineRule="auto"/>
        <w:rPr>
          <w:rFonts w:ascii="Times New Roman" w:hAnsi="Times New Roman" w:cs="Times New Roman"/>
          <w:color w:val="000000" w:themeColor="text1"/>
        </w:rPr>
      </w:pPr>
    </w:p>
    <w:p w14:paraId="494374C4" w14:textId="651E7538" w:rsidR="00A56614" w:rsidRPr="00AF0CC3" w:rsidRDefault="00833AED" w:rsidP="00833AED">
      <w:pPr>
        <w:spacing w:line="240" w:lineRule="auto"/>
        <w:rPr>
          <w:rFonts w:ascii="Times New Roman" w:hAnsi="Times New Roman" w:cs="Times New Roman"/>
          <w:color w:val="000000" w:themeColor="text1"/>
        </w:rPr>
      </w:pPr>
      <w:r w:rsidRPr="00AF0CC3">
        <w:rPr>
          <w:rFonts w:ascii="Times New Roman" w:hAnsi="Times New Roman" w:cs="Times New Roman"/>
          <w:color w:val="000000" w:themeColor="text1"/>
        </w:rPr>
        <w:t>Table 2.6 synthesizes the core gaps in the peer-reviewed literature that motivate this study and aligns them explicitly with the research questions and hypotheses developed in Chapter Three. Rather than merely cataloging prior findings, the table distills where existing scholarship stops short, particularly in relation to project stalling, project-level governance measurement, lifecycle analysis, and governance-mediated climate and political effects. It therefore provides a structured bridge between the theoretical discussion in this chapter and the empirical strategy that follows</w:t>
      </w:r>
    </w:p>
    <w:p w14:paraId="1E07AE91" w14:textId="77777777" w:rsidR="00A56614" w:rsidRPr="00AF0CC3" w:rsidRDefault="00A56614" w:rsidP="00833AED">
      <w:pPr>
        <w:spacing w:line="240" w:lineRule="auto"/>
        <w:rPr>
          <w:rFonts w:ascii="Times New Roman" w:hAnsi="Times New Roman" w:cs="Times New Roman"/>
          <w:color w:val="000000" w:themeColor="text1"/>
        </w:rPr>
      </w:pPr>
    </w:p>
    <w:p w14:paraId="241B8134" w14:textId="77777777" w:rsidR="00A56614" w:rsidRPr="00AF0CC3" w:rsidRDefault="00A56614" w:rsidP="00833AED">
      <w:pPr>
        <w:spacing w:line="240" w:lineRule="auto"/>
        <w:rPr>
          <w:rFonts w:ascii="Times New Roman" w:hAnsi="Times New Roman" w:cs="Times New Roman"/>
          <w:color w:val="000000" w:themeColor="text1"/>
        </w:rPr>
      </w:pPr>
    </w:p>
    <w:p w14:paraId="0C7389DB" w14:textId="458C4F26" w:rsidR="00C7100C" w:rsidRPr="00AF0CC3" w:rsidRDefault="00C7100C" w:rsidP="00C7100C">
      <w:pPr>
        <w:pStyle w:val="Caption"/>
        <w:keepNext/>
        <w:rPr>
          <w:rFonts w:ascii="Times New Roman" w:hAnsi="Times New Roman" w:cs="Times New Roman"/>
          <w:sz w:val="24"/>
          <w:szCs w:val="24"/>
        </w:rPr>
      </w:pPr>
      <w:bookmarkStart w:id="194" w:name="_Toc234437362"/>
      <w:r w:rsidRPr="00AF0CC3">
        <w:rPr>
          <w:rFonts w:ascii="Times New Roman" w:hAnsi="Times New Roman" w:cs="Times New Roman"/>
          <w:sz w:val="24"/>
          <w:szCs w:val="24"/>
        </w:rPr>
        <w:t xml:space="preserve">Table </w:t>
      </w:r>
      <w:r w:rsidR="007F4206" w:rsidRPr="00AF0CC3">
        <w:rPr>
          <w:rFonts w:ascii="Times New Roman" w:hAnsi="Times New Roman" w:cs="Times New Roman"/>
          <w:sz w:val="24"/>
          <w:szCs w:val="24"/>
        </w:rPr>
        <w:fldChar w:fldCharType="begin"/>
      </w:r>
      <w:r w:rsidR="007F4206" w:rsidRPr="00AF0CC3">
        <w:rPr>
          <w:rFonts w:ascii="Times New Roman" w:hAnsi="Times New Roman" w:cs="Times New Roman"/>
          <w:sz w:val="24"/>
          <w:szCs w:val="24"/>
        </w:rPr>
        <w:instrText xml:space="preserve"> STYLEREF 1 \s </w:instrText>
      </w:r>
      <w:r w:rsidR="007F4206" w:rsidRPr="00AF0CC3">
        <w:rPr>
          <w:rFonts w:ascii="Times New Roman" w:hAnsi="Times New Roman" w:cs="Times New Roman"/>
          <w:sz w:val="24"/>
          <w:szCs w:val="24"/>
        </w:rPr>
        <w:fldChar w:fldCharType="separate"/>
      </w:r>
      <w:r w:rsidR="007F4206" w:rsidRPr="00AF0CC3">
        <w:rPr>
          <w:rFonts w:ascii="Times New Roman" w:hAnsi="Times New Roman" w:cs="Times New Roman"/>
          <w:noProof/>
          <w:sz w:val="24"/>
          <w:szCs w:val="24"/>
        </w:rPr>
        <w:t>2</w:t>
      </w:r>
      <w:r w:rsidR="007F4206" w:rsidRPr="00AF0CC3">
        <w:rPr>
          <w:rFonts w:ascii="Times New Roman" w:hAnsi="Times New Roman" w:cs="Times New Roman"/>
          <w:noProof/>
          <w:sz w:val="24"/>
          <w:szCs w:val="24"/>
        </w:rPr>
        <w:fldChar w:fldCharType="end"/>
      </w:r>
      <w:r w:rsidR="007F4206" w:rsidRPr="00AF0CC3">
        <w:rPr>
          <w:rFonts w:ascii="Times New Roman" w:hAnsi="Times New Roman" w:cs="Times New Roman"/>
          <w:sz w:val="24"/>
          <w:szCs w:val="24"/>
        </w:rPr>
        <w:noBreakHyphen/>
      </w:r>
      <w:r w:rsidR="007F4206" w:rsidRPr="00AF0CC3">
        <w:rPr>
          <w:rFonts w:ascii="Times New Roman" w:hAnsi="Times New Roman" w:cs="Times New Roman"/>
          <w:sz w:val="24"/>
          <w:szCs w:val="24"/>
        </w:rPr>
        <w:fldChar w:fldCharType="begin"/>
      </w:r>
      <w:r w:rsidR="007F4206" w:rsidRPr="00AF0CC3">
        <w:rPr>
          <w:rFonts w:ascii="Times New Roman" w:hAnsi="Times New Roman" w:cs="Times New Roman"/>
          <w:sz w:val="24"/>
          <w:szCs w:val="24"/>
        </w:rPr>
        <w:instrText xml:space="preserve"> SEQ Table \* ARABIC \s 1 </w:instrText>
      </w:r>
      <w:r w:rsidR="007F4206" w:rsidRPr="00AF0CC3">
        <w:rPr>
          <w:rFonts w:ascii="Times New Roman" w:hAnsi="Times New Roman" w:cs="Times New Roman"/>
          <w:sz w:val="24"/>
          <w:szCs w:val="24"/>
        </w:rPr>
        <w:fldChar w:fldCharType="separate"/>
      </w:r>
      <w:r w:rsidR="007F4206" w:rsidRPr="00AF0CC3">
        <w:rPr>
          <w:rFonts w:ascii="Times New Roman" w:hAnsi="Times New Roman" w:cs="Times New Roman"/>
          <w:noProof/>
          <w:sz w:val="24"/>
          <w:szCs w:val="24"/>
        </w:rPr>
        <w:t>7</w:t>
      </w:r>
      <w:r w:rsidR="007F4206" w:rsidRPr="00AF0CC3">
        <w:rPr>
          <w:rFonts w:ascii="Times New Roman" w:hAnsi="Times New Roman" w:cs="Times New Roman"/>
          <w:noProof/>
          <w:sz w:val="24"/>
          <w:szCs w:val="24"/>
        </w:rPr>
        <w:fldChar w:fldCharType="end"/>
      </w:r>
      <w:r w:rsidRPr="00AF0CC3">
        <w:rPr>
          <w:rFonts w:ascii="Times New Roman" w:hAnsi="Times New Roman" w:cs="Times New Roman"/>
          <w:sz w:val="24"/>
          <w:szCs w:val="24"/>
        </w:rPr>
        <w:t xml:space="preserve"> Summary of Key Literature Gaps in Infrastructure Governance and Performance Studies</w:t>
      </w:r>
      <w:bookmarkEnd w:id="194"/>
    </w:p>
    <w:p w14:paraId="16651559" w14:textId="59BF2F2E" w:rsidR="00833AED" w:rsidRPr="00AF0CC3" w:rsidRDefault="00833AED" w:rsidP="00833AED">
      <w:pPr>
        <w:spacing w:line="240" w:lineRule="auto"/>
        <w:rPr>
          <w:rFonts w:ascii="Times New Roman" w:hAnsi="Times New Roman" w:cs="Times New Roman"/>
          <w:b/>
          <w:bCs/>
          <w:color w:val="000000" w:themeColor="text1"/>
        </w:rPr>
      </w:pPr>
      <w:r w:rsidRPr="00AF0CC3">
        <w:rPr>
          <w:rFonts w:ascii="Times New Roman" w:hAnsi="Times New Roman" w:cs="Times New Roman"/>
          <w:b/>
          <w:bCs/>
          <w:color w:val="000000" w:themeColor="text1"/>
        </w:rPr>
        <w:t>Summary of Key Literature Gaps in Infrastructure Governance and Performance Studies</w:t>
      </w:r>
    </w:p>
    <w:p w14:paraId="3EF0BBAB" w14:textId="6B0C5DA7" w:rsidR="00833AED" w:rsidRPr="00AF0CC3" w:rsidRDefault="00833AED" w:rsidP="00833AED">
      <w:pPr>
        <w:spacing w:line="240" w:lineRule="auto"/>
        <w:rPr>
          <w:rFonts w:ascii="Times New Roman" w:hAnsi="Times New Roman" w:cs="Times New Roman"/>
          <w:color w:val="000000" w:themeColor="text1"/>
        </w:rPr>
      </w:pPr>
      <w:r w:rsidRPr="00AF0CC3">
        <w:rPr>
          <w:rFonts w:ascii="Times New Roman" w:hAnsi="Times New Roman" w:cs="Times New Roman"/>
          <w:color w:val="000000" w:themeColor="text1"/>
        </w:rPr>
        <w:t>The key gaps in the peer-reviewed literature motivating this study are summarized in Table 2</w:t>
      </w:r>
      <w:r w:rsidR="00C7100C" w:rsidRPr="00AF0CC3">
        <w:rPr>
          <w:rFonts w:ascii="Times New Roman" w:hAnsi="Times New Roman" w:cs="Times New Roman"/>
          <w:color w:val="000000" w:themeColor="text1"/>
        </w:rPr>
        <w:t>-7</w:t>
      </w:r>
      <w:r w:rsidRPr="00AF0CC3">
        <w:rPr>
          <w:rFonts w:ascii="Times New Roman" w:hAnsi="Times New Roman" w:cs="Times New Roman"/>
          <w:color w:val="000000" w:themeColor="text1"/>
        </w:rPr>
        <w:t>.</w:t>
      </w:r>
    </w:p>
    <w:p w14:paraId="345C5BC6" w14:textId="77777777" w:rsidR="00833AED" w:rsidRPr="00AF0CC3" w:rsidRDefault="00833AED" w:rsidP="00833AED">
      <w:pPr>
        <w:spacing w:line="240" w:lineRule="auto"/>
        <w:rPr>
          <w:rFonts w:ascii="Times New Roman" w:hAnsi="Times New Roman" w:cs="Times New Roman"/>
          <w:color w:val="000000" w:themeColor="text1"/>
        </w:rPr>
      </w:pPr>
    </w:p>
    <w:tbl>
      <w:tblPr>
        <w:tblW w:w="0" w:type="auto"/>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1574"/>
        <w:gridCol w:w="1353"/>
        <w:gridCol w:w="1878"/>
        <w:gridCol w:w="2084"/>
        <w:gridCol w:w="2461"/>
      </w:tblGrid>
      <w:tr w:rsidR="00833AED" w:rsidRPr="00AF0CC3" w14:paraId="4FAB0D15" w14:textId="77777777" w:rsidTr="008237C2">
        <w:trPr>
          <w:tblHeader/>
          <w:tblCellSpacing w:w="15" w:type="dxa"/>
        </w:trPr>
        <w:tc>
          <w:tcPr>
            <w:tcW w:w="0" w:type="auto"/>
            <w:vAlign w:val="center"/>
          </w:tcPr>
          <w:p w14:paraId="56398DCD" w14:textId="77777777" w:rsidR="00833AED" w:rsidRPr="00AF0CC3" w:rsidRDefault="00833AED" w:rsidP="00833AED">
            <w:pPr>
              <w:spacing w:line="240" w:lineRule="auto"/>
              <w:rPr>
                <w:rFonts w:ascii="Times New Roman" w:hAnsi="Times New Roman" w:cs="Times New Roman"/>
                <w:b/>
                <w:bCs/>
                <w:color w:val="000000" w:themeColor="text1"/>
              </w:rPr>
            </w:pPr>
            <w:r w:rsidRPr="00AF0CC3">
              <w:rPr>
                <w:rFonts w:ascii="Times New Roman" w:hAnsi="Times New Roman" w:cs="Times New Roman"/>
                <w:b/>
                <w:bCs/>
                <w:color w:val="000000" w:themeColor="text1"/>
              </w:rPr>
              <w:lastRenderedPageBreak/>
              <w:t>Variable (DV / IV)</w:t>
            </w:r>
          </w:p>
        </w:tc>
        <w:tc>
          <w:tcPr>
            <w:tcW w:w="0" w:type="auto"/>
            <w:vAlign w:val="center"/>
          </w:tcPr>
          <w:p w14:paraId="7901C743" w14:textId="77777777" w:rsidR="00833AED" w:rsidRPr="00AF0CC3" w:rsidRDefault="00833AED" w:rsidP="00833AED">
            <w:pPr>
              <w:spacing w:line="240" w:lineRule="auto"/>
              <w:rPr>
                <w:rFonts w:ascii="Times New Roman" w:hAnsi="Times New Roman" w:cs="Times New Roman"/>
                <w:b/>
                <w:bCs/>
                <w:color w:val="000000" w:themeColor="text1"/>
              </w:rPr>
            </w:pPr>
            <w:r w:rsidRPr="00AF0CC3">
              <w:rPr>
                <w:rFonts w:ascii="Times New Roman" w:hAnsi="Times New Roman" w:cs="Times New Roman"/>
                <w:b/>
                <w:bCs/>
                <w:color w:val="000000" w:themeColor="text1"/>
              </w:rPr>
              <w:t>Author(s) (Harvard style)</w:t>
            </w:r>
          </w:p>
        </w:tc>
        <w:tc>
          <w:tcPr>
            <w:tcW w:w="0" w:type="auto"/>
            <w:vAlign w:val="center"/>
          </w:tcPr>
          <w:p w14:paraId="544654B8" w14:textId="77777777" w:rsidR="00833AED" w:rsidRPr="00AF0CC3" w:rsidRDefault="00833AED" w:rsidP="00833AED">
            <w:pPr>
              <w:spacing w:line="240" w:lineRule="auto"/>
              <w:rPr>
                <w:rFonts w:ascii="Times New Roman" w:hAnsi="Times New Roman" w:cs="Times New Roman"/>
                <w:b/>
                <w:bCs/>
                <w:color w:val="000000" w:themeColor="text1"/>
              </w:rPr>
            </w:pPr>
            <w:r w:rsidRPr="00AF0CC3">
              <w:rPr>
                <w:rFonts w:ascii="Times New Roman" w:hAnsi="Times New Roman" w:cs="Times New Roman"/>
                <w:b/>
                <w:bCs/>
                <w:color w:val="000000" w:themeColor="text1"/>
              </w:rPr>
              <w:t>Study Focus</w:t>
            </w:r>
          </w:p>
        </w:tc>
        <w:tc>
          <w:tcPr>
            <w:tcW w:w="0" w:type="auto"/>
            <w:vAlign w:val="center"/>
          </w:tcPr>
          <w:p w14:paraId="292CE898" w14:textId="77777777" w:rsidR="00833AED" w:rsidRPr="00AF0CC3" w:rsidRDefault="00833AED" w:rsidP="00833AED">
            <w:pPr>
              <w:spacing w:line="240" w:lineRule="auto"/>
              <w:rPr>
                <w:rFonts w:ascii="Times New Roman" w:hAnsi="Times New Roman" w:cs="Times New Roman"/>
                <w:b/>
                <w:bCs/>
                <w:color w:val="000000" w:themeColor="text1"/>
              </w:rPr>
            </w:pPr>
            <w:r w:rsidRPr="00AF0CC3">
              <w:rPr>
                <w:rFonts w:ascii="Times New Roman" w:hAnsi="Times New Roman" w:cs="Times New Roman"/>
                <w:b/>
                <w:bCs/>
                <w:color w:val="000000" w:themeColor="text1"/>
              </w:rPr>
              <w:t>Key Findings</w:t>
            </w:r>
          </w:p>
        </w:tc>
        <w:tc>
          <w:tcPr>
            <w:tcW w:w="0" w:type="auto"/>
            <w:vAlign w:val="center"/>
          </w:tcPr>
          <w:p w14:paraId="3AE3C937" w14:textId="77777777" w:rsidR="00833AED" w:rsidRPr="00AF0CC3" w:rsidRDefault="00833AED" w:rsidP="00833AED">
            <w:pPr>
              <w:spacing w:line="240" w:lineRule="auto"/>
              <w:rPr>
                <w:rFonts w:ascii="Times New Roman" w:hAnsi="Times New Roman" w:cs="Times New Roman"/>
                <w:b/>
                <w:bCs/>
                <w:color w:val="000000" w:themeColor="text1"/>
              </w:rPr>
            </w:pPr>
            <w:r w:rsidRPr="00AF0CC3">
              <w:rPr>
                <w:rFonts w:ascii="Times New Roman" w:hAnsi="Times New Roman" w:cs="Times New Roman"/>
                <w:b/>
                <w:bCs/>
                <w:color w:val="000000" w:themeColor="text1"/>
              </w:rPr>
              <w:t>Identified Knowledge Gap (Aligned to RQs/Hypotheses)</w:t>
            </w:r>
          </w:p>
        </w:tc>
      </w:tr>
      <w:tr w:rsidR="00833AED" w:rsidRPr="00AF0CC3" w14:paraId="5859E843" w14:textId="77777777" w:rsidTr="008237C2">
        <w:trPr>
          <w:tblHeader/>
          <w:tblCellSpacing w:w="15" w:type="dxa"/>
        </w:trPr>
        <w:tc>
          <w:tcPr>
            <w:tcW w:w="0" w:type="auto"/>
            <w:vAlign w:val="center"/>
          </w:tcPr>
          <w:p w14:paraId="7021D11E" w14:textId="77777777" w:rsidR="00833AED" w:rsidRPr="00AF0CC3" w:rsidRDefault="00833AED" w:rsidP="00833AED">
            <w:pPr>
              <w:spacing w:line="240" w:lineRule="auto"/>
              <w:rPr>
                <w:rFonts w:ascii="Times New Roman" w:hAnsi="Times New Roman" w:cs="Times New Roman"/>
                <w:color w:val="000000" w:themeColor="text1"/>
              </w:rPr>
            </w:pPr>
            <w:r w:rsidRPr="00AF0CC3">
              <w:rPr>
                <w:rFonts w:ascii="Times New Roman" w:hAnsi="Times New Roman" w:cs="Times New Roman"/>
                <w:color w:val="000000" w:themeColor="text1"/>
              </w:rPr>
              <w:t>DV: Project Stalling / Non-Completion (RQ1, H1)</w:t>
            </w:r>
          </w:p>
        </w:tc>
        <w:tc>
          <w:tcPr>
            <w:tcW w:w="0" w:type="auto"/>
            <w:vAlign w:val="center"/>
          </w:tcPr>
          <w:p w14:paraId="5C605AB7" w14:textId="77777777" w:rsidR="00833AED" w:rsidRPr="00AF0CC3" w:rsidRDefault="00833AED" w:rsidP="00833AED">
            <w:pPr>
              <w:spacing w:line="240" w:lineRule="auto"/>
              <w:rPr>
                <w:rFonts w:ascii="Times New Roman" w:hAnsi="Times New Roman" w:cs="Times New Roman"/>
                <w:color w:val="000000" w:themeColor="text1"/>
              </w:rPr>
            </w:pPr>
            <w:r w:rsidRPr="00AF0CC3">
              <w:rPr>
                <w:rFonts w:ascii="Times New Roman" w:hAnsi="Times New Roman" w:cs="Times New Roman"/>
                <w:color w:val="000000" w:themeColor="text1"/>
              </w:rPr>
              <w:t>Flyvbjerg (2014)</w:t>
            </w:r>
          </w:p>
        </w:tc>
        <w:tc>
          <w:tcPr>
            <w:tcW w:w="0" w:type="auto"/>
            <w:vAlign w:val="center"/>
          </w:tcPr>
          <w:p w14:paraId="77851131" w14:textId="77777777" w:rsidR="00833AED" w:rsidRPr="00AF0CC3" w:rsidRDefault="00833AED" w:rsidP="00833AED">
            <w:pPr>
              <w:spacing w:line="240" w:lineRule="auto"/>
              <w:rPr>
                <w:rFonts w:ascii="Times New Roman" w:hAnsi="Times New Roman" w:cs="Times New Roman"/>
                <w:color w:val="000000" w:themeColor="text1"/>
              </w:rPr>
            </w:pPr>
            <w:r w:rsidRPr="00AF0CC3">
              <w:rPr>
                <w:rFonts w:ascii="Times New Roman" w:hAnsi="Times New Roman" w:cs="Times New Roman"/>
                <w:color w:val="000000" w:themeColor="text1"/>
              </w:rPr>
              <w:t>Global infrastructure cost and schedule performance</w:t>
            </w:r>
          </w:p>
        </w:tc>
        <w:tc>
          <w:tcPr>
            <w:tcW w:w="0" w:type="auto"/>
            <w:vAlign w:val="center"/>
          </w:tcPr>
          <w:p w14:paraId="46F18886" w14:textId="77777777" w:rsidR="00833AED" w:rsidRPr="00AF0CC3" w:rsidRDefault="00833AED" w:rsidP="00833AED">
            <w:pPr>
              <w:spacing w:line="240" w:lineRule="auto"/>
              <w:rPr>
                <w:rFonts w:ascii="Times New Roman" w:hAnsi="Times New Roman" w:cs="Times New Roman"/>
                <w:color w:val="000000" w:themeColor="text1"/>
              </w:rPr>
            </w:pPr>
            <w:r w:rsidRPr="00AF0CC3">
              <w:rPr>
                <w:rFonts w:ascii="Times New Roman" w:hAnsi="Times New Roman" w:cs="Times New Roman"/>
                <w:color w:val="000000" w:themeColor="text1"/>
              </w:rPr>
              <w:t>Cost overruns and delays are systematic across sectors</w:t>
            </w:r>
          </w:p>
        </w:tc>
        <w:tc>
          <w:tcPr>
            <w:tcW w:w="0" w:type="auto"/>
            <w:vAlign w:val="center"/>
          </w:tcPr>
          <w:p w14:paraId="3B0F631B" w14:textId="77777777" w:rsidR="00833AED" w:rsidRPr="00AF0CC3" w:rsidRDefault="00833AED" w:rsidP="00833AED">
            <w:pPr>
              <w:spacing w:line="240" w:lineRule="auto"/>
              <w:rPr>
                <w:rFonts w:ascii="Times New Roman" w:hAnsi="Times New Roman" w:cs="Times New Roman"/>
                <w:color w:val="000000" w:themeColor="text1"/>
              </w:rPr>
            </w:pPr>
            <w:r w:rsidRPr="00AF0CC3">
              <w:rPr>
                <w:rFonts w:ascii="Times New Roman" w:hAnsi="Times New Roman" w:cs="Times New Roman"/>
                <w:color w:val="000000" w:themeColor="text1"/>
              </w:rPr>
              <w:t>Does not conceptualize or empirically model prolonged project stalling as a distinct governance outcome</w:t>
            </w:r>
          </w:p>
        </w:tc>
      </w:tr>
      <w:tr w:rsidR="00833AED" w:rsidRPr="00AF0CC3" w14:paraId="3FAECC66" w14:textId="77777777" w:rsidTr="008237C2">
        <w:trPr>
          <w:tblHeader/>
          <w:tblCellSpacing w:w="15" w:type="dxa"/>
        </w:trPr>
        <w:tc>
          <w:tcPr>
            <w:tcW w:w="0" w:type="auto"/>
            <w:vAlign w:val="center"/>
          </w:tcPr>
          <w:p w14:paraId="0C3029EF" w14:textId="77777777" w:rsidR="00833AED" w:rsidRPr="00AF0CC3" w:rsidRDefault="00833AED" w:rsidP="00833AED">
            <w:pPr>
              <w:spacing w:line="240" w:lineRule="auto"/>
              <w:rPr>
                <w:rFonts w:ascii="Times New Roman" w:hAnsi="Times New Roman" w:cs="Times New Roman"/>
                <w:color w:val="000000" w:themeColor="text1"/>
              </w:rPr>
            </w:pPr>
          </w:p>
        </w:tc>
        <w:tc>
          <w:tcPr>
            <w:tcW w:w="0" w:type="auto"/>
            <w:vAlign w:val="center"/>
          </w:tcPr>
          <w:p w14:paraId="2EC57644" w14:textId="77777777" w:rsidR="00833AED" w:rsidRPr="00AF0CC3" w:rsidRDefault="00833AED" w:rsidP="00833AED">
            <w:pPr>
              <w:spacing w:line="240" w:lineRule="auto"/>
              <w:rPr>
                <w:rFonts w:ascii="Times New Roman" w:hAnsi="Times New Roman" w:cs="Times New Roman"/>
                <w:color w:val="000000" w:themeColor="text1"/>
              </w:rPr>
            </w:pPr>
            <w:r w:rsidRPr="00AF0CC3">
              <w:rPr>
                <w:rFonts w:ascii="Times New Roman" w:hAnsi="Times New Roman" w:cs="Times New Roman"/>
                <w:color w:val="000000" w:themeColor="text1"/>
              </w:rPr>
              <w:t>Ansar et al. (2018)</w:t>
            </w:r>
          </w:p>
        </w:tc>
        <w:tc>
          <w:tcPr>
            <w:tcW w:w="0" w:type="auto"/>
            <w:vAlign w:val="center"/>
          </w:tcPr>
          <w:p w14:paraId="6856CA45" w14:textId="77777777" w:rsidR="00833AED" w:rsidRPr="00AF0CC3" w:rsidRDefault="00833AED" w:rsidP="00833AED">
            <w:pPr>
              <w:spacing w:line="240" w:lineRule="auto"/>
              <w:rPr>
                <w:rFonts w:ascii="Times New Roman" w:hAnsi="Times New Roman" w:cs="Times New Roman"/>
                <w:color w:val="000000" w:themeColor="text1"/>
              </w:rPr>
            </w:pPr>
            <w:r w:rsidRPr="00AF0CC3">
              <w:rPr>
                <w:rFonts w:ascii="Times New Roman" w:hAnsi="Times New Roman" w:cs="Times New Roman"/>
                <w:color w:val="000000" w:themeColor="text1"/>
              </w:rPr>
              <w:t>Infrastructure investment and macroeconomic fragility</w:t>
            </w:r>
          </w:p>
        </w:tc>
        <w:tc>
          <w:tcPr>
            <w:tcW w:w="0" w:type="auto"/>
            <w:vAlign w:val="center"/>
          </w:tcPr>
          <w:p w14:paraId="649AA26A" w14:textId="77777777" w:rsidR="00833AED" w:rsidRPr="00AF0CC3" w:rsidRDefault="00833AED" w:rsidP="00833AED">
            <w:pPr>
              <w:spacing w:line="240" w:lineRule="auto"/>
              <w:rPr>
                <w:rFonts w:ascii="Times New Roman" w:hAnsi="Times New Roman" w:cs="Times New Roman"/>
                <w:color w:val="000000" w:themeColor="text1"/>
              </w:rPr>
            </w:pPr>
            <w:r w:rsidRPr="00AF0CC3">
              <w:rPr>
                <w:rFonts w:ascii="Times New Roman" w:hAnsi="Times New Roman" w:cs="Times New Roman"/>
                <w:color w:val="000000" w:themeColor="text1"/>
              </w:rPr>
              <w:t>Poor governance produces non-performing or stranded assets</w:t>
            </w:r>
          </w:p>
        </w:tc>
        <w:tc>
          <w:tcPr>
            <w:tcW w:w="0" w:type="auto"/>
            <w:vAlign w:val="center"/>
          </w:tcPr>
          <w:p w14:paraId="1B55A52F" w14:textId="77777777" w:rsidR="00833AED" w:rsidRPr="00AF0CC3" w:rsidRDefault="00833AED" w:rsidP="00833AED">
            <w:pPr>
              <w:spacing w:line="240" w:lineRule="auto"/>
              <w:rPr>
                <w:rFonts w:ascii="Times New Roman" w:hAnsi="Times New Roman" w:cs="Times New Roman"/>
                <w:color w:val="000000" w:themeColor="text1"/>
              </w:rPr>
            </w:pPr>
            <w:r w:rsidRPr="00AF0CC3">
              <w:rPr>
                <w:rFonts w:ascii="Times New Roman" w:hAnsi="Times New Roman" w:cs="Times New Roman"/>
                <w:color w:val="000000" w:themeColor="text1"/>
              </w:rPr>
              <w:t>Non-completion treated at macro level; no project-level modelling of stalled delivery</w:t>
            </w:r>
          </w:p>
        </w:tc>
      </w:tr>
      <w:tr w:rsidR="00833AED" w:rsidRPr="00AF0CC3" w14:paraId="7CFAB87A" w14:textId="77777777" w:rsidTr="008237C2">
        <w:trPr>
          <w:tblHeader/>
          <w:tblCellSpacing w:w="15" w:type="dxa"/>
        </w:trPr>
        <w:tc>
          <w:tcPr>
            <w:tcW w:w="0" w:type="auto"/>
            <w:vAlign w:val="center"/>
          </w:tcPr>
          <w:p w14:paraId="2FE4341B" w14:textId="77777777" w:rsidR="00833AED" w:rsidRPr="00AF0CC3" w:rsidRDefault="00833AED" w:rsidP="00833AED">
            <w:pPr>
              <w:spacing w:line="240" w:lineRule="auto"/>
              <w:rPr>
                <w:rFonts w:ascii="Times New Roman" w:hAnsi="Times New Roman" w:cs="Times New Roman"/>
                <w:color w:val="000000" w:themeColor="text1"/>
              </w:rPr>
            </w:pPr>
          </w:p>
        </w:tc>
        <w:tc>
          <w:tcPr>
            <w:tcW w:w="0" w:type="auto"/>
            <w:vAlign w:val="center"/>
          </w:tcPr>
          <w:p w14:paraId="60AFBB7C" w14:textId="77777777" w:rsidR="00833AED" w:rsidRPr="00AF0CC3" w:rsidRDefault="00833AED" w:rsidP="00833AED">
            <w:pPr>
              <w:spacing w:line="240" w:lineRule="auto"/>
              <w:rPr>
                <w:rFonts w:ascii="Times New Roman" w:hAnsi="Times New Roman" w:cs="Times New Roman"/>
                <w:color w:val="000000" w:themeColor="text1"/>
              </w:rPr>
            </w:pPr>
            <w:r w:rsidRPr="00AF0CC3">
              <w:rPr>
                <w:rFonts w:ascii="Times New Roman" w:hAnsi="Times New Roman" w:cs="Times New Roman"/>
                <w:color w:val="000000" w:themeColor="text1"/>
              </w:rPr>
              <w:t>Cantarelli et al. (2012)</w:t>
            </w:r>
          </w:p>
        </w:tc>
        <w:tc>
          <w:tcPr>
            <w:tcW w:w="0" w:type="auto"/>
            <w:vAlign w:val="center"/>
          </w:tcPr>
          <w:p w14:paraId="50B86F6B" w14:textId="77777777" w:rsidR="00833AED" w:rsidRPr="00AF0CC3" w:rsidRDefault="00833AED" w:rsidP="00833AED">
            <w:pPr>
              <w:spacing w:line="240" w:lineRule="auto"/>
              <w:rPr>
                <w:rFonts w:ascii="Times New Roman" w:hAnsi="Times New Roman" w:cs="Times New Roman"/>
                <w:color w:val="000000" w:themeColor="text1"/>
              </w:rPr>
            </w:pPr>
            <w:r w:rsidRPr="00AF0CC3">
              <w:rPr>
                <w:rFonts w:ascii="Times New Roman" w:hAnsi="Times New Roman" w:cs="Times New Roman"/>
                <w:color w:val="000000" w:themeColor="text1"/>
              </w:rPr>
              <w:t>Political explanations for infrastructure overruns</w:t>
            </w:r>
          </w:p>
        </w:tc>
        <w:tc>
          <w:tcPr>
            <w:tcW w:w="0" w:type="auto"/>
            <w:vAlign w:val="center"/>
          </w:tcPr>
          <w:p w14:paraId="4E9740E0" w14:textId="77777777" w:rsidR="00833AED" w:rsidRPr="00AF0CC3" w:rsidRDefault="00833AED" w:rsidP="00833AED">
            <w:pPr>
              <w:spacing w:line="240" w:lineRule="auto"/>
              <w:rPr>
                <w:rFonts w:ascii="Times New Roman" w:hAnsi="Times New Roman" w:cs="Times New Roman"/>
                <w:color w:val="000000" w:themeColor="text1"/>
              </w:rPr>
            </w:pPr>
            <w:r w:rsidRPr="00AF0CC3">
              <w:rPr>
                <w:rFonts w:ascii="Times New Roman" w:hAnsi="Times New Roman" w:cs="Times New Roman"/>
                <w:color w:val="000000" w:themeColor="text1"/>
              </w:rPr>
              <w:t>Strategic misrepresentation drives overruns</w:t>
            </w:r>
          </w:p>
        </w:tc>
        <w:tc>
          <w:tcPr>
            <w:tcW w:w="0" w:type="auto"/>
            <w:vAlign w:val="center"/>
          </w:tcPr>
          <w:p w14:paraId="1BA0A586" w14:textId="77777777" w:rsidR="00833AED" w:rsidRPr="00AF0CC3" w:rsidRDefault="00833AED" w:rsidP="00833AED">
            <w:pPr>
              <w:spacing w:line="240" w:lineRule="auto"/>
              <w:rPr>
                <w:rFonts w:ascii="Times New Roman" w:hAnsi="Times New Roman" w:cs="Times New Roman"/>
                <w:color w:val="000000" w:themeColor="text1"/>
              </w:rPr>
            </w:pPr>
            <w:r w:rsidRPr="00AF0CC3">
              <w:rPr>
                <w:rFonts w:ascii="Times New Roman" w:hAnsi="Times New Roman" w:cs="Times New Roman"/>
                <w:color w:val="000000" w:themeColor="text1"/>
              </w:rPr>
              <w:t>Empirical samples exclude stalled or abandoned projects</w:t>
            </w:r>
          </w:p>
        </w:tc>
      </w:tr>
      <w:tr w:rsidR="00833AED" w:rsidRPr="00AF0CC3" w14:paraId="5B6DB321" w14:textId="77777777" w:rsidTr="008237C2">
        <w:trPr>
          <w:tblHeader/>
          <w:tblCellSpacing w:w="15" w:type="dxa"/>
        </w:trPr>
        <w:tc>
          <w:tcPr>
            <w:tcW w:w="0" w:type="auto"/>
            <w:vAlign w:val="center"/>
          </w:tcPr>
          <w:p w14:paraId="3984265E" w14:textId="77777777" w:rsidR="00833AED" w:rsidRPr="00AF0CC3" w:rsidRDefault="00833AED" w:rsidP="00833AED">
            <w:pPr>
              <w:spacing w:line="240" w:lineRule="auto"/>
              <w:rPr>
                <w:rFonts w:ascii="Times New Roman" w:hAnsi="Times New Roman" w:cs="Times New Roman"/>
                <w:color w:val="000000" w:themeColor="text1"/>
              </w:rPr>
            </w:pPr>
          </w:p>
        </w:tc>
        <w:tc>
          <w:tcPr>
            <w:tcW w:w="0" w:type="auto"/>
            <w:vAlign w:val="center"/>
          </w:tcPr>
          <w:p w14:paraId="1DC0BC57" w14:textId="77777777" w:rsidR="00833AED" w:rsidRPr="00AF0CC3" w:rsidRDefault="00833AED" w:rsidP="00833AED">
            <w:pPr>
              <w:spacing w:line="240" w:lineRule="auto"/>
              <w:rPr>
                <w:rFonts w:ascii="Times New Roman" w:hAnsi="Times New Roman" w:cs="Times New Roman"/>
                <w:color w:val="000000" w:themeColor="text1"/>
              </w:rPr>
            </w:pPr>
            <w:r w:rsidRPr="00AF0CC3">
              <w:rPr>
                <w:rFonts w:ascii="Times New Roman" w:hAnsi="Times New Roman" w:cs="Times New Roman"/>
                <w:color w:val="000000" w:themeColor="text1"/>
              </w:rPr>
              <w:t>Locatelli et al. (2020)</w:t>
            </w:r>
          </w:p>
        </w:tc>
        <w:tc>
          <w:tcPr>
            <w:tcW w:w="0" w:type="auto"/>
            <w:vAlign w:val="center"/>
          </w:tcPr>
          <w:p w14:paraId="0606276E" w14:textId="77777777" w:rsidR="00833AED" w:rsidRPr="00AF0CC3" w:rsidRDefault="00833AED" w:rsidP="00833AED">
            <w:pPr>
              <w:spacing w:line="240" w:lineRule="auto"/>
              <w:rPr>
                <w:rFonts w:ascii="Times New Roman" w:hAnsi="Times New Roman" w:cs="Times New Roman"/>
                <w:color w:val="000000" w:themeColor="text1"/>
              </w:rPr>
            </w:pPr>
            <w:r w:rsidRPr="00AF0CC3">
              <w:rPr>
                <w:rFonts w:ascii="Times New Roman" w:hAnsi="Times New Roman" w:cs="Times New Roman"/>
                <w:color w:val="000000" w:themeColor="text1"/>
              </w:rPr>
              <w:t>Governance of megaproject risk escalation</w:t>
            </w:r>
          </w:p>
        </w:tc>
        <w:tc>
          <w:tcPr>
            <w:tcW w:w="0" w:type="auto"/>
            <w:vAlign w:val="center"/>
          </w:tcPr>
          <w:p w14:paraId="352367ED" w14:textId="77777777" w:rsidR="00833AED" w:rsidRPr="00AF0CC3" w:rsidRDefault="00833AED" w:rsidP="00833AED">
            <w:pPr>
              <w:spacing w:line="240" w:lineRule="auto"/>
              <w:rPr>
                <w:rFonts w:ascii="Times New Roman" w:hAnsi="Times New Roman" w:cs="Times New Roman"/>
                <w:color w:val="000000" w:themeColor="text1"/>
              </w:rPr>
            </w:pPr>
            <w:r w:rsidRPr="00AF0CC3">
              <w:rPr>
                <w:rFonts w:ascii="Times New Roman" w:hAnsi="Times New Roman" w:cs="Times New Roman"/>
                <w:color w:val="000000" w:themeColor="text1"/>
              </w:rPr>
              <w:t>Governance failures compound over time</w:t>
            </w:r>
          </w:p>
        </w:tc>
        <w:tc>
          <w:tcPr>
            <w:tcW w:w="0" w:type="auto"/>
            <w:vAlign w:val="center"/>
          </w:tcPr>
          <w:p w14:paraId="2A56B515" w14:textId="77777777" w:rsidR="00833AED" w:rsidRPr="00AF0CC3" w:rsidRDefault="00833AED" w:rsidP="00833AED">
            <w:pPr>
              <w:spacing w:line="240" w:lineRule="auto"/>
              <w:rPr>
                <w:rFonts w:ascii="Times New Roman" w:hAnsi="Times New Roman" w:cs="Times New Roman"/>
                <w:color w:val="000000" w:themeColor="text1"/>
              </w:rPr>
            </w:pPr>
            <w:r w:rsidRPr="00AF0CC3">
              <w:rPr>
                <w:rFonts w:ascii="Times New Roman" w:hAnsi="Times New Roman" w:cs="Times New Roman"/>
                <w:color w:val="000000" w:themeColor="text1"/>
              </w:rPr>
              <w:t>Escalation into prolonged stalling not operationalized</w:t>
            </w:r>
          </w:p>
        </w:tc>
      </w:tr>
      <w:tr w:rsidR="00833AED" w:rsidRPr="00AF0CC3" w14:paraId="4FD6B878" w14:textId="77777777" w:rsidTr="008237C2">
        <w:trPr>
          <w:tblHeader/>
          <w:tblCellSpacing w:w="15" w:type="dxa"/>
        </w:trPr>
        <w:tc>
          <w:tcPr>
            <w:tcW w:w="0" w:type="auto"/>
            <w:vAlign w:val="center"/>
          </w:tcPr>
          <w:p w14:paraId="1A7DE44A" w14:textId="77777777" w:rsidR="00833AED" w:rsidRPr="00AF0CC3" w:rsidRDefault="00833AED" w:rsidP="00833AED">
            <w:pPr>
              <w:spacing w:line="240" w:lineRule="auto"/>
              <w:rPr>
                <w:rFonts w:ascii="Times New Roman" w:hAnsi="Times New Roman" w:cs="Times New Roman"/>
                <w:color w:val="000000" w:themeColor="text1"/>
              </w:rPr>
            </w:pPr>
            <w:r w:rsidRPr="00AF0CC3">
              <w:rPr>
                <w:rFonts w:ascii="Times New Roman" w:hAnsi="Times New Roman" w:cs="Times New Roman"/>
                <w:color w:val="000000" w:themeColor="text1"/>
              </w:rPr>
              <w:t>DV: Time Overruns (RQ2, H2)</w:t>
            </w:r>
          </w:p>
        </w:tc>
        <w:tc>
          <w:tcPr>
            <w:tcW w:w="0" w:type="auto"/>
            <w:vAlign w:val="center"/>
          </w:tcPr>
          <w:p w14:paraId="6AABA28D" w14:textId="77777777" w:rsidR="00833AED" w:rsidRPr="00AF0CC3" w:rsidRDefault="00833AED" w:rsidP="00833AED">
            <w:pPr>
              <w:spacing w:line="240" w:lineRule="auto"/>
              <w:rPr>
                <w:rFonts w:ascii="Times New Roman" w:hAnsi="Times New Roman" w:cs="Times New Roman"/>
                <w:color w:val="000000" w:themeColor="text1"/>
              </w:rPr>
            </w:pPr>
            <w:r w:rsidRPr="00AF0CC3">
              <w:rPr>
                <w:rFonts w:ascii="Times New Roman" w:hAnsi="Times New Roman" w:cs="Times New Roman"/>
                <w:color w:val="000000" w:themeColor="text1"/>
              </w:rPr>
              <w:t>Flyvbjerg et al. (2021)</w:t>
            </w:r>
          </w:p>
        </w:tc>
        <w:tc>
          <w:tcPr>
            <w:tcW w:w="0" w:type="auto"/>
            <w:vAlign w:val="center"/>
          </w:tcPr>
          <w:p w14:paraId="5587F9DA" w14:textId="77777777" w:rsidR="00833AED" w:rsidRPr="00AF0CC3" w:rsidRDefault="00833AED" w:rsidP="00833AED">
            <w:pPr>
              <w:spacing w:line="240" w:lineRule="auto"/>
              <w:rPr>
                <w:rFonts w:ascii="Times New Roman" w:hAnsi="Times New Roman" w:cs="Times New Roman"/>
                <w:color w:val="000000" w:themeColor="text1"/>
              </w:rPr>
            </w:pPr>
            <w:r w:rsidRPr="00AF0CC3">
              <w:rPr>
                <w:rFonts w:ascii="Times New Roman" w:hAnsi="Times New Roman" w:cs="Times New Roman"/>
                <w:color w:val="000000" w:themeColor="text1"/>
              </w:rPr>
              <w:t>Front-end decision-making and schedule bias</w:t>
            </w:r>
          </w:p>
        </w:tc>
        <w:tc>
          <w:tcPr>
            <w:tcW w:w="0" w:type="auto"/>
            <w:vAlign w:val="center"/>
          </w:tcPr>
          <w:p w14:paraId="5C88F8FC" w14:textId="77777777" w:rsidR="00833AED" w:rsidRPr="00AF0CC3" w:rsidRDefault="00833AED" w:rsidP="00833AED">
            <w:pPr>
              <w:spacing w:line="240" w:lineRule="auto"/>
              <w:rPr>
                <w:rFonts w:ascii="Times New Roman" w:hAnsi="Times New Roman" w:cs="Times New Roman"/>
                <w:color w:val="000000" w:themeColor="text1"/>
              </w:rPr>
            </w:pPr>
            <w:r w:rsidRPr="00AF0CC3">
              <w:rPr>
                <w:rFonts w:ascii="Times New Roman" w:hAnsi="Times New Roman" w:cs="Times New Roman"/>
                <w:color w:val="000000" w:themeColor="text1"/>
              </w:rPr>
              <w:t>Weak early governance predicts delays</w:t>
            </w:r>
          </w:p>
        </w:tc>
        <w:tc>
          <w:tcPr>
            <w:tcW w:w="0" w:type="auto"/>
            <w:vAlign w:val="center"/>
          </w:tcPr>
          <w:p w14:paraId="0DC4BEC1" w14:textId="77777777" w:rsidR="00833AED" w:rsidRPr="00AF0CC3" w:rsidRDefault="00833AED" w:rsidP="00833AED">
            <w:pPr>
              <w:spacing w:line="240" w:lineRule="auto"/>
              <w:rPr>
                <w:rFonts w:ascii="Times New Roman" w:hAnsi="Times New Roman" w:cs="Times New Roman"/>
                <w:color w:val="000000" w:themeColor="text1"/>
              </w:rPr>
            </w:pPr>
            <w:r w:rsidRPr="00AF0CC3">
              <w:rPr>
                <w:rFonts w:ascii="Times New Roman" w:hAnsi="Times New Roman" w:cs="Times New Roman"/>
                <w:color w:val="000000" w:themeColor="text1"/>
              </w:rPr>
              <w:t>Governance quality not measured at project level</w:t>
            </w:r>
          </w:p>
        </w:tc>
      </w:tr>
      <w:tr w:rsidR="00833AED" w:rsidRPr="00AF0CC3" w14:paraId="65805B1E" w14:textId="77777777" w:rsidTr="008237C2">
        <w:trPr>
          <w:tblHeader/>
          <w:tblCellSpacing w:w="15" w:type="dxa"/>
        </w:trPr>
        <w:tc>
          <w:tcPr>
            <w:tcW w:w="0" w:type="auto"/>
            <w:vAlign w:val="center"/>
          </w:tcPr>
          <w:p w14:paraId="7B6FC2EF" w14:textId="77777777" w:rsidR="00833AED" w:rsidRPr="00AF0CC3" w:rsidRDefault="00833AED" w:rsidP="00833AED">
            <w:pPr>
              <w:spacing w:line="240" w:lineRule="auto"/>
              <w:rPr>
                <w:rFonts w:ascii="Times New Roman" w:hAnsi="Times New Roman" w:cs="Times New Roman"/>
                <w:color w:val="000000" w:themeColor="text1"/>
              </w:rPr>
            </w:pPr>
          </w:p>
        </w:tc>
        <w:tc>
          <w:tcPr>
            <w:tcW w:w="0" w:type="auto"/>
            <w:vAlign w:val="center"/>
          </w:tcPr>
          <w:p w14:paraId="099647E2" w14:textId="77777777" w:rsidR="00833AED" w:rsidRPr="00AF0CC3" w:rsidRDefault="00833AED" w:rsidP="00833AED">
            <w:pPr>
              <w:spacing w:line="240" w:lineRule="auto"/>
              <w:rPr>
                <w:rFonts w:ascii="Times New Roman" w:hAnsi="Times New Roman" w:cs="Times New Roman"/>
                <w:color w:val="000000" w:themeColor="text1"/>
              </w:rPr>
            </w:pPr>
            <w:r w:rsidRPr="00AF0CC3">
              <w:rPr>
                <w:rFonts w:ascii="Times New Roman" w:hAnsi="Times New Roman" w:cs="Times New Roman"/>
                <w:color w:val="000000" w:themeColor="text1"/>
              </w:rPr>
              <w:t>Odeck (2014)</w:t>
            </w:r>
          </w:p>
        </w:tc>
        <w:tc>
          <w:tcPr>
            <w:tcW w:w="0" w:type="auto"/>
            <w:vAlign w:val="center"/>
          </w:tcPr>
          <w:p w14:paraId="655062B8" w14:textId="77777777" w:rsidR="00833AED" w:rsidRPr="00AF0CC3" w:rsidRDefault="00833AED" w:rsidP="00833AED">
            <w:pPr>
              <w:spacing w:line="240" w:lineRule="auto"/>
              <w:rPr>
                <w:rFonts w:ascii="Times New Roman" w:hAnsi="Times New Roman" w:cs="Times New Roman"/>
                <w:color w:val="000000" w:themeColor="text1"/>
              </w:rPr>
            </w:pPr>
            <w:r w:rsidRPr="00AF0CC3">
              <w:rPr>
                <w:rFonts w:ascii="Times New Roman" w:hAnsi="Times New Roman" w:cs="Times New Roman"/>
                <w:color w:val="000000" w:themeColor="text1"/>
              </w:rPr>
              <w:t>Institutional determinants of schedule slippage</w:t>
            </w:r>
          </w:p>
        </w:tc>
        <w:tc>
          <w:tcPr>
            <w:tcW w:w="0" w:type="auto"/>
            <w:vAlign w:val="center"/>
          </w:tcPr>
          <w:p w14:paraId="57E820D5" w14:textId="77777777" w:rsidR="00833AED" w:rsidRPr="00AF0CC3" w:rsidRDefault="00833AED" w:rsidP="00833AED">
            <w:pPr>
              <w:spacing w:line="240" w:lineRule="auto"/>
              <w:rPr>
                <w:rFonts w:ascii="Times New Roman" w:hAnsi="Times New Roman" w:cs="Times New Roman"/>
                <w:color w:val="000000" w:themeColor="text1"/>
              </w:rPr>
            </w:pPr>
            <w:r w:rsidRPr="00AF0CC3">
              <w:rPr>
                <w:rFonts w:ascii="Times New Roman" w:hAnsi="Times New Roman" w:cs="Times New Roman"/>
                <w:color w:val="000000" w:themeColor="text1"/>
              </w:rPr>
              <w:t>Institutional conditions influence timelines</w:t>
            </w:r>
          </w:p>
        </w:tc>
        <w:tc>
          <w:tcPr>
            <w:tcW w:w="0" w:type="auto"/>
            <w:vAlign w:val="center"/>
          </w:tcPr>
          <w:p w14:paraId="7F406C1C" w14:textId="77777777" w:rsidR="00833AED" w:rsidRPr="00AF0CC3" w:rsidRDefault="00833AED" w:rsidP="00833AED">
            <w:pPr>
              <w:spacing w:line="240" w:lineRule="auto"/>
              <w:rPr>
                <w:rFonts w:ascii="Times New Roman" w:hAnsi="Times New Roman" w:cs="Times New Roman"/>
                <w:color w:val="000000" w:themeColor="text1"/>
              </w:rPr>
            </w:pPr>
            <w:r w:rsidRPr="00AF0CC3">
              <w:rPr>
                <w:rFonts w:ascii="Times New Roman" w:hAnsi="Times New Roman" w:cs="Times New Roman"/>
                <w:color w:val="000000" w:themeColor="text1"/>
              </w:rPr>
              <w:t>Lacks lifecycle-wide governance testing</w:t>
            </w:r>
          </w:p>
        </w:tc>
      </w:tr>
      <w:tr w:rsidR="00833AED" w:rsidRPr="00AF0CC3" w14:paraId="47E36DBD" w14:textId="77777777" w:rsidTr="008237C2">
        <w:trPr>
          <w:tblHeader/>
          <w:tblCellSpacing w:w="15" w:type="dxa"/>
        </w:trPr>
        <w:tc>
          <w:tcPr>
            <w:tcW w:w="0" w:type="auto"/>
            <w:vAlign w:val="center"/>
          </w:tcPr>
          <w:p w14:paraId="08346BF0" w14:textId="77777777" w:rsidR="00833AED" w:rsidRPr="00AF0CC3" w:rsidRDefault="00833AED" w:rsidP="00833AED">
            <w:pPr>
              <w:spacing w:line="240" w:lineRule="auto"/>
              <w:rPr>
                <w:rFonts w:ascii="Times New Roman" w:hAnsi="Times New Roman" w:cs="Times New Roman"/>
                <w:color w:val="000000" w:themeColor="text1"/>
              </w:rPr>
            </w:pPr>
          </w:p>
        </w:tc>
        <w:tc>
          <w:tcPr>
            <w:tcW w:w="0" w:type="auto"/>
            <w:vAlign w:val="center"/>
          </w:tcPr>
          <w:p w14:paraId="5E1D8817" w14:textId="77777777" w:rsidR="00833AED" w:rsidRPr="00AF0CC3" w:rsidRDefault="00833AED" w:rsidP="00833AED">
            <w:pPr>
              <w:spacing w:line="240" w:lineRule="auto"/>
              <w:rPr>
                <w:rFonts w:ascii="Times New Roman" w:hAnsi="Times New Roman" w:cs="Times New Roman"/>
                <w:color w:val="000000" w:themeColor="text1"/>
              </w:rPr>
            </w:pPr>
            <w:r w:rsidRPr="00AF0CC3">
              <w:rPr>
                <w:rFonts w:ascii="Times New Roman" w:hAnsi="Times New Roman" w:cs="Times New Roman"/>
                <w:color w:val="000000" w:themeColor="text1"/>
              </w:rPr>
              <w:t>Ahsan &amp; Gunawan (2010)</w:t>
            </w:r>
          </w:p>
        </w:tc>
        <w:tc>
          <w:tcPr>
            <w:tcW w:w="0" w:type="auto"/>
            <w:vAlign w:val="center"/>
          </w:tcPr>
          <w:p w14:paraId="2DFAB326" w14:textId="77777777" w:rsidR="00833AED" w:rsidRPr="00AF0CC3" w:rsidRDefault="00833AED" w:rsidP="00833AED">
            <w:pPr>
              <w:spacing w:line="240" w:lineRule="auto"/>
              <w:rPr>
                <w:rFonts w:ascii="Times New Roman" w:hAnsi="Times New Roman" w:cs="Times New Roman"/>
                <w:color w:val="000000" w:themeColor="text1"/>
              </w:rPr>
            </w:pPr>
            <w:r w:rsidRPr="00AF0CC3">
              <w:rPr>
                <w:rFonts w:ascii="Times New Roman" w:hAnsi="Times New Roman" w:cs="Times New Roman"/>
                <w:color w:val="000000" w:themeColor="text1"/>
              </w:rPr>
              <w:t>Public sector project delays</w:t>
            </w:r>
          </w:p>
        </w:tc>
        <w:tc>
          <w:tcPr>
            <w:tcW w:w="0" w:type="auto"/>
            <w:vAlign w:val="center"/>
          </w:tcPr>
          <w:p w14:paraId="05B775A6" w14:textId="77777777" w:rsidR="00833AED" w:rsidRPr="00AF0CC3" w:rsidRDefault="00833AED" w:rsidP="00833AED">
            <w:pPr>
              <w:spacing w:line="240" w:lineRule="auto"/>
              <w:rPr>
                <w:rFonts w:ascii="Times New Roman" w:hAnsi="Times New Roman" w:cs="Times New Roman"/>
                <w:color w:val="000000" w:themeColor="text1"/>
              </w:rPr>
            </w:pPr>
            <w:r w:rsidRPr="00AF0CC3">
              <w:rPr>
                <w:rFonts w:ascii="Times New Roman" w:hAnsi="Times New Roman" w:cs="Times New Roman"/>
                <w:color w:val="000000" w:themeColor="text1"/>
              </w:rPr>
              <w:t>Weak oversight increases schedule slippage</w:t>
            </w:r>
          </w:p>
        </w:tc>
        <w:tc>
          <w:tcPr>
            <w:tcW w:w="0" w:type="auto"/>
            <w:vAlign w:val="center"/>
          </w:tcPr>
          <w:p w14:paraId="6A2927A9" w14:textId="77777777" w:rsidR="00833AED" w:rsidRPr="00AF0CC3" w:rsidRDefault="00833AED" w:rsidP="00833AED">
            <w:pPr>
              <w:spacing w:line="240" w:lineRule="auto"/>
              <w:rPr>
                <w:rFonts w:ascii="Times New Roman" w:hAnsi="Times New Roman" w:cs="Times New Roman"/>
                <w:color w:val="000000" w:themeColor="text1"/>
              </w:rPr>
            </w:pPr>
            <w:r w:rsidRPr="00AF0CC3">
              <w:rPr>
                <w:rFonts w:ascii="Times New Roman" w:hAnsi="Times New Roman" w:cs="Times New Roman"/>
                <w:color w:val="000000" w:themeColor="text1"/>
              </w:rPr>
              <w:t>Sector-specific (water) and stalling dynamics not examined</w:t>
            </w:r>
          </w:p>
        </w:tc>
      </w:tr>
      <w:tr w:rsidR="00833AED" w:rsidRPr="00AF0CC3" w14:paraId="0C26D283" w14:textId="77777777" w:rsidTr="008237C2">
        <w:trPr>
          <w:tblHeader/>
          <w:tblCellSpacing w:w="15" w:type="dxa"/>
        </w:trPr>
        <w:tc>
          <w:tcPr>
            <w:tcW w:w="0" w:type="auto"/>
            <w:vAlign w:val="center"/>
          </w:tcPr>
          <w:p w14:paraId="7AF5C259" w14:textId="77777777" w:rsidR="00833AED" w:rsidRPr="00AF0CC3" w:rsidRDefault="00833AED" w:rsidP="00833AED">
            <w:pPr>
              <w:spacing w:line="240" w:lineRule="auto"/>
              <w:rPr>
                <w:rFonts w:ascii="Times New Roman" w:hAnsi="Times New Roman" w:cs="Times New Roman"/>
                <w:color w:val="000000" w:themeColor="text1"/>
              </w:rPr>
            </w:pPr>
          </w:p>
        </w:tc>
        <w:tc>
          <w:tcPr>
            <w:tcW w:w="0" w:type="auto"/>
            <w:vAlign w:val="center"/>
          </w:tcPr>
          <w:p w14:paraId="412DD69B" w14:textId="77777777" w:rsidR="00833AED" w:rsidRPr="00AF0CC3" w:rsidRDefault="00833AED" w:rsidP="00833AED">
            <w:pPr>
              <w:spacing w:line="240" w:lineRule="auto"/>
              <w:rPr>
                <w:rFonts w:ascii="Times New Roman" w:hAnsi="Times New Roman" w:cs="Times New Roman"/>
                <w:color w:val="000000" w:themeColor="text1"/>
              </w:rPr>
            </w:pPr>
            <w:r w:rsidRPr="00AF0CC3">
              <w:rPr>
                <w:rFonts w:ascii="Times New Roman" w:hAnsi="Times New Roman" w:cs="Times New Roman"/>
                <w:color w:val="000000" w:themeColor="text1"/>
              </w:rPr>
              <w:t>Love et al. (2016)</w:t>
            </w:r>
          </w:p>
        </w:tc>
        <w:tc>
          <w:tcPr>
            <w:tcW w:w="0" w:type="auto"/>
            <w:vAlign w:val="center"/>
          </w:tcPr>
          <w:p w14:paraId="168EBEF8" w14:textId="77777777" w:rsidR="00833AED" w:rsidRPr="00AF0CC3" w:rsidRDefault="00833AED" w:rsidP="00833AED">
            <w:pPr>
              <w:spacing w:line="240" w:lineRule="auto"/>
              <w:rPr>
                <w:rFonts w:ascii="Times New Roman" w:hAnsi="Times New Roman" w:cs="Times New Roman"/>
                <w:color w:val="000000" w:themeColor="text1"/>
              </w:rPr>
            </w:pPr>
            <w:r w:rsidRPr="00AF0CC3">
              <w:rPr>
                <w:rFonts w:ascii="Times New Roman" w:hAnsi="Times New Roman" w:cs="Times New Roman"/>
                <w:color w:val="000000" w:themeColor="text1"/>
              </w:rPr>
              <w:t>Construction delay determinants</w:t>
            </w:r>
          </w:p>
        </w:tc>
        <w:tc>
          <w:tcPr>
            <w:tcW w:w="0" w:type="auto"/>
            <w:vAlign w:val="center"/>
          </w:tcPr>
          <w:p w14:paraId="7D40EE95" w14:textId="77777777" w:rsidR="00833AED" w:rsidRPr="00AF0CC3" w:rsidRDefault="00833AED" w:rsidP="00833AED">
            <w:pPr>
              <w:spacing w:line="240" w:lineRule="auto"/>
              <w:rPr>
                <w:rFonts w:ascii="Times New Roman" w:hAnsi="Times New Roman" w:cs="Times New Roman"/>
                <w:color w:val="000000" w:themeColor="text1"/>
              </w:rPr>
            </w:pPr>
            <w:r w:rsidRPr="00AF0CC3">
              <w:rPr>
                <w:rFonts w:ascii="Times New Roman" w:hAnsi="Times New Roman" w:cs="Times New Roman"/>
                <w:color w:val="000000" w:themeColor="text1"/>
              </w:rPr>
              <w:t>Contract management and planning shape delays</w:t>
            </w:r>
          </w:p>
        </w:tc>
        <w:tc>
          <w:tcPr>
            <w:tcW w:w="0" w:type="auto"/>
            <w:vAlign w:val="center"/>
          </w:tcPr>
          <w:p w14:paraId="3F0DB6B3" w14:textId="77777777" w:rsidR="00833AED" w:rsidRPr="00AF0CC3" w:rsidRDefault="00833AED" w:rsidP="00833AED">
            <w:pPr>
              <w:spacing w:line="240" w:lineRule="auto"/>
              <w:rPr>
                <w:rFonts w:ascii="Times New Roman" w:hAnsi="Times New Roman" w:cs="Times New Roman"/>
                <w:color w:val="000000" w:themeColor="text1"/>
              </w:rPr>
            </w:pPr>
            <w:r w:rsidRPr="00AF0CC3">
              <w:rPr>
                <w:rFonts w:ascii="Times New Roman" w:hAnsi="Times New Roman" w:cs="Times New Roman"/>
                <w:color w:val="000000" w:themeColor="text1"/>
              </w:rPr>
              <w:t>Governance treated implicitly rather than operationalized</w:t>
            </w:r>
          </w:p>
        </w:tc>
      </w:tr>
      <w:tr w:rsidR="00833AED" w:rsidRPr="00AF0CC3" w14:paraId="380BC7AE" w14:textId="77777777" w:rsidTr="008237C2">
        <w:trPr>
          <w:tblHeader/>
          <w:tblCellSpacing w:w="15" w:type="dxa"/>
        </w:trPr>
        <w:tc>
          <w:tcPr>
            <w:tcW w:w="0" w:type="auto"/>
            <w:vAlign w:val="center"/>
          </w:tcPr>
          <w:p w14:paraId="4866AB21" w14:textId="77777777" w:rsidR="00833AED" w:rsidRPr="00AF0CC3" w:rsidRDefault="00833AED" w:rsidP="00833AED">
            <w:pPr>
              <w:spacing w:line="240" w:lineRule="auto"/>
              <w:rPr>
                <w:rFonts w:ascii="Times New Roman" w:hAnsi="Times New Roman" w:cs="Times New Roman"/>
                <w:color w:val="000000" w:themeColor="text1"/>
              </w:rPr>
            </w:pPr>
            <w:r w:rsidRPr="00AF0CC3">
              <w:rPr>
                <w:rFonts w:ascii="Times New Roman" w:hAnsi="Times New Roman" w:cs="Times New Roman"/>
                <w:color w:val="000000" w:themeColor="text1"/>
              </w:rPr>
              <w:t>DV: Cost Overruns (RQ3, H3)</w:t>
            </w:r>
          </w:p>
        </w:tc>
        <w:tc>
          <w:tcPr>
            <w:tcW w:w="0" w:type="auto"/>
            <w:vAlign w:val="center"/>
          </w:tcPr>
          <w:p w14:paraId="25BFEC07" w14:textId="77777777" w:rsidR="00833AED" w:rsidRPr="00AF0CC3" w:rsidRDefault="00833AED" w:rsidP="00833AED">
            <w:pPr>
              <w:spacing w:line="240" w:lineRule="auto"/>
              <w:rPr>
                <w:rFonts w:ascii="Times New Roman" w:hAnsi="Times New Roman" w:cs="Times New Roman"/>
                <w:color w:val="000000" w:themeColor="text1"/>
              </w:rPr>
            </w:pPr>
            <w:r w:rsidRPr="00AF0CC3">
              <w:rPr>
                <w:rFonts w:ascii="Times New Roman" w:hAnsi="Times New Roman" w:cs="Times New Roman"/>
                <w:color w:val="000000" w:themeColor="text1"/>
              </w:rPr>
              <w:t>Flyvbjerg (2014)</w:t>
            </w:r>
          </w:p>
        </w:tc>
        <w:tc>
          <w:tcPr>
            <w:tcW w:w="0" w:type="auto"/>
            <w:vAlign w:val="center"/>
          </w:tcPr>
          <w:p w14:paraId="4ECE969E" w14:textId="77777777" w:rsidR="00833AED" w:rsidRPr="00AF0CC3" w:rsidRDefault="00833AED" w:rsidP="00833AED">
            <w:pPr>
              <w:spacing w:line="240" w:lineRule="auto"/>
              <w:rPr>
                <w:rFonts w:ascii="Times New Roman" w:hAnsi="Times New Roman" w:cs="Times New Roman"/>
                <w:color w:val="000000" w:themeColor="text1"/>
              </w:rPr>
            </w:pPr>
            <w:r w:rsidRPr="00AF0CC3">
              <w:rPr>
                <w:rFonts w:ascii="Times New Roman" w:hAnsi="Times New Roman" w:cs="Times New Roman"/>
                <w:color w:val="000000" w:themeColor="text1"/>
              </w:rPr>
              <w:t>Cost escalation patterns</w:t>
            </w:r>
          </w:p>
        </w:tc>
        <w:tc>
          <w:tcPr>
            <w:tcW w:w="0" w:type="auto"/>
            <w:vAlign w:val="center"/>
          </w:tcPr>
          <w:p w14:paraId="66750F93" w14:textId="77777777" w:rsidR="00833AED" w:rsidRPr="00AF0CC3" w:rsidRDefault="00833AED" w:rsidP="00833AED">
            <w:pPr>
              <w:spacing w:line="240" w:lineRule="auto"/>
              <w:rPr>
                <w:rFonts w:ascii="Times New Roman" w:hAnsi="Times New Roman" w:cs="Times New Roman"/>
                <w:color w:val="000000" w:themeColor="text1"/>
              </w:rPr>
            </w:pPr>
            <w:r w:rsidRPr="00AF0CC3">
              <w:rPr>
                <w:rFonts w:ascii="Times New Roman" w:hAnsi="Times New Roman" w:cs="Times New Roman"/>
                <w:color w:val="000000" w:themeColor="text1"/>
              </w:rPr>
              <w:t>Cost overruns are structural and persistent</w:t>
            </w:r>
          </w:p>
        </w:tc>
        <w:tc>
          <w:tcPr>
            <w:tcW w:w="0" w:type="auto"/>
            <w:vAlign w:val="center"/>
          </w:tcPr>
          <w:p w14:paraId="33E374FC" w14:textId="77777777" w:rsidR="00833AED" w:rsidRPr="00AF0CC3" w:rsidRDefault="00833AED" w:rsidP="00833AED">
            <w:pPr>
              <w:spacing w:line="240" w:lineRule="auto"/>
              <w:rPr>
                <w:rFonts w:ascii="Times New Roman" w:hAnsi="Times New Roman" w:cs="Times New Roman"/>
                <w:color w:val="000000" w:themeColor="text1"/>
              </w:rPr>
            </w:pPr>
            <w:r w:rsidRPr="00AF0CC3">
              <w:rPr>
                <w:rFonts w:ascii="Times New Roman" w:hAnsi="Times New Roman" w:cs="Times New Roman"/>
                <w:color w:val="000000" w:themeColor="text1"/>
              </w:rPr>
              <w:t>Governance mechanisms inferred but not empirically indexed</w:t>
            </w:r>
          </w:p>
        </w:tc>
      </w:tr>
      <w:tr w:rsidR="00833AED" w:rsidRPr="00AF0CC3" w14:paraId="71576809" w14:textId="77777777" w:rsidTr="008237C2">
        <w:trPr>
          <w:tblHeader/>
          <w:tblCellSpacing w:w="15" w:type="dxa"/>
        </w:trPr>
        <w:tc>
          <w:tcPr>
            <w:tcW w:w="0" w:type="auto"/>
            <w:vAlign w:val="center"/>
          </w:tcPr>
          <w:p w14:paraId="36F839C6" w14:textId="77777777" w:rsidR="00833AED" w:rsidRPr="00AF0CC3" w:rsidRDefault="00833AED" w:rsidP="00833AED">
            <w:pPr>
              <w:spacing w:line="240" w:lineRule="auto"/>
              <w:rPr>
                <w:rFonts w:ascii="Times New Roman" w:hAnsi="Times New Roman" w:cs="Times New Roman"/>
                <w:color w:val="000000" w:themeColor="text1"/>
              </w:rPr>
            </w:pPr>
          </w:p>
        </w:tc>
        <w:tc>
          <w:tcPr>
            <w:tcW w:w="0" w:type="auto"/>
            <w:vAlign w:val="center"/>
          </w:tcPr>
          <w:p w14:paraId="6BCD396B" w14:textId="77777777" w:rsidR="00833AED" w:rsidRPr="00AF0CC3" w:rsidRDefault="00833AED" w:rsidP="00833AED">
            <w:pPr>
              <w:spacing w:line="240" w:lineRule="auto"/>
              <w:rPr>
                <w:rFonts w:ascii="Times New Roman" w:hAnsi="Times New Roman" w:cs="Times New Roman"/>
                <w:color w:val="000000" w:themeColor="text1"/>
              </w:rPr>
            </w:pPr>
            <w:r w:rsidRPr="00AF0CC3">
              <w:rPr>
                <w:rFonts w:ascii="Times New Roman" w:hAnsi="Times New Roman" w:cs="Times New Roman"/>
                <w:color w:val="000000" w:themeColor="text1"/>
              </w:rPr>
              <w:t>Cantarelli et al. (2012)</w:t>
            </w:r>
          </w:p>
        </w:tc>
        <w:tc>
          <w:tcPr>
            <w:tcW w:w="0" w:type="auto"/>
            <w:vAlign w:val="center"/>
          </w:tcPr>
          <w:p w14:paraId="3B20AB91" w14:textId="77777777" w:rsidR="00833AED" w:rsidRPr="00AF0CC3" w:rsidRDefault="00833AED" w:rsidP="00833AED">
            <w:pPr>
              <w:spacing w:line="240" w:lineRule="auto"/>
              <w:rPr>
                <w:rFonts w:ascii="Times New Roman" w:hAnsi="Times New Roman" w:cs="Times New Roman"/>
                <w:color w:val="000000" w:themeColor="text1"/>
              </w:rPr>
            </w:pPr>
            <w:r w:rsidRPr="00AF0CC3">
              <w:rPr>
                <w:rFonts w:ascii="Times New Roman" w:hAnsi="Times New Roman" w:cs="Times New Roman"/>
                <w:color w:val="000000" w:themeColor="text1"/>
              </w:rPr>
              <w:t>Political drivers of cost growth</w:t>
            </w:r>
          </w:p>
        </w:tc>
        <w:tc>
          <w:tcPr>
            <w:tcW w:w="0" w:type="auto"/>
            <w:vAlign w:val="center"/>
          </w:tcPr>
          <w:p w14:paraId="6F62B084" w14:textId="77777777" w:rsidR="00833AED" w:rsidRPr="00AF0CC3" w:rsidRDefault="00833AED" w:rsidP="00833AED">
            <w:pPr>
              <w:spacing w:line="240" w:lineRule="auto"/>
              <w:rPr>
                <w:rFonts w:ascii="Times New Roman" w:hAnsi="Times New Roman" w:cs="Times New Roman"/>
                <w:color w:val="000000" w:themeColor="text1"/>
              </w:rPr>
            </w:pPr>
            <w:r w:rsidRPr="00AF0CC3">
              <w:rPr>
                <w:rFonts w:ascii="Times New Roman" w:hAnsi="Times New Roman" w:cs="Times New Roman"/>
                <w:color w:val="000000" w:themeColor="text1"/>
              </w:rPr>
              <w:t>Institutional incentives shape cost outcomes</w:t>
            </w:r>
          </w:p>
        </w:tc>
        <w:tc>
          <w:tcPr>
            <w:tcW w:w="0" w:type="auto"/>
            <w:vAlign w:val="center"/>
          </w:tcPr>
          <w:p w14:paraId="381AA5CC" w14:textId="77777777" w:rsidR="00833AED" w:rsidRPr="00AF0CC3" w:rsidRDefault="00833AED" w:rsidP="00833AED">
            <w:pPr>
              <w:spacing w:line="240" w:lineRule="auto"/>
              <w:rPr>
                <w:rFonts w:ascii="Times New Roman" w:hAnsi="Times New Roman" w:cs="Times New Roman"/>
                <w:color w:val="000000" w:themeColor="text1"/>
              </w:rPr>
            </w:pPr>
            <w:r w:rsidRPr="00AF0CC3">
              <w:rPr>
                <w:rFonts w:ascii="Times New Roman" w:hAnsi="Times New Roman" w:cs="Times New Roman"/>
                <w:color w:val="000000" w:themeColor="text1"/>
              </w:rPr>
              <w:t>No linkage between cost escalation and project stalling</w:t>
            </w:r>
          </w:p>
        </w:tc>
      </w:tr>
      <w:tr w:rsidR="00833AED" w:rsidRPr="00AF0CC3" w14:paraId="5C605192" w14:textId="77777777" w:rsidTr="008237C2">
        <w:trPr>
          <w:tblHeader/>
          <w:tblCellSpacing w:w="15" w:type="dxa"/>
        </w:trPr>
        <w:tc>
          <w:tcPr>
            <w:tcW w:w="0" w:type="auto"/>
            <w:vAlign w:val="center"/>
          </w:tcPr>
          <w:p w14:paraId="413F14CF" w14:textId="77777777" w:rsidR="00833AED" w:rsidRPr="00AF0CC3" w:rsidRDefault="00833AED" w:rsidP="00833AED">
            <w:pPr>
              <w:spacing w:line="240" w:lineRule="auto"/>
              <w:rPr>
                <w:rFonts w:ascii="Times New Roman" w:hAnsi="Times New Roman" w:cs="Times New Roman"/>
                <w:color w:val="000000" w:themeColor="text1"/>
              </w:rPr>
            </w:pPr>
          </w:p>
        </w:tc>
        <w:tc>
          <w:tcPr>
            <w:tcW w:w="0" w:type="auto"/>
            <w:vAlign w:val="center"/>
          </w:tcPr>
          <w:p w14:paraId="2C0E26A3" w14:textId="77777777" w:rsidR="00833AED" w:rsidRPr="00AF0CC3" w:rsidRDefault="00833AED" w:rsidP="00833AED">
            <w:pPr>
              <w:spacing w:line="240" w:lineRule="auto"/>
              <w:rPr>
                <w:rFonts w:ascii="Times New Roman" w:hAnsi="Times New Roman" w:cs="Times New Roman"/>
                <w:color w:val="000000" w:themeColor="text1"/>
              </w:rPr>
            </w:pPr>
            <w:r w:rsidRPr="00AF0CC3">
              <w:rPr>
                <w:rFonts w:ascii="Times New Roman" w:hAnsi="Times New Roman" w:cs="Times New Roman"/>
                <w:color w:val="000000" w:themeColor="text1"/>
              </w:rPr>
              <w:t>Williams et al. (2010)</w:t>
            </w:r>
          </w:p>
        </w:tc>
        <w:tc>
          <w:tcPr>
            <w:tcW w:w="0" w:type="auto"/>
            <w:vAlign w:val="center"/>
          </w:tcPr>
          <w:p w14:paraId="35ED0219" w14:textId="77777777" w:rsidR="00833AED" w:rsidRPr="00AF0CC3" w:rsidRDefault="00833AED" w:rsidP="00833AED">
            <w:pPr>
              <w:spacing w:line="240" w:lineRule="auto"/>
              <w:rPr>
                <w:rFonts w:ascii="Times New Roman" w:hAnsi="Times New Roman" w:cs="Times New Roman"/>
                <w:color w:val="000000" w:themeColor="text1"/>
              </w:rPr>
            </w:pPr>
            <w:r w:rsidRPr="00AF0CC3">
              <w:rPr>
                <w:rFonts w:ascii="Times New Roman" w:hAnsi="Times New Roman" w:cs="Times New Roman"/>
                <w:color w:val="000000" w:themeColor="text1"/>
              </w:rPr>
              <w:t>Infrastructure complexity and cost growth</w:t>
            </w:r>
          </w:p>
        </w:tc>
        <w:tc>
          <w:tcPr>
            <w:tcW w:w="0" w:type="auto"/>
            <w:vAlign w:val="center"/>
          </w:tcPr>
          <w:p w14:paraId="60764C7A" w14:textId="77777777" w:rsidR="00833AED" w:rsidRPr="00AF0CC3" w:rsidRDefault="00833AED" w:rsidP="00833AED">
            <w:pPr>
              <w:spacing w:line="240" w:lineRule="auto"/>
              <w:rPr>
                <w:rFonts w:ascii="Times New Roman" w:hAnsi="Times New Roman" w:cs="Times New Roman"/>
                <w:color w:val="000000" w:themeColor="text1"/>
              </w:rPr>
            </w:pPr>
            <w:r w:rsidRPr="00AF0CC3">
              <w:rPr>
                <w:rFonts w:ascii="Times New Roman" w:hAnsi="Times New Roman" w:cs="Times New Roman"/>
                <w:color w:val="000000" w:themeColor="text1"/>
              </w:rPr>
              <w:t>Governance complexity increases cost risk</w:t>
            </w:r>
          </w:p>
        </w:tc>
        <w:tc>
          <w:tcPr>
            <w:tcW w:w="0" w:type="auto"/>
            <w:vAlign w:val="center"/>
          </w:tcPr>
          <w:p w14:paraId="3560C487" w14:textId="77777777" w:rsidR="00833AED" w:rsidRPr="00AF0CC3" w:rsidRDefault="00833AED" w:rsidP="00833AED">
            <w:pPr>
              <w:spacing w:line="240" w:lineRule="auto"/>
              <w:rPr>
                <w:rFonts w:ascii="Times New Roman" w:hAnsi="Times New Roman" w:cs="Times New Roman"/>
                <w:color w:val="000000" w:themeColor="text1"/>
              </w:rPr>
            </w:pPr>
            <w:r w:rsidRPr="00AF0CC3">
              <w:rPr>
                <w:rFonts w:ascii="Times New Roman" w:hAnsi="Times New Roman" w:cs="Times New Roman"/>
                <w:color w:val="000000" w:themeColor="text1"/>
              </w:rPr>
              <w:t>No composite governance-performance index</w:t>
            </w:r>
          </w:p>
        </w:tc>
      </w:tr>
      <w:tr w:rsidR="00833AED" w:rsidRPr="00AF0CC3" w14:paraId="2A8F2870" w14:textId="77777777" w:rsidTr="008237C2">
        <w:trPr>
          <w:tblHeader/>
          <w:tblCellSpacing w:w="15" w:type="dxa"/>
        </w:trPr>
        <w:tc>
          <w:tcPr>
            <w:tcW w:w="0" w:type="auto"/>
            <w:vAlign w:val="center"/>
          </w:tcPr>
          <w:p w14:paraId="762648C5" w14:textId="77777777" w:rsidR="00833AED" w:rsidRPr="00AF0CC3" w:rsidRDefault="00833AED" w:rsidP="00833AED">
            <w:pPr>
              <w:spacing w:line="240" w:lineRule="auto"/>
              <w:rPr>
                <w:rFonts w:ascii="Times New Roman" w:hAnsi="Times New Roman" w:cs="Times New Roman"/>
                <w:color w:val="000000" w:themeColor="text1"/>
              </w:rPr>
            </w:pPr>
          </w:p>
        </w:tc>
        <w:tc>
          <w:tcPr>
            <w:tcW w:w="0" w:type="auto"/>
            <w:vAlign w:val="center"/>
          </w:tcPr>
          <w:p w14:paraId="35C29BA3" w14:textId="77777777" w:rsidR="00833AED" w:rsidRPr="00AF0CC3" w:rsidRDefault="00833AED" w:rsidP="00833AED">
            <w:pPr>
              <w:spacing w:line="240" w:lineRule="auto"/>
              <w:rPr>
                <w:rFonts w:ascii="Times New Roman" w:hAnsi="Times New Roman" w:cs="Times New Roman"/>
                <w:color w:val="000000" w:themeColor="text1"/>
              </w:rPr>
            </w:pPr>
            <w:r w:rsidRPr="00AF0CC3">
              <w:rPr>
                <w:rFonts w:ascii="Times New Roman" w:hAnsi="Times New Roman" w:cs="Times New Roman"/>
                <w:color w:val="000000" w:themeColor="text1"/>
              </w:rPr>
              <w:t>Siemiatycki (2015)</w:t>
            </w:r>
          </w:p>
        </w:tc>
        <w:tc>
          <w:tcPr>
            <w:tcW w:w="0" w:type="auto"/>
            <w:vAlign w:val="center"/>
          </w:tcPr>
          <w:p w14:paraId="05D98F9D" w14:textId="77777777" w:rsidR="00833AED" w:rsidRPr="00AF0CC3" w:rsidRDefault="00833AED" w:rsidP="00833AED">
            <w:pPr>
              <w:spacing w:line="240" w:lineRule="auto"/>
              <w:rPr>
                <w:rFonts w:ascii="Times New Roman" w:hAnsi="Times New Roman" w:cs="Times New Roman"/>
                <w:color w:val="000000" w:themeColor="text1"/>
              </w:rPr>
            </w:pPr>
            <w:r w:rsidRPr="00AF0CC3">
              <w:rPr>
                <w:rFonts w:ascii="Times New Roman" w:hAnsi="Times New Roman" w:cs="Times New Roman"/>
                <w:color w:val="000000" w:themeColor="text1"/>
              </w:rPr>
              <w:t>Political risk and infrastructure accountability</w:t>
            </w:r>
          </w:p>
        </w:tc>
        <w:tc>
          <w:tcPr>
            <w:tcW w:w="0" w:type="auto"/>
            <w:vAlign w:val="center"/>
          </w:tcPr>
          <w:p w14:paraId="066733E2" w14:textId="77777777" w:rsidR="00833AED" w:rsidRPr="00AF0CC3" w:rsidRDefault="00833AED" w:rsidP="00833AED">
            <w:pPr>
              <w:spacing w:line="240" w:lineRule="auto"/>
              <w:rPr>
                <w:rFonts w:ascii="Times New Roman" w:hAnsi="Times New Roman" w:cs="Times New Roman"/>
                <w:color w:val="000000" w:themeColor="text1"/>
              </w:rPr>
            </w:pPr>
            <w:r w:rsidRPr="00AF0CC3">
              <w:rPr>
                <w:rFonts w:ascii="Times New Roman" w:hAnsi="Times New Roman" w:cs="Times New Roman"/>
                <w:color w:val="000000" w:themeColor="text1"/>
              </w:rPr>
              <w:t>Political accountability shapes cost exposure</w:t>
            </w:r>
          </w:p>
        </w:tc>
        <w:tc>
          <w:tcPr>
            <w:tcW w:w="0" w:type="auto"/>
            <w:vAlign w:val="center"/>
          </w:tcPr>
          <w:p w14:paraId="403E2145" w14:textId="77777777" w:rsidR="00833AED" w:rsidRPr="00AF0CC3" w:rsidRDefault="00833AED" w:rsidP="00833AED">
            <w:pPr>
              <w:spacing w:line="240" w:lineRule="auto"/>
              <w:rPr>
                <w:rFonts w:ascii="Times New Roman" w:hAnsi="Times New Roman" w:cs="Times New Roman"/>
                <w:color w:val="000000" w:themeColor="text1"/>
              </w:rPr>
            </w:pPr>
            <w:r w:rsidRPr="00AF0CC3">
              <w:rPr>
                <w:rFonts w:ascii="Times New Roman" w:hAnsi="Times New Roman" w:cs="Times New Roman"/>
                <w:color w:val="000000" w:themeColor="text1"/>
              </w:rPr>
              <w:t>Limited project-level modelling in developing contexts</w:t>
            </w:r>
          </w:p>
        </w:tc>
      </w:tr>
      <w:tr w:rsidR="00833AED" w:rsidRPr="00AF0CC3" w14:paraId="49B838A0" w14:textId="77777777" w:rsidTr="008237C2">
        <w:trPr>
          <w:tblHeader/>
          <w:tblCellSpacing w:w="15" w:type="dxa"/>
        </w:trPr>
        <w:tc>
          <w:tcPr>
            <w:tcW w:w="0" w:type="auto"/>
            <w:vAlign w:val="center"/>
          </w:tcPr>
          <w:p w14:paraId="510F1865" w14:textId="77777777" w:rsidR="00833AED" w:rsidRPr="00AF0CC3" w:rsidRDefault="00833AED" w:rsidP="00833AED">
            <w:pPr>
              <w:spacing w:line="240" w:lineRule="auto"/>
              <w:rPr>
                <w:rFonts w:ascii="Times New Roman" w:hAnsi="Times New Roman" w:cs="Times New Roman"/>
                <w:color w:val="000000" w:themeColor="text1"/>
              </w:rPr>
            </w:pPr>
            <w:r w:rsidRPr="00AF0CC3">
              <w:rPr>
                <w:rFonts w:ascii="Times New Roman" w:hAnsi="Times New Roman" w:cs="Times New Roman"/>
                <w:color w:val="000000" w:themeColor="text1"/>
              </w:rPr>
              <w:t>IV: Governance Quality (Project-Level) (Core IV; H1–H3)</w:t>
            </w:r>
          </w:p>
        </w:tc>
        <w:tc>
          <w:tcPr>
            <w:tcW w:w="0" w:type="auto"/>
            <w:vAlign w:val="center"/>
          </w:tcPr>
          <w:p w14:paraId="4B27AE03" w14:textId="77777777" w:rsidR="00833AED" w:rsidRPr="00AF0CC3" w:rsidRDefault="00833AED" w:rsidP="00833AED">
            <w:pPr>
              <w:spacing w:line="240" w:lineRule="auto"/>
              <w:rPr>
                <w:rFonts w:ascii="Times New Roman" w:hAnsi="Times New Roman" w:cs="Times New Roman"/>
                <w:color w:val="000000" w:themeColor="text1"/>
              </w:rPr>
            </w:pPr>
            <w:r w:rsidRPr="00AF0CC3">
              <w:rPr>
                <w:rFonts w:ascii="Times New Roman" w:hAnsi="Times New Roman" w:cs="Times New Roman"/>
                <w:color w:val="000000" w:themeColor="text1"/>
              </w:rPr>
              <w:t>Too &amp; Weaver (2014)</w:t>
            </w:r>
          </w:p>
        </w:tc>
        <w:tc>
          <w:tcPr>
            <w:tcW w:w="0" w:type="auto"/>
            <w:vAlign w:val="center"/>
          </w:tcPr>
          <w:p w14:paraId="4C4B8254" w14:textId="77777777" w:rsidR="00833AED" w:rsidRPr="00AF0CC3" w:rsidRDefault="00833AED" w:rsidP="00833AED">
            <w:pPr>
              <w:spacing w:line="240" w:lineRule="auto"/>
              <w:rPr>
                <w:rFonts w:ascii="Times New Roman" w:hAnsi="Times New Roman" w:cs="Times New Roman"/>
                <w:color w:val="000000" w:themeColor="text1"/>
              </w:rPr>
            </w:pPr>
            <w:r w:rsidRPr="00AF0CC3">
              <w:rPr>
                <w:rFonts w:ascii="Times New Roman" w:hAnsi="Times New Roman" w:cs="Times New Roman"/>
                <w:color w:val="000000" w:themeColor="text1"/>
              </w:rPr>
              <w:t>Project governance frameworks</w:t>
            </w:r>
          </w:p>
        </w:tc>
        <w:tc>
          <w:tcPr>
            <w:tcW w:w="0" w:type="auto"/>
            <w:vAlign w:val="center"/>
          </w:tcPr>
          <w:p w14:paraId="07D3B72C" w14:textId="77777777" w:rsidR="00833AED" w:rsidRPr="00AF0CC3" w:rsidRDefault="00833AED" w:rsidP="00833AED">
            <w:pPr>
              <w:spacing w:line="240" w:lineRule="auto"/>
              <w:rPr>
                <w:rFonts w:ascii="Times New Roman" w:hAnsi="Times New Roman" w:cs="Times New Roman"/>
                <w:color w:val="000000" w:themeColor="text1"/>
              </w:rPr>
            </w:pPr>
            <w:r w:rsidRPr="00AF0CC3">
              <w:rPr>
                <w:rFonts w:ascii="Times New Roman" w:hAnsi="Times New Roman" w:cs="Times New Roman"/>
                <w:color w:val="000000" w:themeColor="text1"/>
              </w:rPr>
              <w:t>Governance maturity correlates with performance</w:t>
            </w:r>
          </w:p>
        </w:tc>
        <w:tc>
          <w:tcPr>
            <w:tcW w:w="0" w:type="auto"/>
            <w:vAlign w:val="center"/>
          </w:tcPr>
          <w:p w14:paraId="6026C09D" w14:textId="77777777" w:rsidR="00833AED" w:rsidRPr="00AF0CC3" w:rsidRDefault="00833AED" w:rsidP="00833AED">
            <w:pPr>
              <w:spacing w:line="240" w:lineRule="auto"/>
              <w:rPr>
                <w:rFonts w:ascii="Times New Roman" w:hAnsi="Times New Roman" w:cs="Times New Roman"/>
                <w:color w:val="000000" w:themeColor="text1"/>
              </w:rPr>
            </w:pPr>
            <w:r w:rsidRPr="00AF0CC3">
              <w:rPr>
                <w:rFonts w:ascii="Times New Roman" w:hAnsi="Times New Roman" w:cs="Times New Roman"/>
                <w:color w:val="000000" w:themeColor="text1"/>
              </w:rPr>
              <w:t>Governance not operationalized through verifiable project documentation</w:t>
            </w:r>
          </w:p>
        </w:tc>
      </w:tr>
      <w:tr w:rsidR="00833AED" w:rsidRPr="00AF0CC3" w14:paraId="76962F15" w14:textId="77777777" w:rsidTr="008237C2">
        <w:trPr>
          <w:tblHeader/>
          <w:tblCellSpacing w:w="15" w:type="dxa"/>
        </w:trPr>
        <w:tc>
          <w:tcPr>
            <w:tcW w:w="0" w:type="auto"/>
            <w:vAlign w:val="center"/>
          </w:tcPr>
          <w:p w14:paraId="3B613A0D" w14:textId="77777777" w:rsidR="00833AED" w:rsidRPr="00AF0CC3" w:rsidRDefault="00833AED" w:rsidP="00833AED">
            <w:pPr>
              <w:spacing w:line="240" w:lineRule="auto"/>
              <w:rPr>
                <w:rFonts w:ascii="Times New Roman" w:hAnsi="Times New Roman" w:cs="Times New Roman"/>
                <w:color w:val="000000" w:themeColor="text1"/>
              </w:rPr>
            </w:pPr>
          </w:p>
        </w:tc>
        <w:tc>
          <w:tcPr>
            <w:tcW w:w="0" w:type="auto"/>
            <w:vAlign w:val="center"/>
          </w:tcPr>
          <w:p w14:paraId="1BFCDC17" w14:textId="77777777" w:rsidR="00833AED" w:rsidRPr="00AF0CC3" w:rsidRDefault="00833AED" w:rsidP="00833AED">
            <w:pPr>
              <w:spacing w:line="240" w:lineRule="auto"/>
              <w:rPr>
                <w:rFonts w:ascii="Times New Roman" w:hAnsi="Times New Roman" w:cs="Times New Roman"/>
                <w:color w:val="000000" w:themeColor="text1"/>
              </w:rPr>
            </w:pPr>
            <w:r w:rsidRPr="00AF0CC3">
              <w:rPr>
                <w:rFonts w:ascii="Times New Roman" w:hAnsi="Times New Roman" w:cs="Times New Roman"/>
                <w:color w:val="000000" w:themeColor="text1"/>
              </w:rPr>
              <w:t>Joslin &amp; Müller (2015)</w:t>
            </w:r>
          </w:p>
        </w:tc>
        <w:tc>
          <w:tcPr>
            <w:tcW w:w="0" w:type="auto"/>
            <w:vAlign w:val="center"/>
          </w:tcPr>
          <w:p w14:paraId="4E943040" w14:textId="77777777" w:rsidR="00833AED" w:rsidRPr="00AF0CC3" w:rsidRDefault="00833AED" w:rsidP="00833AED">
            <w:pPr>
              <w:spacing w:line="240" w:lineRule="auto"/>
              <w:rPr>
                <w:rFonts w:ascii="Times New Roman" w:hAnsi="Times New Roman" w:cs="Times New Roman"/>
                <w:color w:val="000000" w:themeColor="text1"/>
              </w:rPr>
            </w:pPr>
            <w:r w:rsidRPr="00AF0CC3">
              <w:rPr>
                <w:rFonts w:ascii="Times New Roman" w:hAnsi="Times New Roman" w:cs="Times New Roman"/>
                <w:color w:val="000000" w:themeColor="text1"/>
              </w:rPr>
              <w:t>Governance and project success</w:t>
            </w:r>
          </w:p>
        </w:tc>
        <w:tc>
          <w:tcPr>
            <w:tcW w:w="0" w:type="auto"/>
            <w:vAlign w:val="center"/>
          </w:tcPr>
          <w:p w14:paraId="260BF58C" w14:textId="77777777" w:rsidR="00833AED" w:rsidRPr="00AF0CC3" w:rsidRDefault="00833AED" w:rsidP="00833AED">
            <w:pPr>
              <w:spacing w:line="240" w:lineRule="auto"/>
              <w:rPr>
                <w:rFonts w:ascii="Times New Roman" w:hAnsi="Times New Roman" w:cs="Times New Roman"/>
                <w:color w:val="000000" w:themeColor="text1"/>
              </w:rPr>
            </w:pPr>
            <w:r w:rsidRPr="00AF0CC3">
              <w:rPr>
                <w:rFonts w:ascii="Times New Roman" w:hAnsi="Times New Roman" w:cs="Times New Roman"/>
                <w:color w:val="000000" w:themeColor="text1"/>
              </w:rPr>
              <w:t>Governance maturity predicts project success</w:t>
            </w:r>
          </w:p>
        </w:tc>
        <w:tc>
          <w:tcPr>
            <w:tcW w:w="0" w:type="auto"/>
            <w:vAlign w:val="center"/>
          </w:tcPr>
          <w:p w14:paraId="33D7BDB9" w14:textId="77777777" w:rsidR="00833AED" w:rsidRPr="00AF0CC3" w:rsidRDefault="00833AED" w:rsidP="00833AED">
            <w:pPr>
              <w:spacing w:line="240" w:lineRule="auto"/>
              <w:rPr>
                <w:rFonts w:ascii="Times New Roman" w:hAnsi="Times New Roman" w:cs="Times New Roman"/>
                <w:color w:val="000000" w:themeColor="text1"/>
              </w:rPr>
            </w:pPr>
            <w:r w:rsidRPr="00AF0CC3">
              <w:rPr>
                <w:rFonts w:ascii="Times New Roman" w:hAnsi="Times New Roman" w:cs="Times New Roman"/>
                <w:color w:val="000000" w:themeColor="text1"/>
              </w:rPr>
              <w:t>Sector-specific (water) empirical testing absent</w:t>
            </w:r>
          </w:p>
        </w:tc>
      </w:tr>
      <w:tr w:rsidR="00833AED" w:rsidRPr="00AF0CC3" w14:paraId="706BF257" w14:textId="77777777" w:rsidTr="008237C2">
        <w:trPr>
          <w:tblHeader/>
          <w:tblCellSpacing w:w="15" w:type="dxa"/>
        </w:trPr>
        <w:tc>
          <w:tcPr>
            <w:tcW w:w="0" w:type="auto"/>
            <w:vAlign w:val="center"/>
          </w:tcPr>
          <w:p w14:paraId="7A992067" w14:textId="77777777" w:rsidR="00833AED" w:rsidRPr="00AF0CC3" w:rsidRDefault="00833AED" w:rsidP="00833AED">
            <w:pPr>
              <w:spacing w:line="240" w:lineRule="auto"/>
              <w:rPr>
                <w:rFonts w:ascii="Times New Roman" w:hAnsi="Times New Roman" w:cs="Times New Roman"/>
                <w:color w:val="000000" w:themeColor="text1"/>
              </w:rPr>
            </w:pPr>
          </w:p>
        </w:tc>
        <w:tc>
          <w:tcPr>
            <w:tcW w:w="0" w:type="auto"/>
            <w:vAlign w:val="center"/>
          </w:tcPr>
          <w:p w14:paraId="5F7CFF49" w14:textId="77777777" w:rsidR="00833AED" w:rsidRPr="00AF0CC3" w:rsidRDefault="00833AED" w:rsidP="00833AED">
            <w:pPr>
              <w:spacing w:line="240" w:lineRule="auto"/>
              <w:rPr>
                <w:rFonts w:ascii="Times New Roman" w:hAnsi="Times New Roman" w:cs="Times New Roman"/>
                <w:color w:val="000000" w:themeColor="text1"/>
              </w:rPr>
            </w:pPr>
            <w:r w:rsidRPr="00AF0CC3">
              <w:rPr>
                <w:rFonts w:ascii="Times New Roman" w:hAnsi="Times New Roman" w:cs="Times New Roman"/>
                <w:color w:val="000000" w:themeColor="text1"/>
              </w:rPr>
              <w:t>Locatelli et al. (2017)</w:t>
            </w:r>
          </w:p>
        </w:tc>
        <w:tc>
          <w:tcPr>
            <w:tcW w:w="0" w:type="auto"/>
            <w:vAlign w:val="center"/>
          </w:tcPr>
          <w:p w14:paraId="595A74B3" w14:textId="77777777" w:rsidR="00833AED" w:rsidRPr="00AF0CC3" w:rsidRDefault="00833AED" w:rsidP="00833AED">
            <w:pPr>
              <w:spacing w:line="240" w:lineRule="auto"/>
              <w:rPr>
                <w:rFonts w:ascii="Times New Roman" w:hAnsi="Times New Roman" w:cs="Times New Roman"/>
                <w:color w:val="000000" w:themeColor="text1"/>
              </w:rPr>
            </w:pPr>
            <w:r w:rsidRPr="00AF0CC3">
              <w:rPr>
                <w:rFonts w:ascii="Times New Roman" w:hAnsi="Times New Roman" w:cs="Times New Roman"/>
                <w:color w:val="000000" w:themeColor="text1"/>
              </w:rPr>
              <w:t>Governance fragmentation in megaprojects</w:t>
            </w:r>
          </w:p>
        </w:tc>
        <w:tc>
          <w:tcPr>
            <w:tcW w:w="0" w:type="auto"/>
            <w:vAlign w:val="center"/>
          </w:tcPr>
          <w:p w14:paraId="7E3BE76B" w14:textId="77777777" w:rsidR="00833AED" w:rsidRPr="00AF0CC3" w:rsidRDefault="00833AED" w:rsidP="00833AED">
            <w:pPr>
              <w:spacing w:line="240" w:lineRule="auto"/>
              <w:rPr>
                <w:rFonts w:ascii="Times New Roman" w:hAnsi="Times New Roman" w:cs="Times New Roman"/>
                <w:color w:val="000000" w:themeColor="text1"/>
              </w:rPr>
            </w:pPr>
            <w:r w:rsidRPr="00AF0CC3">
              <w:rPr>
                <w:rFonts w:ascii="Times New Roman" w:hAnsi="Times New Roman" w:cs="Times New Roman"/>
                <w:color w:val="000000" w:themeColor="text1"/>
              </w:rPr>
              <w:t>Fragmentation undermines coordination</w:t>
            </w:r>
          </w:p>
        </w:tc>
        <w:tc>
          <w:tcPr>
            <w:tcW w:w="0" w:type="auto"/>
            <w:vAlign w:val="center"/>
          </w:tcPr>
          <w:p w14:paraId="5B29DF64" w14:textId="77777777" w:rsidR="00833AED" w:rsidRPr="00AF0CC3" w:rsidRDefault="00833AED" w:rsidP="00833AED">
            <w:pPr>
              <w:spacing w:line="240" w:lineRule="auto"/>
              <w:rPr>
                <w:rFonts w:ascii="Times New Roman" w:hAnsi="Times New Roman" w:cs="Times New Roman"/>
                <w:color w:val="000000" w:themeColor="text1"/>
              </w:rPr>
            </w:pPr>
            <w:r w:rsidRPr="00AF0CC3">
              <w:rPr>
                <w:rFonts w:ascii="Times New Roman" w:hAnsi="Times New Roman" w:cs="Times New Roman"/>
                <w:color w:val="000000" w:themeColor="text1"/>
              </w:rPr>
              <w:t>No quantitative governance index at project level</w:t>
            </w:r>
          </w:p>
        </w:tc>
      </w:tr>
      <w:tr w:rsidR="00833AED" w:rsidRPr="00AF0CC3" w14:paraId="79EF6048" w14:textId="77777777" w:rsidTr="008237C2">
        <w:trPr>
          <w:tblHeader/>
          <w:tblCellSpacing w:w="15" w:type="dxa"/>
        </w:trPr>
        <w:tc>
          <w:tcPr>
            <w:tcW w:w="0" w:type="auto"/>
            <w:vAlign w:val="center"/>
          </w:tcPr>
          <w:p w14:paraId="783CECD6" w14:textId="77777777" w:rsidR="00833AED" w:rsidRPr="00AF0CC3" w:rsidRDefault="00833AED" w:rsidP="00833AED">
            <w:pPr>
              <w:spacing w:line="240" w:lineRule="auto"/>
              <w:rPr>
                <w:rFonts w:ascii="Times New Roman" w:hAnsi="Times New Roman" w:cs="Times New Roman"/>
                <w:color w:val="000000" w:themeColor="text1"/>
              </w:rPr>
            </w:pPr>
          </w:p>
        </w:tc>
        <w:tc>
          <w:tcPr>
            <w:tcW w:w="0" w:type="auto"/>
            <w:vAlign w:val="center"/>
          </w:tcPr>
          <w:p w14:paraId="5456CA0C" w14:textId="77777777" w:rsidR="00833AED" w:rsidRPr="00AF0CC3" w:rsidRDefault="00833AED" w:rsidP="00833AED">
            <w:pPr>
              <w:spacing w:line="240" w:lineRule="auto"/>
              <w:rPr>
                <w:rFonts w:ascii="Times New Roman" w:hAnsi="Times New Roman" w:cs="Times New Roman"/>
                <w:color w:val="000000" w:themeColor="text1"/>
              </w:rPr>
            </w:pPr>
            <w:r w:rsidRPr="00AF0CC3">
              <w:rPr>
                <w:rFonts w:ascii="Times New Roman" w:hAnsi="Times New Roman" w:cs="Times New Roman"/>
                <w:color w:val="000000" w:themeColor="text1"/>
              </w:rPr>
              <w:t>Klakegg et al. (2010)</w:t>
            </w:r>
          </w:p>
        </w:tc>
        <w:tc>
          <w:tcPr>
            <w:tcW w:w="0" w:type="auto"/>
            <w:vAlign w:val="center"/>
          </w:tcPr>
          <w:p w14:paraId="20921563" w14:textId="77777777" w:rsidR="00833AED" w:rsidRPr="00AF0CC3" w:rsidRDefault="00833AED" w:rsidP="00833AED">
            <w:pPr>
              <w:spacing w:line="240" w:lineRule="auto"/>
              <w:rPr>
                <w:rFonts w:ascii="Times New Roman" w:hAnsi="Times New Roman" w:cs="Times New Roman"/>
                <w:color w:val="000000" w:themeColor="text1"/>
              </w:rPr>
            </w:pPr>
            <w:r w:rsidRPr="00AF0CC3">
              <w:rPr>
                <w:rFonts w:ascii="Times New Roman" w:hAnsi="Times New Roman" w:cs="Times New Roman"/>
                <w:color w:val="000000" w:themeColor="text1"/>
              </w:rPr>
              <w:t>Governance control mechanisms</w:t>
            </w:r>
          </w:p>
        </w:tc>
        <w:tc>
          <w:tcPr>
            <w:tcW w:w="0" w:type="auto"/>
            <w:vAlign w:val="center"/>
          </w:tcPr>
          <w:p w14:paraId="1F4B4771" w14:textId="77777777" w:rsidR="00833AED" w:rsidRPr="00AF0CC3" w:rsidRDefault="00833AED" w:rsidP="00833AED">
            <w:pPr>
              <w:spacing w:line="240" w:lineRule="auto"/>
              <w:rPr>
                <w:rFonts w:ascii="Times New Roman" w:hAnsi="Times New Roman" w:cs="Times New Roman"/>
                <w:color w:val="000000" w:themeColor="text1"/>
              </w:rPr>
            </w:pPr>
            <w:r w:rsidRPr="00AF0CC3">
              <w:rPr>
                <w:rFonts w:ascii="Times New Roman" w:hAnsi="Times New Roman" w:cs="Times New Roman"/>
                <w:color w:val="000000" w:themeColor="text1"/>
              </w:rPr>
              <w:t>Weak governance increases failure risk</w:t>
            </w:r>
          </w:p>
        </w:tc>
        <w:tc>
          <w:tcPr>
            <w:tcW w:w="0" w:type="auto"/>
            <w:vAlign w:val="center"/>
          </w:tcPr>
          <w:p w14:paraId="260070AD" w14:textId="77777777" w:rsidR="00833AED" w:rsidRPr="00AF0CC3" w:rsidRDefault="00833AED" w:rsidP="00833AED">
            <w:pPr>
              <w:spacing w:line="240" w:lineRule="auto"/>
              <w:rPr>
                <w:rFonts w:ascii="Times New Roman" w:hAnsi="Times New Roman" w:cs="Times New Roman"/>
                <w:color w:val="000000" w:themeColor="text1"/>
              </w:rPr>
            </w:pPr>
            <w:r w:rsidRPr="00AF0CC3">
              <w:rPr>
                <w:rFonts w:ascii="Times New Roman" w:hAnsi="Times New Roman" w:cs="Times New Roman"/>
                <w:color w:val="000000" w:themeColor="text1"/>
              </w:rPr>
              <w:t>No lifecycle-integrated governance metric</w:t>
            </w:r>
          </w:p>
        </w:tc>
      </w:tr>
      <w:tr w:rsidR="00833AED" w:rsidRPr="00AF0CC3" w14:paraId="56C558D2" w14:textId="77777777" w:rsidTr="008237C2">
        <w:trPr>
          <w:tblHeader/>
          <w:tblCellSpacing w:w="15" w:type="dxa"/>
        </w:trPr>
        <w:tc>
          <w:tcPr>
            <w:tcW w:w="0" w:type="auto"/>
            <w:vAlign w:val="center"/>
          </w:tcPr>
          <w:p w14:paraId="6F4D9646" w14:textId="77777777" w:rsidR="00833AED" w:rsidRPr="00AF0CC3" w:rsidRDefault="00833AED" w:rsidP="00833AED">
            <w:pPr>
              <w:spacing w:line="240" w:lineRule="auto"/>
              <w:rPr>
                <w:rFonts w:ascii="Times New Roman" w:hAnsi="Times New Roman" w:cs="Times New Roman"/>
                <w:color w:val="000000" w:themeColor="text1"/>
              </w:rPr>
            </w:pPr>
            <w:r w:rsidRPr="00AF0CC3">
              <w:rPr>
                <w:rFonts w:ascii="Times New Roman" w:hAnsi="Times New Roman" w:cs="Times New Roman"/>
                <w:color w:val="000000" w:themeColor="text1"/>
              </w:rPr>
              <w:t>IV: Lifecycle Governance (RQ1–RQ3)</w:t>
            </w:r>
          </w:p>
        </w:tc>
        <w:tc>
          <w:tcPr>
            <w:tcW w:w="0" w:type="auto"/>
            <w:vAlign w:val="center"/>
          </w:tcPr>
          <w:p w14:paraId="0E8AFFD5" w14:textId="77777777" w:rsidR="00833AED" w:rsidRPr="00AF0CC3" w:rsidRDefault="00833AED" w:rsidP="00833AED">
            <w:pPr>
              <w:spacing w:line="240" w:lineRule="auto"/>
              <w:rPr>
                <w:rFonts w:ascii="Times New Roman" w:hAnsi="Times New Roman" w:cs="Times New Roman"/>
                <w:color w:val="000000" w:themeColor="text1"/>
              </w:rPr>
            </w:pPr>
            <w:r w:rsidRPr="00AF0CC3">
              <w:rPr>
                <w:rFonts w:ascii="Times New Roman" w:hAnsi="Times New Roman" w:cs="Times New Roman"/>
                <w:color w:val="000000" w:themeColor="text1"/>
              </w:rPr>
              <w:t>Flyvbjerg et al. (2021)</w:t>
            </w:r>
          </w:p>
        </w:tc>
        <w:tc>
          <w:tcPr>
            <w:tcW w:w="0" w:type="auto"/>
            <w:vAlign w:val="center"/>
          </w:tcPr>
          <w:p w14:paraId="0585405C" w14:textId="77777777" w:rsidR="00833AED" w:rsidRPr="00AF0CC3" w:rsidRDefault="00833AED" w:rsidP="00833AED">
            <w:pPr>
              <w:spacing w:line="240" w:lineRule="auto"/>
              <w:rPr>
                <w:rFonts w:ascii="Times New Roman" w:hAnsi="Times New Roman" w:cs="Times New Roman"/>
                <w:color w:val="000000" w:themeColor="text1"/>
              </w:rPr>
            </w:pPr>
            <w:r w:rsidRPr="00AF0CC3">
              <w:rPr>
                <w:rFonts w:ascii="Times New Roman" w:hAnsi="Times New Roman" w:cs="Times New Roman"/>
                <w:color w:val="000000" w:themeColor="text1"/>
              </w:rPr>
              <w:t>Front-end governance effects</w:t>
            </w:r>
          </w:p>
        </w:tc>
        <w:tc>
          <w:tcPr>
            <w:tcW w:w="0" w:type="auto"/>
            <w:vAlign w:val="center"/>
          </w:tcPr>
          <w:p w14:paraId="6402C2D1" w14:textId="77777777" w:rsidR="00833AED" w:rsidRPr="00AF0CC3" w:rsidRDefault="00833AED" w:rsidP="00833AED">
            <w:pPr>
              <w:spacing w:line="240" w:lineRule="auto"/>
              <w:rPr>
                <w:rFonts w:ascii="Times New Roman" w:hAnsi="Times New Roman" w:cs="Times New Roman"/>
                <w:color w:val="000000" w:themeColor="text1"/>
              </w:rPr>
            </w:pPr>
            <w:r w:rsidRPr="00AF0CC3">
              <w:rPr>
                <w:rFonts w:ascii="Times New Roman" w:hAnsi="Times New Roman" w:cs="Times New Roman"/>
                <w:color w:val="000000" w:themeColor="text1"/>
              </w:rPr>
              <w:t>Early-stage decisions condition downstream outcomes</w:t>
            </w:r>
          </w:p>
        </w:tc>
        <w:tc>
          <w:tcPr>
            <w:tcW w:w="0" w:type="auto"/>
            <w:vAlign w:val="center"/>
          </w:tcPr>
          <w:p w14:paraId="58F8AB02" w14:textId="77777777" w:rsidR="00833AED" w:rsidRPr="00AF0CC3" w:rsidRDefault="00833AED" w:rsidP="00833AED">
            <w:pPr>
              <w:spacing w:line="240" w:lineRule="auto"/>
              <w:rPr>
                <w:rFonts w:ascii="Times New Roman" w:hAnsi="Times New Roman" w:cs="Times New Roman"/>
                <w:color w:val="000000" w:themeColor="text1"/>
              </w:rPr>
            </w:pPr>
            <w:r w:rsidRPr="00AF0CC3">
              <w:rPr>
                <w:rFonts w:ascii="Times New Roman" w:hAnsi="Times New Roman" w:cs="Times New Roman"/>
                <w:color w:val="000000" w:themeColor="text1"/>
              </w:rPr>
              <w:t>No empirical lifecycle-wide modelling of escalation into stalling</w:t>
            </w:r>
          </w:p>
        </w:tc>
      </w:tr>
      <w:tr w:rsidR="00833AED" w:rsidRPr="00AF0CC3" w14:paraId="345F2B82" w14:textId="77777777" w:rsidTr="008237C2">
        <w:trPr>
          <w:tblHeader/>
          <w:tblCellSpacing w:w="15" w:type="dxa"/>
        </w:trPr>
        <w:tc>
          <w:tcPr>
            <w:tcW w:w="0" w:type="auto"/>
            <w:vAlign w:val="center"/>
          </w:tcPr>
          <w:p w14:paraId="6BED5C1C" w14:textId="77777777" w:rsidR="00833AED" w:rsidRPr="00AF0CC3" w:rsidRDefault="00833AED" w:rsidP="00833AED">
            <w:pPr>
              <w:spacing w:line="240" w:lineRule="auto"/>
              <w:rPr>
                <w:rFonts w:ascii="Times New Roman" w:hAnsi="Times New Roman" w:cs="Times New Roman"/>
                <w:color w:val="000000" w:themeColor="text1"/>
              </w:rPr>
            </w:pPr>
          </w:p>
        </w:tc>
        <w:tc>
          <w:tcPr>
            <w:tcW w:w="0" w:type="auto"/>
            <w:vAlign w:val="center"/>
          </w:tcPr>
          <w:p w14:paraId="0BF386A0" w14:textId="77777777" w:rsidR="00833AED" w:rsidRPr="00AF0CC3" w:rsidRDefault="00833AED" w:rsidP="00833AED">
            <w:pPr>
              <w:spacing w:line="240" w:lineRule="auto"/>
              <w:rPr>
                <w:rFonts w:ascii="Times New Roman" w:hAnsi="Times New Roman" w:cs="Times New Roman"/>
                <w:color w:val="000000" w:themeColor="text1"/>
              </w:rPr>
            </w:pPr>
            <w:r w:rsidRPr="00AF0CC3">
              <w:rPr>
                <w:rFonts w:ascii="Times New Roman" w:hAnsi="Times New Roman" w:cs="Times New Roman"/>
                <w:color w:val="000000" w:themeColor="text1"/>
              </w:rPr>
              <w:t>Too &amp; Weaver (2014)</w:t>
            </w:r>
          </w:p>
        </w:tc>
        <w:tc>
          <w:tcPr>
            <w:tcW w:w="0" w:type="auto"/>
            <w:vAlign w:val="center"/>
          </w:tcPr>
          <w:p w14:paraId="188063B2" w14:textId="77777777" w:rsidR="00833AED" w:rsidRPr="00AF0CC3" w:rsidRDefault="00833AED" w:rsidP="00833AED">
            <w:pPr>
              <w:spacing w:line="240" w:lineRule="auto"/>
              <w:rPr>
                <w:rFonts w:ascii="Times New Roman" w:hAnsi="Times New Roman" w:cs="Times New Roman"/>
                <w:color w:val="000000" w:themeColor="text1"/>
              </w:rPr>
            </w:pPr>
            <w:r w:rsidRPr="00AF0CC3">
              <w:rPr>
                <w:rFonts w:ascii="Times New Roman" w:hAnsi="Times New Roman" w:cs="Times New Roman"/>
                <w:color w:val="000000" w:themeColor="text1"/>
              </w:rPr>
              <w:t>Governance across strategic levels</w:t>
            </w:r>
          </w:p>
        </w:tc>
        <w:tc>
          <w:tcPr>
            <w:tcW w:w="0" w:type="auto"/>
            <w:vAlign w:val="center"/>
          </w:tcPr>
          <w:p w14:paraId="107D66A7" w14:textId="77777777" w:rsidR="00833AED" w:rsidRPr="00AF0CC3" w:rsidRDefault="00833AED" w:rsidP="00833AED">
            <w:pPr>
              <w:spacing w:line="240" w:lineRule="auto"/>
              <w:rPr>
                <w:rFonts w:ascii="Times New Roman" w:hAnsi="Times New Roman" w:cs="Times New Roman"/>
                <w:color w:val="000000" w:themeColor="text1"/>
              </w:rPr>
            </w:pPr>
            <w:r w:rsidRPr="00AF0CC3">
              <w:rPr>
                <w:rFonts w:ascii="Times New Roman" w:hAnsi="Times New Roman" w:cs="Times New Roman"/>
                <w:color w:val="000000" w:themeColor="text1"/>
              </w:rPr>
              <w:t>Governance varies by stage</w:t>
            </w:r>
          </w:p>
        </w:tc>
        <w:tc>
          <w:tcPr>
            <w:tcW w:w="0" w:type="auto"/>
            <w:vAlign w:val="center"/>
          </w:tcPr>
          <w:p w14:paraId="35D7D6FB" w14:textId="77777777" w:rsidR="00833AED" w:rsidRPr="00AF0CC3" w:rsidRDefault="00833AED" w:rsidP="00833AED">
            <w:pPr>
              <w:spacing w:line="240" w:lineRule="auto"/>
              <w:rPr>
                <w:rFonts w:ascii="Times New Roman" w:hAnsi="Times New Roman" w:cs="Times New Roman"/>
                <w:color w:val="000000" w:themeColor="text1"/>
              </w:rPr>
            </w:pPr>
            <w:r w:rsidRPr="00AF0CC3">
              <w:rPr>
                <w:rFonts w:ascii="Times New Roman" w:hAnsi="Times New Roman" w:cs="Times New Roman"/>
                <w:color w:val="000000" w:themeColor="text1"/>
              </w:rPr>
              <w:t>Lacks stage-by-stage quantitative testing</w:t>
            </w:r>
          </w:p>
        </w:tc>
      </w:tr>
      <w:tr w:rsidR="00833AED" w:rsidRPr="00AF0CC3" w14:paraId="6906C237" w14:textId="77777777" w:rsidTr="008237C2">
        <w:trPr>
          <w:tblHeader/>
          <w:tblCellSpacing w:w="15" w:type="dxa"/>
        </w:trPr>
        <w:tc>
          <w:tcPr>
            <w:tcW w:w="0" w:type="auto"/>
            <w:vAlign w:val="center"/>
          </w:tcPr>
          <w:p w14:paraId="4214E947" w14:textId="77777777" w:rsidR="00833AED" w:rsidRPr="00AF0CC3" w:rsidRDefault="00833AED" w:rsidP="00833AED">
            <w:pPr>
              <w:spacing w:line="240" w:lineRule="auto"/>
              <w:rPr>
                <w:rFonts w:ascii="Times New Roman" w:hAnsi="Times New Roman" w:cs="Times New Roman"/>
                <w:color w:val="000000" w:themeColor="text1"/>
              </w:rPr>
            </w:pPr>
          </w:p>
        </w:tc>
        <w:tc>
          <w:tcPr>
            <w:tcW w:w="0" w:type="auto"/>
            <w:vAlign w:val="center"/>
          </w:tcPr>
          <w:p w14:paraId="37461479" w14:textId="77777777" w:rsidR="00833AED" w:rsidRPr="00AF0CC3" w:rsidRDefault="00833AED" w:rsidP="00833AED">
            <w:pPr>
              <w:spacing w:line="240" w:lineRule="auto"/>
              <w:rPr>
                <w:rFonts w:ascii="Times New Roman" w:hAnsi="Times New Roman" w:cs="Times New Roman"/>
                <w:color w:val="000000" w:themeColor="text1"/>
              </w:rPr>
            </w:pPr>
            <w:r w:rsidRPr="00AF0CC3">
              <w:rPr>
                <w:rFonts w:ascii="Times New Roman" w:hAnsi="Times New Roman" w:cs="Times New Roman"/>
                <w:color w:val="000000" w:themeColor="text1"/>
              </w:rPr>
              <w:t>Locatelli et al. (2020)</w:t>
            </w:r>
          </w:p>
        </w:tc>
        <w:tc>
          <w:tcPr>
            <w:tcW w:w="0" w:type="auto"/>
            <w:vAlign w:val="center"/>
          </w:tcPr>
          <w:p w14:paraId="168C2AF8" w14:textId="77777777" w:rsidR="00833AED" w:rsidRPr="00AF0CC3" w:rsidRDefault="00833AED" w:rsidP="00833AED">
            <w:pPr>
              <w:spacing w:line="240" w:lineRule="auto"/>
              <w:rPr>
                <w:rFonts w:ascii="Times New Roman" w:hAnsi="Times New Roman" w:cs="Times New Roman"/>
                <w:color w:val="000000" w:themeColor="text1"/>
              </w:rPr>
            </w:pPr>
            <w:r w:rsidRPr="00AF0CC3">
              <w:rPr>
                <w:rFonts w:ascii="Times New Roman" w:hAnsi="Times New Roman" w:cs="Times New Roman"/>
                <w:color w:val="000000" w:themeColor="text1"/>
              </w:rPr>
              <w:t>Long-term governance and risk</w:t>
            </w:r>
          </w:p>
        </w:tc>
        <w:tc>
          <w:tcPr>
            <w:tcW w:w="0" w:type="auto"/>
            <w:vAlign w:val="center"/>
          </w:tcPr>
          <w:p w14:paraId="1A592ABD" w14:textId="77777777" w:rsidR="00833AED" w:rsidRPr="00AF0CC3" w:rsidRDefault="00833AED" w:rsidP="00833AED">
            <w:pPr>
              <w:spacing w:line="240" w:lineRule="auto"/>
              <w:rPr>
                <w:rFonts w:ascii="Times New Roman" w:hAnsi="Times New Roman" w:cs="Times New Roman"/>
                <w:color w:val="000000" w:themeColor="text1"/>
              </w:rPr>
            </w:pPr>
            <w:r w:rsidRPr="00AF0CC3">
              <w:rPr>
                <w:rFonts w:ascii="Times New Roman" w:hAnsi="Times New Roman" w:cs="Times New Roman"/>
                <w:color w:val="000000" w:themeColor="text1"/>
              </w:rPr>
              <w:t>Governance weaknesses accumulate over time</w:t>
            </w:r>
          </w:p>
        </w:tc>
        <w:tc>
          <w:tcPr>
            <w:tcW w:w="0" w:type="auto"/>
            <w:vAlign w:val="center"/>
          </w:tcPr>
          <w:p w14:paraId="69C94270" w14:textId="77777777" w:rsidR="00833AED" w:rsidRPr="00AF0CC3" w:rsidRDefault="00833AED" w:rsidP="00833AED">
            <w:pPr>
              <w:spacing w:line="240" w:lineRule="auto"/>
              <w:rPr>
                <w:rFonts w:ascii="Times New Roman" w:hAnsi="Times New Roman" w:cs="Times New Roman"/>
                <w:color w:val="000000" w:themeColor="text1"/>
              </w:rPr>
            </w:pPr>
            <w:r w:rsidRPr="00AF0CC3">
              <w:rPr>
                <w:rFonts w:ascii="Times New Roman" w:hAnsi="Times New Roman" w:cs="Times New Roman"/>
                <w:color w:val="000000" w:themeColor="text1"/>
              </w:rPr>
              <w:t>Accumulation into non-completion not tested</w:t>
            </w:r>
          </w:p>
        </w:tc>
      </w:tr>
      <w:tr w:rsidR="00833AED" w:rsidRPr="00AF0CC3" w14:paraId="088E8F20" w14:textId="77777777" w:rsidTr="008237C2">
        <w:trPr>
          <w:tblHeader/>
          <w:tblCellSpacing w:w="15" w:type="dxa"/>
        </w:trPr>
        <w:tc>
          <w:tcPr>
            <w:tcW w:w="0" w:type="auto"/>
            <w:vAlign w:val="center"/>
          </w:tcPr>
          <w:p w14:paraId="435597AA" w14:textId="77777777" w:rsidR="00833AED" w:rsidRPr="00AF0CC3" w:rsidRDefault="00833AED" w:rsidP="00833AED">
            <w:pPr>
              <w:spacing w:line="240" w:lineRule="auto"/>
              <w:rPr>
                <w:rFonts w:ascii="Times New Roman" w:hAnsi="Times New Roman" w:cs="Times New Roman"/>
                <w:color w:val="000000" w:themeColor="text1"/>
              </w:rPr>
            </w:pPr>
            <w:r w:rsidRPr="00AF0CC3">
              <w:rPr>
                <w:rFonts w:ascii="Times New Roman" w:hAnsi="Times New Roman" w:cs="Times New Roman"/>
                <w:color w:val="000000" w:themeColor="text1"/>
              </w:rPr>
              <w:lastRenderedPageBreak/>
              <w:t>IV: Risk Allocation &amp; Contract Governance (H1, H3)</w:t>
            </w:r>
          </w:p>
        </w:tc>
        <w:tc>
          <w:tcPr>
            <w:tcW w:w="0" w:type="auto"/>
            <w:vAlign w:val="center"/>
          </w:tcPr>
          <w:p w14:paraId="45A82CE0" w14:textId="77777777" w:rsidR="00833AED" w:rsidRPr="00AF0CC3" w:rsidRDefault="00833AED" w:rsidP="00833AED">
            <w:pPr>
              <w:spacing w:line="240" w:lineRule="auto"/>
              <w:rPr>
                <w:rFonts w:ascii="Times New Roman" w:hAnsi="Times New Roman" w:cs="Times New Roman"/>
                <w:color w:val="000000" w:themeColor="text1"/>
              </w:rPr>
            </w:pPr>
            <w:r w:rsidRPr="00AF0CC3">
              <w:rPr>
                <w:rFonts w:ascii="Times New Roman" w:hAnsi="Times New Roman" w:cs="Times New Roman"/>
                <w:color w:val="000000" w:themeColor="text1"/>
              </w:rPr>
              <w:t>Romero &amp; Van de Poel (2022)</w:t>
            </w:r>
          </w:p>
        </w:tc>
        <w:tc>
          <w:tcPr>
            <w:tcW w:w="0" w:type="auto"/>
            <w:vAlign w:val="center"/>
          </w:tcPr>
          <w:p w14:paraId="5FCE583A" w14:textId="77777777" w:rsidR="00833AED" w:rsidRPr="00AF0CC3" w:rsidRDefault="00833AED" w:rsidP="00833AED">
            <w:pPr>
              <w:spacing w:line="240" w:lineRule="auto"/>
              <w:rPr>
                <w:rFonts w:ascii="Times New Roman" w:hAnsi="Times New Roman" w:cs="Times New Roman"/>
                <w:color w:val="000000" w:themeColor="text1"/>
              </w:rPr>
            </w:pPr>
            <w:r w:rsidRPr="00AF0CC3">
              <w:rPr>
                <w:rFonts w:ascii="Times New Roman" w:hAnsi="Times New Roman" w:cs="Times New Roman"/>
                <w:color w:val="000000" w:themeColor="text1"/>
              </w:rPr>
              <w:t>Political economy of PPP risk allocation</w:t>
            </w:r>
          </w:p>
        </w:tc>
        <w:tc>
          <w:tcPr>
            <w:tcW w:w="0" w:type="auto"/>
            <w:vAlign w:val="center"/>
          </w:tcPr>
          <w:p w14:paraId="0A1B9485" w14:textId="77777777" w:rsidR="00833AED" w:rsidRPr="00AF0CC3" w:rsidRDefault="00833AED" w:rsidP="00833AED">
            <w:pPr>
              <w:spacing w:line="240" w:lineRule="auto"/>
              <w:rPr>
                <w:rFonts w:ascii="Times New Roman" w:hAnsi="Times New Roman" w:cs="Times New Roman"/>
                <w:color w:val="000000" w:themeColor="text1"/>
              </w:rPr>
            </w:pPr>
            <w:r w:rsidRPr="00AF0CC3">
              <w:rPr>
                <w:rFonts w:ascii="Times New Roman" w:hAnsi="Times New Roman" w:cs="Times New Roman"/>
                <w:color w:val="000000" w:themeColor="text1"/>
              </w:rPr>
              <w:t>Risks often revert to public sector</w:t>
            </w:r>
          </w:p>
        </w:tc>
        <w:tc>
          <w:tcPr>
            <w:tcW w:w="0" w:type="auto"/>
            <w:vAlign w:val="center"/>
          </w:tcPr>
          <w:p w14:paraId="5F1D77EC" w14:textId="77777777" w:rsidR="00833AED" w:rsidRPr="00AF0CC3" w:rsidRDefault="00833AED" w:rsidP="00833AED">
            <w:pPr>
              <w:spacing w:line="240" w:lineRule="auto"/>
              <w:rPr>
                <w:rFonts w:ascii="Times New Roman" w:hAnsi="Times New Roman" w:cs="Times New Roman"/>
                <w:color w:val="000000" w:themeColor="text1"/>
              </w:rPr>
            </w:pPr>
            <w:r w:rsidRPr="00AF0CC3">
              <w:rPr>
                <w:rFonts w:ascii="Times New Roman" w:hAnsi="Times New Roman" w:cs="Times New Roman"/>
                <w:color w:val="000000" w:themeColor="text1"/>
              </w:rPr>
              <w:t>Renegotiation linked to delay but not to prolonged stalling</w:t>
            </w:r>
          </w:p>
        </w:tc>
      </w:tr>
      <w:tr w:rsidR="00833AED" w:rsidRPr="00AF0CC3" w14:paraId="1714A374" w14:textId="77777777" w:rsidTr="008237C2">
        <w:trPr>
          <w:tblHeader/>
          <w:tblCellSpacing w:w="15" w:type="dxa"/>
        </w:trPr>
        <w:tc>
          <w:tcPr>
            <w:tcW w:w="0" w:type="auto"/>
            <w:vAlign w:val="center"/>
          </w:tcPr>
          <w:p w14:paraId="601571CD" w14:textId="77777777" w:rsidR="00833AED" w:rsidRPr="00AF0CC3" w:rsidRDefault="00833AED" w:rsidP="00833AED">
            <w:pPr>
              <w:spacing w:line="240" w:lineRule="auto"/>
              <w:rPr>
                <w:rFonts w:ascii="Times New Roman" w:hAnsi="Times New Roman" w:cs="Times New Roman"/>
                <w:color w:val="000000" w:themeColor="text1"/>
              </w:rPr>
            </w:pPr>
          </w:p>
        </w:tc>
        <w:tc>
          <w:tcPr>
            <w:tcW w:w="0" w:type="auto"/>
            <w:vAlign w:val="center"/>
          </w:tcPr>
          <w:p w14:paraId="31BBA1A3" w14:textId="77777777" w:rsidR="00833AED" w:rsidRPr="00AF0CC3" w:rsidRDefault="00833AED" w:rsidP="00833AED">
            <w:pPr>
              <w:spacing w:line="240" w:lineRule="auto"/>
              <w:rPr>
                <w:rFonts w:ascii="Times New Roman" w:hAnsi="Times New Roman" w:cs="Times New Roman"/>
                <w:color w:val="000000" w:themeColor="text1"/>
              </w:rPr>
            </w:pPr>
            <w:r w:rsidRPr="00AF0CC3">
              <w:rPr>
                <w:rFonts w:ascii="Times New Roman" w:hAnsi="Times New Roman" w:cs="Times New Roman"/>
                <w:color w:val="000000" w:themeColor="text1"/>
              </w:rPr>
              <w:t>Guasch et al. (2008)</w:t>
            </w:r>
          </w:p>
        </w:tc>
        <w:tc>
          <w:tcPr>
            <w:tcW w:w="0" w:type="auto"/>
            <w:vAlign w:val="center"/>
          </w:tcPr>
          <w:p w14:paraId="0634ADBB" w14:textId="77777777" w:rsidR="00833AED" w:rsidRPr="00AF0CC3" w:rsidRDefault="00833AED" w:rsidP="00833AED">
            <w:pPr>
              <w:spacing w:line="240" w:lineRule="auto"/>
              <w:rPr>
                <w:rFonts w:ascii="Times New Roman" w:hAnsi="Times New Roman" w:cs="Times New Roman"/>
                <w:color w:val="000000" w:themeColor="text1"/>
              </w:rPr>
            </w:pPr>
            <w:r w:rsidRPr="00AF0CC3">
              <w:rPr>
                <w:rFonts w:ascii="Times New Roman" w:hAnsi="Times New Roman" w:cs="Times New Roman"/>
                <w:color w:val="000000" w:themeColor="text1"/>
              </w:rPr>
              <w:t>PPP renegotiations</w:t>
            </w:r>
          </w:p>
        </w:tc>
        <w:tc>
          <w:tcPr>
            <w:tcW w:w="0" w:type="auto"/>
            <w:vAlign w:val="center"/>
          </w:tcPr>
          <w:p w14:paraId="2DF9854C" w14:textId="77777777" w:rsidR="00833AED" w:rsidRPr="00AF0CC3" w:rsidRDefault="00833AED" w:rsidP="00833AED">
            <w:pPr>
              <w:spacing w:line="240" w:lineRule="auto"/>
              <w:rPr>
                <w:rFonts w:ascii="Times New Roman" w:hAnsi="Times New Roman" w:cs="Times New Roman"/>
                <w:color w:val="000000" w:themeColor="text1"/>
              </w:rPr>
            </w:pPr>
            <w:r w:rsidRPr="00AF0CC3">
              <w:rPr>
                <w:rFonts w:ascii="Times New Roman" w:hAnsi="Times New Roman" w:cs="Times New Roman"/>
                <w:color w:val="000000" w:themeColor="text1"/>
              </w:rPr>
              <w:t>Weak preparation increases renegotiation frequency</w:t>
            </w:r>
          </w:p>
        </w:tc>
        <w:tc>
          <w:tcPr>
            <w:tcW w:w="0" w:type="auto"/>
            <w:vAlign w:val="center"/>
          </w:tcPr>
          <w:p w14:paraId="587B8E72" w14:textId="77777777" w:rsidR="00833AED" w:rsidRPr="00AF0CC3" w:rsidRDefault="00833AED" w:rsidP="00833AED">
            <w:pPr>
              <w:spacing w:line="240" w:lineRule="auto"/>
              <w:rPr>
                <w:rFonts w:ascii="Times New Roman" w:hAnsi="Times New Roman" w:cs="Times New Roman"/>
                <w:color w:val="000000" w:themeColor="text1"/>
              </w:rPr>
            </w:pPr>
            <w:r w:rsidRPr="00AF0CC3">
              <w:rPr>
                <w:rFonts w:ascii="Times New Roman" w:hAnsi="Times New Roman" w:cs="Times New Roman"/>
                <w:color w:val="000000" w:themeColor="text1"/>
              </w:rPr>
              <w:t>Focus on renegotiation, not project cessation</w:t>
            </w:r>
          </w:p>
        </w:tc>
      </w:tr>
      <w:tr w:rsidR="00833AED" w:rsidRPr="00AF0CC3" w14:paraId="618859D6" w14:textId="77777777" w:rsidTr="008237C2">
        <w:trPr>
          <w:tblHeader/>
          <w:tblCellSpacing w:w="15" w:type="dxa"/>
        </w:trPr>
        <w:tc>
          <w:tcPr>
            <w:tcW w:w="0" w:type="auto"/>
            <w:vAlign w:val="center"/>
          </w:tcPr>
          <w:p w14:paraId="0DCF4C2C" w14:textId="77777777" w:rsidR="00833AED" w:rsidRPr="00AF0CC3" w:rsidRDefault="00833AED" w:rsidP="00833AED">
            <w:pPr>
              <w:spacing w:line="240" w:lineRule="auto"/>
              <w:rPr>
                <w:rFonts w:ascii="Times New Roman" w:hAnsi="Times New Roman" w:cs="Times New Roman"/>
                <w:color w:val="000000" w:themeColor="text1"/>
              </w:rPr>
            </w:pPr>
          </w:p>
        </w:tc>
        <w:tc>
          <w:tcPr>
            <w:tcW w:w="0" w:type="auto"/>
            <w:vAlign w:val="center"/>
          </w:tcPr>
          <w:p w14:paraId="64A9DBD8" w14:textId="77777777" w:rsidR="00833AED" w:rsidRPr="00AF0CC3" w:rsidRDefault="00833AED" w:rsidP="00833AED">
            <w:pPr>
              <w:spacing w:line="240" w:lineRule="auto"/>
              <w:rPr>
                <w:rFonts w:ascii="Times New Roman" w:hAnsi="Times New Roman" w:cs="Times New Roman"/>
                <w:color w:val="000000" w:themeColor="text1"/>
              </w:rPr>
            </w:pPr>
            <w:r w:rsidRPr="00AF0CC3">
              <w:rPr>
                <w:rFonts w:ascii="Times New Roman" w:hAnsi="Times New Roman" w:cs="Times New Roman"/>
                <w:color w:val="000000" w:themeColor="text1"/>
              </w:rPr>
              <w:t>Engel et al. (2014)</w:t>
            </w:r>
          </w:p>
        </w:tc>
        <w:tc>
          <w:tcPr>
            <w:tcW w:w="0" w:type="auto"/>
            <w:vAlign w:val="center"/>
          </w:tcPr>
          <w:p w14:paraId="6363DF95" w14:textId="77777777" w:rsidR="00833AED" w:rsidRPr="00AF0CC3" w:rsidRDefault="00833AED" w:rsidP="00833AED">
            <w:pPr>
              <w:spacing w:line="240" w:lineRule="auto"/>
              <w:rPr>
                <w:rFonts w:ascii="Times New Roman" w:hAnsi="Times New Roman" w:cs="Times New Roman"/>
                <w:color w:val="000000" w:themeColor="text1"/>
              </w:rPr>
            </w:pPr>
            <w:r w:rsidRPr="00AF0CC3">
              <w:rPr>
                <w:rFonts w:ascii="Times New Roman" w:hAnsi="Times New Roman" w:cs="Times New Roman"/>
                <w:color w:val="000000" w:themeColor="text1"/>
              </w:rPr>
              <w:t>Incentive design in PPP contracts</w:t>
            </w:r>
          </w:p>
        </w:tc>
        <w:tc>
          <w:tcPr>
            <w:tcW w:w="0" w:type="auto"/>
            <w:vAlign w:val="center"/>
          </w:tcPr>
          <w:p w14:paraId="09854979" w14:textId="77777777" w:rsidR="00833AED" w:rsidRPr="00AF0CC3" w:rsidRDefault="00833AED" w:rsidP="00833AED">
            <w:pPr>
              <w:spacing w:line="240" w:lineRule="auto"/>
              <w:rPr>
                <w:rFonts w:ascii="Times New Roman" w:hAnsi="Times New Roman" w:cs="Times New Roman"/>
                <w:color w:val="000000" w:themeColor="text1"/>
              </w:rPr>
            </w:pPr>
            <w:r w:rsidRPr="00AF0CC3">
              <w:rPr>
                <w:rFonts w:ascii="Times New Roman" w:hAnsi="Times New Roman" w:cs="Times New Roman"/>
                <w:color w:val="000000" w:themeColor="text1"/>
              </w:rPr>
              <w:t>Misaligned incentives undermine delivery</w:t>
            </w:r>
          </w:p>
        </w:tc>
        <w:tc>
          <w:tcPr>
            <w:tcW w:w="0" w:type="auto"/>
            <w:vAlign w:val="center"/>
          </w:tcPr>
          <w:p w14:paraId="5960617A" w14:textId="77777777" w:rsidR="00833AED" w:rsidRPr="00AF0CC3" w:rsidRDefault="00833AED" w:rsidP="00833AED">
            <w:pPr>
              <w:spacing w:line="240" w:lineRule="auto"/>
              <w:rPr>
                <w:rFonts w:ascii="Times New Roman" w:hAnsi="Times New Roman" w:cs="Times New Roman"/>
                <w:color w:val="000000" w:themeColor="text1"/>
              </w:rPr>
            </w:pPr>
            <w:r w:rsidRPr="00AF0CC3">
              <w:rPr>
                <w:rFonts w:ascii="Times New Roman" w:hAnsi="Times New Roman" w:cs="Times New Roman"/>
                <w:color w:val="000000" w:themeColor="text1"/>
              </w:rPr>
              <w:t>Water sector under-examined in governance-performance studies</w:t>
            </w:r>
          </w:p>
        </w:tc>
      </w:tr>
      <w:tr w:rsidR="00833AED" w:rsidRPr="00AF0CC3" w14:paraId="79015848" w14:textId="77777777" w:rsidTr="008237C2">
        <w:trPr>
          <w:tblHeader/>
          <w:tblCellSpacing w:w="15" w:type="dxa"/>
        </w:trPr>
        <w:tc>
          <w:tcPr>
            <w:tcW w:w="0" w:type="auto"/>
            <w:vAlign w:val="center"/>
          </w:tcPr>
          <w:p w14:paraId="46EB62C0" w14:textId="77777777" w:rsidR="00833AED" w:rsidRPr="00AF0CC3" w:rsidRDefault="00833AED" w:rsidP="00833AED">
            <w:pPr>
              <w:spacing w:line="240" w:lineRule="auto"/>
              <w:rPr>
                <w:rFonts w:ascii="Times New Roman" w:hAnsi="Times New Roman" w:cs="Times New Roman"/>
                <w:color w:val="000000" w:themeColor="text1"/>
              </w:rPr>
            </w:pPr>
            <w:r w:rsidRPr="00AF0CC3">
              <w:rPr>
                <w:rFonts w:ascii="Times New Roman" w:hAnsi="Times New Roman" w:cs="Times New Roman"/>
                <w:color w:val="000000" w:themeColor="text1"/>
              </w:rPr>
              <w:t>Moderator: Climate Risk (H4)</w:t>
            </w:r>
          </w:p>
        </w:tc>
        <w:tc>
          <w:tcPr>
            <w:tcW w:w="0" w:type="auto"/>
            <w:vAlign w:val="center"/>
          </w:tcPr>
          <w:p w14:paraId="4F382AD4" w14:textId="77777777" w:rsidR="00833AED" w:rsidRPr="00AF0CC3" w:rsidRDefault="00833AED" w:rsidP="00833AED">
            <w:pPr>
              <w:spacing w:line="240" w:lineRule="auto"/>
              <w:rPr>
                <w:rFonts w:ascii="Times New Roman" w:hAnsi="Times New Roman" w:cs="Times New Roman"/>
                <w:color w:val="000000" w:themeColor="text1"/>
              </w:rPr>
            </w:pPr>
            <w:r w:rsidRPr="00AF0CC3">
              <w:rPr>
                <w:rFonts w:ascii="Times New Roman" w:hAnsi="Times New Roman" w:cs="Times New Roman"/>
                <w:color w:val="000000" w:themeColor="text1"/>
              </w:rPr>
              <w:t>Di Baldassarre et al. (2020)</w:t>
            </w:r>
          </w:p>
        </w:tc>
        <w:tc>
          <w:tcPr>
            <w:tcW w:w="0" w:type="auto"/>
            <w:vAlign w:val="center"/>
          </w:tcPr>
          <w:p w14:paraId="38CFE101" w14:textId="77777777" w:rsidR="00833AED" w:rsidRPr="00AF0CC3" w:rsidRDefault="00833AED" w:rsidP="00833AED">
            <w:pPr>
              <w:spacing w:line="240" w:lineRule="auto"/>
              <w:rPr>
                <w:rFonts w:ascii="Times New Roman" w:hAnsi="Times New Roman" w:cs="Times New Roman"/>
                <w:color w:val="000000" w:themeColor="text1"/>
              </w:rPr>
            </w:pPr>
            <w:r w:rsidRPr="00AF0CC3">
              <w:rPr>
                <w:rFonts w:ascii="Times New Roman" w:hAnsi="Times New Roman" w:cs="Times New Roman"/>
                <w:color w:val="000000" w:themeColor="text1"/>
              </w:rPr>
              <w:t>Socio-hydrology and governance</w:t>
            </w:r>
          </w:p>
        </w:tc>
        <w:tc>
          <w:tcPr>
            <w:tcW w:w="0" w:type="auto"/>
            <w:vAlign w:val="center"/>
          </w:tcPr>
          <w:p w14:paraId="19F7C2F9" w14:textId="77777777" w:rsidR="00833AED" w:rsidRPr="00AF0CC3" w:rsidRDefault="00833AED" w:rsidP="00833AED">
            <w:pPr>
              <w:spacing w:line="240" w:lineRule="auto"/>
              <w:rPr>
                <w:rFonts w:ascii="Times New Roman" w:hAnsi="Times New Roman" w:cs="Times New Roman"/>
                <w:color w:val="000000" w:themeColor="text1"/>
              </w:rPr>
            </w:pPr>
            <w:r w:rsidRPr="00AF0CC3">
              <w:rPr>
                <w:rFonts w:ascii="Times New Roman" w:hAnsi="Times New Roman" w:cs="Times New Roman"/>
                <w:color w:val="000000" w:themeColor="text1"/>
              </w:rPr>
              <w:t>Institutions mediate climate impacts</w:t>
            </w:r>
          </w:p>
        </w:tc>
        <w:tc>
          <w:tcPr>
            <w:tcW w:w="0" w:type="auto"/>
            <w:vAlign w:val="center"/>
          </w:tcPr>
          <w:p w14:paraId="50FF9B9B" w14:textId="77777777" w:rsidR="00833AED" w:rsidRPr="00AF0CC3" w:rsidRDefault="00833AED" w:rsidP="00833AED">
            <w:pPr>
              <w:spacing w:line="240" w:lineRule="auto"/>
              <w:rPr>
                <w:rFonts w:ascii="Times New Roman" w:hAnsi="Times New Roman" w:cs="Times New Roman"/>
                <w:color w:val="000000" w:themeColor="text1"/>
              </w:rPr>
            </w:pPr>
            <w:r w:rsidRPr="00AF0CC3">
              <w:rPr>
                <w:rFonts w:ascii="Times New Roman" w:hAnsi="Times New Roman" w:cs="Times New Roman"/>
                <w:color w:val="000000" w:themeColor="text1"/>
              </w:rPr>
              <w:t>Construction performance and stalling not analyzed</w:t>
            </w:r>
          </w:p>
        </w:tc>
      </w:tr>
      <w:tr w:rsidR="00833AED" w:rsidRPr="00AF0CC3" w14:paraId="382577CD" w14:textId="77777777" w:rsidTr="008237C2">
        <w:trPr>
          <w:tblHeader/>
          <w:tblCellSpacing w:w="15" w:type="dxa"/>
        </w:trPr>
        <w:tc>
          <w:tcPr>
            <w:tcW w:w="0" w:type="auto"/>
            <w:vAlign w:val="center"/>
          </w:tcPr>
          <w:p w14:paraId="43A4AD3B" w14:textId="77777777" w:rsidR="00833AED" w:rsidRPr="00AF0CC3" w:rsidRDefault="00833AED" w:rsidP="00833AED">
            <w:pPr>
              <w:spacing w:line="240" w:lineRule="auto"/>
              <w:rPr>
                <w:rFonts w:ascii="Times New Roman" w:hAnsi="Times New Roman" w:cs="Times New Roman"/>
                <w:color w:val="000000" w:themeColor="text1"/>
              </w:rPr>
            </w:pPr>
          </w:p>
        </w:tc>
        <w:tc>
          <w:tcPr>
            <w:tcW w:w="0" w:type="auto"/>
            <w:vAlign w:val="center"/>
          </w:tcPr>
          <w:p w14:paraId="1F9679A4" w14:textId="77777777" w:rsidR="00833AED" w:rsidRPr="00AF0CC3" w:rsidRDefault="00833AED" w:rsidP="00833AED">
            <w:pPr>
              <w:spacing w:line="240" w:lineRule="auto"/>
              <w:rPr>
                <w:rFonts w:ascii="Times New Roman" w:hAnsi="Times New Roman" w:cs="Times New Roman"/>
                <w:color w:val="000000" w:themeColor="text1"/>
              </w:rPr>
            </w:pPr>
            <w:r w:rsidRPr="00AF0CC3">
              <w:rPr>
                <w:rFonts w:ascii="Times New Roman" w:hAnsi="Times New Roman" w:cs="Times New Roman"/>
                <w:color w:val="000000" w:themeColor="text1"/>
              </w:rPr>
              <w:t>Lebel et al. (2021)</w:t>
            </w:r>
          </w:p>
        </w:tc>
        <w:tc>
          <w:tcPr>
            <w:tcW w:w="0" w:type="auto"/>
            <w:vAlign w:val="center"/>
          </w:tcPr>
          <w:p w14:paraId="6AC54DCF" w14:textId="77777777" w:rsidR="00833AED" w:rsidRPr="00AF0CC3" w:rsidRDefault="00833AED" w:rsidP="00833AED">
            <w:pPr>
              <w:spacing w:line="240" w:lineRule="auto"/>
              <w:rPr>
                <w:rFonts w:ascii="Times New Roman" w:hAnsi="Times New Roman" w:cs="Times New Roman"/>
                <w:color w:val="000000" w:themeColor="text1"/>
              </w:rPr>
            </w:pPr>
            <w:r w:rsidRPr="00AF0CC3">
              <w:rPr>
                <w:rFonts w:ascii="Times New Roman" w:hAnsi="Times New Roman" w:cs="Times New Roman"/>
                <w:color w:val="000000" w:themeColor="text1"/>
              </w:rPr>
              <w:t>Governance of water resilience</w:t>
            </w:r>
          </w:p>
        </w:tc>
        <w:tc>
          <w:tcPr>
            <w:tcW w:w="0" w:type="auto"/>
            <w:vAlign w:val="center"/>
          </w:tcPr>
          <w:p w14:paraId="2E46F81C" w14:textId="77777777" w:rsidR="00833AED" w:rsidRPr="00AF0CC3" w:rsidRDefault="00833AED" w:rsidP="00833AED">
            <w:pPr>
              <w:spacing w:line="240" w:lineRule="auto"/>
              <w:rPr>
                <w:rFonts w:ascii="Times New Roman" w:hAnsi="Times New Roman" w:cs="Times New Roman"/>
                <w:color w:val="000000" w:themeColor="text1"/>
              </w:rPr>
            </w:pPr>
            <w:r w:rsidRPr="00AF0CC3">
              <w:rPr>
                <w:rFonts w:ascii="Times New Roman" w:hAnsi="Times New Roman" w:cs="Times New Roman"/>
                <w:color w:val="000000" w:themeColor="text1"/>
              </w:rPr>
              <w:t>Adaptive capacity shapes resilience</w:t>
            </w:r>
          </w:p>
        </w:tc>
        <w:tc>
          <w:tcPr>
            <w:tcW w:w="0" w:type="auto"/>
            <w:vAlign w:val="center"/>
          </w:tcPr>
          <w:p w14:paraId="73A91206" w14:textId="77777777" w:rsidR="00833AED" w:rsidRPr="00AF0CC3" w:rsidRDefault="00833AED" w:rsidP="00833AED">
            <w:pPr>
              <w:spacing w:line="240" w:lineRule="auto"/>
              <w:rPr>
                <w:rFonts w:ascii="Times New Roman" w:hAnsi="Times New Roman" w:cs="Times New Roman"/>
                <w:color w:val="000000" w:themeColor="text1"/>
              </w:rPr>
            </w:pPr>
            <w:r w:rsidRPr="00AF0CC3">
              <w:rPr>
                <w:rFonts w:ascii="Times New Roman" w:hAnsi="Times New Roman" w:cs="Times New Roman"/>
                <w:color w:val="000000" w:themeColor="text1"/>
              </w:rPr>
              <w:t>No modelling of governance × climate interaction</w:t>
            </w:r>
          </w:p>
        </w:tc>
      </w:tr>
      <w:tr w:rsidR="00833AED" w:rsidRPr="00AF0CC3" w14:paraId="25CDE0D0" w14:textId="77777777" w:rsidTr="008237C2">
        <w:trPr>
          <w:tblHeader/>
          <w:tblCellSpacing w:w="15" w:type="dxa"/>
        </w:trPr>
        <w:tc>
          <w:tcPr>
            <w:tcW w:w="0" w:type="auto"/>
            <w:vAlign w:val="center"/>
          </w:tcPr>
          <w:p w14:paraId="1071C4A0" w14:textId="77777777" w:rsidR="00833AED" w:rsidRPr="00AF0CC3" w:rsidRDefault="00833AED" w:rsidP="00833AED">
            <w:pPr>
              <w:spacing w:line="240" w:lineRule="auto"/>
              <w:rPr>
                <w:rFonts w:ascii="Times New Roman" w:hAnsi="Times New Roman" w:cs="Times New Roman"/>
                <w:color w:val="000000" w:themeColor="text1"/>
              </w:rPr>
            </w:pPr>
          </w:p>
        </w:tc>
        <w:tc>
          <w:tcPr>
            <w:tcW w:w="0" w:type="auto"/>
            <w:vAlign w:val="center"/>
          </w:tcPr>
          <w:p w14:paraId="7790D6BC" w14:textId="77777777" w:rsidR="00833AED" w:rsidRPr="00AF0CC3" w:rsidRDefault="00833AED" w:rsidP="00833AED">
            <w:pPr>
              <w:spacing w:line="240" w:lineRule="auto"/>
              <w:rPr>
                <w:rFonts w:ascii="Times New Roman" w:hAnsi="Times New Roman" w:cs="Times New Roman"/>
                <w:color w:val="000000" w:themeColor="text1"/>
              </w:rPr>
            </w:pPr>
            <w:r w:rsidRPr="00AF0CC3">
              <w:rPr>
                <w:rFonts w:ascii="Times New Roman" w:hAnsi="Times New Roman" w:cs="Times New Roman"/>
                <w:color w:val="000000" w:themeColor="text1"/>
              </w:rPr>
              <w:t>Mees et al. (2019)</w:t>
            </w:r>
          </w:p>
        </w:tc>
        <w:tc>
          <w:tcPr>
            <w:tcW w:w="0" w:type="auto"/>
            <w:vAlign w:val="center"/>
          </w:tcPr>
          <w:p w14:paraId="0A8AD55F" w14:textId="77777777" w:rsidR="00833AED" w:rsidRPr="00AF0CC3" w:rsidRDefault="00833AED" w:rsidP="00833AED">
            <w:pPr>
              <w:spacing w:line="240" w:lineRule="auto"/>
              <w:rPr>
                <w:rFonts w:ascii="Times New Roman" w:hAnsi="Times New Roman" w:cs="Times New Roman"/>
                <w:color w:val="000000" w:themeColor="text1"/>
              </w:rPr>
            </w:pPr>
            <w:r w:rsidRPr="00AF0CC3">
              <w:rPr>
                <w:rFonts w:ascii="Times New Roman" w:hAnsi="Times New Roman" w:cs="Times New Roman"/>
                <w:color w:val="000000" w:themeColor="text1"/>
              </w:rPr>
              <w:t>Governance of climate adaptation</w:t>
            </w:r>
          </w:p>
        </w:tc>
        <w:tc>
          <w:tcPr>
            <w:tcW w:w="0" w:type="auto"/>
            <w:vAlign w:val="center"/>
          </w:tcPr>
          <w:p w14:paraId="0B2866B8" w14:textId="77777777" w:rsidR="00833AED" w:rsidRPr="00AF0CC3" w:rsidRDefault="00833AED" w:rsidP="00833AED">
            <w:pPr>
              <w:spacing w:line="240" w:lineRule="auto"/>
              <w:rPr>
                <w:rFonts w:ascii="Times New Roman" w:hAnsi="Times New Roman" w:cs="Times New Roman"/>
                <w:color w:val="000000" w:themeColor="text1"/>
              </w:rPr>
            </w:pPr>
            <w:r w:rsidRPr="00AF0CC3">
              <w:rPr>
                <w:rFonts w:ascii="Times New Roman" w:hAnsi="Times New Roman" w:cs="Times New Roman"/>
                <w:color w:val="000000" w:themeColor="text1"/>
              </w:rPr>
              <w:t>Institutional fragmentation delays adaptation</w:t>
            </w:r>
          </w:p>
        </w:tc>
        <w:tc>
          <w:tcPr>
            <w:tcW w:w="0" w:type="auto"/>
            <w:vAlign w:val="center"/>
          </w:tcPr>
          <w:p w14:paraId="27F96614" w14:textId="77777777" w:rsidR="00833AED" w:rsidRPr="00AF0CC3" w:rsidRDefault="00833AED" w:rsidP="00833AED">
            <w:pPr>
              <w:spacing w:line="240" w:lineRule="auto"/>
              <w:rPr>
                <w:rFonts w:ascii="Times New Roman" w:hAnsi="Times New Roman" w:cs="Times New Roman"/>
                <w:color w:val="000000" w:themeColor="text1"/>
              </w:rPr>
            </w:pPr>
            <w:r w:rsidRPr="00AF0CC3">
              <w:rPr>
                <w:rFonts w:ascii="Times New Roman" w:hAnsi="Times New Roman" w:cs="Times New Roman"/>
                <w:color w:val="000000" w:themeColor="text1"/>
              </w:rPr>
              <w:t>No empirical linkage to infrastructure delivery outcomes</w:t>
            </w:r>
          </w:p>
        </w:tc>
      </w:tr>
      <w:tr w:rsidR="00833AED" w:rsidRPr="00AF0CC3" w14:paraId="5AEC7CE8" w14:textId="77777777" w:rsidTr="008237C2">
        <w:trPr>
          <w:tblHeader/>
          <w:tblCellSpacing w:w="15" w:type="dxa"/>
        </w:trPr>
        <w:tc>
          <w:tcPr>
            <w:tcW w:w="0" w:type="auto"/>
            <w:vAlign w:val="center"/>
          </w:tcPr>
          <w:p w14:paraId="66365358" w14:textId="77777777" w:rsidR="00833AED" w:rsidRPr="00AF0CC3" w:rsidRDefault="00833AED" w:rsidP="00833AED">
            <w:pPr>
              <w:spacing w:line="240" w:lineRule="auto"/>
              <w:rPr>
                <w:rFonts w:ascii="Times New Roman" w:hAnsi="Times New Roman" w:cs="Times New Roman"/>
                <w:color w:val="000000" w:themeColor="text1"/>
              </w:rPr>
            </w:pPr>
            <w:r w:rsidRPr="00AF0CC3">
              <w:rPr>
                <w:rFonts w:ascii="Times New Roman" w:hAnsi="Times New Roman" w:cs="Times New Roman"/>
                <w:color w:val="000000" w:themeColor="text1"/>
              </w:rPr>
              <w:t>Control: Political Transition Exposure</w:t>
            </w:r>
          </w:p>
        </w:tc>
        <w:tc>
          <w:tcPr>
            <w:tcW w:w="0" w:type="auto"/>
            <w:vAlign w:val="center"/>
          </w:tcPr>
          <w:p w14:paraId="4D283142" w14:textId="77777777" w:rsidR="00833AED" w:rsidRPr="00AF0CC3" w:rsidRDefault="00833AED" w:rsidP="00833AED">
            <w:pPr>
              <w:spacing w:line="240" w:lineRule="auto"/>
              <w:rPr>
                <w:rFonts w:ascii="Times New Roman" w:hAnsi="Times New Roman" w:cs="Times New Roman"/>
                <w:color w:val="000000" w:themeColor="text1"/>
              </w:rPr>
            </w:pPr>
            <w:r w:rsidRPr="00AF0CC3">
              <w:rPr>
                <w:rFonts w:ascii="Times New Roman" w:hAnsi="Times New Roman" w:cs="Times New Roman"/>
                <w:color w:val="000000" w:themeColor="text1"/>
              </w:rPr>
              <w:t>Siemiatycki (2015)</w:t>
            </w:r>
          </w:p>
        </w:tc>
        <w:tc>
          <w:tcPr>
            <w:tcW w:w="0" w:type="auto"/>
            <w:vAlign w:val="center"/>
          </w:tcPr>
          <w:p w14:paraId="19F68619" w14:textId="77777777" w:rsidR="00833AED" w:rsidRPr="00AF0CC3" w:rsidRDefault="00833AED" w:rsidP="00833AED">
            <w:pPr>
              <w:spacing w:line="240" w:lineRule="auto"/>
              <w:rPr>
                <w:rFonts w:ascii="Times New Roman" w:hAnsi="Times New Roman" w:cs="Times New Roman"/>
                <w:color w:val="000000" w:themeColor="text1"/>
              </w:rPr>
            </w:pPr>
            <w:r w:rsidRPr="00AF0CC3">
              <w:rPr>
                <w:rFonts w:ascii="Times New Roman" w:hAnsi="Times New Roman" w:cs="Times New Roman"/>
                <w:color w:val="000000" w:themeColor="text1"/>
              </w:rPr>
              <w:t>Political cycles and infrastructure prioritization</w:t>
            </w:r>
          </w:p>
        </w:tc>
        <w:tc>
          <w:tcPr>
            <w:tcW w:w="0" w:type="auto"/>
            <w:vAlign w:val="center"/>
          </w:tcPr>
          <w:p w14:paraId="21832DBF" w14:textId="77777777" w:rsidR="00833AED" w:rsidRPr="00AF0CC3" w:rsidRDefault="00833AED" w:rsidP="00833AED">
            <w:pPr>
              <w:spacing w:line="240" w:lineRule="auto"/>
              <w:rPr>
                <w:rFonts w:ascii="Times New Roman" w:hAnsi="Times New Roman" w:cs="Times New Roman"/>
                <w:color w:val="000000" w:themeColor="text1"/>
              </w:rPr>
            </w:pPr>
            <w:r w:rsidRPr="00AF0CC3">
              <w:rPr>
                <w:rFonts w:ascii="Times New Roman" w:hAnsi="Times New Roman" w:cs="Times New Roman"/>
                <w:color w:val="000000" w:themeColor="text1"/>
              </w:rPr>
              <w:t>Electoral cycles influence project selection</w:t>
            </w:r>
          </w:p>
        </w:tc>
        <w:tc>
          <w:tcPr>
            <w:tcW w:w="0" w:type="auto"/>
            <w:vAlign w:val="center"/>
          </w:tcPr>
          <w:p w14:paraId="407EC8DC" w14:textId="77777777" w:rsidR="00833AED" w:rsidRPr="00AF0CC3" w:rsidRDefault="00833AED" w:rsidP="00833AED">
            <w:pPr>
              <w:spacing w:line="240" w:lineRule="auto"/>
              <w:rPr>
                <w:rFonts w:ascii="Times New Roman" w:hAnsi="Times New Roman" w:cs="Times New Roman"/>
                <w:color w:val="000000" w:themeColor="text1"/>
              </w:rPr>
            </w:pPr>
            <w:r w:rsidRPr="00AF0CC3">
              <w:rPr>
                <w:rFonts w:ascii="Times New Roman" w:hAnsi="Times New Roman" w:cs="Times New Roman"/>
                <w:color w:val="000000" w:themeColor="text1"/>
              </w:rPr>
              <w:t>Does not model transition exposure at project level in developing country contexts</w:t>
            </w:r>
          </w:p>
        </w:tc>
      </w:tr>
      <w:tr w:rsidR="00833AED" w:rsidRPr="00AF0CC3" w14:paraId="078FE2C8" w14:textId="77777777" w:rsidTr="008237C2">
        <w:trPr>
          <w:tblHeader/>
          <w:tblCellSpacing w:w="15" w:type="dxa"/>
        </w:trPr>
        <w:tc>
          <w:tcPr>
            <w:tcW w:w="0" w:type="auto"/>
            <w:vAlign w:val="center"/>
          </w:tcPr>
          <w:p w14:paraId="3D80BA15" w14:textId="77777777" w:rsidR="00833AED" w:rsidRPr="00AF0CC3" w:rsidRDefault="00833AED" w:rsidP="00833AED">
            <w:pPr>
              <w:spacing w:line="240" w:lineRule="auto"/>
              <w:rPr>
                <w:rFonts w:ascii="Times New Roman" w:hAnsi="Times New Roman" w:cs="Times New Roman"/>
                <w:color w:val="000000" w:themeColor="text1"/>
              </w:rPr>
            </w:pPr>
          </w:p>
        </w:tc>
        <w:tc>
          <w:tcPr>
            <w:tcW w:w="0" w:type="auto"/>
            <w:vAlign w:val="center"/>
          </w:tcPr>
          <w:p w14:paraId="0E6F7D64" w14:textId="77777777" w:rsidR="00833AED" w:rsidRPr="00AF0CC3" w:rsidRDefault="00833AED" w:rsidP="00833AED">
            <w:pPr>
              <w:spacing w:line="240" w:lineRule="auto"/>
              <w:rPr>
                <w:rFonts w:ascii="Times New Roman" w:hAnsi="Times New Roman" w:cs="Times New Roman"/>
                <w:color w:val="000000" w:themeColor="text1"/>
              </w:rPr>
            </w:pPr>
            <w:r w:rsidRPr="00AF0CC3">
              <w:rPr>
                <w:rFonts w:ascii="Times New Roman" w:hAnsi="Times New Roman" w:cs="Times New Roman"/>
                <w:color w:val="000000" w:themeColor="text1"/>
              </w:rPr>
              <w:t>Arndt et al. (2016)</w:t>
            </w:r>
          </w:p>
        </w:tc>
        <w:tc>
          <w:tcPr>
            <w:tcW w:w="0" w:type="auto"/>
            <w:vAlign w:val="center"/>
          </w:tcPr>
          <w:p w14:paraId="662A1CEC" w14:textId="77777777" w:rsidR="00833AED" w:rsidRPr="00AF0CC3" w:rsidRDefault="00833AED" w:rsidP="00833AED">
            <w:pPr>
              <w:spacing w:line="240" w:lineRule="auto"/>
              <w:rPr>
                <w:rFonts w:ascii="Times New Roman" w:hAnsi="Times New Roman" w:cs="Times New Roman"/>
                <w:color w:val="000000" w:themeColor="text1"/>
              </w:rPr>
            </w:pPr>
            <w:r w:rsidRPr="00AF0CC3">
              <w:rPr>
                <w:rFonts w:ascii="Times New Roman" w:hAnsi="Times New Roman" w:cs="Times New Roman"/>
                <w:color w:val="000000" w:themeColor="text1"/>
              </w:rPr>
              <w:t>Political economy of public investment</w:t>
            </w:r>
          </w:p>
        </w:tc>
        <w:tc>
          <w:tcPr>
            <w:tcW w:w="0" w:type="auto"/>
            <w:vAlign w:val="center"/>
          </w:tcPr>
          <w:p w14:paraId="78A48164" w14:textId="77777777" w:rsidR="00833AED" w:rsidRPr="00AF0CC3" w:rsidRDefault="00833AED" w:rsidP="00833AED">
            <w:pPr>
              <w:spacing w:line="240" w:lineRule="auto"/>
              <w:rPr>
                <w:rFonts w:ascii="Times New Roman" w:hAnsi="Times New Roman" w:cs="Times New Roman"/>
                <w:color w:val="000000" w:themeColor="text1"/>
              </w:rPr>
            </w:pPr>
            <w:r w:rsidRPr="00AF0CC3">
              <w:rPr>
                <w:rFonts w:ascii="Times New Roman" w:hAnsi="Times New Roman" w:cs="Times New Roman"/>
                <w:color w:val="000000" w:themeColor="text1"/>
              </w:rPr>
              <w:t>Political turnover affects investment continuity</w:t>
            </w:r>
          </w:p>
        </w:tc>
        <w:tc>
          <w:tcPr>
            <w:tcW w:w="0" w:type="auto"/>
            <w:vAlign w:val="center"/>
          </w:tcPr>
          <w:p w14:paraId="5A04DC9A" w14:textId="77777777" w:rsidR="00833AED" w:rsidRPr="00AF0CC3" w:rsidRDefault="00833AED" w:rsidP="00833AED">
            <w:pPr>
              <w:spacing w:line="240" w:lineRule="auto"/>
              <w:rPr>
                <w:rFonts w:ascii="Times New Roman" w:hAnsi="Times New Roman" w:cs="Times New Roman"/>
                <w:color w:val="000000" w:themeColor="text1"/>
              </w:rPr>
            </w:pPr>
            <w:r w:rsidRPr="00AF0CC3">
              <w:rPr>
                <w:rFonts w:ascii="Times New Roman" w:hAnsi="Times New Roman" w:cs="Times New Roman"/>
                <w:color w:val="000000" w:themeColor="text1"/>
              </w:rPr>
              <w:t>Infrastructure delivery disruption not quantified</w:t>
            </w:r>
          </w:p>
        </w:tc>
      </w:tr>
    </w:tbl>
    <w:p w14:paraId="35FBB62C" w14:textId="77777777" w:rsidR="00833AED" w:rsidRPr="00AF0CC3" w:rsidRDefault="00833AED" w:rsidP="00833AED">
      <w:pPr>
        <w:spacing w:line="240" w:lineRule="auto"/>
        <w:rPr>
          <w:rFonts w:ascii="Times New Roman" w:hAnsi="Times New Roman" w:cs="Times New Roman"/>
          <w:color w:val="000000" w:themeColor="text1"/>
        </w:rPr>
      </w:pPr>
    </w:p>
    <w:p w14:paraId="14889393" w14:textId="5EC0F9BF" w:rsidR="00833AED" w:rsidRPr="00AF0CC3" w:rsidRDefault="00833AED" w:rsidP="00833AED">
      <w:pPr>
        <w:spacing w:line="240" w:lineRule="auto"/>
        <w:rPr>
          <w:rFonts w:ascii="Times New Roman" w:hAnsi="Times New Roman" w:cs="Times New Roman"/>
          <w:color w:val="000000" w:themeColor="text1"/>
        </w:rPr>
      </w:pPr>
      <w:r w:rsidRPr="00AF0CC3">
        <w:rPr>
          <w:rFonts w:ascii="Times New Roman" w:hAnsi="Times New Roman" w:cs="Times New Roman"/>
          <w:color w:val="000000" w:themeColor="text1"/>
        </w:rPr>
        <w:t>Table 2</w:t>
      </w:r>
      <w:r w:rsidR="00C7100C" w:rsidRPr="00AF0CC3">
        <w:rPr>
          <w:rFonts w:ascii="Times New Roman" w:hAnsi="Times New Roman" w:cs="Times New Roman"/>
          <w:color w:val="000000" w:themeColor="text1"/>
        </w:rPr>
        <w:t>-7</w:t>
      </w:r>
      <w:r w:rsidRPr="00AF0CC3">
        <w:rPr>
          <w:rFonts w:ascii="Times New Roman" w:hAnsi="Times New Roman" w:cs="Times New Roman"/>
          <w:color w:val="000000" w:themeColor="text1"/>
        </w:rPr>
        <w:t xml:space="preserve"> demonstrates that, while infrastructure underperformance is widely documented, existing studies rarely conceptualize project stalling as a distinct governance outcome or operationalize governance quality at the project level across the lifecycle. Time and cost overruns dominate empirical analysis, yet the transition from delay to prolonged inactivity remains under-theorized. Climate risk is typically treated as an exogenous disturbance rather than a governance-mediated interaction, and political transitions are discussed at the macro level without project-level modeling. These cumulative gaps directly motivate the study’s hypotheses linking governance quality to time overruns (H1), cost overruns (H2), the probability of stalling (H3), </w:t>
      </w:r>
      <w:r w:rsidRPr="00AF0CC3">
        <w:rPr>
          <w:rFonts w:ascii="Times New Roman" w:hAnsi="Times New Roman" w:cs="Times New Roman"/>
          <w:color w:val="000000" w:themeColor="text1"/>
        </w:rPr>
        <w:lastRenderedPageBreak/>
        <w:t>and governance climate interaction effects (H4), while incorporating political transition exposure as a control variable.</w:t>
      </w:r>
    </w:p>
    <w:p w14:paraId="56921CDB" w14:textId="77777777" w:rsidR="00833AED" w:rsidRPr="00AF0CC3" w:rsidRDefault="00833AED" w:rsidP="00833AED">
      <w:pPr>
        <w:spacing w:line="240" w:lineRule="auto"/>
        <w:rPr>
          <w:rFonts w:ascii="Times New Roman" w:hAnsi="Times New Roman" w:cs="Times New Roman"/>
          <w:color w:val="000000" w:themeColor="text1"/>
        </w:rPr>
      </w:pPr>
    </w:p>
    <w:p w14:paraId="3E69EF13" w14:textId="77777777" w:rsidR="00833AED" w:rsidRPr="00AF0CC3" w:rsidRDefault="00833AED" w:rsidP="00833AED">
      <w:pPr>
        <w:spacing w:line="240" w:lineRule="auto"/>
        <w:rPr>
          <w:rFonts w:ascii="Times New Roman" w:hAnsi="Times New Roman" w:cs="Times New Roman"/>
          <w:color w:val="000000" w:themeColor="text1"/>
        </w:rPr>
      </w:pPr>
      <w:r w:rsidRPr="00AF0CC3">
        <w:rPr>
          <w:rFonts w:ascii="Times New Roman" w:hAnsi="Times New Roman" w:cs="Times New Roman"/>
          <w:color w:val="000000" w:themeColor="text1"/>
        </w:rPr>
        <w:t>These gaps are interconnected rather than discrete. Weak operationalization of governance, fragmented lifecycle analysis, and treating climate risk as exogenous collectively obscure how projects move from delay to stalling. Addressing them requires an integrated analytical framework rather than incremental adjustments.</w:t>
      </w:r>
    </w:p>
    <w:p w14:paraId="01058CDD" w14:textId="77777777" w:rsidR="00833AED" w:rsidRPr="00AF0CC3" w:rsidRDefault="00833AED" w:rsidP="00833AED">
      <w:pPr>
        <w:spacing w:line="240" w:lineRule="auto"/>
        <w:rPr>
          <w:rFonts w:ascii="Times New Roman" w:hAnsi="Times New Roman" w:cs="Times New Roman"/>
          <w:color w:val="000000" w:themeColor="text1"/>
        </w:rPr>
      </w:pPr>
    </w:p>
    <w:p w14:paraId="4CF9AF69" w14:textId="77777777" w:rsidR="00833AED" w:rsidRPr="00AF0CC3" w:rsidRDefault="00833AED" w:rsidP="00833AED">
      <w:pPr>
        <w:spacing w:line="240" w:lineRule="auto"/>
        <w:rPr>
          <w:rFonts w:ascii="Times New Roman" w:hAnsi="Times New Roman" w:cs="Times New Roman"/>
          <w:color w:val="000000" w:themeColor="text1"/>
        </w:rPr>
      </w:pPr>
    </w:p>
    <w:p w14:paraId="21CB20AB" w14:textId="051D7095" w:rsidR="00833AED" w:rsidRPr="00AF0CC3" w:rsidRDefault="00833AED" w:rsidP="007F74C8">
      <w:pPr>
        <w:pStyle w:val="Heading2"/>
        <w:rPr>
          <w:rFonts w:cs="Times New Roman"/>
          <w:color w:val="000000" w:themeColor="text1"/>
          <w:szCs w:val="24"/>
        </w:rPr>
      </w:pPr>
      <w:bookmarkStart w:id="195" w:name="_Toc223623405"/>
      <w:bookmarkStart w:id="196" w:name="_Toc234344798"/>
      <w:bookmarkStart w:id="197" w:name="_Toc234489030"/>
      <w:r w:rsidRPr="00AF0CC3">
        <w:rPr>
          <w:rFonts w:cs="Times New Roman"/>
          <w:color w:val="000000" w:themeColor="text1"/>
          <w:szCs w:val="24"/>
        </w:rPr>
        <w:t>How This Study Addresses the Literature Gaps</w:t>
      </w:r>
      <w:bookmarkEnd w:id="195"/>
      <w:bookmarkEnd w:id="196"/>
      <w:bookmarkEnd w:id="197"/>
    </w:p>
    <w:p w14:paraId="08B1170B" w14:textId="77777777" w:rsidR="00833AED" w:rsidRPr="00AF0CC3" w:rsidRDefault="00833AED" w:rsidP="00833AED">
      <w:pPr>
        <w:spacing w:line="240" w:lineRule="auto"/>
        <w:rPr>
          <w:rFonts w:ascii="Times New Roman" w:hAnsi="Times New Roman" w:cs="Times New Roman"/>
          <w:color w:val="000000" w:themeColor="text1"/>
        </w:rPr>
      </w:pPr>
    </w:p>
    <w:p w14:paraId="0CCDA916" w14:textId="77777777" w:rsidR="00833AED" w:rsidRPr="00AF0CC3" w:rsidRDefault="00833AED" w:rsidP="00833AED">
      <w:pPr>
        <w:spacing w:line="240" w:lineRule="auto"/>
        <w:rPr>
          <w:rFonts w:ascii="Times New Roman" w:hAnsi="Times New Roman" w:cs="Times New Roman"/>
          <w:color w:val="000000" w:themeColor="text1"/>
        </w:rPr>
      </w:pPr>
      <w:r w:rsidRPr="00AF0CC3">
        <w:rPr>
          <w:rFonts w:ascii="Times New Roman" w:hAnsi="Times New Roman" w:cs="Times New Roman"/>
          <w:color w:val="000000" w:themeColor="text1"/>
        </w:rPr>
        <w:t>The gaps identified above are not side issues. They shape what can be explained and what remains invisible in infrastructure governance research. This study responds through a deliberately focused set of analytical choices. It does not attempt to “solve” all gaps, but it does address those most directly relevant to stalled water infrastructure in Kenya.</w:t>
      </w:r>
    </w:p>
    <w:p w14:paraId="48DC6B49" w14:textId="77777777" w:rsidR="00833AED" w:rsidRPr="00AF0CC3" w:rsidRDefault="00833AED" w:rsidP="00833AED">
      <w:pPr>
        <w:spacing w:line="240" w:lineRule="auto"/>
        <w:rPr>
          <w:rFonts w:ascii="Times New Roman" w:hAnsi="Times New Roman" w:cs="Times New Roman"/>
          <w:color w:val="000000" w:themeColor="text1"/>
        </w:rPr>
      </w:pPr>
    </w:p>
    <w:p w14:paraId="4B0CB57F" w14:textId="5C058732" w:rsidR="00833AED" w:rsidRPr="00AF0CC3" w:rsidRDefault="00833AED" w:rsidP="007F74C8">
      <w:pPr>
        <w:pStyle w:val="Heading3"/>
        <w:rPr>
          <w:rFonts w:cs="Times New Roman"/>
          <w:color w:val="000000" w:themeColor="text1"/>
          <w:szCs w:val="24"/>
        </w:rPr>
      </w:pPr>
      <w:bookmarkStart w:id="198" w:name="_Toc223623406"/>
      <w:bookmarkStart w:id="199" w:name="_Toc234344799"/>
      <w:bookmarkStart w:id="200" w:name="_Toc234489031"/>
      <w:r w:rsidRPr="00AF0CC3">
        <w:rPr>
          <w:rFonts w:cs="Times New Roman"/>
          <w:color w:val="000000" w:themeColor="text1"/>
          <w:szCs w:val="24"/>
        </w:rPr>
        <w:t>Reframing Project Stalling as a Core Analytical Outcome</w:t>
      </w:r>
      <w:bookmarkEnd w:id="198"/>
      <w:bookmarkEnd w:id="199"/>
      <w:bookmarkEnd w:id="200"/>
    </w:p>
    <w:p w14:paraId="419BAB25" w14:textId="77777777" w:rsidR="00833AED" w:rsidRPr="00AF0CC3" w:rsidRDefault="00833AED" w:rsidP="00833AED">
      <w:pPr>
        <w:spacing w:line="240" w:lineRule="auto"/>
        <w:rPr>
          <w:rFonts w:ascii="Times New Roman" w:hAnsi="Times New Roman" w:cs="Times New Roman"/>
          <w:color w:val="000000" w:themeColor="text1"/>
        </w:rPr>
      </w:pPr>
    </w:p>
    <w:p w14:paraId="0C017466" w14:textId="77777777" w:rsidR="00833AED" w:rsidRPr="00AF0CC3" w:rsidRDefault="00833AED" w:rsidP="00833AED">
      <w:pPr>
        <w:spacing w:line="240" w:lineRule="auto"/>
        <w:rPr>
          <w:rFonts w:ascii="Times New Roman" w:hAnsi="Times New Roman" w:cs="Times New Roman"/>
          <w:color w:val="000000" w:themeColor="text1"/>
        </w:rPr>
      </w:pPr>
      <w:r w:rsidRPr="00AF0CC3">
        <w:rPr>
          <w:rFonts w:ascii="Times New Roman" w:hAnsi="Times New Roman" w:cs="Times New Roman"/>
          <w:color w:val="000000" w:themeColor="text1"/>
        </w:rPr>
        <w:t>The first contribution is conceptual. This study treats project stalling as a distinct outcome rather than an extreme case of delay. By doing so, it shifts the analytical focus from incremental slippage to institutional breakdown.</w:t>
      </w:r>
    </w:p>
    <w:p w14:paraId="2EDB2B3F" w14:textId="77777777" w:rsidR="00833AED" w:rsidRPr="00AF0CC3" w:rsidRDefault="00833AED" w:rsidP="00833AED">
      <w:pPr>
        <w:spacing w:line="240" w:lineRule="auto"/>
        <w:rPr>
          <w:rFonts w:ascii="Times New Roman" w:hAnsi="Times New Roman" w:cs="Times New Roman"/>
          <w:color w:val="000000" w:themeColor="text1"/>
        </w:rPr>
      </w:pPr>
    </w:p>
    <w:p w14:paraId="2916E096" w14:textId="77777777" w:rsidR="00833AED" w:rsidRPr="00AF0CC3" w:rsidRDefault="00833AED" w:rsidP="00833AED">
      <w:pPr>
        <w:spacing w:line="240" w:lineRule="auto"/>
        <w:rPr>
          <w:rFonts w:ascii="Times New Roman" w:hAnsi="Times New Roman" w:cs="Times New Roman"/>
          <w:color w:val="000000" w:themeColor="text1"/>
        </w:rPr>
      </w:pPr>
      <w:r w:rsidRPr="00AF0CC3">
        <w:rPr>
          <w:rFonts w:ascii="Times New Roman" w:hAnsi="Times New Roman" w:cs="Times New Roman"/>
          <w:color w:val="000000" w:themeColor="text1"/>
        </w:rPr>
        <w:t>Operationalizing stalling as a prolonged cessation of construction without the delivery of functional services allows the study to ask a clearer question: why do some projects stop moving altogether? That question cannot be answered solely by delay and cost metrics.</w:t>
      </w:r>
    </w:p>
    <w:p w14:paraId="6DB2A604" w14:textId="77777777" w:rsidR="00833AED" w:rsidRPr="00AF0CC3" w:rsidRDefault="00833AED" w:rsidP="00833AED">
      <w:pPr>
        <w:spacing w:line="240" w:lineRule="auto"/>
        <w:rPr>
          <w:rFonts w:ascii="Times New Roman" w:hAnsi="Times New Roman" w:cs="Times New Roman"/>
          <w:color w:val="000000" w:themeColor="text1"/>
        </w:rPr>
      </w:pPr>
    </w:p>
    <w:p w14:paraId="7997EB40" w14:textId="77777777" w:rsidR="00833AED" w:rsidRPr="00AF0CC3" w:rsidRDefault="00833AED" w:rsidP="00833AED">
      <w:pPr>
        <w:spacing w:line="240" w:lineRule="auto"/>
        <w:rPr>
          <w:rFonts w:ascii="Times New Roman" w:hAnsi="Times New Roman" w:cs="Times New Roman"/>
          <w:color w:val="000000" w:themeColor="text1"/>
        </w:rPr>
      </w:pPr>
      <w:r w:rsidRPr="00AF0CC3">
        <w:rPr>
          <w:rFonts w:ascii="Times New Roman" w:hAnsi="Times New Roman" w:cs="Times New Roman"/>
          <w:color w:val="000000" w:themeColor="text1"/>
        </w:rPr>
        <w:t>This reframing also matters practically. Stalled projects have different fiscal and governance consequences than delayed projects. They represent stranded public investment, weakened accountability, and long-term deterioration of assets. Treating stalling as analytically central is therefore both empirically and policy relevant.</w:t>
      </w:r>
    </w:p>
    <w:p w14:paraId="5428E392" w14:textId="77777777" w:rsidR="00833AED" w:rsidRPr="00AF0CC3" w:rsidRDefault="00833AED" w:rsidP="00833AED">
      <w:pPr>
        <w:spacing w:line="240" w:lineRule="auto"/>
        <w:rPr>
          <w:rFonts w:ascii="Times New Roman" w:hAnsi="Times New Roman" w:cs="Times New Roman"/>
          <w:color w:val="000000" w:themeColor="text1"/>
        </w:rPr>
      </w:pPr>
    </w:p>
    <w:p w14:paraId="3FAF327A" w14:textId="6511C057" w:rsidR="00833AED" w:rsidRPr="00AF0CC3" w:rsidRDefault="00833AED" w:rsidP="00652ACB">
      <w:pPr>
        <w:pStyle w:val="Heading3"/>
        <w:rPr>
          <w:rFonts w:cs="Times New Roman"/>
          <w:color w:val="000000" w:themeColor="text1"/>
          <w:szCs w:val="24"/>
        </w:rPr>
      </w:pPr>
      <w:bookmarkStart w:id="201" w:name="_Toc223623407"/>
      <w:bookmarkStart w:id="202" w:name="_Toc234344800"/>
      <w:bookmarkStart w:id="203" w:name="_Toc234489032"/>
      <w:r w:rsidRPr="00AF0CC3">
        <w:rPr>
          <w:rFonts w:cs="Times New Roman"/>
          <w:color w:val="000000" w:themeColor="text1"/>
          <w:szCs w:val="24"/>
        </w:rPr>
        <w:t>Operationalizing Governance Quality at the Project Level</w:t>
      </w:r>
      <w:bookmarkEnd w:id="201"/>
      <w:bookmarkEnd w:id="202"/>
      <w:bookmarkEnd w:id="203"/>
    </w:p>
    <w:p w14:paraId="3F305560" w14:textId="77777777" w:rsidR="00833AED" w:rsidRPr="00AF0CC3" w:rsidRDefault="00833AED" w:rsidP="00833AED">
      <w:pPr>
        <w:spacing w:line="240" w:lineRule="auto"/>
        <w:rPr>
          <w:rFonts w:ascii="Times New Roman" w:hAnsi="Times New Roman" w:cs="Times New Roman"/>
          <w:color w:val="000000" w:themeColor="text1"/>
        </w:rPr>
      </w:pPr>
    </w:p>
    <w:p w14:paraId="3C4822A9" w14:textId="77777777" w:rsidR="00833AED" w:rsidRPr="00AF0CC3" w:rsidRDefault="00833AED" w:rsidP="00833AED">
      <w:pPr>
        <w:spacing w:line="240" w:lineRule="auto"/>
        <w:rPr>
          <w:rFonts w:ascii="Times New Roman" w:hAnsi="Times New Roman" w:cs="Times New Roman"/>
          <w:color w:val="000000" w:themeColor="text1"/>
        </w:rPr>
      </w:pPr>
      <w:r w:rsidRPr="00AF0CC3">
        <w:rPr>
          <w:rFonts w:ascii="Times New Roman" w:hAnsi="Times New Roman" w:cs="Times New Roman"/>
          <w:color w:val="000000" w:themeColor="text1"/>
        </w:rPr>
        <w:t>The second contribution is methodological. Rather than relying on national governance indices, the study constructs a project-level Governance Quality Index (GQI) based on observable, verifiable practices across the lifecycle.</w:t>
      </w:r>
    </w:p>
    <w:p w14:paraId="36667E9E" w14:textId="77777777" w:rsidR="00833AED" w:rsidRPr="00AF0CC3" w:rsidRDefault="00833AED" w:rsidP="00833AED">
      <w:pPr>
        <w:spacing w:line="240" w:lineRule="auto"/>
        <w:rPr>
          <w:rFonts w:ascii="Times New Roman" w:hAnsi="Times New Roman" w:cs="Times New Roman"/>
          <w:color w:val="000000" w:themeColor="text1"/>
        </w:rPr>
      </w:pPr>
    </w:p>
    <w:p w14:paraId="15144958" w14:textId="77777777" w:rsidR="00833AED" w:rsidRPr="00AF0CC3" w:rsidRDefault="00833AED" w:rsidP="00833AED">
      <w:pPr>
        <w:spacing w:line="240" w:lineRule="auto"/>
        <w:rPr>
          <w:rFonts w:ascii="Times New Roman" w:hAnsi="Times New Roman" w:cs="Times New Roman"/>
          <w:color w:val="000000" w:themeColor="text1"/>
        </w:rPr>
      </w:pPr>
      <w:r w:rsidRPr="00AF0CC3">
        <w:rPr>
          <w:rFonts w:ascii="Times New Roman" w:hAnsi="Times New Roman" w:cs="Times New Roman"/>
          <w:color w:val="000000" w:themeColor="text1"/>
        </w:rPr>
        <w:t>Drawing on audit reports, project documentation, and implementation records, the GQI captures variation in preparation quality, risk allocation, procurement discipline, contract management, and accountability responses. This moves governance from a descriptive backdrop into a measurable explanatory variable.</w:t>
      </w:r>
    </w:p>
    <w:p w14:paraId="464E758F" w14:textId="77777777" w:rsidR="00833AED" w:rsidRPr="00AF0CC3" w:rsidRDefault="00833AED" w:rsidP="00833AED">
      <w:pPr>
        <w:spacing w:line="240" w:lineRule="auto"/>
        <w:rPr>
          <w:rFonts w:ascii="Times New Roman" w:hAnsi="Times New Roman" w:cs="Times New Roman"/>
          <w:color w:val="000000" w:themeColor="text1"/>
        </w:rPr>
      </w:pPr>
    </w:p>
    <w:p w14:paraId="4B00B874" w14:textId="77777777" w:rsidR="00833AED" w:rsidRPr="00AF0CC3" w:rsidRDefault="00833AED" w:rsidP="00833AED">
      <w:pPr>
        <w:spacing w:line="240" w:lineRule="auto"/>
        <w:rPr>
          <w:rFonts w:ascii="Times New Roman" w:hAnsi="Times New Roman" w:cs="Times New Roman"/>
          <w:color w:val="000000" w:themeColor="text1"/>
        </w:rPr>
      </w:pPr>
      <w:r w:rsidRPr="00AF0CC3">
        <w:rPr>
          <w:rFonts w:ascii="Times New Roman" w:hAnsi="Times New Roman" w:cs="Times New Roman"/>
          <w:color w:val="000000" w:themeColor="text1"/>
        </w:rPr>
        <w:t>The index is designed to be transparent and replicable. Indicators rely on documentary evidence rather than perception-based scoring. This strengthens the credibility of empirical testing and responds directly to the literature’s need for more grounded measurement of governance-performance relationships.</w:t>
      </w:r>
    </w:p>
    <w:p w14:paraId="75B11B3F" w14:textId="77777777" w:rsidR="00833AED" w:rsidRPr="00AF0CC3" w:rsidRDefault="00833AED" w:rsidP="00833AED">
      <w:pPr>
        <w:spacing w:line="240" w:lineRule="auto"/>
        <w:rPr>
          <w:rFonts w:ascii="Times New Roman" w:hAnsi="Times New Roman" w:cs="Times New Roman"/>
          <w:color w:val="000000" w:themeColor="text1"/>
        </w:rPr>
      </w:pPr>
    </w:p>
    <w:p w14:paraId="266F2950" w14:textId="469F1943" w:rsidR="00833AED" w:rsidRPr="00AF0CC3" w:rsidRDefault="00833AED" w:rsidP="00652ACB">
      <w:pPr>
        <w:pStyle w:val="Heading3"/>
        <w:rPr>
          <w:rFonts w:cs="Times New Roman"/>
          <w:color w:val="000000" w:themeColor="text1"/>
          <w:szCs w:val="24"/>
        </w:rPr>
      </w:pPr>
      <w:bookmarkStart w:id="204" w:name="_Toc223623408"/>
      <w:bookmarkStart w:id="205" w:name="_Toc234344801"/>
      <w:bookmarkStart w:id="206" w:name="_Toc234489033"/>
      <w:r w:rsidRPr="00AF0CC3">
        <w:rPr>
          <w:rFonts w:cs="Times New Roman"/>
          <w:color w:val="000000" w:themeColor="text1"/>
          <w:szCs w:val="24"/>
        </w:rPr>
        <w:t>Adopting a Lifecycle Perspective on Infrastructure Governance</w:t>
      </w:r>
      <w:bookmarkEnd w:id="204"/>
      <w:bookmarkEnd w:id="205"/>
      <w:bookmarkEnd w:id="206"/>
    </w:p>
    <w:p w14:paraId="1190AB6C" w14:textId="77777777" w:rsidR="00833AED" w:rsidRPr="00AF0CC3" w:rsidRDefault="00833AED" w:rsidP="00833AED">
      <w:pPr>
        <w:spacing w:line="240" w:lineRule="auto"/>
        <w:rPr>
          <w:rFonts w:ascii="Times New Roman" w:hAnsi="Times New Roman" w:cs="Times New Roman"/>
          <w:color w:val="000000" w:themeColor="text1"/>
        </w:rPr>
      </w:pPr>
    </w:p>
    <w:p w14:paraId="760CFB0A" w14:textId="77777777" w:rsidR="00833AED" w:rsidRPr="00AF0CC3" w:rsidRDefault="00833AED" w:rsidP="00833AED">
      <w:pPr>
        <w:spacing w:line="240" w:lineRule="auto"/>
        <w:rPr>
          <w:rFonts w:ascii="Times New Roman" w:hAnsi="Times New Roman" w:cs="Times New Roman"/>
          <w:color w:val="000000" w:themeColor="text1"/>
        </w:rPr>
      </w:pPr>
      <w:r w:rsidRPr="00AF0CC3">
        <w:rPr>
          <w:rFonts w:ascii="Times New Roman" w:hAnsi="Times New Roman" w:cs="Times New Roman"/>
          <w:color w:val="000000" w:themeColor="text1"/>
        </w:rPr>
        <w:t>Third, the study adopts a full-lifecycle governance approach. Rather than isolating stages, it examines how governance practices interact and accumulate from preparation through oversight.</w:t>
      </w:r>
    </w:p>
    <w:p w14:paraId="6B07A04C" w14:textId="77777777" w:rsidR="00833AED" w:rsidRPr="00AF0CC3" w:rsidRDefault="00833AED" w:rsidP="00833AED">
      <w:pPr>
        <w:spacing w:line="240" w:lineRule="auto"/>
        <w:rPr>
          <w:rFonts w:ascii="Times New Roman" w:hAnsi="Times New Roman" w:cs="Times New Roman"/>
          <w:color w:val="000000" w:themeColor="text1"/>
        </w:rPr>
      </w:pPr>
    </w:p>
    <w:p w14:paraId="1E9D7295" w14:textId="77777777" w:rsidR="00833AED" w:rsidRPr="00AF0CC3" w:rsidRDefault="00833AED" w:rsidP="00833AED">
      <w:pPr>
        <w:spacing w:line="240" w:lineRule="auto"/>
        <w:rPr>
          <w:rFonts w:ascii="Times New Roman" w:hAnsi="Times New Roman" w:cs="Times New Roman"/>
          <w:color w:val="000000" w:themeColor="text1"/>
        </w:rPr>
      </w:pPr>
      <w:r w:rsidRPr="00AF0CC3">
        <w:rPr>
          <w:rFonts w:ascii="Times New Roman" w:hAnsi="Times New Roman" w:cs="Times New Roman"/>
          <w:color w:val="000000" w:themeColor="text1"/>
        </w:rPr>
        <w:t>This matters because stalling is rarely the product of a single failure. It is usually the endpoint of compounded weaknesses. By structuring both the governance index and the empirical analysis around lifecycle stages, the study traces how early-stage omissions propagate and eventually manifest as stalled delivery.</w:t>
      </w:r>
    </w:p>
    <w:p w14:paraId="1941720F" w14:textId="77777777" w:rsidR="00833AED" w:rsidRPr="00AF0CC3" w:rsidRDefault="00833AED" w:rsidP="00833AED">
      <w:pPr>
        <w:spacing w:line="240" w:lineRule="auto"/>
        <w:rPr>
          <w:rFonts w:ascii="Times New Roman" w:hAnsi="Times New Roman" w:cs="Times New Roman"/>
          <w:color w:val="000000" w:themeColor="text1"/>
        </w:rPr>
      </w:pPr>
    </w:p>
    <w:p w14:paraId="7EC15833" w14:textId="77777777" w:rsidR="00833AED" w:rsidRPr="00AF0CC3" w:rsidRDefault="00833AED" w:rsidP="00833AED">
      <w:pPr>
        <w:spacing w:line="240" w:lineRule="auto"/>
        <w:rPr>
          <w:rFonts w:ascii="Times New Roman" w:hAnsi="Times New Roman" w:cs="Times New Roman"/>
          <w:color w:val="000000" w:themeColor="text1"/>
        </w:rPr>
      </w:pPr>
      <w:r w:rsidRPr="00AF0CC3">
        <w:rPr>
          <w:rFonts w:ascii="Times New Roman" w:hAnsi="Times New Roman" w:cs="Times New Roman"/>
          <w:color w:val="000000" w:themeColor="text1"/>
        </w:rPr>
        <w:t>This approach also has policy value. It shifts attention from reactive fixes during construction to early governance discipline, where prevention is cheaper than recovery.</w:t>
      </w:r>
    </w:p>
    <w:p w14:paraId="5A61A9EA" w14:textId="77777777" w:rsidR="00833AED" w:rsidRPr="00AF0CC3" w:rsidRDefault="00833AED" w:rsidP="00833AED">
      <w:pPr>
        <w:spacing w:line="240" w:lineRule="auto"/>
        <w:rPr>
          <w:rFonts w:ascii="Times New Roman" w:hAnsi="Times New Roman" w:cs="Times New Roman"/>
          <w:color w:val="000000" w:themeColor="text1"/>
        </w:rPr>
      </w:pPr>
    </w:p>
    <w:p w14:paraId="6FC06CEB" w14:textId="4C85364C" w:rsidR="00833AED" w:rsidRPr="00AF0CC3" w:rsidRDefault="00833AED" w:rsidP="00652ACB">
      <w:pPr>
        <w:pStyle w:val="Heading3"/>
        <w:rPr>
          <w:rFonts w:cs="Times New Roman"/>
          <w:color w:val="000000" w:themeColor="text1"/>
          <w:szCs w:val="24"/>
        </w:rPr>
      </w:pPr>
      <w:bookmarkStart w:id="207" w:name="_Toc223623409"/>
      <w:bookmarkStart w:id="208" w:name="_Toc234344802"/>
      <w:bookmarkStart w:id="209" w:name="_Toc234489034"/>
      <w:r w:rsidRPr="00AF0CC3">
        <w:rPr>
          <w:rFonts w:cs="Times New Roman"/>
          <w:color w:val="000000" w:themeColor="text1"/>
          <w:szCs w:val="24"/>
        </w:rPr>
        <w:t>Integrating Water Governance Insights into Infrastructure Analysis</w:t>
      </w:r>
      <w:bookmarkEnd w:id="207"/>
      <w:bookmarkEnd w:id="208"/>
      <w:bookmarkEnd w:id="209"/>
    </w:p>
    <w:p w14:paraId="441F5753" w14:textId="77777777" w:rsidR="00833AED" w:rsidRPr="00AF0CC3" w:rsidRDefault="00833AED" w:rsidP="00833AED">
      <w:pPr>
        <w:spacing w:line="240" w:lineRule="auto"/>
        <w:rPr>
          <w:rFonts w:ascii="Times New Roman" w:hAnsi="Times New Roman" w:cs="Times New Roman"/>
          <w:color w:val="000000" w:themeColor="text1"/>
        </w:rPr>
      </w:pPr>
    </w:p>
    <w:p w14:paraId="0165F0FC" w14:textId="77777777" w:rsidR="00833AED" w:rsidRPr="00AF0CC3" w:rsidRDefault="00833AED" w:rsidP="00833AED">
      <w:pPr>
        <w:spacing w:line="240" w:lineRule="auto"/>
        <w:rPr>
          <w:rFonts w:ascii="Times New Roman" w:hAnsi="Times New Roman" w:cs="Times New Roman"/>
          <w:color w:val="000000" w:themeColor="text1"/>
        </w:rPr>
      </w:pPr>
      <w:r w:rsidRPr="00AF0CC3">
        <w:rPr>
          <w:rFonts w:ascii="Times New Roman" w:hAnsi="Times New Roman" w:cs="Times New Roman"/>
          <w:color w:val="000000" w:themeColor="text1"/>
        </w:rPr>
        <w:t>Fourth, the study bridges the gap between water governance theory and infrastructure delivery analysis. It incorporates water-specific governance challenges, land tenure complexity, safeguards approvals, stakeholder conflict, and socio-hydrological uncertainty into the performance framework rather than treating water projects as generic infrastructure.</w:t>
      </w:r>
    </w:p>
    <w:p w14:paraId="3EDAA141" w14:textId="77777777" w:rsidR="00833AED" w:rsidRPr="00AF0CC3" w:rsidRDefault="00833AED" w:rsidP="00833AED">
      <w:pPr>
        <w:spacing w:line="240" w:lineRule="auto"/>
        <w:rPr>
          <w:rFonts w:ascii="Times New Roman" w:hAnsi="Times New Roman" w:cs="Times New Roman"/>
          <w:color w:val="000000" w:themeColor="text1"/>
        </w:rPr>
      </w:pPr>
    </w:p>
    <w:p w14:paraId="64690CCF" w14:textId="77777777" w:rsidR="00833AED" w:rsidRPr="00AF0CC3" w:rsidRDefault="00833AED" w:rsidP="00833AED">
      <w:pPr>
        <w:spacing w:line="240" w:lineRule="auto"/>
        <w:rPr>
          <w:rFonts w:ascii="Times New Roman" w:hAnsi="Times New Roman" w:cs="Times New Roman"/>
          <w:color w:val="000000" w:themeColor="text1"/>
        </w:rPr>
      </w:pPr>
      <w:r w:rsidRPr="00AF0CC3">
        <w:rPr>
          <w:rFonts w:ascii="Times New Roman" w:hAnsi="Times New Roman" w:cs="Times New Roman"/>
          <w:color w:val="000000" w:themeColor="text1"/>
        </w:rPr>
        <w:t>This integration matters because water infrastructure failure often reflects governance tensions unique to water as a resource and service. Integrating these insights into an infrastructure performance model enhances explanatory realism and strengthens the study's sectoral contribution.</w:t>
      </w:r>
    </w:p>
    <w:p w14:paraId="2D1D5078" w14:textId="77777777" w:rsidR="00833AED" w:rsidRPr="00AF0CC3" w:rsidRDefault="00833AED" w:rsidP="00833AED">
      <w:pPr>
        <w:spacing w:line="240" w:lineRule="auto"/>
        <w:rPr>
          <w:rFonts w:ascii="Times New Roman" w:hAnsi="Times New Roman" w:cs="Times New Roman"/>
          <w:color w:val="000000" w:themeColor="text1"/>
        </w:rPr>
      </w:pPr>
    </w:p>
    <w:p w14:paraId="58A4DB51" w14:textId="061396D5" w:rsidR="00833AED" w:rsidRPr="00AF0CC3" w:rsidRDefault="00833AED" w:rsidP="00652ACB">
      <w:pPr>
        <w:pStyle w:val="Heading3"/>
        <w:rPr>
          <w:rFonts w:cs="Times New Roman"/>
          <w:color w:val="000000" w:themeColor="text1"/>
          <w:szCs w:val="24"/>
        </w:rPr>
      </w:pPr>
      <w:bookmarkStart w:id="210" w:name="_Toc223623410"/>
      <w:bookmarkStart w:id="211" w:name="_Toc234344803"/>
      <w:bookmarkStart w:id="212" w:name="_Toc234489035"/>
      <w:r w:rsidRPr="00AF0CC3">
        <w:rPr>
          <w:rFonts w:cs="Times New Roman"/>
          <w:color w:val="000000" w:themeColor="text1"/>
          <w:szCs w:val="24"/>
        </w:rPr>
        <w:lastRenderedPageBreak/>
        <w:t>Treating Climate Risk as a Governance-Mediated Factor</w:t>
      </w:r>
      <w:bookmarkEnd w:id="210"/>
      <w:bookmarkEnd w:id="211"/>
      <w:bookmarkEnd w:id="212"/>
    </w:p>
    <w:p w14:paraId="477E9674" w14:textId="77777777" w:rsidR="00833AED" w:rsidRPr="00AF0CC3" w:rsidRDefault="00833AED" w:rsidP="00833AED">
      <w:pPr>
        <w:spacing w:line="240" w:lineRule="auto"/>
        <w:rPr>
          <w:rFonts w:ascii="Times New Roman" w:hAnsi="Times New Roman" w:cs="Times New Roman"/>
          <w:color w:val="000000" w:themeColor="text1"/>
        </w:rPr>
      </w:pPr>
    </w:p>
    <w:p w14:paraId="5E5ECCC9" w14:textId="77777777" w:rsidR="00833AED" w:rsidRPr="00AF0CC3" w:rsidRDefault="00833AED" w:rsidP="00833AED">
      <w:pPr>
        <w:spacing w:line="240" w:lineRule="auto"/>
        <w:rPr>
          <w:rFonts w:ascii="Times New Roman" w:hAnsi="Times New Roman" w:cs="Times New Roman"/>
          <w:color w:val="000000" w:themeColor="text1"/>
        </w:rPr>
      </w:pPr>
      <w:r w:rsidRPr="00AF0CC3">
        <w:rPr>
          <w:rFonts w:ascii="Times New Roman" w:hAnsi="Times New Roman" w:cs="Times New Roman"/>
          <w:color w:val="000000" w:themeColor="text1"/>
        </w:rPr>
        <w:t>Finally, the study treats climate risk as governance-mediated rather than purely exogenous. Climate exposure is modeled as a moderating factor interacting with governance quality, allowing the analysis to test whether stronger governance buffers climate stress or whether weak governance amplifies it.</w:t>
      </w:r>
    </w:p>
    <w:p w14:paraId="75E32364" w14:textId="77777777" w:rsidR="00833AED" w:rsidRPr="00AF0CC3" w:rsidRDefault="00833AED" w:rsidP="00833AED">
      <w:pPr>
        <w:spacing w:line="240" w:lineRule="auto"/>
        <w:rPr>
          <w:rFonts w:ascii="Times New Roman" w:hAnsi="Times New Roman" w:cs="Times New Roman"/>
          <w:color w:val="000000" w:themeColor="text1"/>
        </w:rPr>
      </w:pPr>
    </w:p>
    <w:p w14:paraId="25D1B482" w14:textId="77777777" w:rsidR="00833AED" w:rsidRPr="00AF0CC3" w:rsidRDefault="00833AED" w:rsidP="00833AED">
      <w:pPr>
        <w:spacing w:line="240" w:lineRule="auto"/>
        <w:rPr>
          <w:rFonts w:ascii="Times New Roman" w:hAnsi="Times New Roman" w:cs="Times New Roman"/>
          <w:color w:val="000000" w:themeColor="text1"/>
        </w:rPr>
      </w:pPr>
      <w:r w:rsidRPr="00AF0CC3">
        <w:rPr>
          <w:rFonts w:ascii="Times New Roman" w:hAnsi="Times New Roman" w:cs="Times New Roman"/>
          <w:color w:val="000000" w:themeColor="text1"/>
        </w:rPr>
        <w:t>This approach avoids two common errors: blaming climate for failures that reflect weak institutions or blaming institutions while ignoring real hydro-climatic stress. It also aligns with adaptive governance scholarship while remaining empirically feasible.</w:t>
      </w:r>
    </w:p>
    <w:p w14:paraId="79069865" w14:textId="77777777" w:rsidR="00833AED" w:rsidRPr="00AF0CC3" w:rsidRDefault="00833AED" w:rsidP="00833AED">
      <w:pPr>
        <w:spacing w:line="240" w:lineRule="auto"/>
        <w:rPr>
          <w:rFonts w:ascii="Times New Roman" w:hAnsi="Times New Roman" w:cs="Times New Roman"/>
          <w:color w:val="000000" w:themeColor="text1"/>
        </w:rPr>
      </w:pPr>
    </w:p>
    <w:p w14:paraId="0D114B3D" w14:textId="77777777" w:rsidR="00833AED" w:rsidRPr="00AF0CC3" w:rsidRDefault="00833AED" w:rsidP="00833AED">
      <w:pPr>
        <w:spacing w:line="240" w:lineRule="auto"/>
        <w:rPr>
          <w:rFonts w:ascii="Times New Roman" w:hAnsi="Times New Roman" w:cs="Times New Roman"/>
          <w:color w:val="000000" w:themeColor="text1"/>
        </w:rPr>
      </w:pPr>
    </w:p>
    <w:p w14:paraId="78F034A6" w14:textId="0121B4B3" w:rsidR="00C7100C" w:rsidRPr="00AF0CC3" w:rsidRDefault="00C7100C" w:rsidP="00C7100C">
      <w:pPr>
        <w:pStyle w:val="Caption"/>
        <w:keepNext/>
        <w:rPr>
          <w:rFonts w:ascii="Times New Roman" w:hAnsi="Times New Roman" w:cs="Times New Roman"/>
          <w:sz w:val="24"/>
          <w:szCs w:val="24"/>
        </w:rPr>
      </w:pPr>
      <w:bookmarkStart w:id="213" w:name="_Toc234437363"/>
      <w:r w:rsidRPr="00AF0CC3">
        <w:rPr>
          <w:rFonts w:ascii="Times New Roman" w:hAnsi="Times New Roman" w:cs="Times New Roman"/>
          <w:sz w:val="24"/>
          <w:szCs w:val="24"/>
        </w:rPr>
        <w:t xml:space="preserve">Table </w:t>
      </w:r>
      <w:r w:rsidR="007F4206" w:rsidRPr="00AF0CC3">
        <w:rPr>
          <w:rFonts w:ascii="Times New Roman" w:hAnsi="Times New Roman" w:cs="Times New Roman"/>
          <w:sz w:val="24"/>
          <w:szCs w:val="24"/>
        </w:rPr>
        <w:fldChar w:fldCharType="begin"/>
      </w:r>
      <w:r w:rsidR="007F4206" w:rsidRPr="00AF0CC3">
        <w:rPr>
          <w:rFonts w:ascii="Times New Roman" w:hAnsi="Times New Roman" w:cs="Times New Roman"/>
          <w:sz w:val="24"/>
          <w:szCs w:val="24"/>
        </w:rPr>
        <w:instrText xml:space="preserve"> STYLEREF 1 \s </w:instrText>
      </w:r>
      <w:r w:rsidR="007F4206" w:rsidRPr="00AF0CC3">
        <w:rPr>
          <w:rFonts w:ascii="Times New Roman" w:hAnsi="Times New Roman" w:cs="Times New Roman"/>
          <w:sz w:val="24"/>
          <w:szCs w:val="24"/>
        </w:rPr>
        <w:fldChar w:fldCharType="separate"/>
      </w:r>
      <w:r w:rsidR="007F4206" w:rsidRPr="00AF0CC3">
        <w:rPr>
          <w:rFonts w:ascii="Times New Roman" w:hAnsi="Times New Roman" w:cs="Times New Roman"/>
          <w:noProof/>
          <w:sz w:val="24"/>
          <w:szCs w:val="24"/>
        </w:rPr>
        <w:t>2</w:t>
      </w:r>
      <w:r w:rsidR="007F4206" w:rsidRPr="00AF0CC3">
        <w:rPr>
          <w:rFonts w:ascii="Times New Roman" w:hAnsi="Times New Roman" w:cs="Times New Roman"/>
          <w:noProof/>
          <w:sz w:val="24"/>
          <w:szCs w:val="24"/>
        </w:rPr>
        <w:fldChar w:fldCharType="end"/>
      </w:r>
      <w:r w:rsidR="007F4206" w:rsidRPr="00AF0CC3">
        <w:rPr>
          <w:rFonts w:ascii="Times New Roman" w:hAnsi="Times New Roman" w:cs="Times New Roman"/>
          <w:sz w:val="24"/>
          <w:szCs w:val="24"/>
        </w:rPr>
        <w:noBreakHyphen/>
      </w:r>
      <w:r w:rsidR="007F4206" w:rsidRPr="00AF0CC3">
        <w:rPr>
          <w:rFonts w:ascii="Times New Roman" w:hAnsi="Times New Roman" w:cs="Times New Roman"/>
          <w:sz w:val="24"/>
          <w:szCs w:val="24"/>
        </w:rPr>
        <w:fldChar w:fldCharType="begin"/>
      </w:r>
      <w:r w:rsidR="007F4206" w:rsidRPr="00AF0CC3">
        <w:rPr>
          <w:rFonts w:ascii="Times New Roman" w:hAnsi="Times New Roman" w:cs="Times New Roman"/>
          <w:sz w:val="24"/>
          <w:szCs w:val="24"/>
        </w:rPr>
        <w:instrText xml:space="preserve"> SEQ Table \* ARABIC \s 1 </w:instrText>
      </w:r>
      <w:r w:rsidR="007F4206" w:rsidRPr="00AF0CC3">
        <w:rPr>
          <w:rFonts w:ascii="Times New Roman" w:hAnsi="Times New Roman" w:cs="Times New Roman"/>
          <w:sz w:val="24"/>
          <w:szCs w:val="24"/>
        </w:rPr>
        <w:fldChar w:fldCharType="separate"/>
      </w:r>
      <w:r w:rsidR="007F4206" w:rsidRPr="00AF0CC3">
        <w:rPr>
          <w:rFonts w:ascii="Times New Roman" w:hAnsi="Times New Roman" w:cs="Times New Roman"/>
          <w:noProof/>
          <w:sz w:val="24"/>
          <w:szCs w:val="24"/>
        </w:rPr>
        <w:t>8</w:t>
      </w:r>
      <w:r w:rsidR="007F4206" w:rsidRPr="00AF0CC3">
        <w:rPr>
          <w:rFonts w:ascii="Times New Roman" w:hAnsi="Times New Roman" w:cs="Times New Roman"/>
          <w:noProof/>
          <w:sz w:val="24"/>
          <w:szCs w:val="24"/>
        </w:rPr>
        <w:fldChar w:fldCharType="end"/>
      </w:r>
      <w:r w:rsidRPr="00AF0CC3">
        <w:rPr>
          <w:rFonts w:ascii="Times New Roman" w:hAnsi="Times New Roman" w:cs="Times New Roman"/>
          <w:sz w:val="24"/>
          <w:szCs w:val="24"/>
        </w:rPr>
        <w:t xml:space="preserve"> Alignment Between Identified Literature Gaps and Study Contributions</w:t>
      </w:r>
      <w:bookmarkEnd w:id="213"/>
    </w:p>
    <w:tbl>
      <w:tblPr>
        <w:tblStyle w:val="TableGrid"/>
        <w:tblW w:w="9537" w:type="dxa"/>
        <w:tblInd w:w="0" w:type="dxa"/>
        <w:tblLook w:val="04A0" w:firstRow="1" w:lastRow="0" w:firstColumn="1" w:lastColumn="0" w:noHBand="0" w:noVBand="1"/>
      </w:tblPr>
      <w:tblGrid>
        <w:gridCol w:w="3179"/>
        <w:gridCol w:w="3179"/>
        <w:gridCol w:w="3179"/>
      </w:tblGrid>
      <w:tr w:rsidR="00833AED" w:rsidRPr="00AF0CC3" w14:paraId="70252A3B" w14:textId="77777777" w:rsidTr="00E73C98">
        <w:trPr>
          <w:trHeight w:val="518"/>
        </w:trPr>
        <w:tc>
          <w:tcPr>
            <w:tcW w:w="3179" w:type="dxa"/>
            <w:tcBorders>
              <w:top w:val="single" w:sz="4" w:space="0" w:color="auto"/>
              <w:left w:val="single" w:sz="4" w:space="0" w:color="auto"/>
              <w:bottom w:val="single" w:sz="4" w:space="0" w:color="auto"/>
              <w:right w:val="single" w:sz="4" w:space="0" w:color="auto"/>
            </w:tcBorders>
            <w:hideMark/>
          </w:tcPr>
          <w:p w14:paraId="2AF44845" w14:textId="77777777" w:rsidR="00833AED" w:rsidRPr="00AF0CC3" w:rsidRDefault="00833AED" w:rsidP="00833AED">
            <w:pPr>
              <w:rPr>
                <w:rFonts w:ascii="Times New Roman" w:hAnsi="Times New Roman"/>
                <w:color w:val="000000" w:themeColor="text1"/>
                <w:sz w:val="24"/>
                <w:szCs w:val="24"/>
              </w:rPr>
            </w:pPr>
            <w:r w:rsidRPr="00AF0CC3">
              <w:rPr>
                <w:rFonts w:ascii="Times New Roman" w:hAnsi="Times New Roman"/>
                <w:color w:val="000000" w:themeColor="text1"/>
                <w:sz w:val="24"/>
                <w:szCs w:val="24"/>
              </w:rPr>
              <w:t>Identified Literature Gap</w:t>
            </w:r>
          </w:p>
        </w:tc>
        <w:tc>
          <w:tcPr>
            <w:tcW w:w="3179" w:type="dxa"/>
            <w:tcBorders>
              <w:top w:val="single" w:sz="4" w:space="0" w:color="auto"/>
              <w:left w:val="single" w:sz="4" w:space="0" w:color="auto"/>
              <w:bottom w:val="single" w:sz="4" w:space="0" w:color="auto"/>
              <w:right w:val="single" w:sz="4" w:space="0" w:color="auto"/>
            </w:tcBorders>
            <w:hideMark/>
          </w:tcPr>
          <w:p w14:paraId="7885439F" w14:textId="77777777" w:rsidR="00833AED" w:rsidRPr="00AF0CC3" w:rsidRDefault="00833AED" w:rsidP="00833AED">
            <w:pPr>
              <w:rPr>
                <w:rFonts w:ascii="Times New Roman" w:hAnsi="Times New Roman"/>
                <w:color w:val="000000" w:themeColor="text1"/>
                <w:sz w:val="24"/>
                <w:szCs w:val="24"/>
              </w:rPr>
            </w:pPr>
            <w:r w:rsidRPr="00AF0CC3">
              <w:rPr>
                <w:rFonts w:ascii="Times New Roman" w:hAnsi="Times New Roman"/>
                <w:color w:val="000000" w:themeColor="text1"/>
                <w:sz w:val="24"/>
                <w:szCs w:val="24"/>
              </w:rPr>
              <w:t>Analytical Response in This Study</w:t>
            </w:r>
          </w:p>
        </w:tc>
        <w:tc>
          <w:tcPr>
            <w:tcW w:w="3179" w:type="dxa"/>
            <w:tcBorders>
              <w:top w:val="single" w:sz="4" w:space="0" w:color="auto"/>
              <w:left w:val="single" w:sz="4" w:space="0" w:color="auto"/>
              <w:bottom w:val="single" w:sz="4" w:space="0" w:color="auto"/>
              <w:right w:val="single" w:sz="4" w:space="0" w:color="auto"/>
            </w:tcBorders>
            <w:hideMark/>
          </w:tcPr>
          <w:p w14:paraId="2B8032AF" w14:textId="77777777" w:rsidR="00833AED" w:rsidRPr="00AF0CC3" w:rsidRDefault="00833AED" w:rsidP="00833AED">
            <w:pPr>
              <w:rPr>
                <w:rFonts w:ascii="Times New Roman" w:hAnsi="Times New Roman"/>
                <w:color w:val="000000" w:themeColor="text1"/>
                <w:sz w:val="24"/>
                <w:szCs w:val="24"/>
              </w:rPr>
            </w:pPr>
            <w:r w:rsidRPr="00AF0CC3">
              <w:rPr>
                <w:rFonts w:ascii="Times New Roman" w:hAnsi="Times New Roman"/>
                <w:color w:val="000000" w:themeColor="text1"/>
                <w:sz w:val="24"/>
                <w:szCs w:val="24"/>
              </w:rPr>
              <w:t>Resulting Contribution</w:t>
            </w:r>
          </w:p>
        </w:tc>
      </w:tr>
      <w:tr w:rsidR="00833AED" w:rsidRPr="00AF0CC3" w14:paraId="38668DB5" w14:textId="77777777" w:rsidTr="00E73C98">
        <w:trPr>
          <w:trHeight w:val="1321"/>
        </w:trPr>
        <w:tc>
          <w:tcPr>
            <w:tcW w:w="3179" w:type="dxa"/>
            <w:tcBorders>
              <w:top w:val="single" w:sz="4" w:space="0" w:color="auto"/>
              <w:left w:val="single" w:sz="4" w:space="0" w:color="auto"/>
              <w:bottom w:val="single" w:sz="4" w:space="0" w:color="auto"/>
              <w:right w:val="single" w:sz="4" w:space="0" w:color="auto"/>
            </w:tcBorders>
            <w:hideMark/>
          </w:tcPr>
          <w:p w14:paraId="5CD1FE49" w14:textId="77777777" w:rsidR="00833AED" w:rsidRPr="00AF0CC3" w:rsidRDefault="00833AED" w:rsidP="00833AED">
            <w:pPr>
              <w:rPr>
                <w:rFonts w:ascii="Times New Roman" w:hAnsi="Times New Roman"/>
                <w:color w:val="000000" w:themeColor="text1"/>
                <w:sz w:val="24"/>
                <w:szCs w:val="24"/>
              </w:rPr>
            </w:pPr>
            <w:r w:rsidRPr="00AF0CC3">
              <w:rPr>
                <w:rFonts w:ascii="Times New Roman" w:hAnsi="Times New Roman"/>
                <w:color w:val="000000" w:themeColor="text1"/>
                <w:sz w:val="24"/>
                <w:szCs w:val="24"/>
              </w:rPr>
              <w:t>Project stalling under-analyzed and conceptually weak</w:t>
            </w:r>
          </w:p>
        </w:tc>
        <w:tc>
          <w:tcPr>
            <w:tcW w:w="3179" w:type="dxa"/>
            <w:tcBorders>
              <w:top w:val="single" w:sz="4" w:space="0" w:color="auto"/>
              <w:left w:val="single" w:sz="4" w:space="0" w:color="auto"/>
              <w:bottom w:val="single" w:sz="4" w:space="0" w:color="auto"/>
              <w:right w:val="single" w:sz="4" w:space="0" w:color="auto"/>
            </w:tcBorders>
            <w:hideMark/>
          </w:tcPr>
          <w:p w14:paraId="7F15233D" w14:textId="77777777" w:rsidR="00833AED" w:rsidRPr="00AF0CC3" w:rsidRDefault="00833AED" w:rsidP="00833AED">
            <w:pPr>
              <w:rPr>
                <w:rFonts w:ascii="Times New Roman" w:hAnsi="Times New Roman"/>
                <w:color w:val="000000" w:themeColor="text1"/>
                <w:sz w:val="24"/>
                <w:szCs w:val="24"/>
              </w:rPr>
            </w:pPr>
            <w:r w:rsidRPr="00AF0CC3">
              <w:rPr>
                <w:rFonts w:ascii="Times New Roman" w:hAnsi="Times New Roman"/>
                <w:color w:val="000000" w:themeColor="text1"/>
                <w:sz w:val="24"/>
                <w:szCs w:val="24"/>
              </w:rPr>
              <w:t>Project stalling operationalized as a prolonged cessation of construction without service delivery</w:t>
            </w:r>
          </w:p>
        </w:tc>
        <w:tc>
          <w:tcPr>
            <w:tcW w:w="3179" w:type="dxa"/>
            <w:tcBorders>
              <w:top w:val="single" w:sz="4" w:space="0" w:color="auto"/>
              <w:left w:val="single" w:sz="4" w:space="0" w:color="auto"/>
              <w:bottom w:val="single" w:sz="4" w:space="0" w:color="auto"/>
              <w:right w:val="single" w:sz="4" w:space="0" w:color="auto"/>
            </w:tcBorders>
            <w:hideMark/>
          </w:tcPr>
          <w:p w14:paraId="68F5CA80" w14:textId="77777777" w:rsidR="00833AED" w:rsidRPr="00AF0CC3" w:rsidRDefault="00833AED" w:rsidP="00833AED">
            <w:pPr>
              <w:rPr>
                <w:rFonts w:ascii="Times New Roman" w:hAnsi="Times New Roman"/>
                <w:color w:val="000000" w:themeColor="text1"/>
                <w:sz w:val="24"/>
                <w:szCs w:val="24"/>
              </w:rPr>
            </w:pPr>
            <w:r w:rsidRPr="00AF0CC3">
              <w:rPr>
                <w:rFonts w:ascii="Times New Roman" w:hAnsi="Times New Roman"/>
                <w:color w:val="000000" w:themeColor="text1"/>
                <w:sz w:val="24"/>
                <w:szCs w:val="24"/>
              </w:rPr>
              <w:t>Establishes stalling as a distinct governance-related outcome</w:t>
            </w:r>
          </w:p>
        </w:tc>
      </w:tr>
      <w:tr w:rsidR="00833AED" w:rsidRPr="00AF0CC3" w14:paraId="37A736E4" w14:textId="77777777" w:rsidTr="00E73C98">
        <w:trPr>
          <w:trHeight w:val="1069"/>
        </w:trPr>
        <w:tc>
          <w:tcPr>
            <w:tcW w:w="3179" w:type="dxa"/>
            <w:tcBorders>
              <w:top w:val="single" w:sz="4" w:space="0" w:color="auto"/>
              <w:left w:val="single" w:sz="4" w:space="0" w:color="auto"/>
              <w:bottom w:val="single" w:sz="4" w:space="0" w:color="auto"/>
              <w:right w:val="single" w:sz="4" w:space="0" w:color="auto"/>
            </w:tcBorders>
            <w:hideMark/>
          </w:tcPr>
          <w:p w14:paraId="5157203C" w14:textId="77777777" w:rsidR="00833AED" w:rsidRPr="00AF0CC3" w:rsidRDefault="00833AED" w:rsidP="00833AED">
            <w:pPr>
              <w:rPr>
                <w:rFonts w:ascii="Times New Roman" w:hAnsi="Times New Roman"/>
                <w:color w:val="000000" w:themeColor="text1"/>
                <w:sz w:val="24"/>
                <w:szCs w:val="24"/>
              </w:rPr>
            </w:pPr>
            <w:r w:rsidRPr="00AF0CC3">
              <w:rPr>
                <w:rFonts w:ascii="Times New Roman" w:hAnsi="Times New Roman"/>
                <w:color w:val="000000" w:themeColor="text1"/>
                <w:sz w:val="24"/>
                <w:szCs w:val="24"/>
              </w:rPr>
              <w:t>Governance quality is poorly measured at the project level</w:t>
            </w:r>
          </w:p>
        </w:tc>
        <w:tc>
          <w:tcPr>
            <w:tcW w:w="3179" w:type="dxa"/>
            <w:tcBorders>
              <w:top w:val="single" w:sz="4" w:space="0" w:color="auto"/>
              <w:left w:val="single" w:sz="4" w:space="0" w:color="auto"/>
              <w:bottom w:val="single" w:sz="4" w:space="0" w:color="auto"/>
              <w:right w:val="single" w:sz="4" w:space="0" w:color="auto"/>
            </w:tcBorders>
            <w:hideMark/>
          </w:tcPr>
          <w:p w14:paraId="167C8294" w14:textId="77777777" w:rsidR="00833AED" w:rsidRPr="00AF0CC3" w:rsidRDefault="00833AED" w:rsidP="00833AED">
            <w:pPr>
              <w:rPr>
                <w:rFonts w:ascii="Times New Roman" w:hAnsi="Times New Roman"/>
                <w:color w:val="000000" w:themeColor="text1"/>
                <w:sz w:val="24"/>
                <w:szCs w:val="24"/>
              </w:rPr>
            </w:pPr>
            <w:r w:rsidRPr="00AF0CC3">
              <w:rPr>
                <w:rFonts w:ascii="Times New Roman" w:hAnsi="Times New Roman"/>
                <w:color w:val="000000" w:themeColor="text1"/>
                <w:sz w:val="24"/>
                <w:szCs w:val="24"/>
              </w:rPr>
              <w:t>Development of a Governance Quality Index (GQI) using verifiable project-level indicators</w:t>
            </w:r>
          </w:p>
        </w:tc>
        <w:tc>
          <w:tcPr>
            <w:tcW w:w="3179" w:type="dxa"/>
            <w:tcBorders>
              <w:top w:val="single" w:sz="4" w:space="0" w:color="auto"/>
              <w:left w:val="single" w:sz="4" w:space="0" w:color="auto"/>
              <w:bottom w:val="single" w:sz="4" w:space="0" w:color="auto"/>
              <w:right w:val="single" w:sz="4" w:space="0" w:color="auto"/>
            </w:tcBorders>
            <w:hideMark/>
          </w:tcPr>
          <w:p w14:paraId="41AA2701" w14:textId="77777777" w:rsidR="00833AED" w:rsidRPr="00AF0CC3" w:rsidRDefault="00833AED" w:rsidP="00833AED">
            <w:pPr>
              <w:rPr>
                <w:rFonts w:ascii="Times New Roman" w:hAnsi="Times New Roman"/>
                <w:color w:val="000000" w:themeColor="text1"/>
                <w:sz w:val="24"/>
                <w:szCs w:val="24"/>
              </w:rPr>
            </w:pPr>
            <w:r w:rsidRPr="00AF0CC3">
              <w:rPr>
                <w:rFonts w:ascii="Times New Roman" w:hAnsi="Times New Roman"/>
                <w:color w:val="000000" w:themeColor="text1"/>
                <w:sz w:val="24"/>
                <w:szCs w:val="24"/>
              </w:rPr>
              <w:t>Enables systematic empirical testing of governance–performance relationships</w:t>
            </w:r>
          </w:p>
        </w:tc>
      </w:tr>
      <w:tr w:rsidR="00833AED" w:rsidRPr="00AF0CC3" w14:paraId="3CB3BDB7" w14:textId="77777777" w:rsidTr="00E73C98">
        <w:trPr>
          <w:trHeight w:val="1053"/>
        </w:trPr>
        <w:tc>
          <w:tcPr>
            <w:tcW w:w="3179" w:type="dxa"/>
            <w:tcBorders>
              <w:top w:val="single" w:sz="4" w:space="0" w:color="auto"/>
              <w:left w:val="single" w:sz="4" w:space="0" w:color="auto"/>
              <w:bottom w:val="single" w:sz="4" w:space="0" w:color="auto"/>
              <w:right w:val="single" w:sz="4" w:space="0" w:color="auto"/>
            </w:tcBorders>
            <w:hideMark/>
          </w:tcPr>
          <w:p w14:paraId="24F1A764" w14:textId="77777777" w:rsidR="00833AED" w:rsidRPr="00AF0CC3" w:rsidRDefault="00833AED" w:rsidP="00833AED">
            <w:pPr>
              <w:rPr>
                <w:rFonts w:ascii="Times New Roman" w:hAnsi="Times New Roman"/>
                <w:color w:val="000000" w:themeColor="text1"/>
                <w:sz w:val="24"/>
                <w:szCs w:val="24"/>
              </w:rPr>
            </w:pPr>
            <w:r w:rsidRPr="00AF0CC3">
              <w:rPr>
                <w:rFonts w:ascii="Times New Roman" w:hAnsi="Times New Roman"/>
                <w:color w:val="000000" w:themeColor="text1"/>
                <w:sz w:val="24"/>
                <w:szCs w:val="24"/>
              </w:rPr>
              <w:t>Fragmented lifecycle perspectives in infrastructure research</w:t>
            </w:r>
          </w:p>
        </w:tc>
        <w:tc>
          <w:tcPr>
            <w:tcW w:w="3179" w:type="dxa"/>
            <w:tcBorders>
              <w:top w:val="single" w:sz="4" w:space="0" w:color="auto"/>
              <w:left w:val="single" w:sz="4" w:space="0" w:color="auto"/>
              <w:bottom w:val="single" w:sz="4" w:space="0" w:color="auto"/>
              <w:right w:val="single" w:sz="4" w:space="0" w:color="auto"/>
            </w:tcBorders>
            <w:hideMark/>
          </w:tcPr>
          <w:p w14:paraId="65AF63A5" w14:textId="77777777" w:rsidR="00833AED" w:rsidRPr="00AF0CC3" w:rsidRDefault="00833AED" w:rsidP="00833AED">
            <w:pPr>
              <w:rPr>
                <w:rFonts w:ascii="Times New Roman" w:hAnsi="Times New Roman"/>
                <w:color w:val="000000" w:themeColor="text1"/>
                <w:sz w:val="24"/>
                <w:szCs w:val="24"/>
              </w:rPr>
            </w:pPr>
            <w:r w:rsidRPr="00AF0CC3">
              <w:rPr>
                <w:rFonts w:ascii="Times New Roman" w:hAnsi="Times New Roman"/>
                <w:color w:val="000000" w:themeColor="text1"/>
                <w:sz w:val="24"/>
                <w:szCs w:val="24"/>
              </w:rPr>
              <w:t>Lifecycle-based governance analysis covering preparation, procurement, implementation, and oversight</w:t>
            </w:r>
          </w:p>
        </w:tc>
        <w:tc>
          <w:tcPr>
            <w:tcW w:w="3179" w:type="dxa"/>
            <w:tcBorders>
              <w:top w:val="single" w:sz="4" w:space="0" w:color="auto"/>
              <w:left w:val="single" w:sz="4" w:space="0" w:color="auto"/>
              <w:bottom w:val="single" w:sz="4" w:space="0" w:color="auto"/>
              <w:right w:val="single" w:sz="4" w:space="0" w:color="auto"/>
            </w:tcBorders>
            <w:hideMark/>
          </w:tcPr>
          <w:p w14:paraId="148E9340" w14:textId="77777777" w:rsidR="00833AED" w:rsidRPr="00AF0CC3" w:rsidRDefault="00833AED" w:rsidP="00833AED">
            <w:pPr>
              <w:rPr>
                <w:rFonts w:ascii="Times New Roman" w:hAnsi="Times New Roman"/>
                <w:color w:val="000000" w:themeColor="text1"/>
                <w:sz w:val="24"/>
                <w:szCs w:val="24"/>
              </w:rPr>
            </w:pPr>
            <w:r w:rsidRPr="00AF0CC3">
              <w:rPr>
                <w:rFonts w:ascii="Times New Roman" w:hAnsi="Times New Roman"/>
                <w:color w:val="000000" w:themeColor="text1"/>
                <w:sz w:val="24"/>
                <w:szCs w:val="24"/>
              </w:rPr>
              <w:t>Demonstrates accumulation of early-stage governance failures into stalled delivery</w:t>
            </w:r>
          </w:p>
        </w:tc>
      </w:tr>
      <w:tr w:rsidR="00833AED" w:rsidRPr="00AF0CC3" w14:paraId="2450D897" w14:textId="77777777" w:rsidTr="00E73C98">
        <w:trPr>
          <w:trHeight w:val="1053"/>
        </w:trPr>
        <w:tc>
          <w:tcPr>
            <w:tcW w:w="3179" w:type="dxa"/>
            <w:tcBorders>
              <w:top w:val="single" w:sz="4" w:space="0" w:color="auto"/>
              <w:left w:val="single" w:sz="4" w:space="0" w:color="auto"/>
              <w:bottom w:val="single" w:sz="4" w:space="0" w:color="auto"/>
              <w:right w:val="single" w:sz="4" w:space="0" w:color="auto"/>
            </w:tcBorders>
            <w:hideMark/>
          </w:tcPr>
          <w:p w14:paraId="5681E98D" w14:textId="77777777" w:rsidR="00833AED" w:rsidRPr="00AF0CC3" w:rsidRDefault="00833AED" w:rsidP="00833AED">
            <w:pPr>
              <w:rPr>
                <w:rFonts w:ascii="Times New Roman" w:hAnsi="Times New Roman"/>
                <w:color w:val="000000" w:themeColor="text1"/>
                <w:sz w:val="24"/>
                <w:szCs w:val="24"/>
              </w:rPr>
            </w:pPr>
            <w:r w:rsidRPr="00AF0CC3">
              <w:rPr>
                <w:rFonts w:ascii="Times New Roman" w:hAnsi="Times New Roman"/>
                <w:color w:val="000000" w:themeColor="text1"/>
                <w:sz w:val="24"/>
                <w:szCs w:val="24"/>
              </w:rPr>
              <w:t>Limited integration of water governance and infrastructure delivery studies</w:t>
            </w:r>
          </w:p>
        </w:tc>
        <w:tc>
          <w:tcPr>
            <w:tcW w:w="3179" w:type="dxa"/>
            <w:tcBorders>
              <w:top w:val="single" w:sz="4" w:space="0" w:color="auto"/>
              <w:left w:val="single" w:sz="4" w:space="0" w:color="auto"/>
              <w:bottom w:val="single" w:sz="4" w:space="0" w:color="auto"/>
              <w:right w:val="single" w:sz="4" w:space="0" w:color="auto"/>
            </w:tcBorders>
            <w:hideMark/>
          </w:tcPr>
          <w:p w14:paraId="50E9986B" w14:textId="77777777" w:rsidR="00833AED" w:rsidRPr="00AF0CC3" w:rsidRDefault="00833AED" w:rsidP="00833AED">
            <w:pPr>
              <w:rPr>
                <w:rFonts w:ascii="Times New Roman" w:hAnsi="Times New Roman"/>
                <w:color w:val="000000" w:themeColor="text1"/>
                <w:sz w:val="24"/>
                <w:szCs w:val="24"/>
              </w:rPr>
            </w:pPr>
            <w:r w:rsidRPr="00AF0CC3">
              <w:rPr>
                <w:rFonts w:ascii="Times New Roman" w:hAnsi="Times New Roman"/>
                <w:color w:val="000000" w:themeColor="text1"/>
                <w:sz w:val="24"/>
                <w:szCs w:val="24"/>
              </w:rPr>
              <w:t>Incorporation of water-specific governance risks into infrastructure performance analysis</w:t>
            </w:r>
          </w:p>
        </w:tc>
        <w:tc>
          <w:tcPr>
            <w:tcW w:w="3179" w:type="dxa"/>
            <w:tcBorders>
              <w:top w:val="single" w:sz="4" w:space="0" w:color="auto"/>
              <w:left w:val="single" w:sz="4" w:space="0" w:color="auto"/>
              <w:bottom w:val="single" w:sz="4" w:space="0" w:color="auto"/>
              <w:right w:val="single" w:sz="4" w:space="0" w:color="auto"/>
            </w:tcBorders>
            <w:hideMark/>
          </w:tcPr>
          <w:p w14:paraId="2C8924AD" w14:textId="77777777" w:rsidR="00833AED" w:rsidRPr="00AF0CC3" w:rsidRDefault="00833AED" w:rsidP="00833AED">
            <w:pPr>
              <w:rPr>
                <w:rFonts w:ascii="Times New Roman" w:hAnsi="Times New Roman"/>
                <w:color w:val="000000" w:themeColor="text1"/>
                <w:sz w:val="24"/>
                <w:szCs w:val="24"/>
              </w:rPr>
            </w:pPr>
            <w:r w:rsidRPr="00AF0CC3">
              <w:rPr>
                <w:rFonts w:ascii="Times New Roman" w:hAnsi="Times New Roman"/>
                <w:color w:val="000000" w:themeColor="text1"/>
                <w:sz w:val="24"/>
                <w:szCs w:val="24"/>
              </w:rPr>
              <w:t>Bridges the conceptual divide between water governance and project delivery literature</w:t>
            </w:r>
          </w:p>
        </w:tc>
      </w:tr>
      <w:tr w:rsidR="00833AED" w:rsidRPr="00AF0CC3" w14:paraId="42BC1A0E" w14:textId="77777777" w:rsidTr="00E73C98">
        <w:trPr>
          <w:trHeight w:val="1053"/>
        </w:trPr>
        <w:tc>
          <w:tcPr>
            <w:tcW w:w="3179" w:type="dxa"/>
            <w:tcBorders>
              <w:top w:val="single" w:sz="4" w:space="0" w:color="auto"/>
              <w:left w:val="single" w:sz="4" w:space="0" w:color="auto"/>
              <w:bottom w:val="single" w:sz="4" w:space="0" w:color="auto"/>
              <w:right w:val="single" w:sz="4" w:space="0" w:color="auto"/>
            </w:tcBorders>
            <w:hideMark/>
          </w:tcPr>
          <w:p w14:paraId="4C91E73B" w14:textId="77777777" w:rsidR="00833AED" w:rsidRPr="00AF0CC3" w:rsidRDefault="00833AED" w:rsidP="00833AED">
            <w:pPr>
              <w:rPr>
                <w:rFonts w:ascii="Times New Roman" w:hAnsi="Times New Roman"/>
                <w:color w:val="000000" w:themeColor="text1"/>
                <w:sz w:val="24"/>
                <w:szCs w:val="24"/>
              </w:rPr>
            </w:pPr>
            <w:r w:rsidRPr="00AF0CC3">
              <w:rPr>
                <w:rFonts w:ascii="Times New Roman" w:hAnsi="Times New Roman"/>
                <w:color w:val="000000" w:themeColor="text1"/>
                <w:sz w:val="24"/>
                <w:szCs w:val="24"/>
              </w:rPr>
              <w:t>Climate risk is treated as exogenous in infrastructure studies</w:t>
            </w:r>
          </w:p>
        </w:tc>
        <w:tc>
          <w:tcPr>
            <w:tcW w:w="3179" w:type="dxa"/>
            <w:tcBorders>
              <w:top w:val="single" w:sz="4" w:space="0" w:color="auto"/>
              <w:left w:val="single" w:sz="4" w:space="0" w:color="auto"/>
              <w:bottom w:val="single" w:sz="4" w:space="0" w:color="auto"/>
              <w:right w:val="single" w:sz="4" w:space="0" w:color="auto"/>
            </w:tcBorders>
            <w:hideMark/>
          </w:tcPr>
          <w:p w14:paraId="14609C20" w14:textId="77777777" w:rsidR="00833AED" w:rsidRPr="00AF0CC3" w:rsidRDefault="00833AED" w:rsidP="00833AED">
            <w:pPr>
              <w:rPr>
                <w:rFonts w:ascii="Times New Roman" w:hAnsi="Times New Roman"/>
                <w:color w:val="000000" w:themeColor="text1"/>
                <w:sz w:val="24"/>
                <w:szCs w:val="24"/>
              </w:rPr>
            </w:pPr>
            <w:r w:rsidRPr="00AF0CC3">
              <w:rPr>
                <w:rFonts w:ascii="Times New Roman" w:hAnsi="Times New Roman"/>
                <w:color w:val="000000" w:themeColor="text1"/>
                <w:sz w:val="24"/>
                <w:szCs w:val="24"/>
              </w:rPr>
              <w:t>Climate exposure is modelled as a moderating variable interacting with governance quality</w:t>
            </w:r>
          </w:p>
        </w:tc>
        <w:tc>
          <w:tcPr>
            <w:tcW w:w="3179" w:type="dxa"/>
            <w:tcBorders>
              <w:top w:val="single" w:sz="4" w:space="0" w:color="auto"/>
              <w:left w:val="single" w:sz="4" w:space="0" w:color="auto"/>
              <w:bottom w:val="single" w:sz="4" w:space="0" w:color="auto"/>
              <w:right w:val="single" w:sz="4" w:space="0" w:color="auto"/>
            </w:tcBorders>
            <w:hideMark/>
          </w:tcPr>
          <w:p w14:paraId="59523B5C" w14:textId="77777777" w:rsidR="00833AED" w:rsidRPr="00AF0CC3" w:rsidRDefault="00833AED" w:rsidP="00833AED">
            <w:pPr>
              <w:rPr>
                <w:rFonts w:ascii="Times New Roman" w:hAnsi="Times New Roman"/>
                <w:color w:val="000000" w:themeColor="text1"/>
                <w:sz w:val="24"/>
                <w:szCs w:val="24"/>
              </w:rPr>
            </w:pPr>
            <w:r w:rsidRPr="00AF0CC3">
              <w:rPr>
                <w:rFonts w:ascii="Times New Roman" w:hAnsi="Times New Roman"/>
                <w:color w:val="000000" w:themeColor="text1"/>
                <w:sz w:val="24"/>
                <w:szCs w:val="24"/>
              </w:rPr>
              <w:t>Reframes climate risk as governance-mediated rather than a standalone cause of failure</w:t>
            </w:r>
          </w:p>
        </w:tc>
      </w:tr>
    </w:tbl>
    <w:p w14:paraId="45405890" w14:textId="77777777" w:rsidR="00833AED" w:rsidRPr="00AF0CC3" w:rsidRDefault="00833AED" w:rsidP="00833AED">
      <w:pPr>
        <w:spacing w:after="200" w:line="240" w:lineRule="auto"/>
        <w:rPr>
          <w:rFonts w:ascii="Times New Roman" w:eastAsia="MS Mincho" w:hAnsi="Times New Roman" w:cs="Times New Roman"/>
          <w:color w:val="000000" w:themeColor="text1"/>
          <w:kern w:val="0"/>
          <w14:ligatures w14:val="none"/>
        </w:rPr>
      </w:pPr>
    </w:p>
    <w:p w14:paraId="50925F1C" w14:textId="7618ACAA" w:rsidR="00833AED" w:rsidRPr="00AF0CC3" w:rsidRDefault="00833AED" w:rsidP="00833AED">
      <w:pPr>
        <w:spacing w:line="240" w:lineRule="auto"/>
        <w:rPr>
          <w:rFonts w:ascii="Times New Roman" w:hAnsi="Times New Roman" w:cs="Times New Roman"/>
          <w:color w:val="000000" w:themeColor="text1"/>
        </w:rPr>
      </w:pPr>
      <w:r w:rsidRPr="00AF0CC3">
        <w:rPr>
          <w:rFonts w:ascii="Times New Roman" w:hAnsi="Times New Roman" w:cs="Times New Roman"/>
          <w:color w:val="000000" w:themeColor="text1"/>
        </w:rPr>
        <w:t>Table 2</w:t>
      </w:r>
      <w:r w:rsidR="00C7100C" w:rsidRPr="00AF0CC3">
        <w:rPr>
          <w:rFonts w:ascii="Times New Roman" w:hAnsi="Times New Roman" w:cs="Times New Roman"/>
          <w:color w:val="000000" w:themeColor="text1"/>
        </w:rPr>
        <w:t>-8</w:t>
      </w:r>
      <w:r w:rsidRPr="00AF0CC3">
        <w:rPr>
          <w:rFonts w:ascii="Times New Roman" w:hAnsi="Times New Roman" w:cs="Times New Roman"/>
          <w:color w:val="000000" w:themeColor="text1"/>
        </w:rPr>
        <w:t xml:space="preserve"> aligns the literature gaps identified in this chapter with the analytical responses adopted in the study. It clarifies how each gap is addressed through operationalization, empirical modeling, or conceptual reframing. The table, therefore, bridges the literature review and methodology chapters, ensuring coherence between theoretical diagnosis and empirical design. It </w:t>
      </w:r>
      <w:r w:rsidRPr="00AF0CC3">
        <w:rPr>
          <w:rFonts w:ascii="Times New Roman" w:hAnsi="Times New Roman" w:cs="Times New Roman"/>
          <w:color w:val="000000" w:themeColor="text1"/>
        </w:rPr>
        <w:lastRenderedPageBreak/>
        <w:t>confirms that the study’s contributions are deliberate, targeted, and grounded in documented scholarly limitations.</w:t>
      </w:r>
    </w:p>
    <w:p w14:paraId="1A578400" w14:textId="77777777" w:rsidR="00833AED" w:rsidRPr="00AF0CC3" w:rsidRDefault="00833AED" w:rsidP="00833AED">
      <w:pPr>
        <w:spacing w:line="240" w:lineRule="auto"/>
        <w:rPr>
          <w:rFonts w:ascii="Times New Roman" w:hAnsi="Times New Roman" w:cs="Times New Roman"/>
          <w:color w:val="000000" w:themeColor="text1"/>
        </w:rPr>
      </w:pPr>
    </w:p>
    <w:p w14:paraId="2A6FAAC6" w14:textId="77777777" w:rsidR="00833AED" w:rsidRPr="00AF0CC3" w:rsidRDefault="00833AED" w:rsidP="00833AED">
      <w:pPr>
        <w:spacing w:line="240" w:lineRule="auto"/>
        <w:rPr>
          <w:rFonts w:ascii="Times New Roman" w:hAnsi="Times New Roman" w:cs="Times New Roman"/>
          <w:color w:val="000000" w:themeColor="text1"/>
        </w:rPr>
      </w:pPr>
      <w:r w:rsidRPr="00AF0CC3">
        <w:rPr>
          <w:rFonts w:ascii="Times New Roman" w:hAnsi="Times New Roman" w:cs="Times New Roman"/>
          <w:color w:val="000000" w:themeColor="text1"/>
        </w:rPr>
        <w:t>The contribution of this study is therefore cumulative rather than singular. It reframes the outcome of interest, operationalizes governance with empirical precision, and situates water infrastructure within a climate-sensitive governance framework. Together, these elements provide a more granular explanation of stalled delivery.</w:t>
      </w:r>
    </w:p>
    <w:p w14:paraId="3C80BF5E" w14:textId="77777777" w:rsidR="008F5A65" w:rsidRPr="00AF0CC3" w:rsidRDefault="008F5A65" w:rsidP="00833AED">
      <w:pPr>
        <w:spacing w:line="240" w:lineRule="auto"/>
        <w:rPr>
          <w:rFonts w:ascii="Times New Roman" w:hAnsi="Times New Roman" w:cs="Times New Roman"/>
          <w:color w:val="000000" w:themeColor="text1"/>
        </w:rPr>
      </w:pPr>
    </w:p>
    <w:p w14:paraId="2EC0B21E" w14:textId="73A01258" w:rsidR="00FD78EB" w:rsidRPr="00AF0CC3" w:rsidRDefault="00FD78EB" w:rsidP="00A25E6A">
      <w:pPr>
        <w:pStyle w:val="Heading2"/>
        <w:rPr>
          <w:rFonts w:cs="Times New Roman"/>
          <w:b w:val="0"/>
          <w:bCs/>
          <w:color w:val="000000" w:themeColor="text1"/>
          <w:szCs w:val="24"/>
        </w:rPr>
      </w:pPr>
      <w:bookmarkStart w:id="214" w:name="_Toc234344804"/>
      <w:bookmarkStart w:id="215" w:name="_Toc234489036"/>
      <w:r w:rsidRPr="00AF0CC3">
        <w:rPr>
          <w:rFonts w:cs="Times New Roman"/>
          <w:bCs/>
          <w:color w:val="000000" w:themeColor="text1"/>
          <w:szCs w:val="24"/>
        </w:rPr>
        <w:t>Public Participation and Governance Quality</w:t>
      </w:r>
      <w:bookmarkEnd w:id="214"/>
      <w:bookmarkEnd w:id="215"/>
    </w:p>
    <w:p w14:paraId="317E049D" w14:textId="77777777" w:rsidR="00FD78EB" w:rsidRPr="00AF0CC3" w:rsidRDefault="00FD78EB" w:rsidP="00FD78EB">
      <w:pPr>
        <w:spacing w:line="240" w:lineRule="auto"/>
        <w:rPr>
          <w:rFonts w:ascii="Times New Roman" w:hAnsi="Times New Roman" w:cs="Times New Roman"/>
          <w:color w:val="000000" w:themeColor="text1"/>
        </w:rPr>
      </w:pPr>
    </w:p>
    <w:p w14:paraId="4A83BB19" w14:textId="77777777" w:rsidR="00FD78EB" w:rsidRPr="00AF0CC3" w:rsidRDefault="00FD78EB" w:rsidP="00FD78EB">
      <w:pPr>
        <w:spacing w:line="240" w:lineRule="auto"/>
        <w:rPr>
          <w:rFonts w:ascii="Times New Roman" w:hAnsi="Times New Roman" w:cs="Times New Roman"/>
          <w:color w:val="000000" w:themeColor="text1"/>
        </w:rPr>
      </w:pPr>
      <w:r w:rsidRPr="00AF0CC3">
        <w:rPr>
          <w:rFonts w:ascii="Times New Roman" w:hAnsi="Times New Roman" w:cs="Times New Roman"/>
          <w:color w:val="000000" w:themeColor="text1"/>
        </w:rPr>
        <w:t>Public participation has become an increasingly important principle of contemporary infrastructure governance. Across both developed and developing countries, meaningful stakeholder engagement is widely regarded as essential for enhancing transparency, strengthening accountability, improving decision-making, and promoting the legitimacy of public infrastructure investments (Arnstein, 1969; Fung, 2006; OECD, 2020). Within the infrastructure sector, public participation extends beyond statutory consultation requirements to encompass the active involvement of affected communities, civil society organizations, local authorities, and other stakeholders throughout project planning, implementation, monitoring, and evaluation.</w:t>
      </w:r>
    </w:p>
    <w:p w14:paraId="3AAD9389" w14:textId="77777777" w:rsidR="00FD78EB" w:rsidRPr="00AF0CC3" w:rsidRDefault="00FD78EB" w:rsidP="00FD78EB">
      <w:pPr>
        <w:spacing w:line="240" w:lineRule="auto"/>
        <w:rPr>
          <w:rFonts w:ascii="Times New Roman" w:hAnsi="Times New Roman" w:cs="Times New Roman"/>
          <w:color w:val="000000" w:themeColor="text1"/>
        </w:rPr>
      </w:pPr>
    </w:p>
    <w:p w14:paraId="3001C65D" w14:textId="77777777" w:rsidR="00FD78EB" w:rsidRPr="00AF0CC3" w:rsidRDefault="00FD78EB" w:rsidP="00FD78EB">
      <w:pPr>
        <w:spacing w:line="240" w:lineRule="auto"/>
        <w:rPr>
          <w:rFonts w:ascii="Times New Roman" w:hAnsi="Times New Roman" w:cs="Times New Roman"/>
          <w:color w:val="000000" w:themeColor="text1"/>
        </w:rPr>
      </w:pPr>
      <w:r w:rsidRPr="00AF0CC3">
        <w:rPr>
          <w:rFonts w:ascii="Times New Roman" w:hAnsi="Times New Roman" w:cs="Times New Roman"/>
          <w:color w:val="000000" w:themeColor="text1"/>
        </w:rPr>
        <w:t>The theoretical foundations of public participation are closely associated with participatory governance and collaborative governance perspectives, which argue that effective public policy increasingly depends on cooperation among government institutions, private actors, and citizens rather than hierarchical decision-making alone (Ansell &amp; Gash, 2008). Similarly, stakeholder theory emphasizes that infrastructure projects involve multiple actors whose interests, knowledge, and expectations influence project implementation and long-term sustainability (Freeman, 1984). These perspectives suggest that governance quality may be strengthened when institutions establish inclusive processes that enable stakeholders to contribute to decision-making, identify emerging risks, and enhance public accountability.</w:t>
      </w:r>
    </w:p>
    <w:p w14:paraId="4F239E39" w14:textId="77777777" w:rsidR="00FD78EB" w:rsidRPr="00AF0CC3" w:rsidRDefault="00FD78EB" w:rsidP="00FD78EB">
      <w:pPr>
        <w:spacing w:line="240" w:lineRule="auto"/>
        <w:rPr>
          <w:rFonts w:ascii="Times New Roman" w:hAnsi="Times New Roman" w:cs="Times New Roman"/>
          <w:color w:val="000000" w:themeColor="text1"/>
        </w:rPr>
      </w:pPr>
    </w:p>
    <w:p w14:paraId="2479D2A4" w14:textId="77777777" w:rsidR="00FD78EB" w:rsidRPr="00AF0CC3" w:rsidRDefault="00FD78EB" w:rsidP="00FD78EB">
      <w:pPr>
        <w:spacing w:line="240" w:lineRule="auto"/>
        <w:rPr>
          <w:rFonts w:ascii="Times New Roman" w:hAnsi="Times New Roman" w:cs="Times New Roman"/>
          <w:color w:val="000000" w:themeColor="text1"/>
        </w:rPr>
      </w:pPr>
      <w:r w:rsidRPr="00AF0CC3">
        <w:rPr>
          <w:rFonts w:ascii="Times New Roman" w:hAnsi="Times New Roman" w:cs="Times New Roman"/>
          <w:color w:val="000000" w:themeColor="text1"/>
        </w:rPr>
        <w:t>Within the infrastructure literature, public participation has been associated with improved project legitimacy, greater community acceptance, reduced implementation conflicts, and enhanced environmental and social outcomes (Reed, 2008; World Bank, 2017). Early and meaningful engagement with affected communities may facilitate more informed decision-making, reduce disputes related to land acquisition and environmental impacts, strengthen local ownership, and improve the sustainability of infrastructure investments. Conversely, inadequate stakeholder engagement has been linked to implementation delays, legal disputes, community resistance, and declining public confidence in infrastructure programmes.</w:t>
      </w:r>
    </w:p>
    <w:p w14:paraId="7092A090" w14:textId="77777777" w:rsidR="00FD78EB" w:rsidRPr="00AF0CC3" w:rsidRDefault="00FD78EB" w:rsidP="00FD78EB">
      <w:pPr>
        <w:spacing w:line="240" w:lineRule="auto"/>
        <w:rPr>
          <w:rFonts w:ascii="Times New Roman" w:hAnsi="Times New Roman" w:cs="Times New Roman"/>
          <w:color w:val="000000" w:themeColor="text1"/>
        </w:rPr>
      </w:pPr>
    </w:p>
    <w:p w14:paraId="44269CFD" w14:textId="77777777" w:rsidR="00FD78EB" w:rsidRPr="00AF0CC3" w:rsidRDefault="00FD78EB" w:rsidP="00FD78EB">
      <w:pPr>
        <w:spacing w:line="240" w:lineRule="auto"/>
        <w:rPr>
          <w:rFonts w:ascii="Times New Roman" w:hAnsi="Times New Roman" w:cs="Times New Roman"/>
          <w:color w:val="000000" w:themeColor="text1"/>
        </w:rPr>
      </w:pPr>
      <w:r w:rsidRPr="00AF0CC3">
        <w:rPr>
          <w:rFonts w:ascii="Times New Roman" w:hAnsi="Times New Roman" w:cs="Times New Roman"/>
          <w:color w:val="000000" w:themeColor="text1"/>
        </w:rPr>
        <w:lastRenderedPageBreak/>
        <w:t>In Kenya, public participation has acquired particular significance following the promulgation of the Constitution of Kenya (2010), which identifies public participation as a fundamental principle of governance and public administration. Infrastructure planning and implementation increasingly require consultation with communities, county governments, regulatory agencies, and other stakeholders, particularly where projects involve land acquisition, environmental management, or the provision of essential public services. Within the devolved governance system, effective stakeholder engagement has become an important mechanism for improving transparency, strengthening institutional accountability, and promoting more inclusive infrastructure decision-making.</w:t>
      </w:r>
    </w:p>
    <w:p w14:paraId="18616650" w14:textId="77777777" w:rsidR="00FD78EB" w:rsidRPr="00AF0CC3" w:rsidRDefault="00FD78EB" w:rsidP="00FD78EB">
      <w:pPr>
        <w:spacing w:line="240" w:lineRule="auto"/>
        <w:rPr>
          <w:rFonts w:ascii="Times New Roman" w:hAnsi="Times New Roman" w:cs="Times New Roman"/>
          <w:color w:val="000000" w:themeColor="text1"/>
        </w:rPr>
      </w:pPr>
    </w:p>
    <w:p w14:paraId="6B9EBAB7" w14:textId="77777777" w:rsidR="00FD78EB" w:rsidRPr="00AF0CC3" w:rsidRDefault="00FD78EB" w:rsidP="00FD78EB">
      <w:pPr>
        <w:spacing w:line="240" w:lineRule="auto"/>
        <w:rPr>
          <w:rFonts w:ascii="Times New Roman" w:hAnsi="Times New Roman" w:cs="Times New Roman"/>
          <w:color w:val="000000" w:themeColor="text1"/>
        </w:rPr>
      </w:pPr>
      <w:r w:rsidRPr="00AF0CC3">
        <w:rPr>
          <w:rFonts w:ascii="Times New Roman" w:hAnsi="Times New Roman" w:cs="Times New Roman"/>
          <w:color w:val="000000" w:themeColor="text1"/>
        </w:rPr>
        <w:t>Despite the growing importance of participatory governance, relatively few infrastructure governance studies have examined how public participation interacts with broader governance systems to influence infrastructure delivery. Existing research often evaluates stakeholder engagement as an independent governance principle rather than considering how it complements procurement, financial management, institutional coordination, documentation, contract supervision, and oversight throughout the project lifecycle. Consequently, the relationship between public participation and integrated governance capability remains insufficiently understood.</w:t>
      </w:r>
    </w:p>
    <w:p w14:paraId="436DEC67" w14:textId="77777777" w:rsidR="00FD78EB" w:rsidRPr="00AF0CC3" w:rsidRDefault="00FD78EB" w:rsidP="00FD78EB">
      <w:pPr>
        <w:spacing w:line="240" w:lineRule="auto"/>
        <w:rPr>
          <w:rFonts w:ascii="Times New Roman" w:hAnsi="Times New Roman" w:cs="Times New Roman"/>
          <w:color w:val="000000" w:themeColor="text1"/>
        </w:rPr>
      </w:pPr>
    </w:p>
    <w:p w14:paraId="032C9E79" w14:textId="6B12F0E0" w:rsidR="008F5A65" w:rsidRPr="00AF0CC3" w:rsidRDefault="00FD78EB" w:rsidP="00FD78EB">
      <w:pPr>
        <w:spacing w:line="240" w:lineRule="auto"/>
        <w:rPr>
          <w:rFonts w:ascii="Times New Roman" w:hAnsi="Times New Roman" w:cs="Times New Roman"/>
          <w:color w:val="000000" w:themeColor="text1"/>
        </w:rPr>
      </w:pPr>
      <w:r w:rsidRPr="00AF0CC3">
        <w:rPr>
          <w:rFonts w:ascii="Times New Roman" w:hAnsi="Times New Roman" w:cs="Times New Roman"/>
          <w:color w:val="000000" w:themeColor="text1"/>
        </w:rPr>
        <w:t>The present study acknowledges the importance of public participation within infrastructure governance but does not evaluate it as a separate governance dimension because consistent project-level documentary evidence was not available across the study sample to permit reliable measurement. Instead, the study focuses on governance dimensions that could be assessed systematically through comparable documentary evidence. Nevertheless, the findings suggest that future research should examine whether stronger public participation enhances governance quality and contributes to improved infrastructure outcomes, particularly within decentralized governance systems where community engagement plays an increasingly important role in infrastructure planning, implementation, and long-term sustainability.</w:t>
      </w:r>
    </w:p>
    <w:p w14:paraId="5A12BDB2" w14:textId="77777777" w:rsidR="008F5A65" w:rsidRPr="00AF0CC3" w:rsidRDefault="008F5A65" w:rsidP="00833AED">
      <w:pPr>
        <w:spacing w:line="240" w:lineRule="auto"/>
        <w:rPr>
          <w:rFonts w:ascii="Times New Roman" w:hAnsi="Times New Roman" w:cs="Times New Roman"/>
          <w:color w:val="000000" w:themeColor="text1"/>
        </w:rPr>
      </w:pPr>
    </w:p>
    <w:p w14:paraId="03D57102" w14:textId="11E24060" w:rsidR="00B070A0" w:rsidRPr="00AF0CC3" w:rsidRDefault="00B070A0" w:rsidP="00A25E6A">
      <w:pPr>
        <w:pStyle w:val="Heading2"/>
        <w:rPr>
          <w:rFonts w:cs="Times New Roman"/>
          <w:b w:val="0"/>
          <w:bCs/>
          <w:color w:val="000000" w:themeColor="text1"/>
          <w:szCs w:val="24"/>
        </w:rPr>
      </w:pPr>
      <w:bookmarkStart w:id="216" w:name="_Toc234344805"/>
      <w:bookmarkStart w:id="217" w:name="_Toc234489037"/>
      <w:r w:rsidRPr="00AF0CC3">
        <w:rPr>
          <w:rFonts w:cs="Times New Roman"/>
          <w:bCs/>
          <w:color w:val="000000" w:themeColor="text1"/>
          <w:szCs w:val="24"/>
        </w:rPr>
        <w:t>Infrastructure Performance Beyond Project Completion</w:t>
      </w:r>
      <w:bookmarkEnd w:id="216"/>
      <w:bookmarkEnd w:id="217"/>
    </w:p>
    <w:p w14:paraId="2E5D19F1" w14:textId="77777777" w:rsidR="00B070A0" w:rsidRPr="00AF0CC3" w:rsidRDefault="00B070A0" w:rsidP="00B070A0">
      <w:pPr>
        <w:spacing w:line="240" w:lineRule="auto"/>
        <w:rPr>
          <w:rFonts w:ascii="Times New Roman" w:hAnsi="Times New Roman" w:cs="Times New Roman"/>
          <w:color w:val="000000" w:themeColor="text1"/>
        </w:rPr>
      </w:pPr>
    </w:p>
    <w:p w14:paraId="44B8FF94" w14:textId="77777777" w:rsidR="00B070A0" w:rsidRPr="00AF0CC3" w:rsidRDefault="00B070A0" w:rsidP="00B070A0">
      <w:pPr>
        <w:spacing w:line="240" w:lineRule="auto"/>
        <w:rPr>
          <w:rFonts w:ascii="Times New Roman" w:hAnsi="Times New Roman" w:cs="Times New Roman"/>
          <w:color w:val="000000" w:themeColor="text1"/>
        </w:rPr>
      </w:pPr>
      <w:r w:rsidRPr="00AF0CC3">
        <w:rPr>
          <w:rFonts w:ascii="Times New Roman" w:hAnsi="Times New Roman" w:cs="Times New Roman"/>
          <w:color w:val="000000" w:themeColor="text1"/>
        </w:rPr>
        <w:t>Infrastructure governance research has traditionally evaluated project success using measures of delivery performance, particularly adherence to planned schedules, budgets, technical specifications, and project completion (Atkinson, 1999; Flyvbjerg, 2014; PMI, 2021). These indicators remain important because they provide objective measures of implementation efficiency and accountability. Governments, development partners, and infrastructure agencies frequently rely on such metrics to assess whether projects have been delivered as intended and whether public resources have been used effectively.</w:t>
      </w:r>
    </w:p>
    <w:p w14:paraId="0831A01E" w14:textId="77777777" w:rsidR="00B070A0" w:rsidRPr="00AF0CC3" w:rsidRDefault="00B070A0" w:rsidP="00B070A0">
      <w:pPr>
        <w:spacing w:line="240" w:lineRule="auto"/>
        <w:rPr>
          <w:rFonts w:ascii="Times New Roman" w:hAnsi="Times New Roman" w:cs="Times New Roman"/>
          <w:color w:val="000000" w:themeColor="text1"/>
        </w:rPr>
      </w:pPr>
    </w:p>
    <w:p w14:paraId="72D86015" w14:textId="77777777" w:rsidR="00B070A0" w:rsidRPr="00AF0CC3" w:rsidRDefault="00B070A0" w:rsidP="00B070A0">
      <w:pPr>
        <w:spacing w:line="240" w:lineRule="auto"/>
        <w:rPr>
          <w:rFonts w:ascii="Times New Roman" w:hAnsi="Times New Roman" w:cs="Times New Roman"/>
          <w:color w:val="000000" w:themeColor="text1"/>
        </w:rPr>
      </w:pPr>
      <w:r w:rsidRPr="00AF0CC3">
        <w:rPr>
          <w:rFonts w:ascii="Times New Roman" w:hAnsi="Times New Roman" w:cs="Times New Roman"/>
          <w:color w:val="000000" w:themeColor="text1"/>
        </w:rPr>
        <w:t xml:space="preserve">Although delivery performance provides an important measure of implementation success, it does not necessarily indicate whether completed infrastructure achieves its intended social, </w:t>
      </w:r>
      <w:r w:rsidRPr="00AF0CC3">
        <w:rPr>
          <w:rFonts w:ascii="Times New Roman" w:hAnsi="Times New Roman" w:cs="Times New Roman"/>
          <w:color w:val="000000" w:themeColor="text1"/>
        </w:rPr>
        <w:lastRenderedPageBreak/>
        <w:t>economic, environmental, or institutional objectives. A project may be completed on time and within budget yet fail to provide reliable services, achieve projected economic benefits, remain financially sustainable, or adapt to changing environmental conditions. Conversely, projects experiencing implementation delays or cost increases may ultimately generate substantial long-term development benefits. These observations suggest that project completion and infrastructure success should not be regarded as synonymous concepts.</w:t>
      </w:r>
    </w:p>
    <w:p w14:paraId="71EB06E1" w14:textId="77777777" w:rsidR="00B070A0" w:rsidRPr="00AF0CC3" w:rsidRDefault="00B070A0" w:rsidP="00B070A0">
      <w:pPr>
        <w:spacing w:line="240" w:lineRule="auto"/>
        <w:rPr>
          <w:rFonts w:ascii="Times New Roman" w:hAnsi="Times New Roman" w:cs="Times New Roman"/>
          <w:color w:val="000000" w:themeColor="text1"/>
        </w:rPr>
      </w:pPr>
    </w:p>
    <w:p w14:paraId="6073CC50" w14:textId="0BA7EE94" w:rsidR="00B070A0" w:rsidRPr="00AF0CC3" w:rsidRDefault="00B070A0" w:rsidP="00B070A0">
      <w:pPr>
        <w:spacing w:line="240" w:lineRule="auto"/>
        <w:rPr>
          <w:rFonts w:ascii="Times New Roman" w:hAnsi="Times New Roman" w:cs="Times New Roman"/>
          <w:color w:val="000000" w:themeColor="text1"/>
        </w:rPr>
      </w:pPr>
      <w:r w:rsidRPr="00AF0CC3">
        <w:rPr>
          <w:rFonts w:ascii="Times New Roman" w:hAnsi="Times New Roman" w:cs="Times New Roman"/>
          <w:color w:val="000000" w:themeColor="text1"/>
        </w:rPr>
        <w:t xml:space="preserve">Recent infrastructure management literature has increasingly recognized this distinction by differentiating between project management success and project success (Shenhar &amp; Dvir, 2007; Serrador &amp; Turner, 2015). Project management success generally refers to performance during implementation and is assessed through criteria such as cost, schedule, quality, and scope. Project success, by contrast, encompasses the longer-term realization of strategic objectives, including service delivery, stakeholder satisfaction, operational sustainability, environmental performance, and contribution to broader development outcomes. This broader perspective </w:t>
      </w:r>
      <w:r w:rsidR="003E7CD2" w:rsidRPr="00AF0CC3">
        <w:rPr>
          <w:rFonts w:ascii="Times New Roman" w:hAnsi="Times New Roman" w:cs="Times New Roman"/>
          <w:color w:val="000000" w:themeColor="text1"/>
        </w:rPr>
        <w:t>recognizes</w:t>
      </w:r>
      <w:r w:rsidRPr="00AF0CC3">
        <w:rPr>
          <w:rFonts w:ascii="Times New Roman" w:hAnsi="Times New Roman" w:cs="Times New Roman"/>
          <w:color w:val="000000" w:themeColor="text1"/>
        </w:rPr>
        <w:t xml:space="preserve"> that the value of infrastructure extends well beyond physical completion.</w:t>
      </w:r>
    </w:p>
    <w:p w14:paraId="55720C87" w14:textId="77777777" w:rsidR="00B070A0" w:rsidRPr="00AF0CC3" w:rsidRDefault="00B070A0" w:rsidP="00B070A0">
      <w:pPr>
        <w:spacing w:line="240" w:lineRule="auto"/>
        <w:rPr>
          <w:rFonts w:ascii="Times New Roman" w:hAnsi="Times New Roman" w:cs="Times New Roman"/>
          <w:color w:val="000000" w:themeColor="text1"/>
        </w:rPr>
      </w:pPr>
    </w:p>
    <w:p w14:paraId="13576D5D" w14:textId="77777777" w:rsidR="00B070A0" w:rsidRPr="00AF0CC3" w:rsidRDefault="00B070A0" w:rsidP="00B070A0">
      <w:pPr>
        <w:spacing w:line="240" w:lineRule="auto"/>
        <w:rPr>
          <w:rFonts w:ascii="Times New Roman" w:hAnsi="Times New Roman" w:cs="Times New Roman"/>
          <w:color w:val="000000" w:themeColor="text1"/>
        </w:rPr>
      </w:pPr>
      <w:r w:rsidRPr="00AF0CC3">
        <w:rPr>
          <w:rFonts w:ascii="Times New Roman" w:hAnsi="Times New Roman" w:cs="Times New Roman"/>
          <w:color w:val="000000" w:themeColor="text1"/>
        </w:rPr>
        <w:t>Within the water sector, post-completion performance is particularly important because infrastructure assets are expected to provide reliable public services over extended operational lifecycles. The long-term effectiveness of dams, reservoirs, irrigation systems, water supply schemes, and wastewater infrastructure depends not only on successful construction but also on maintenance practices, institutional management, financial sustainability, operational reliability, environmental stewardship, and the capacity to adapt to changing climatic and demographic conditions. Governance therefore continues to influence infrastructure performance long after construction activities have been completed.</w:t>
      </w:r>
    </w:p>
    <w:p w14:paraId="1C0B45DB" w14:textId="77777777" w:rsidR="00B070A0" w:rsidRPr="00AF0CC3" w:rsidRDefault="00B070A0" w:rsidP="00B070A0">
      <w:pPr>
        <w:spacing w:line="240" w:lineRule="auto"/>
        <w:rPr>
          <w:rFonts w:ascii="Times New Roman" w:hAnsi="Times New Roman" w:cs="Times New Roman"/>
          <w:color w:val="000000" w:themeColor="text1"/>
        </w:rPr>
      </w:pPr>
    </w:p>
    <w:p w14:paraId="77839774" w14:textId="77777777" w:rsidR="00B070A0" w:rsidRPr="00AF0CC3" w:rsidRDefault="00B070A0" w:rsidP="00B070A0">
      <w:pPr>
        <w:spacing w:line="240" w:lineRule="auto"/>
        <w:rPr>
          <w:rFonts w:ascii="Times New Roman" w:hAnsi="Times New Roman" w:cs="Times New Roman"/>
          <w:color w:val="000000" w:themeColor="text1"/>
        </w:rPr>
      </w:pPr>
      <w:r w:rsidRPr="00AF0CC3">
        <w:rPr>
          <w:rFonts w:ascii="Times New Roman" w:hAnsi="Times New Roman" w:cs="Times New Roman"/>
          <w:color w:val="000000" w:themeColor="text1"/>
        </w:rPr>
        <w:t>Despite this broader understanding of infrastructure success, comparatively few governance studies have examined how governance quality during project implementation influences operational performance following project completion. Existing research has largely concentrated on delivery indicators such as implementation delays, procurement performance, and cost control, while comparatively less attention has been devoted to the relationship between governance quality and long-term service delivery, asset management, infrastructure resilience, maintenance effectiveness, and public value creation. Consequently, an important gap remains in understanding whether stronger governance arrangements during implementation produce more sustainable infrastructure outcomes over the operational lifecycle.</w:t>
      </w:r>
    </w:p>
    <w:p w14:paraId="0E56467D" w14:textId="77777777" w:rsidR="00B070A0" w:rsidRPr="00AF0CC3" w:rsidRDefault="00B070A0" w:rsidP="00B070A0">
      <w:pPr>
        <w:spacing w:line="240" w:lineRule="auto"/>
        <w:rPr>
          <w:rFonts w:ascii="Times New Roman" w:hAnsi="Times New Roman" w:cs="Times New Roman"/>
          <w:color w:val="000000" w:themeColor="text1"/>
        </w:rPr>
      </w:pPr>
    </w:p>
    <w:p w14:paraId="1EDADAF1" w14:textId="02D5E5E5" w:rsidR="00B070A0" w:rsidRPr="00AF0CC3" w:rsidRDefault="00B070A0" w:rsidP="00B070A0">
      <w:pPr>
        <w:spacing w:line="240" w:lineRule="auto"/>
        <w:rPr>
          <w:rFonts w:ascii="Times New Roman" w:hAnsi="Times New Roman" w:cs="Times New Roman"/>
          <w:color w:val="000000" w:themeColor="text1"/>
        </w:rPr>
      </w:pPr>
      <w:r w:rsidRPr="00AF0CC3">
        <w:rPr>
          <w:rFonts w:ascii="Times New Roman" w:hAnsi="Times New Roman" w:cs="Times New Roman"/>
          <w:color w:val="000000" w:themeColor="text1"/>
        </w:rPr>
        <w:t xml:space="preserve">This distinction is particularly relevant in developing-country contexts where considerable emphasis has been placed on expanding infrastructure investment to support economic transformation and the achievement of the Sustainable Development Goals. Increasing investment alone does not guarantee sustainable development if completed infrastructure subsequently experiences operational failure, inadequate maintenance, declining service quality, or institutional deterioration. Infrastructure governance should therefore be evaluated not only </w:t>
      </w:r>
      <w:r w:rsidR="003E7CD2" w:rsidRPr="00AF0CC3">
        <w:rPr>
          <w:rFonts w:ascii="Times New Roman" w:hAnsi="Times New Roman" w:cs="Times New Roman"/>
          <w:color w:val="000000" w:themeColor="text1"/>
        </w:rPr>
        <w:lastRenderedPageBreak/>
        <w:t>for its contribution to successful project delivery but also for</w:t>
      </w:r>
      <w:r w:rsidRPr="00AF0CC3">
        <w:rPr>
          <w:rFonts w:ascii="Times New Roman" w:hAnsi="Times New Roman" w:cs="Times New Roman"/>
          <w:color w:val="000000" w:themeColor="text1"/>
        </w:rPr>
        <w:t xml:space="preserve"> its capacity to support the sustained realization of infrastructure benefits throughout the operational life of public assets.</w:t>
      </w:r>
    </w:p>
    <w:p w14:paraId="4D0E0580" w14:textId="77777777" w:rsidR="00B070A0" w:rsidRPr="00AF0CC3" w:rsidRDefault="00B070A0" w:rsidP="00B070A0">
      <w:pPr>
        <w:spacing w:line="240" w:lineRule="auto"/>
        <w:rPr>
          <w:rFonts w:ascii="Times New Roman" w:hAnsi="Times New Roman" w:cs="Times New Roman"/>
          <w:color w:val="000000" w:themeColor="text1"/>
        </w:rPr>
      </w:pPr>
    </w:p>
    <w:p w14:paraId="2DF5D0F3" w14:textId="77777777" w:rsidR="00B070A0" w:rsidRPr="00AF0CC3" w:rsidRDefault="00B070A0" w:rsidP="00B070A0">
      <w:pPr>
        <w:spacing w:line="240" w:lineRule="auto"/>
        <w:rPr>
          <w:rFonts w:ascii="Times New Roman" w:hAnsi="Times New Roman" w:cs="Times New Roman"/>
          <w:color w:val="000000" w:themeColor="text1"/>
        </w:rPr>
      </w:pPr>
      <w:r w:rsidRPr="00AF0CC3">
        <w:rPr>
          <w:rFonts w:ascii="Times New Roman" w:hAnsi="Times New Roman" w:cs="Times New Roman"/>
          <w:color w:val="000000" w:themeColor="text1"/>
        </w:rPr>
        <w:t>The present study deliberately focuses on governance quality during project preparation and implementation because these stages provide measurable governance indicators and comparable project-level data across the study sample. Accordingly, the principal outcomes examined include project stalling, implementation delays, cost overruns, implementation continuity, and resilience during delivery. However, the findings also indicate that governance quality may have implications extending beyond project completion. Governance arrangements that strengthen coordination, accountability, documentation, financial management, and institutional oversight during implementation may also influence long-term infrastructure performance by supporting effective asset management, operational continuity, institutional learning, and sustained service delivery.</w:t>
      </w:r>
    </w:p>
    <w:p w14:paraId="4A5DBEC3" w14:textId="77777777" w:rsidR="00B070A0" w:rsidRPr="00AF0CC3" w:rsidRDefault="00B070A0" w:rsidP="00B070A0">
      <w:pPr>
        <w:spacing w:line="240" w:lineRule="auto"/>
        <w:rPr>
          <w:rFonts w:ascii="Times New Roman" w:hAnsi="Times New Roman" w:cs="Times New Roman"/>
          <w:color w:val="000000" w:themeColor="text1"/>
        </w:rPr>
      </w:pPr>
    </w:p>
    <w:p w14:paraId="68AD6D60" w14:textId="1E79F6C2" w:rsidR="008F5A65" w:rsidRPr="00AF0CC3" w:rsidRDefault="00B070A0" w:rsidP="00B070A0">
      <w:pPr>
        <w:spacing w:line="240" w:lineRule="auto"/>
        <w:rPr>
          <w:rFonts w:ascii="Times New Roman" w:hAnsi="Times New Roman" w:cs="Times New Roman"/>
          <w:color w:val="000000" w:themeColor="text1"/>
        </w:rPr>
      </w:pPr>
      <w:r w:rsidRPr="00AF0CC3">
        <w:rPr>
          <w:rFonts w:ascii="Times New Roman" w:hAnsi="Times New Roman" w:cs="Times New Roman"/>
          <w:color w:val="000000" w:themeColor="text1"/>
        </w:rPr>
        <w:t xml:space="preserve">Future research should therefore extend the governance-performance relationship beyond project implementation to examine </w:t>
      </w:r>
      <w:r w:rsidR="00D11936" w:rsidRPr="00AF0CC3">
        <w:rPr>
          <w:rFonts w:ascii="Times New Roman" w:hAnsi="Times New Roman" w:cs="Times New Roman"/>
          <w:color w:val="000000" w:themeColor="text1"/>
        </w:rPr>
        <w:t>how governance quality influences</w:t>
      </w:r>
      <w:r w:rsidRPr="00AF0CC3">
        <w:rPr>
          <w:rFonts w:ascii="Times New Roman" w:hAnsi="Times New Roman" w:cs="Times New Roman"/>
          <w:color w:val="000000" w:themeColor="text1"/>
        </w:rPr>
        <w:t xml:space="preserve"> post-completion outcomes. Longitudinal studies </w:t>
      </w:r>
      <w:r w:rsidR="00D11936" w:rsidRPr="00AF0CC3">
        <w:rPr>
          <w:rFonts w:ascii="Times New Roman" w:hAnsi="Times New Roman" w:cs="Times New Roman"/>
          <w:color w:val="000000" w:themeColor="text1"/>
        </w:rPr>
        <w:t>that follow infrastructure assets throughout their operational lifecycle could investigate whether projects characterized by stronger governance arrangements during implementation exhibit</w:t>
      </w:r>
      <w:r w:rsidRPr="00AF0CC3">
        <w:rPr>
          <w:rFonts w:ascii="Times New Roman" w:hAnsi="Times New Roman" w:cs="Times New Roman"/>
          <w:color w:val="000000" w:themeColor="text1"/>
        </w:rPr>
        <w:t xml:space="preserve"> superior operational reliability, maintenance performance, financial sustainability, user satisfaction, environmental resilience, and socioeconomic impact. Such research would broaden the understanding of infrastructure governance from one </w:t>
      </w:r>
      <w:r w:rsidR="00D11936" w:rsidRPr="00AF0CC3">
        <w:rPr>
          <w:rFonts w:ascii="Times New Roman" w:hAnsi="Times New Roman" w:cs="Times New Roman"/>
          <w:color w:val="000000" w:themeColor="text1"/>
        </w:rPr>
        <w:t>primarily centered on project delivery to one that encompasses</w:t>
      </w:r>
      <w:r w:rsidRPr="00AF0CC3">
        <w:rPr>
          <w:rFonts w:ascii="Times New Roman" w:hAnsi="Times New Roman" w:cs="Times New Roman"/>
          <w:color w:val="000000" w:themeColor="text1"/>
        </w:rPr>
        <w:t xml:space="preserve"> the full lifecycle of infrastructure value creation and public sector performance.</w:t>
      </w:r>
    </w:p>
    <w:p w14:paraId="18F73F4E" w14:textId="77777777" w:rsidR="00833AED" w:rsidRPr="00AF0CC3" w:rsidRDefault="00833AED" w:rsidP="00833AED">
      <w:pPr>
        <w:spacing w:line="240" w:lineRule="auto"/>
        <w:rPr>
          <w:rFonts w:ascii="Times New Roman" w:hAnsi="Times New Roman" w:cs="Times New Roman"/>
          <w:color w:val="000000" w:themeColor="text1"/>
        </w:rPr>
      </w:pPr>
    </w:p>
    <w:p w14:paraId="604450DA" w14:textId="36AD593A" w:rsidR="00833AED" w:rsidRPr="00AF0CC3" w:rsidRDefault="00833AED" w:rsidP="00EA7568">
      <w:pPr>
        <w:pStyle w:val="Heading2"/>
        <w:rPr>
          <w:rFonts w:cs="Times New Roman"/>
          <w:b w:val="0"/>
          <w:bCs/>
          <w:color w:val="000000" w:themeColor="text1"/>
          <w:szCs w:val="24"/>
        </w:rPr>
      </w:pPr>
      <w:bookmarkStart w:id="218" w:name="_Toc223623411"/>
      <w:bookmarkStart w:id="219" w:name="_Toc234344806"/>
      <w:bookmarkStart w:id="220" w:name="_Toc234489038"/>
      <w:r w:rsidRPr="00AF0CC3">
        <w:rPr>
          <w:rStyle w:val="Heading2Char"/>
          <w:rFonts w:cs="Times New Roman"/>
          <w:color w:val="000000" w:themeColor="text1"/>
          <w:szCs w:val="24"/>
        </w:rPr>
        <w:t>Chapter Summary</w:t>
      </w:r>
      <w:bookmarkEnd w:id="218"/>
      <w:bookmarkEnd w:id="219"/>
      <w:bookmarkEnd w:id="220"/>
    </w:p>
    <w:p w14:paraId="37DE99E8" w14:textId="77777777" w:rsidR="00833AED" w:rsidRPr="00AF0CC3" w:rsidRDefault="00833AED" w:rsidP="00833AED">
      <w:pPr>
        <w:spacing w:line="240" w:lineRule="auto"/>
        <w:rPr>
          <w:rFonts w:ascii="Times New Roman" w:hAnsi="Times New Roman" w:cs="Times New Roman"/>
          <w:color w:val="000000" w:themeColor="text1"/>
        </w:rPr>
      </w:pPr>
    </w:p>
    <w:p w14:paraId="71C32388" w14:textId="77777777" w:rsidR="00833AED" w:rsidRPr="00AF0CC3" w:rsidRDefault="00833AED" w:rsidP="00833AED">
      <w:pPr>
        <w:spacing w:line="240" w:lineRule="auto"/>
        <w:rPr>
          <w:rFonts w:ascii="Times New Roman" w:hAnsi="Times New Roman" w:cs="Times New Roman"/>
          <w:color w:val="000000" w:themeColor="text1"/>
        </w:rPr>
      </w:pPr>
      <w:r w:rsidRPr="00AF0CC3">
        <w:rPr>
          <w:rFonts w:ascii="Times New Roman" w:hAnsi="Times New Roman" w:cs="Times New Roman"/>
          <w:color w:val="000000" w:themeColor="text1"/>
        </w:rPr>
        <w:t>This chapter has reviewed and synthesized the literature on infrastructure governance, project performance, water-sector challenges, PPP governance, and climate risk. It has been shown that while infrastructure underperformance is widely documented, existing research provides limited explanatory leverage on the specific question of why water infrastructure projects stall, particularly in developing country contexts.</w:t>
      </w:r>
    </w:p>
    <w:p w14:paraId="663718D5" w14:textId="77777777" w:rsidR="00833AED" w:rsidRPr="00AF0CC3" w:rsidRDefault="00833AED" w:rsidP="00833AED">
      <w:pPr>
        <w:spacing w:line="240" w:lineRule="auto"/>
        <w:rPr>
          <w:rFonts w:ascii="Times New Roman" w:hAnsi="Times New Roman" w:cs="Times New Roman"/>
          <w:color w:val="000000" w:themeColor="text1"/>
        </w:rPr>
      </w:pPr>
    </w:p>
    <w:p w14:paraId="6AC08A1A" w14:textId="77777777" w:rsidR="00833AED" w:rsidRPr="00AF0CC3" w:rsidRDefault="00833AED" w:rsidP="00833AED">
      <w:pPr>
        <w:spacing w:line="240" w:lineRule="auto"/>
        <w:rPr>
          <w:rFonts w:ascii="Times New Roman" w:hAnsi="Times New Roman" w:cs="Times New Roman"/>
          <w:color w:val="000000" w:themeColor="text1"/>
        </w:rPr>
      </w:pPr>
      <w:r w:rsidRPr="00AF0CC3">
        <w:rPr>
          <w:rFonts w:ascii="Times New Roman" w:hAnsi="Times New Roman" w:cs="Times New Roman"/>
          <w:color w:val="000000" w:themeColor="text1"/>
        </w:rPr>
        <w:t>By identifying gaps related to stalling as an outcome, project-level governance measurement, lifecycle analysis, sectoral integration, and governance-mediated climate risk, the chapter has established the rationale for the study’s analytical focus. It has also clarified how the study responds to these gaps through a project-level Governance Quality Index and an empirical design capable of testing governance-performance relationships across multiple outcomes.</w:t>
      </w:r>
    </w:p>
    <w:p w14:paraId="777F08C5" w14:textId="77777777" w:rsidR="00833AED" w:rsidRPr="00AF0CC3" w:rsidRDefault="00833AED" w:rsidP="00833AED">
      <w:pPr>
        <w:spacing w:line="240" w:lineRule="auto"/>
        <w:rPr>
          <w:rFonts w:ascii="Times New Roman" w:hAnsi="Times New Roman" w:cs="Times New Roman"/>
          <w:color w:val="000000" w:themeColor="text1"/>
        </w:rPr>
      </w:pPr>
      <w:r w:rsidRPr="00AF0CC3">
        <w:rPr>
          <w:rFonts w:ascii="Times New Roman" w:hAnsi="Times New Roman" w:cs="Times New Roman"/>
          <w:color w:val="000000" w:themeColor="text1"/>
        </w:rPr>
        <w:t xml:space="preserve">The argument developed in this chapter now demands empirical testing. If governance quality structures project trajectories as the literature suggests, then variation in governance practice should be observable in delivery outcomes. Chapter Three translates this proposition into a </w:t>
      </w:r>
      <w:r w:rsidRPr="00AF0CC3">
        <w:rPr>
          <w:rFonts w:ascii="Times New Roman" w:hAnsi="Times New Roman" w:cs="Times New Roman"/>
          <w:color w:val="000000" w:themeColor="text1"/>
        </w:rPr>
        <w:lastRenderedPageBreak/>
        <w:t>testable research design. It builds directly on this foundation by presenting the methodology, variable operationalization, and econometric strategy used to analyze the influence of governance quality on project stalling, time overruns, and cost overruns in Kenya’s water infrastructure sector.</w:t>
      </w:r>
    </w:p>
    <w:p w14:paraId="672EAD43" w14:textId="77777777" w:rsidR="003E7CD2" w:rsidRPr="00AF0CC3" w:rsidRDefault="003E7CD2" w:rsidP="00833AED">
      <w:pPr>
        <w:spacing w:line="240" w:lineRule="auto"/>
        <w:rPr>
          <w:rFonts w:ascii="Times New Roman" w:hAnsi="Times New Roman" w:cs="Times New Roman"/>
          <w:color w:val="000000" w:themeColor="text1"/>
        </w:rPr>
      </w:pPr>
    </w:p>
    <w:p w14:paraId="6F0D17AF" w14:textId="77777777" w:rsidR="00C7100C" w:rsidRPr="00AF0CC3" w:rsidRDefault="00C7100C" w:rsidP="00833AED">
      <w:pPr>
        <w:spacing w:line="240" w:lineRule="auto"/>
        <w:rPr>
          <w:rFonts w:ascii="Times New Roman" w:hAnsi="Times New Roman" w:cs="Times New Roman"/>
          <w:color w:val="000000" w:themeColor="text1"/>
        </w:rPr>
      </w:pPr>
    </w:p>
    <w:p w14:paraId="094D2FC0" w14:textId="77777777" w:rsidR="00C7100C" w:rsidRPr="00AF0CC3" w:rsidRDefault="00C7100C" w:rsidP="00833AED">
      <w:pPr>
        <w:spacing w:line="240" w:lineRule="auto"/>
        <w:rPr>
          <w:rFonts w:ascii="Times New Roman" w:hAnsi="Times New Roman" w:cs="Times New Roman"/>
          <w:color w:val="000000" w:themeColor="text1"/>
        </w:rPr>
      </w:pPr>
    </w:p>
    <w:p w14:paraId="0E2BA0E9" w14:textId="77777777" w:rsidR="00C7100C" w:rsidRPr="00AF0CC3" w:rsidRDefault="00C7100C" w:rsidP="00833AED">
      <w:pPr>
        <w:spacing w:line="240" w:lineRule="auto"/>
        <w:rPr>
          <w:rFonts w:ascii="Times New Roman" w:hAnsi="Times New Roman" w:cs="Times New Roman"/>
          <w:color w:val="000000" w:themeColor="text1"/>
        </w:rPr>
      </w:pPr>
    </w:p>
    <w:p w14:paraId="583740EB" w14:textId="77777777" w:rsidR="00C7100C" w:rsidRPr="00AF0CC3" w:rsidRDefault="00C7100C" w:rsidP="00833AED">
      <w:pPr>
        <w:spacing w:line="240" w:lineRule="auto"/>
        <w:rPr>
          <w:rFonts w:ascii="Times New Roman" w:hAnsi="Times New Roman" w:cs="Times New Roman"/>
          <w:color w:val="000000" w:themeColor="text1"/>
        </w:rPr>
      </w:pPr>
    </w:p>
    <w:p w14:paraId="7F14D0E6" w14:textId="77777777" w:rsidR="00C7100C" w:rsidRPr="00AF0CC3" w:rsidRDefault="00C7100C" w:rsidP="00833AED">
      <w:pPr>
        <w:spacing w:line="240" w:lineRule="auto"/>
        <w:rPr>
          <w:rFonts w:ascii="Times New Roman" w:hAnsi="Times New Roman" w:cs="Times New Roman"/>
          <w:color w:val="000000" w:themeColor="text1"/>
        </w:rPr>
      </w:pPr>
    </w:p>
    <w:p w14:paraId="358E1997" w14:textId="77777777" w:rsidR="00C7100C" w:rsidRPr="00AF0CC3" w:rsidRDefault="00C7100C" w:rsidP="00833AED">
      <w:pPr>
        <w:spacing w:line="240" w:lineRule="auto"/>
        <w:rPr>
          <w:rFonts w:ascii="Times New Roman" w:hAnsi="Times New Roman" w:cs="Times New Roman"/>
          <w:color w:val="000000" w:themeColor="text1"/>
        </w:rPr>
      </w:pPr>
    </w:p>
    <w:p w14:paraId="70DFEC91" w14:textId="77777777" w:rsidR="00C7100C" w:rsidRPr="00AF0CC3" w:rsidRDefault="00C7100C" w:rsidP="00833AED">
      <w:pPr>
        <w:spacing w:line="240" w:lineRule="auto"/>
        <w:rPr>
          <w:rFonts w:ascii="Times New Roman" w:hAnsi="Times New Roman" w:cs="Times New Roman"/>
          <w:color w:val="000000" w:themeColor="text1"/>
        </w:rPr>
      </w:pPr>
    </w:p>
    <w:p w14:paraId="01216F08" w14:textId="77777777" w:rsidR="00C7100C" w:rsidRPr="00AF0CC3" w:rsidRDefault="00C7100C" w:rsidP="00833AED">
      <w:pPr>
        <w:spacing w:line="240" w:lineRule="auto"/>
        <w:rPr>
          <w:rFonts w:ascii="Times New Roman" w:hAnsi="Times New Roman" w:cs="Times New Roman"/>
          <w:color w:val="000000" w:themeColor="text1"/>
        </w:rPr>
      </w:pPr>
    </w:p>
    <w:p w14:paraId="3088FCD6" w14:textId="77777777" w:rsidR="00C7100C" w:rsidRPr="00AF0CC3" w:rsidRDefault="00C7100C" w:rsidP="00833AED">
      <w:pPr>
        <w:spacing w:line="240" w:lineRule="auto"/>
        <w:rPr>
          <w:rFonts w:ascii="Times New Roman" w:hAnsi="Times New Roman" w:cs="Times New Roman"/>
          <w:color w:val="000000" w:themeColor="text1"/>
        </w:rPr>
      </w:pPr>
    </w:p>
    <w:p w14:paraId="3D77C74A" w14:textId="77777777" w:rsidR="00C7100C" w:rsidRPr="00AF0CC3" w:rsidRDefault="00C7100C" w:rsidP="00833AED">
      <w:pPr>
        <w:spacing w:line="240" w:lineRule="auto"/>
        <w:rPr>
          <w:rFonts w:ascii="Times New Roman" w:hAnsi="Times New Roman" w:cs="Times New Roman"/>
          <w:color w:val="000000" w:themeColor="text1"/>
        </w:rPr>
      </w:pPr>
    </w:p>
    <w:p w14:paraId="0465CB18" w14:textId="77777777" w:rsidR="00C7100C" w:rsidRPr="00AF0CC3" w:rsidRDefault="00C7100C" w:rsidP="00833AED">
      <w:pPr>
        <w:spacing w:line="240" w:lineRule="auto"/>
        <w:rPr>
          <w:rFonts w:ascii="Times New Roman" w:hAnsi="Times New Roman" w:cs="Times New Roman"/>
          <w:color w:val="000000" w:themeColor="text1"/>
        </w:rPr>
      </w:pPr>
    </w:p>
    <w:p w14:paraId="2DD54478" w14:textId="77777777" w:rsidR="00C7100C" w:rsidRPr="00AF0CC3" w:rsidRDefault="00C7100C" w:rsidP="00833AED">
      <w:pPr>
        <w:spacing w:line="240" w:lineRule="auto"/>
        <w:rPr>
          <w:rFonts w:ascii="Times New Roman" w:hAnsi="Times New Roman" w:cs="Times New Roman"/>
          <w:color w:val="000000" w:themeColor="text1"/>
        </w:rPr>
      </w:pPr>
    </w:p>
    <w:p w14:paraId="2FFE8FDD" w14:textId="77777777" w:rsidR="00C7100C" w:rsidRPr="00AF0CC3" w:rsidRDefault="00C7100C" w:rsidP="00833AED">
      <w:pPr>
        <w:spacing w:line="240" w:lineRule="auto"/>
        <w:rPr>
          <w:rFonts w:ascii="Times New Roman" w:hAnsi="Times New Roman" w:cs="Times New Roman"/>
          <w:color w:val="000000" w:themeColor="text1"/>
        </w:rPr>
      </w:pPr>
    </w:p>
    <w:p w14:paraId="698ED4D5" w14:textId="77777777" w:rsidR="00C7100C" w:rsidRPr="00AF0CC3" w:rsidRDefault="00C7100C" w:rsidP="00833AED">
      <w:pPr>
        <w:spacing w:line="240" w:lineRule="auto"/>
        <w:rPr>
          <w:rFonts w:ascii="Times New Roman" w:hAnsi="Times New Roman" w:cs="Times New Roman"/>
          <w:color w:val="000000" w:themeColor="text1"/>
        </w:rPr>
      </w:pPr>
    </w:p>
    <w:p w14:paraId="40D572FC" w14:textId="77777777" w:rsidR="00C7100C" w:rsidRPr="00AF0CC3" w:rsidRDefault="00C7100C" w:rsidP="00833AED">
      <w:pPr>
        <w:spacing w:line="240" w:lineRule="auto"/>
        <w:rPr>
          <w:rFonts w:ascii="Times New Roman" w:hAnsi="Times New Roman" w:cs="Times New Roman"/>
          <w:color w:val="000000" w:themeColor="text1"/>
        </w:rPr>
      </w:pPr>
    </w:p>
    <w:p w14:paraId="46AB08A3" w14:textId="77777777" w:rsidR="00C7100C" w:rsidRPr="00AF0CC3" w:rsidRDefault="00C7100C" w:rsidP="00833AED">
      <w:pPr>
        <w:spacing w:line="240" w:lineRule="auto"/>
        <w:rPr>
          <w:rFonts w:ascii="Times New Roman" w:hAnsi="Times New Roman" w:cs="Times New Roman"/>
          <w:color w:val="000000" w:themeColor="text1"/>
        </w:rPr>
      </w:pPr>
    </w:p>
    <w:p w14:paraId="67CD162C" w14:textId="77777777" w:rsidR="00C7100C" w:rsidRPr="00AF0CC3" w:rsidRDefault="00C7100C" w:rsidP="00833AED">
      <w:pPr>
        <w:spacing w:line="240" w:lineRule="auto"/>
        <w:rPr>
          <w:rFonts w:ascii="Times New Roman" w:hAnsi="Times New Roman" w:cs="Times New Roman"/>
          <w:color w:val="000000" w:themeColor="text1"/>
        </w:rPr>
      </w:pPr>
    </w:p>
    <w:p w14:paraId="00B80963" w14:textId="77777777" w:rsidR="00C7100C" w:rsidRPr="00AF0CC3" w:rsidRDefault="00C7100C" w:rsidP="00833AED">
      <w:pPr>
        <w:spacing w:line="240" w:lineRule="auto"/>
        <w:rPr>
          <w:rFonts w:ascii="Times New Roman" w:hAnsi="Times New Roman" w:cs="Times New Roman"/>
          <w:color w:val="000000" w:themeColor="text1"/>
        </w:rPr>
      </w:pPr>
    </w:p>
    <w:p w14:paraId="56508AA7" w14:textId="77777777" w:rsidR="00C7100C" w:rsidRPr="00AF0CC3" w:rsidRDefault="00C7100C" w:rsidP="00833AED">
      <w:pPr>
        <w:spacing w:line="240" w:lineRule="auto"/>
        <w:rPr>
          <w:rFonts w:ascii="Times New Roman" w:hAnsi="Times New Roman" w:cs="Times New Roman"/>
          <w:color w:val="000000" w:themeColor="text1"/>
        </w:rPr>
      </w:pPr>
    </w:p>
    <w:p w14:paraId="2F895C00" w14:textId="77777777" w:rsidR="00C7100C" w:rsidRPr="00AF0CC3" w:rsidRDefault="00C7100C" w:rsidP="00833AED">
      <w:pPr>
        <w:spacing w:line="240" w:lineRule="auto"/>
        <w:rPr>
          <w:rFonts w:ascii="Times New Roman" w:hAnsi="Times New Roman" w:cs="Times New Roman"/>
          <w:color w:val="000000" w:themeColor="text1"/>
        </w:rPr>
      </w:pPr>
    </w:p>
    <w:p w14:paraId="4DE4A218" w14:textId="77777777" w:rsidR="00C7100C" w:rsidRPr="00AF0CC3" w:rsidRDefault="00C7100C" w:rsidP="00833AED">
      <w:pPr>
        <w:spacing w:line="240" w:lineRule="auto"/>
        <w:rPr>
          <w:rFonts w:ascii="Times New Roman" w:hAnsi="Times New Roman" w:cs="Times New Roman"/>
          <w:color w:val="000000" w:themeColor="text1"/>
        </w:rPr>
      </w:pPr>
    </w:p>
    <w:p w14:paraId="48B6BF1B" w14:textId="77777777" w:rsidR="00C7100C" w:rsidRPr="00AF0CC3" w:rsidRDefault="00C7100C" w:rsidP="00833AED">
      <w:pPr>
        <w:spacing w:line="240" w:lineRule="auto"/>
        <w:rPr>
          <w:rFonts w:ascii="Times New Roman" w:hAnsi="Times New Roman" w:cs="Times New Roman"/>
          <w:color w:val="000000" w:themeColor="text1"/>
        </w:rPr>
      </w:pPr>
    </w:p>
    <w:p w14:paraId="55B3CAC1" w14:textId="77777777" w:rsidR="00C7100C" w:rsidRPr="00AF0CC3" w:rsidRDefault="00C7100C" w:rsidP="00833AED">
      <w:pPr>
        <w:spacing w:line="240" w:lineRule="auto"/>
        <w:rPr>
          <w:rFonts w:ascii="Times New Roman" w:hAnsi="Times New Roman" w:cs="Times New Roman"/>
          <w:color w:val="000000" w:themeColor="text1"/>
        </w:rPr>
      </w:pPr>
    </w:p>
    <w:p w14:paraId="0B4EBC9A" w14:textId="771EF157" w:rsidR="000B6A05" w:rsidRPr="00AF0CC3" w:rsidRDefault="000B6A05" w:rsidP="00A901B8">
      <w:pPr>
        <w:pStyle w:val="Heading1"/>
        <w:rPr>
          <w:rFonts w:cs="Times New Roman"/>
          <w:b w:val="0"/>
          <w:bCs/>
          <w:color w:val="000000" w:themeColor="text1"/>
          <w:szCs w:val="24"/>
        </w:rPr>
      </w:pPr>
      <w:bookmarkStart w:id="221" w:name="_Toc234344807"/>
      <w:bookmarkStart w:id="222" w:name="_Toc234489039"/>
      <w:commentRangeStart w:id="223"/>
      <w:commentRangeStart w:id="224"/>
      <w:commentRangeStart w:id="225"/>
      <w:r w:rsidRPr="00AF0CC3">
        <w:rPr>
          <w:rFonts w:cs="Times New Roman"/>
          <w:bCs/>
          <w:color w:val="000000" w:themeColor="text1"/>
          <w:szCs w:val="24"/>
        </w:rPr>
        <w:lastRenderedPageBreak/>
        <w:t>RESEARCH METHODOLOGY</w:t>
      </w:r>
      <w:bookmarkEnd w:id="221"/>
      <w:bookmarkEnd w:id="222"/>
      <w:commentRangeEnd w:id="223"/>
      <w:r w:rsidRPr="00AF0CC3">
        <w:rPr>
          <w:rStyle w:val="CommentReference"/>
          <w:rFonts w:cs="Times New Roman"/>
          <w:b w:val="0"/>
          <w:bCs/>
          <w:color w:val="000000" w:themeColor="text1"/>
          <w:sz w:val="24"/>
          <w:szCs w:val="24"/>
        </w:rPr>
        <w:commentReference w:id="223"/>
      </w:r>
      <w:commentRangeEnd w:id="224"/>
      <w:r w:rsidRPr="00AF0CC3">
        <w:rPr>
          <w:rStyle w:val="CommentReference"/>
          <w:rFonts w:cs="Times New Roman"/>
          <w:b w:val="0"/>
          <w:bCs/>
          <w:color w:val="000000" w:themeColor="text1"/>
          <w:sz w:val="24"/>
          <w:szCs w:val="24"/>
        </w:rPr>
        <w:commentReference w:id="224"/>
      </w:r>
      <w:commentRangeEnd w:id="225"/>
      <w:r w:rsidRPr="00AF0CC3">
        <w:rPr>
          <w:rStyle w:val="CommentReference"/>
          <w:rFonts w:cs="Times New Roman"/>
          <w:b w:val="0"/>
          <w:bCs/>
          <w:color w:val="000000" w:themeColor="text1"/>
          <w:sz w:val="24"/>
          <w:szCs w:val="24"/>
        </w:rPr>
        <w:commentReference w:id="225"/>
      </w:r>
    </w:p>
    <w:p w14:paraId="66A62687" w14:textId="6EFF0821" w:rsidR="000B6A05" w:rsidRPr="00AF0CC3" w:rsidRDefault="000B6A05" w:rsidP="00A901B8">
      <w:pPr>
        <w:pStyle w:val="Heading2"/>
        <w:rPr>
          <w:rFonts w:cs="Times New Roman"/>
          <w:b w:val="0"/>
          <w:bCs/>
          <w:color w:val="000000" w:themeColor="text1"/>
          <w:szCs w:val="24"/>
        </w:rPr>
      </w:pPr>
      <w:bookmarkStart w:id="226" w:name="_Toc230209528"/>
      <w:bookmarkStart w:id="227" w:name="_Toc234344808"/>
      <w:bookmarkStart w:id="228" w:name="_Toc234489040"/>
      <w:r w:rsidRPr="00AF0CC3">
        <w:rPr>
          <w:rFonts w:cs="Times New Roman"/>
          <w:bCs/>
          <w:color w:val="000000" w:themeColor="text1"/>
          <w:szCs w:val="24"/>
        </w:rPr>
        <w:t>Introduction</w:t>
      </w:r>
      <w:bookmarkEnd w:id="226"/>
      <w:bookmarkEnd w:id="227"/>
      <w:bookmarkEnd w:id="228"/>
    </w:p>
    <w:p w14:paraId="0F20FDED" w14:textId="77777777" w:rsidR="000B6A05" w:rsidRPr="00AF0CC3" w:rsidRDefault="000B6A05" w:rsidP="000B6A05">
      <w:pPr>
        <w:spacing w:line="360" w:lineRule="auto"/>
        <w:rPr>
          <w:rFonts w:ascii="Times New Roman" w:hAnsi="Times New Roman" w:cs="Times New Roman"/>
          <w:color w:val="000000" w:themeColor="text1"/>
        </w:rPr>
      </w:pPr>
    </w:p>
    <w:p w14:paraId="7FBA1F12" w14:textId="77777777" w:rsidR="000B6A05" w:rsidRPr="00AF0CC3" w:rsidRDefault="000B6A05" w:rsidP="000B6A05">
      <w:pPr>
        <w:spacing w:line="360" w:lineRule="auto"/>
        <w:rPr>
          <w:rFonts w:ascii="Times New Roman" w:hAnsi="Times New Roman" w:cs="Times New Roman"/>
          <w:color w:val="000000" w:themeColor="text1"/>
        </w:rPr>
      </w:pPr>
      <w:r w:rsidRPr="00AF0CC3">
        <w:rPr>
          <w:rFonts w:ascii="Times New Roman" w:hAnsi="Times New Roman" w:cs="Times New Roman"/>
          <w:color w:val="000000" w:themeColor="text1"/>
        </w:rPr>
        <w:t>This chapter details the methodological framework for examining how governance quality influences the performance of water infrastructure projects in Kenya. Chapter Two highlighted that infrastructure underperformance is frequently reported across sectors and regions, yet existing research offers limited empirical evidence to explain why some projects experience manageable delays while others halt entirely. Specifically, governance quality is often seen as a vital factor influencing infrastructure performance, but it is seldom assessed at the level of individual projects.</w:t>
      </w:r>
    </w:p>
    <w:p w14:paraId="2246FBAA" w14:textId="77777777" w:rsidR="000B6A05" w:rsidRPr="00AF0CC3" w:rsidRDefault="000B6A05" w:rsidP="000B6A05">
      <w:pPr>
        <w:spacing w:line="360" w:lineRule="auto"/>
        <w:rPr>
          <w:rFonts w:ascii="Times New Roman" w:hAnsi="Times New Roman" w:cs="Times New Roman"/>
          <w:color w:val="000000" w:themeColor="text1"/>
        </w:rPr>
      </w:pPr>
    </w:p>
    <w:p w14:paraId="183161A2" w14:textId="77777777" w:rsidR="000B6A05" w:rsidRPr="00AF0CC3" w:rsidRDefault="000B6A05" w:rsidP="000B6A05">
      <w:pPr>
        <w:spacing w:line="360" w:lineRule="auto"/>
        <w:rPr>
          <w:rFonts w:ascii="Times New Roman" w:hAnsi="Times New Roman" w:cs="Times New Roman"/>
          <w:color w:val="000000" w:themeColor="text1"/>
        </w:rPr>
      </w:pPr>
      <w:r w:rsidRPr="00AF0CC3">
        <w:rPr>
          <w:rFonts w:ascii="Times New Roman" w:hAnsi="Times New Roman" w:cs="Times New Roman"/>
          <w:color w:val="000000" w:themeColor="text1"/>
        </w:rPr>
        <w:t>This methodological limitation is particularly clear in the water sector. Water management infrastructure projects typically operate within complex institutional environments characterized by fragmented mandates, overlapping authority across government levels, and environmental uncertainty. These governance conditions create institutional dynamics that are difficult to measure with standard macro-level governance indicators.</w:t>
      </w:r>
    </w:p>
    <w:p w14:paraId="397B3228" w14:textId="77777777" w:rsidR="000B6A05" w:rsidRPr="00AF0CC3" w:rsidRDefault="000B6A05" w:rsidP="000B6A05">
      <w:pPr>
        <w:spacing w:line="360" w:lineRule="auto"/>
        <w:rPr>
          <w:rFonts w:ascii="Times New Roman" w:hAnsi="Times New Roman" w:cs="Times New Roman"/>
          <w:color w:val="000000" w:themeColor="text1"/>
        </w:rPr>
      </w:pPr>
    </w:p>
    <w:p w14:paraId="46400C1C" w14:textId="77777777" w:rsidR="000B6A05" w:rsidRPr="00AF0CC3" w:rsidRDefault="000B6A05" w:rsidP="000B6A05">
      <w:pPr>
        <w:spacing w:line="360" w:lineRule="auto"/>
        <w:rPr>
          <w:rFonts w:ascii="Times New Roman" w:hAnsi="Times New Roman" w:cs="Times New Roman"/>
          <w:color w:val="000000" w:themeColor="text1"/>
        </w:rPr>
      </w:pPr>
      <w:r w:rsidRPr="00AF0CC3">
        <w:rPr>
          <w:rFonts w:ascii="Times New Roman" w:hAnsi="Times New Roman" w:cs="Times New Roman"/>
          <w:color w:val="000000" w:themeColor="text1"/>
        </w:rPr>
        <w:t>As discussed in Chapter Two, most current studies depend either on qualitative case studies or cross-country institutional comparisons. While both approaches provide valuable insights, they have limited capacity to explain differences in project outcomes within the same institutional context. For example, infrastructure projects within a single country often experience dramatically different implementation trajectories despite operating under similar national governance structures.</w:t>
      </w:r>
    </w:p>
    <w:p w14:paraId="221D7760" w14:textId="77777777" w:rsidR="000B6A05" w:rsidRPr="00AF0CC3" w:rsidRDefault="000B6A05" w:rsidP="000B6A05">
      <w:pPr>
        <w:spacing w:line="360" w:lineRule="auto"/>
        <w:rPr>
          <w:rFonts w:ascii="Times New Roman" w:hAnsi="Times New Roman" w:cs="Times New Roman"/>
          <w:color w:val="000000" w:themeColor="text1"/>
        </w:rPr>
      </w:pPr>
    </w:p>
    <w:p w14:paraId="5F795240" w14:textId="77777777" w:rsidR="000B6A05" w:rsidRPr="00AF0CC3" w:rsidRDefault="000B6A05" w:rsidP="000B6A05">
      <w:pPr>
        <w:spacing w:line="360" w:lineRule="auto"/>
        <w:rPr>
          <w:rFonts w:ascii="Times New Roman" w:hAnsi="Times New Roman" w:cs="Times New Roman"/>
          <w:color w:val="000000" w:themeColor="text1"/>
        </w:rPr>
      </w:pPr>
      <w:r w:rsidRPr="00AF0CC3">
        <w:rPr>
          <w:rFonts w:ascii="Times New Roman" w:hAnsi="Times New Roman" w:cs="Times New Roman"/>
          <w:color w:val="000000" w:themeColor="text1"/>
        </w:rPr>
        <w:t xml:space="preserve">The objective of this chapter is to develop a methodological framework capable of empirically testing how governance quality affects infrastructure delivery outcomes. The study uses a project-level analytical approach to assess governance practices throughout the infrastructure </w:t>
      </w:r>
      <w:r w:rsidRPr="00AF0CC3">
        <w:rPr>
          <w:rFonts w:ascii="Times New Roman" w:hAnsi="Times New Roman" w:cs="Times New Roman"/>
          <w:color w:val="000000" w:themeColor="text1"/>
        </w:rPr>
        <w:lastRenderedPageBreak/>
        <w:t>lifecycle and examine how variations in these practices influence the likelihood of project stalling, time overruns, and cost overruns.</w:t>
      </w:r>
    </w:p>
    <w:p w14:paraId="4C5539D1" w14:textId="77777777" w:rsidR="000B6A05" w:rsidRPr="00AF0CC3" w:rsidRDefault="000B6A05" w:rsidP="000B6A05">
      <w:pPr>
        <w:spacing w:line="360" w:lineRule="auto"/>
        <w:rPr>
          <w:rFonts w:ascii="Times New Roman" w:hAnsi="Times New Roman" w:cs="Times New Roman"/>
          <w:color w:val="000000" w:themeColor="text1"/>
        </w:rPr>
      </w:pPr>
      <w:r w:rsidRPr="00AF0CC3">
        <w:rPr>
          <w:rFonts w:ascii="Times New Roman" w:hAnsi="Times New Roman" w:cs="Times New Roman"/>
          <w:color w:val="000000" w:themeColor="text1"/>
        </w:rPr>
        <w:t>To guide the reader through this analysis, the chapter is organized to progress from philosophical foundations to empirical implementation. It first establishes the research design and measurement framework, then develops the econometric strategy and identification approach, and finally covers robustness, validity, and methodological limitations to maintain analytical rigor.</w:t>
      </w:r>
    </w:p>
    <w:p w14:paraId="7C97D539" w14:textId="77777777" w:rsidR="000B6A05" w:rsidRPr="00AF0CC3" w:rsidRDefault="000B6A05" w:rsidP="000B6A05">
      <w:pPr>
        <w:spacing w:line="360" w:lineRule="auto"/>
        <w:rPr>
          <w:rFonts w:ascii="Times New Roman" w:hAnsi="Times New Roman" w:cs="Times New Roman"/>
          <w:color w:val="000000" w:themeColor="text1"/>
        </w:rPr>
      </w:pPr>
      <w:r w:rsidRPr="00AF0CC3">
        <w:rPr>
          <w:rFonts w:ascii="Times New Roman" w:hAnsi="Times New Roman" w:cs="Times New Roman"/>
          <w:color w:val="000000" w:themeColor="text1"/>
        </w:rPr>
        <w:t>The chapter is organized as follows. Section 3.2 outlines the research philosophy guiding the study, while Section 3.3 details the research design, including the study context and dataset. Section 3.4 describes how variables are operationalized, including the development and coding of the Governance Quality Index (GQI), as well as control variables and the overall measurement framework. Section 3.5 then introduces the conceptual framework and research hypotheses that guide empirical analysis.</w:t>
      </w:r>
    </w:p>
    <w:p w14:paraId="67DBE4CA" w14:textId="77777777" w:rsidR="000B6A05" w:rsidRPr="00AF0CC3" w:rsidRDefault="000B6A05" w:rsidP="000B6A05">
      <w:pPr>
        <w:spacing w:line="360" w:lineRule="auto"/>
        <w:rPr>
          <w:rFonts w:ascii="Times New Roman" w:hAnsi="Times New Roman" w:cs="Times New Roman"/>
          <w:color w:val="000000" w:themeColor="text1"/>
        </w:rPr>
      </w:pPr>
    </w:p>
    <w:p w14:paraId="79E50799" w14:textId="77777777" w:rsidR="000B6A05" w:rsidRPr="00AF0CC3" w:rsidRDefault="000B6A05" w:rsidP="000B6A05">
      <w:pPr>
        <w:spacing w:line="360" w:lineRule="auto"/>
        <w:rPr>
          <w:rFonts w:ascii="Times New Roman" w:hAnsi="Times New Roman" w:cs="Times New Roman"/>
          <w:color w:val="000000" w:themeColor="text1"/>
        </w:rPr>
      </w:pPr>
      <w:r w:rsidRPr="00AF0CC3">
        <w:rPr>
          <w:rFonts w:ascii="Times New Roman" w:hAnsi="Times New Roman" w:cs="Times New Roman"/>
          <w:color w:val="000000" w:themeColor="text1"/>
        </w:rPr>
        <w:t>Section 3.6 defines the study population, while Section 3.7 explains the sampling strategy and project selection criteria. Section 3.8 describes the data sources and coding procedures used to create the dataset. Section 3.9 outlines the data structure and estimation method, whereas Section 3.10 details the econometric model specification, including identification and diagnostic procedures. Section 3.11 further develops the institutional resilience modeling framework, incorporating interactions between climate and political transition.</w:t>
      </w:r>
    </w:p>
    <w:p w14:paraId="62618033" w14:textId="77777777" w:rsidR="000B6A05" w:rsidRPr="00AF0CC3" w:rsidRDefault="000B6A05" w:rsidP="000B6A05">
      <w:pPr>
        <w:spacing w:line="360" w:lineRule="auto"/>
        <w:rPr>
          <w:rFonts w:ascii="Times New Roman" w:hAnsi="Times New Roman" w:cs="Times New Roman"/>
          <w:color w:val="000000" w:themeColor="text1"/>
        </w:rPr>
      </w:pPr>
    </w:p>
    <w:p w14:paraId="51801C0A" w14:textId="77777777" w:rsidR="000B6A05" w:rsidRPr="00AF0CC3" w:rsidRDefault="000B6A05" w:rsidP="000B6A05">
      <w:pPr>
        <w:spacing w:line="360" w:lineRule="auto"/>
        <w:rPr>
          <w:rFonts w:ascii="Times New Roman" w:hAnsi="Times New Roman" w:cs="Times New Roman"/>
          <w:color w:val="000000" w:themeColor="text1"/>
        </w:rPr>
      </w:pPr>
      <w:r w:rsidRPr="00AF0CC3">
        <w:rPr>
          <w:rFonts w:ascii="Times New Roman" w:hAnsi="Times New Roman" w:cs="Times New Roman"/>
          <w:color w:val="000000" w:themeColor="text1"/>
        </w:rPr>
        <w:t>Section 3.12 covers robustness checks and sensitivity analyses, followed by Section 3.13, which focuses on reliability and validity, including measurement validation of the GQI. Section 3.14 describes data limitations and mitigation strategies, while Section 3.15 addresses ethical considerations. Section 3.16 explores the identification strategy and endogeneity issues, and Section 3.17 highlights the study's methodological strengths. The chapter concludes with Section 3.18, which offers a summary linking the methodological framework to the empirical analysis in the next chapter.</w:t>
      </w:r>
    </w:p>
    <w:p w14:paraId="3AC07A9C" w14:textId="77777777" w:rsidR="000B6A05" w:rsidRPr="00AF0CC3" w:rsidRDefault="000B6A05" w:rsidP="000B6A05">
      <w:pPr>
        <w:spacing w:line="360" w:lineRule="auto"/>
        <w:rPr>
          <w:rFonts w:ascii="Times New Roman" w:hAnsi="Times New Roman" w:cs="Times New Roman"/>
          <w:color w:val="000000" w:themeColor="text1"/>
        </w:rPr>
      </w:pPr>
      <w:r w:rsidRPr="00AF0CC3">
        <w:rPr>
          <w:rFonts w:ascii="Times New Roman" w:hAnsi="Times New Roman" w:cs="Times New Roman"/>
          <w:color w:val="000000" w:themeColor="text1"/>
        </w:rPr>
        <w:lastRenderedPageBreak/>
        <w:t>This methodological framework allows the study to move beyond basic descriptions and concentrate on a detailed empirical analysis of how governance quality affects infrastructure delivery outcomes.</w:t>
      </w:r>
    </w:p>
    <w:p w14:paraId="052C7763" w14:textId="77777777" w:rsidR="000B6A05" w:rsidRPr="00AF0CC3" w:rsidRDefault="000B6A05" w:rsidP="000B6A05">
      <w:pPr>
        <w:spacing w:line="360" w:lineRule="auto"/>
        <w:rPr>
          <w:rFonts w:ascii="Times New Roman" w:hAnsi="Times New Roman" w:cs="Times New Roman"/>
          <w:color w:val="000000" w:themeColor="text1"/>
        </w:rPr>
      </w:pPr>
      <w:r w:rsidRPr="00AF0CC3">
        <w:rPr>
          <w:rFonts w:ascii="Times New Roman" w:hAnsi="Times New Roman" w:cs="Times New Roman"/>
          <w:color w:val="000000" w:themeColor="text1"/>
        </w:rPr>
        <w:t>In this study, governance quality, governance arrangements, and institutional quality are used interchangeably to refer to observable governance practices at the project level.</w:t>
      </w:r>
    </w:p>
    <w:p w14:paraId="15ECB3BC" w14:textId="410AC27C" w:rsidR="000B6A05" w:rsidRPr="00AF0CC3" w:rsidRDefault="000B6A05" w:rsidP="008A5815">
      <w:pPr>
        <w:pStyle w:val="Heading2"/>
        <w:rPr>
          <w:rFonts w:cs="Times New Roman"/>
          <w:color w:val="000000" w:themeColor="text1"/>
          <w:szCs w:val="24"/>
        </w:rPr>
      </w:pPr>
      <w:bookmarkStart w:id="229" w:name="_Toc230209529"/>
      <w:bookmarkStart w:id="230" w:name="_Toc234344809"/>
      <w:bookmarkStart w:id="231" w:name="_Toc234489041"/>
      <w:r w:rsidRPr="00AF0CC3">
        <w:rPr>
          <w:rFonts w:cs="Times New Roman"/>
          <w:color w:val="000000" w:themeColor="text1"/>
          <w:szCs w:val="24"/>
        </w:rPr>
        <w:t>Research Philosophy</w:t>
      </w:r>
      <w:bookmarkEnd w:id="229"/>
      <w:bookmarkEnd w:id="230"/>
      <w:bookmarkEnd w:id="231"/>
    </w:p>
    <w:p w14:paraId="34B7F190" w14:textId="77777777" w:rsidR="000B6A05" w:rsidRPr="00AF0CC3" w:rsidRDefault="000B6A05" w:rsidP="000B6A05">
      <w:pPr>
        <w:spacing w:line="360" w:lineRule="auto"/>
        <w:rPr>
          <w:rFonts w:ascii="Times New Roman" w:hAnsi="Times New Roman" w:cs="Times New Roman"/>
          <w:color w:val="000000" w:themeColor="text1"/>
        </w:rPr>
      </w:pPr>
      <w:r w:rsidRPr="00AF0CC3">
        <w:rPr>
          <w:rFonts w:ascii="Times New Roman" w:hAnsi="Times New Roman" w:cs="Times New Roman"/>
          <w:color w:val="000000" w:themeColor="text1"/>
        </w:rPr>
        <w:t>This section establishes the philosophical foundations guiding the empirical analysis and explains the rationale for adopting a positivist approach to the study of infrastructure governance.</w:t>
      </w:r>
    </w:p>
    <w:p w14:paraId="0FBAF8FB" w14:textId="77777777" w:rsidR="000B6A05" w:rsidRPr="00AF0CC3" w:rsidRDefault="000B6A05" w:rsidP="000B6A05">
      <w:pPr>
        <w:spacing w:line="360" w:lineRule="auto"/>
        <w:rPr>
          <w:rFonts w:ascii="Times New Roman" w:hAnsi="Times New Roman" w:cs="Times New Roman"/>
          <w:color w:val="000000" w:themeColor="text1"/>
        </w:rPr>
      </w:pPr>
      <w:r w:rsidRPr="00AF0CC3">
        <w:rPr>
          <w:rFonts w:ascii="Times New Roman" w:hAnsi="Times New Roman" w:cs="Times New Roman"/>
          <w:color w:val="000000" w:themeColor="text1"/>
        </w:rPr>
        <w:t>Research on infrastructure governance sits at the crossroads of political economy, development studies, public administration, and project management. Each of these disciplines offers different assumptions about how institutional phenomena should be examined and how causal relationships should be identified.</w:t>
      </w:r>
    </w:p>
    <w:p w14:paraId="12EE7C98" w14:textId="77777777" w:rsidR="000B6A05" w:rsidRPr="00AF0CC3" w:rsidRDefault="000B6A05" w:rsidP="000B6A05">
      <w:pPr>
        <w:spacing w:line="360" w:lineRule="auto"/>
        <w:rPr>
          <w:rFonts w:ascii="Times New Roman" w:hAnsi="Times New Roman" w:cs="Times New Roman"/>
          <w:color w:val="000000" w:themeColor="text1"/>
        </w:rPr>
      </w:pPr>
    </w:p>
    <w:p w14:paraId="622E8AAA" w14:textId="77777777" w:rsidR="000B6A05" w:rsidRPr="00AF0CC3" w:rsidRDefault="000B6A05" w:rsidP="000B6A05">
      <w:pPr>
        <w:spacing w:line="360" w:lineRule="auto"/>
        <w:rPr>
          <w:rFonts w:ascii="Times New Roman" w:hAnsi="Times New Roman" w:cs="Times New Roman"/>
          <w:color w:val="000000" w:themeColor="text1"/>
        </w:rPr>
      </w:pPr>
      <w:r w:rsidRPr="00AF0CC3">
        <w:rPr>
          <w:rFonts w:ascii="Times New Roman" w:hAnsi="Times New Roman" w:cs="Times New Roman"/>
          <w:color w:val="000000" w:themeColor="text1"/>
        </w:rPr>
        <w:t>Institutional governance processes often involve complex interactions among formal rules, informal practices, political incentives, and administrative capacity. Understanding these dynamics has traditionally relied heavily on qualitative methods, including comparative case studies and institutional analysis. These approaches have been especially useful in illustrating how governance arrangements influence infrastructure investment decisions and implementation processes.</w:t>
      </w:r>
    </w:p>
    <w:p w14:paraId="2E8A857C" w14:textId="77777777" w:rsidR="000B6A05" w:rsidRPr="00AF0CC3" w:rsidRDefault="000B6A05" w:rsidP="000B6A05">
      <w:pPr>
        <w:spacing w:line="360" w:lineRule="auto"/>
        <w:rPr>
          <w:rFonts w:ascii="Times New Roman" w:hAnsi="Times New Roman" w:cs="Times New Roman"/>
          <w:color w:val="000000" w:themeColor="text1"/>
        </w:rPr>
      </w:pPr>
    </w:p>
    <w:p w14:paraId="132FA4D7" w14:textId="77777777" w:rsidR="000B6A05" w:rsidRPr="00AF0CC3" w:rsidRDefault="000B6A05" w:rsidP="000B6A05">
      <w:pPr>
        <w:spacing w:line="360" w:lineRule="auto"/>
        <w:rPr>
          <w:rFonts w:ascii="Times New Roman" w:hAnsi="Times New Roman" w:cs="Times New Roman"/>
          <w:color w:val="000000" w:themeColor="text1"/>
        </w:rPr>
      </w:pPr>
      <w:r w:rsidRPr="00AF0CC3">
        <w:rPr>
          <w:rFonts w:ascii="Times New Roman" w:hAnsi="Times New Roman" w:cs="Times New Roman"/>
          <w:color w:val="000000" w:themeColor="text1"/>
        </w:rPr>
        <w:t>However, while qualitative analysis provides rich contextual insights, it is less effective for systematically testing causal relationships across many projects. The main goal of this study is to determine whether governance quality systematically influences infrastructure performance outcomes. Tackling this question requires an approach that translates institutional practices into measurable indicators for comparison across projects.</w:t>
      </w:r>
    </w:p>
    <w:p w14:paraId="25D387D3" w14:textId="77777777" w:rsidR="000B6A05" w:rsidRPr="00AF0CC3" w:rsidRDefault="000B6A05" w:rsidP="000B6A05">
      <w:pPr>
        <w:spacing w:line="360" w:lineRule="auto"/>
        <w:rPr>
          <w:rFonts w:ascii="Times New Roman" w:hAnsi="Times New Roman" w:cs="Times New Roman"/>
          <w:color w:val="000000" w:themeColor="text1"/>
        </w:rPr>
      </w:pPr>
    </w:p>
    <w:p w14:paraId="3F0E7A93" w14:textId="77777777" w:rsidR="000B6A05" w:rsidRPr="00AF0CC3" w:rsidRDefault="000B6A05" w:rsidP="000B6A05">
      <w:pPr>
        <w:spacing w:line="360" w:lineRule="auto"/>
        <w:rPr>
          <w:rFonts w:ascii="Times New Roman" w:hAnsi="Times New Roman" w:cs="Times New Roman"/>
          <w:color w:val="000000" w:themeColor="text1"/>
        </w:rPr>
      </w:pPr>
      <w:r w:rsidRPr="00AF0CC3">
        <w:rPr>
          <w:rFonts w:ascii="Times New Roman" w:hAnsi="Times New Roman" w:cs="Times New Roman"/>
          <w:color w:val="000000" w:themeColor="text1"/>
        </w:rPr>
        <w:t xml:space="preserve">Therefore, the study adopts a positivist research philosophy. Positivism emphasizes systematic observation and measurement of empirical phenomena to establish causal relationships between </w:t>
      </w:r>
      <w:r w:rsidRPr="00AF0CC3">
        <w:rPr>
          <w:rFonts w:ascii="Times New Roman" w:hAnsi="Times New Roman" w:cs="Times New Roman"/>
          <w:color w:val="000000" w:themeColor="text1"/>
        </w:rPr>
        <w:lastRenderedPageBreak/>
        <w:t>variables. In the context of infrastructure governance research, this approach involves operationalizing governance practices through observable indicators and analyzing their statistical connection to infrastructure delivery outcomes.</w:t>
      </w:r>
    </w:p>
    <w:p w14:paraId="298139D6" w14:textId="77777777" w:rsidR="000B6A05" w:rsidRPr="00AF0CC3" w:rsidRDefault="000B6A05" w:rsidP="000B6A05">
      <w:pPr>
        <w:spacing w:line="360" w:lineRule="auto"/>
        <w:rPr>
          <w:rFonts w:ascii="Times New Roman" w:hAnsi="Times New Roman" w:cs="Times New Roman"/>
          <w:color w:val="000000" w:themeColor="text1"/>
        </w:rPr>
      </w:pPr>
    </w:p>
    <w:p w14:paraId="5D9497D0" w14:textId="77777777" w:rsidR="000B6A05" w:rsidRPr="00AF0CC3" w:rsidRDefault="000B6A05" w:rsidP="000B6A05">
      <w:pPr>
        <w:spacing w:line="360" w:lineRule="auto"/>
        <w:rPr>
          <w:rFonts w:ascii="Times New Roman" w:hAnsi="Times New Roman" w:cs="Times New Roman"/>
          <w:color w:val="000000" w:themeColor="text1"/>
        </w:rPr>
      </w:pPr>
      <w:r w:rsidRPr="00AF0CC3">
        <w:rPr>
          <w:rFonts w:ascii="Times New Roman" w:hAnsi="Times New Roman" w:cs="Times New Roman"/>
          <w:color w:val="000000" w:themeColor="text1"/>
        </w:rPr>
        <w:t>The positivist approach used in this study does not assume that institutional processes are entirely deterministic. Governance dynamics are still affected by broader political and environmental factors. However, by focusing on measurable institutional practices—such as procurement transparency, contract management discipline, and oversight responsiveness. The study aims to identify consistent patterns connecting governance quality to project outcomes.</w:t>
      </w:r>
    </w:p>
    <w:p w14:paraId="2890F4EF" w14:textId="77777777" w:rsidR="000B6A05" w:rsidRPr="00AF0CC3" w:rsidRDefault="000B6A05" w:rsidP="000B6A05">
      <w:pPr>
        <w:spacing w:line="360" w:lineRule="auto"/>
        <w:rPr>
          <w:rFonts w:ascii="Times New Roman" w:hAnsi="Times New Roman" w:cs="Times New Roman"/>
          <w:color w:val="000000" w:themeColor="text1"/>
        </w:rPr>
      </w:pPr>
    </w:p>
    <w:p w14:paraId="5C113DA7" w14:textId="44564210" w:rsidR="000B6A05" w:rsidRPr="00AF0CC3" w:rsidRDefault="000B6A05" w:rsidP="008A5815">
      <w:pPr>
        <w:pStyle w:val="Heading2"/>
        <w:rPr>
          <w:rFonts w:cs="Times New Roman"/>
          <w:color w:val="000000" w:themeColor="text1"/>
          <w:szCs w:val="24"/>
        </w:rPr>
      </w:pPr>
      <w:bookmarkStart w:id="232" w:name="_Toc230209530"/>
      <w:bookmarkStart w:id="233" w:name="_Toc234344810"/>
      <w:bookmarkStart w:id="234" w:name="_Toc234489042"/>
      <w:r w:rsidRPr="00AF0CC3">
        <w:rPr>
          <w:rFonts w:cs="Times New Roman"/>
          <w:color w:val="000000" w:themeColor="text1"/>
          <w:szCs w:val="24"/>
        </w:rPr>
        <w:t>Research Design</w:t>
      </w:r>
      <w:bookmarkEnd w:id="232"/>
      <w:bookmarkEnd w:id="233"/>
      <w:bookmarkEnd w:id="234"/>
    </w:p>
    <w:p w14:paraId="1C771ECA" w14:textId="77777777" w:rsidR="000B6A05" w:rsidRPr="00AF0CC3" w:rsidRDefault="000B6A05" w:rsidP="000B6A05">
      <w:pPr>
        <w:spacing w:line="360" w:lineRule="auto"/>
        <w:rPr>
          <w:rFonts w:ascii="Times New Roman" w:hAnsi="Times New Roman" w:cs="Times New Roman"/>
          <w:color w:val="000000" w:themeColor="text1"/>
        </w:rPr>
      </w:pPr>
      <w:r w:rsidRPr="00AF0CC3">
        <w:rPr>
          <w:rFonts w:ascii="Times New Roman" w:hAnsi="Times New Roman" w:cs="Times New Roman"/>
          <w:color w:val="000000" w:themeColor="text1"/>
        </w:rPr>
        <w:t>This section describes the overall research design and explains how a cross-sectional, project-level approach enables systematic comparison of governance practices and infrastructure outcomes.</w:t>
      </w:r>
    </w:p>
    <w:p w14:paraId="20E4ED2C" w14:textId="77777777" w:rsidR="000B6A05" w:rsidRPr="00AF0CC3" w:rsidRDefault="000B6A05" w:rsidP="000B6A05">
      <w:pPr>
        <w:spacing w:line="360" w:lineRule="auto"/>
        <w:rPr>
          <w:rFonts w:ascii="Times New Roman" w:hAnsi="Times New Roman" w:cs="Times New Roman"/>
          <w:color w:val="000000" w:themeColor="text1"/>
        </w:rPr>
      </w:pPr>
      <w:r w:rsidRPr="00AF0CC3">
        <w:rPr>
          <w:rFonts w:ascii="Times New Roman" w:hAnsi="Times New Roman" w:cs="Times New Roman"/>
          <w:color w:val="000000" w:themeColor="text1"/>
        </w:rPr>
        <w:t>The study adopts a quantitative cross-sectional comparative research design based on project-level observations. This design examines how governance arrangements affect infrastructure delivery outcomes. The unit of analysis is each individual infrastructure project, allowing systematic comparison across projects built under similar national institutional conditions. By comparing projects within the same institutional environment, the design helps identify patterns in governance performance while accounting for broader sectoral and regulatory factors (Gerring, 2017). The cross-sectional dataset enables empirical evaluation of how variation in project-level governance practices relates to variations in delivery outcomes such as delays, cost overruns, and project stalls.</w:t>
      </w:r>
    </w:p>
    <w:p w14:paraId="096B76E5" w14:textId="77777777" w:rsidR="000B6A05" w:rsidRPr="00AF0CC3" w:rsidRDefault="000B6A05" w:rsidP="000B6A05">
      <w:pPr>
        <w:spacing w:line="360" w:lineRule="auto"/>
        <w:rPr>
          <w:rFonts w:ascii="Times New Roman" w:hAnsi="Times New Roman" w:cs="Times New Roman"/>
          <w:color w:val="000000" w:themeColor="text1"/>
        </w:rPr>
      </w:pPr>
      <w:r w:rsidRPr="00AF0CC3">
        <w:rPr>
          <w:rFonts w:ascii="Times New Roman" w:hAnsi="Times New Roman" w:cs="Times New Roman"/>
          <w:color w:val="000000" w:themeColor="text1"/>
        </w:rPr>
        <w:t>Infrastructure project datasets are increasingly used in empirical governance research because they provide a direct view of how institutional arrangements operate in practice. Studies of megaproject performance have shown that systematic patterns of cost overruns and implementation delays can be identified using project-level data (Flyvbjerg, 2014). However, most existing datasets mainly focus on financial or scheduling outcomes, offering limited insight into the governance processes that affect project performance.</w:t>
      </w:r>
    </w:p>
    <w:p w14:paraId="7ABCF4B9" w14:textId="77777777" w:rsidR="000B6A05" w:rsidRPr="00AF0CC3" w:rsidRDefault="000B6A05" w:rsidP="000B6A05">
      <w:pPr>
        <w:spacing w:line="360" w:lineRule="auto"/>
        <w:rPr>
          <w:rFonts w:ascii="Times New Roman" w:hAnsi="Times New Roman" w:cs="Times New Roman"/>
          <w:color w:val="000000" w:themeColor="text1"/>
        </w:rPr>
      </w:pPr>
      <w:r w:rsidRPr="00AF0CC3">
        <w:rPr>
          <w:rFonts w:ascii="Times New Roman" w:hAnsi="Times New Roman" w:cs="Times New Roman"/>
          <w:color w:val="000000" w:themeColor="text1"/>
        </w:rPr>
        <w:lastRenderedPageBreak/>
        <w:t>For example, large-scale projects like the Arror and Kimwarer dams show how differences in governance can result in varied project outcomes within the same country.</w:t>
      </w:r>
    </w:p>
    <w:p w14:paraId="3E054CA0" w14:textId="77777777" w:rsidR="000B6A05" w:rsidRPr="00AF0CC3" w:rsidRDefault="000B6A05" w:rsidP="000B6A05">
      <w:pPr>
        <w:spacing w:line="360" w:lineRule="auto"/>
        <w:rPr>
          <w:rFonts w:ascii="Times New Roman" w:hAnsi="Times New Roman" w:cs="Times New Roman"/>
          <w:color w:val="000000" w:themeColor="text1"/>
        </w:rPr>
      </w:pPr>
      <w:r w:rsidRPr="00AF0CC3">
        <w:rPr>
          <w:rFonts w:ascii="Times New Roman" w:hAnsi="Times New Roman" w:cs="Times New Roman"/>
          <w:color w:val="000000" w:themeColor="text1"/>
        </w:rPr>
        <w:t>This study expands existing methods by incorporating governance indicators from project documentation, oversight reports, and implementation records. By applying governance practices at the project level, the research goes beyond national governance indicators to examine how institutional arrangements influence project directions.</w:t>
      </w:r>
    </w:p>
    <w:p w14:paraId="6C5973DC" w14:textId="77777777" w:rsidR="000B6A05" w:rsidRPr="00AF0CC3" w:rsidRDefault="000B6A05" w:rsidP="000B6A05">
      <w:pPr>
        <w:spacing w:line="360" w:lineRule="auto"/>
        <w:rPr>
          <w:rFonts w:ascii="Times New Roman" w:hAnsi="Times New Roman" w:cs="Times New Roman"/>
          <w:color w:val="000000" w:themeColor="text1"/>
        </w:rPr>
      </w:pPr>
    </w:p>
    <w:p w14:paraId="3EBEA1AE" w14:textId="77777777" w:rsidR="000B6A05" w:rsidRPr="00AF0CC3" w:rsidRDefault="000B6A05" w:rsidP="000B6A05">
      <w:pPr>
        <w:spacing w:line="360" w:lineRule="auto"/>
        <w:rPr>
          <w:rFonts w:ascii="Times New Roman" w:hAnsi="Times New Roman" w:cs="Times New Roman"/>
          <w:color w:val="000000" w:themeColor="text1"/>
        </w:rPr>
      </w:pPr>
      <w:r w:rsidRPr="00AF0CC3">
        <w:rPr>
          <w:rFonts w:ascii="Times New Roman" w:hAnsi="Times New Roman" w:cs="Times New Roman"/>
          <w:color w:val="000000" w:themeColor="text1"/>
        </w:rPr>
        <w:t>The research design adheres to established principles of quantitative social science research, emphasizing transparency in variable measurement, replicability of empirical analysis, and careful model specification (Creswell &amp; Creswell, 2018; King, Keohane &amp; Verba, 1994). The design, therefore, focuses on systematic comparison across cases to identify patterns linking governance practices to infrastructure delivery outcomes (De Vaus, 2014).</w:t>
      </w:r>
    </w:p>
    <w:p w14:paraId="324D5346" w14:textId="77777777" w:rsidR="000B6A05" w:rsidRPr="00AF0CC3" w:rsidRDefault="000B6A05" w:rsidP="000B6A05">
      <w:pPr>
        <w:spacing w:line="360" w:lineRule="auto"/>
        <w:rPr>
          <w:rFonts w:ascii="Times New Roman" w:hAnsi="Times New Roman" w:cs="Times New Roman"/>
          <w:color w:val="000000" w:themeColor="text1"/>
        </w:rPr>
      </w:pPr>
      <w:r w:rsidRPr="00AF0CC3">
        <w:rPr>
          <w:rFonts w:ascii="Times New Roman" w:hAnsi="Times New Roman" w:cs="Times New Roman"/>
          <w:color w:val="000000" w:themeColor="text1"/>
        </w:rPr>
        <w:t>By emphasizing project-level governance features, the study uncovers institutional differences that are often concealed in macro-level analyses.</w:t>
      </w:r>
    </w:p>
    <w:p w14:paraId="5B806DB5" w14:textId="77777777" w:rsidR="000B6A05" w:rsidRPr="00AF0CC3" w:rsidRDefault="000B6A05" w:rsidP="000B6A05">
      <w:pPr>
        <w:spacing w:line="360" w:lineRule="auto"/>
        <w:rPr>
          <w:rFonts w:ascii="Times New Roman" w:hAnsi="Times New Roman" w:cs="Times New Roman"/>
          <w:b/>
          <w:bCs/>
          <w:color w:val="000000" w:themeColor="text1"/>
        </w:rPr>
      </w:pPr>
    </w:p>
    <w:p w14:paraId="68FDAB51" w14:textId="0974D059" w:rsidR="000B6A05" w:rsidRPr="00AF0CC3" w:rsidRDefault="000B6A05" w:rsidP="008A5815">
      <w:pPr>
        <w:pStyle w:val="Heading3"/>
        <w:rPr>
          <w:rFonts w:cs="Times New Roman"/>
          <w:color w:val="000000" w:themeColor="text1"/>
          <w:szCs w:val="24"/>
        </w:rPr>
      </w:pPr>
      <w:bookmarkStart w:id="235" w:name="_Toc230209531"/>
      <w:bookmarkStart w:id="236" w:name="_Toc234344811"/>
      <w:bookmarkStart w:id="237" w:name="_Toc234489043"/>
      <w:r w:rsidRPr="00AF0CC3">
        <w:rPr>
          <w:rFonts w:cs="Times New Roman"/>
          <w:color w:val="000000" w:themeColor="text1"/>
          <w:szCs w:val="24"/>
        </w:rPr>
        <w:t>Study Context and Project Dataset</w:t>
      </w:r>
      <w:bookmarkEnd w:id="235"/>
      <w:bookmarkEnd w:id="236"/>
      <w:bookmarkEnd w:id="237"/>
    </w:p>
    <w:p w14:paraId="66A23836" w14:textId="77777777" w:rsidR="000B6A05" w:rsidRPr="00AF0CC3" w:rsidRDefault="000B6A05" w:rsidP="000B6A05">
      <w:pPr>
        <w:spacing w:line="360" w:lineRule="auto"/>
        <w:rPr>
          <w:rFonts w:ascii="Times New Roman" w:hAnsi="Times New Roman" w:cs="Times New Roman"/>
          <w:color w:val="000000" w:themeColor="text1"/>
        </w:rPr>
      </w:pPr>
    </w:p>
    <w:p w14:paraId="78535E22" w14:textId="77777777" w:rsidR="000B6A05" w:rsidRPr="00AF0CC3" w:rsidRDefault="000B6A05" w:rsidP="000B6A05">
      <w:pPr>
        <w:spacing w:line="360" w:lineRule="auto"/>
        <w:rPr>
          <w:rFonts w:ascii="Times New Roman" w:hAnsi="Times New Roman" w:cs="Times New Roman"/>
          <w:color w:val="000000" w:themeColor="text1"/>
        </w:rPr>
      </w:pPr>
      <w:r w:rsidRPr="00AF0CC3">
        <w:rPr>
          <w:rFonts w:ascii="Times New Roman" w:hAnsi="Times New Roman" w:cs="Times New Roman"/>
          <w:color w:val="000000" w:themeColor="text1"/>
        </w:rPr>
        <w:t>Kenya offers a valuable setting for analyzing governance and infrastructure outcomes in the water sector. Besides the practical availability of project-level documentation, Kenya is a key case for studying infrastructure governance amid institutional complexity and environmental stress. The country features significant public and donor-funded investment in water infrastructure, a decentralized governance system with multiple implementing and oversight actors, and high vulnerability to climate variability, including recurring droughts and localized flooding.</w:t>
      </w:r>
    </w:p>
    <w:p w14:paraId="314F3B7C" w14:textId="77777777" w:rsidR="000B6A05" w:rsidRPr="00AF0CC3" w:rsidRDefault="000B6A05" w:rsidP="000B6A05">
      <w:pPr>
        <w:spacing w:line="360" w:lineRule="auto"/>
        <w:rPr>
          <w:rFonts w:ascii="Times New Roman" w:hAnsi="Times New Roman" w:cs="Times New Roman"/>
          <w:color w:val="000000" w:themeColor="text1"/>
        </w:rPr>
      </w:pPr>
    </w:p>
    <w:p w14:paraId="47A9C4B6" w14:textId="77777777" w:rsidR="000B6A05" w:rsidRPr="00AF0CC3" w:rsidRDefault="000B6A05" w:rsidP="000B6A05">
      <w:pPr>
        <w:spacing w:line="360" w:lineRule="auto"/>
        <w:rPr>
          <w:rFonts w:ascii="Times New Roman" w:hAnsi="Times New Roman" w:cs="Times New Roman"/>
          <w:color w:val="000000" w:themeColor="text1"/>
        </w:rPr>
      </w:pPr>
      <w:r w:rsidRPr="00AF0CC3">
        <w:rPr>
          <w:rFonts w:ascii="Times New Roman" w:hAnsi="Times New Roman" w:cs="Times New Roman"/>
          <w:color w:val="000000" w:themeColor="text1"/>
        </w:rPr>
        <w:t xml:space="preserve">This combination creates strong conditions for observing how governance arrangements influence project performance across similar infrastructure investments. In accordance with Gerring’s concept of analytically informative cases, Kenya allows the study of governance </w:t>
      </w:r>
      <w:r w:rsidRPr="00AF0CC3">
        <w:rPr>
          <w:rFonts w:ascii="Times New Roman" w:hAnsi="Times New Roman" w:cs="Times New Roman"/>
          <w:color w:val="000000" w:themeColor="text1"/>
        </w:rPr>
        <w:lastRenderedPageBreak/>
        <w:t>variation in a context where decentralization, sectoral fragmentation, and climate risk are expected to increase differences in project outcomes. The resulting dataset, therefore, supports structured comparison across projects operating within a shared national policy and institutional environment.</w:t>
      </w:r>
    </w:p>
    <w:p w14:paraId="56EC4A97" w14:textId="77777777" w:rsidR="000B6A05" w:rsidRPr="00AF0CC3" w:rsidRDefault="000B6A05" w:rsidP="000B6A05">
      <w:pPr>
        <w:spacing w:line="360" w:lineRule="auto"/>
        <w:rPr>
          <w:rFonts w:ascii="Times New Roman" w:hAnsi="Times New Roman" w:cs="Times New Roman"/>
          <w:color w:val="000000" w:themeColor="text1"/>
        </w:rPr>
      </w:pPr>
    </w:p>
    <w:p w14:paraId="41F65FD7" w14:textId="77777777" w:rsidR="000B6A05" w:rsidRPr="00AF0CC3" w:rsidRDefault="000B6A05" w:rsidP="000B6A05">
      <w:pPr>
        <w:spacing w:line="360" w:lineRule="auto"/>
        <w:rPr>
          <w:rFonts w:ascii="Times New Roman" w:hAnsi="Times New Roman" w:cs="Times New Roman"/>
          <w:color w:val="000000" w:themeColor="text1"/>
        </w:rPr>
      </w:pPr>
      <w:r w:rsidRPr="00AF0CC3">
        <w:rPr>
          <w:rFonts w:ascii="Times New Roman" w:hAnsi="Times New Roman" w:cs="Times New Roman"/>
          <w:color w:val="000000" w:themeColor="text1"/>
        </w:rPr>
        <w:t>At the same time, Kenya’s infrastructure sector faces ongoing implementation challenges, such as delays, rising costs, and stalled projects. Evidence from national oversight agencies and development partners shows that many public investment projects are disrupted by procurement problems, funding shortages, land acquisition issues, and poor coordination. Parliamentary and audit reports have highlighted cases where infrastructure projects remained idle for extended periods while accruing significant sunk costs, indicating systemic issues in project planning and execution.</w:t>
      </w:r>
    </w:p>
    <w:p w14:paraId="23C7A4E8" w14:textId="77777777" w:rsidR="000B6A05" w:rsidRPr="00AF0CC3" w:rsidRDefault="000B6A05" w:rsidP="000B6A05">
      <w:pPr>
        <w:spacing w:line="360" w:lineRule="auto"/>
        <w:rPr>
          <w:rFonts w:ascii="Times New Roman" w:hAnsi="Times New Roman" w:cs="Times New Roman"/>
          <w:color w:val="000000" w:themeColor="text1"/>
        </w:rPr>
      </w:pPr>
    </w:p>
    <w:p w14:paraId="3D0E1E0A" w14:textId="77777777" w:rsidR="000B6A05" w:rsidRPr="00AF0CC3" w:rsidRDefault="000B6A05" w:rsidP="000B6A05">
      <w:pPr>
        <w:spacing w:line="360" w:lineRule="auto"/>
        <w:rPr>
          <w:rFonts w:ascii="Times New Roman" w:hAnsi="Times New Roman" w:cs="Times New Roman"/>
          <w:color w:val="000000" w:themeColor="text1"/>
        </w:rPr>
      </w:pPr>
      <w:r w:rsidRPr="00AF0CC3">
        <w:rPr>
          <w:rFonts w:ascii="Times New Roman" w:hAnsi="Times New Roman" w:cs="Times New Roman"/>
          <w:color w:val="000000" w:themeColor="text1"/>
        </w:rPr>
        <w:t>From a development finance perspective, these patterns align with broader findings on public investment management in Kenya. World Bank assessments highlight ongoing challenges in converting capital expenditure into completed, functional infrastructure, including bottlenecks in procurement, weak contract management, and institutional fragmentation among implementing agencies (World Bank, 2018). These issues contribute to delays and incomplete projects, reducing the efficiency of public spending and increasing the risk of project stalling.</w:t>
      </w:r>
    </w:p>
    <w:p w14:paraId="61A34397" w14:textId="77777777" w:rsidR="000B6A05" w:rsidRPr="00AF0CC3" w:rsidRDefault="000B6A05" w:rsidP="000B6A05">
      <w:pPr>
        <w:spacing w:line="360" w:lineRule="auto"/>
        <w:rPr>
          <w:rFonts w:ascii="Times New Roman" w:hAnsi="Times New Roman" w:cs="Times New Roman"/>
          <w:color w:val="000000" w:themeColor="text1"/>
        </w:rPr>
      </w:pPr>
    </w:p>
    <w:p w14:paraId="4F64EF84" w14:textId="77777777" w:rsidR="000B6A05" w:rsidRPr="00AF0CC3" w:rsidRDefault="000B6A05" w:rsidP="000B6A05">
      <w:pPr>
        <w:spacing w:line="360" w:lineRule="auto"/>
        <w:rPr>
          <w:rFonts w:ascii="Times New Roman" w:hAnsi="Times New Roman" w:cs="Times New Roman"/>
          <w:color w:val="000000" w:themeColor="text1"/>
        </w:rPr>
      </w:pPr>
      <w:r w:rsidRPr="00AF0CC3">
        <w:rPr>
          <w:rFonts w:ascii="Times New Roman" w:hAnsi="Times New Roman" w:cs="Times New Roman"/>
          <w:color w:val="000000" w:themeColor="text1"/>
        </w:rPr>
        <w:t>Project-level evidence from World Bank–financed operations further demonstrate variation in implementation performance and governance outcomes. For example, the Kenya Water Security and Climate Resilience Project (P117635), a large multi-component investment aimed at strengthening water resource management and climate resilience, experienced delays and restructuring during its lifecycle, although its final outcome was rated Moderately Satisfactory by the World Bank Independent Evaluation Group (IEG). In contrast, the Water and Sanitation Service Improvement Project (WaSSIP, P096367) received a Satisfactory outcome rating, reflecting stronger implementation performance, particularly in urban water service delivery components.</w:t>
      </w:r>
    </w:p>
    <w:p w14:paraId="6E4577DD" w14:textId="77777777" w:rsidR="000B6A05" w:rsidRPr="00AF0CC3" w:rsidRDefault="000B6A05" w:rsidP="000B6A05">
      <w:pPr>
        <w:spacing w:line="360" w:lineRule="auto"/>
        <w:rPr>
          <w:rFonts w:ascii="Times New Roman" w:hAnsi="Times New Roman" w:cs="Times New Roman"/>
          <w:color w:val="000000" w:themeColor="text1"/>
        </w:rPr>
      </w:pPr>
    </w:p>
    <w:p w14:paraId="7A143C1D" w14:textId="77777777" w:rsidR="000B6A05" w:rsidRPr="00AF0CC3" w:rsidRDefault="000B6A05" w:rsidP="000B6A05">
      <w:pPr>
        <w:spacing w:line="360" w:lineRule="auto"/>
        <w:rPr>
          <w:rFonts w:ascii="Times New Roman" w:hAnsi="Times New Roman" w:cs="Times New Roman"/>
          <w:color w:val="000000" w:themeColor="text1"/>
        </w:rPr>
      </w:pPr>
      <w:r w:rsidRPr="00AF0CC3">
        <w:rPr>
          <w:rFonts w:ascii="Times New Roman" w:hAnsi="Times New Roman" w:cs="Times New Roman"/>
          <w:color w:val="000000" w:themeColor="text1"/>
        </w:rPr>
        <w:t>These examples illustrate the variation in project performance even within a shared national and sectoral context, indicating that differences in governance quality and implementation processes could significantly influence outcomes. They also show that project delays and implementation issues are not isolated problems but part of broader institutional dynamics that affect infrastructure delivery.</w:t>
      </w:r>
    </w:p>
    <w:p w14:paraId="755314DA" w14:textId="77777777" w:rsidR="000B6A05" w:rsidRPr="00AF0CC3" w:rsidRDefault="000B6A05" w:rsidP="000B6A05">
      <w:pPr>
        <w:spacing w:line="360" w:lineRule="auto"/>
        <w:rPr>
          <w:rFonts w:ascii="Times New Roman" w:hAnsi="Times New Roman" w:cs="Times New Roman"/>
          <w:color w:val="000000" w:themeColor="text1"/>
        </w:rPr>
      </w:pPr>
    </w:p>
    <w:p w14:paraId="0F53D3D4" w14:textId="77777777" w:rsidR="000B6A05" w:rsidRPr="00AF0CC3" w:rsidRDefault="000B6A05" w:rsidP="000B6A05">
      <w:pPr>
        <w:spacing w:line="360" w:lineRule="auto"/>
        <w:rPr>
          <w:rFonts w:ascii="Times New Roman" w:hAnsi="Times New Roman" w:cs="Times New Roman"/>
          <w:color w:val="000000" w:themeColor="text1"/>
        </w:rPr>
      </w:pPr>
      <w:r w:rsidRPr="00AF0CC3">
        <w:rPr>
          <w:rFonts w:ascii="Times New Roman" w:hAnsi="Times New Roman" w:cs="Times New Roman"/>
          <w:color w:val="000000" w:themeColor="text1"/>
        </w:rPr>
        <w:t>Overall, this evidence underscores Kenya's importance as a key case for studying the link between governance and infrastructure performance. The presence of high investment levels, documented implementation challenges, and differences in project outcomes provides a solid empirical foundation for exploring how governance quality affects the likelihood of projects stalling, experiencing delays, or incurring escalating costs. Focusing on this setting enables the study to yield insights that are both academically meaningful and practically relevant to development finance and infrastructure governance.</w:t>
      </w:r>
    </w:p>
    <w:p w14:paraId="1DF21D65" w14:textId="77777777" w:rsidR="000B6A05" w:rsidRPr="00AF0CC3" w:rsidRDefault="000B6A05" w:rsidP="000B6A05">
      <w:pPr>
        <w:spacing w:line="360" w:lineRule="auto"/>
        <w:rPr>
          <w:rFonts w:ascii="Times New Roman" w:hAnsi="Times New Roman" w:cs="Times New Roman"/>
          <w:color w:val="000000" w:themeColor="text1"/>
        </w:rPr>
      </w:pPr>
      <w:r w:rsidRPr="00AF0CC3">
        <w:rPr>
          <w:rFonts w:ascii="Times New Roman" w:hAnsi="Times New Roman" w:cs="Times New Roman"/>
          <w:color w:val="000000" w:themeColor="text1"/>
        </w:rPr>
        <w:t>The dataset includes projects related to:</w:t>
      </w:r>
    </w:p>
    <w:p w14:paraId="6C5E7A10" w14:textId="77777777" w:rsidR="000B6A05" w:rsidRPr="00AF0CC3" w:rsidRDefault="000B6A05" w:rsidP="000B6A05">
      <w:pPr>
        <w:spacing w:line="360" w:lineRule="auto"/>
        <w:rPr>
          <w:rFonts w:ascii="Times New Roman" w:hAnsi="Times New Roman" w:cs="Times New Roman"/>
          <w:color w:val="000000" w:themeColor="text1"/>
        </w:rPr>
      </w:pPr>
    </w:p>
    <w:p w14:paraId="7F7DB7DD" w14:textId="77777777" w:rsidR="000B6A05" w:rsidRPr="00AF0CC3" w:rsidRDefault="000B6A05" w:rsidP="000B6A05">
      <w:pPr>
        <w:pStyle w:val="ListParagraph"/>
        <w:numPr>
          <w:ilvl w:val="0"/>
          <w:numId w:val="11"/>
        </w:numPr>
        <w:spacing w:line="360" w:lineRule="auto"/>
        <w:rPr>
          <w:rFonts w:ascii="Times New Roman" w:hAnsi="Times New Roman" w:cs="Times New Roman"/>
          <w:color w:val="000000" w:themeColor="text1"/>
        </w:rPr>
      </w:pPr>
      <w:r w:rsidRPr="00AF0CC3">
        <w:rPr>
          <w:rFonts w:ascii="Times New Roman" w:hAnsi="Times New Roman" w:cs="Times New Roman"/>
          <w:color w:val="000000" w:themeColor="text1"/>
        </w:rPr>
        <w:t>Water supply systems</w:t>
      </w:r>
    </w:p>
    <w:p w14:paraId="15038376" w14:textId="77777777" w:rsidR="000B6A05" w:rsidRPr="00AF0CC3" w:rsidRDefault="000B6A05" w:rsidP="000B6A05">
      <w:pPr>
        <w:spacing w:line="360" w:lineRule="auto"/>
        <w:rPr>
          <w:rFonts w:ascii="Times New Roman" w:hAnsi="Times New Roman" w:cs="Times New Roman"/>
          <w:color w:val="000000" w:themeColor="text1"/>
        </w:rPr>
      </w:pPr>
    </w:p>
    <w:p w14:paraId="42D7082E" w14:textId="77777777" w:rsidR="000B6A05" w:rsidRPr="00AF0CC3" w:rsidRDefault="000B6A05" w:rsidP="000B6A05">
      <w:pPr>
        <w:pStyle w:val="ListParagraph"/>
        <w:numPr>
          <w:ilvl w:val="0"/>
          <w:numId w:val="11"/>
        </w:numPr>
        <w:spacing w:line="360" w:lineRule="auto"/>
        <w:rPr>
          <w:rFonts w:ascii="Times New Roman" w:hAnsi="Times New Roman" w:cs="Times New Roman"/>
          <w:color w:val="000000" w:themeColor="text1"/>
        </w:rPr>
      </w:pPr>
      <w:r w:rsidRPr="00AF0CC3">
        <w:rPr>
          <w:rFonts w:ascii="Times New Roman" w:hAnsi="Times New Roman" w:cs="Times New Roman"/>
          <w:color w:val="000000" w:themeColor="text1"/>
        </w:rPr>
        <w:t>Irrigation infrastructure</w:t>
      </w:r>
    </w:p>
    <w:p w14:paraId="4E619D09" w14:textId="77777777" w:rsidR="000B6A05" w:rsidRPr="00AF0CC3" w:rsidRDefault="000B6A05" w:rsidP="000B6A05">
      <w:pPr>
        <w:spacing w:line="360" w:lineRule="auto"/>
        <w:rPr>
          <w:rFonts w:ascii="Times New Roman" w:hAnsi="Times New Roman" w:cs="Times New Roman"/>
          <w:color w:val="000000" w:themeColor="text1"/>
        </w:rPr>
      </w:pPr>
    </w:p>
    <w:p w14:paraId="11D23152" w14:textId="77777777" w:rsidR="000B6A05" w:rsidRPr="00AF0CC3" w:rsidRDefault="000B6A05" w:rsidP="000B6A05">
      <w:pPr>
        <w:pStyle w:val="ListParagraph"/>
        <w:numPr>
          <w:ilvl w:val="0"/>
          <w:numId w:val="11"/>
        </w:numPr>
        <w:spacing w:line="360" w:lineRule="auto"/>
        <w:rPr>
          <w:rFonts w:ascii="Times New Roman" w:hAnsi="Times New Roman" w:cs="Times New Roman"/>
          <w:color w:val="000000" w:themeColor="text1"/>
        </w:rPr>
      </w:pPr>
      <w:r w:rsidRPr="00AF0CC3">
        <w:rPr>
          <w:rFonts w:ascii="Times New Roman" w:hAnsi="Times New Roman" w:cs="Times New Roman"/>
          <w:color w:val="000000" w:themeColor="text1"/>
        </w:rPr>
        <w:t>Dams and water storage facilities</w:t>
      </w:r>
    </w:p>
    <w:p w14:paraId="47BAE277" w14:textId="77777777" w:rsidR="000B6A05" w:rsidRPr="00AF0CC3" w:rsidRDefault="000B6A05" w:rsidP="000B6A05">
      <w:pPr>
        <w:spacing w:line="360" w:lineRule="auto"/>
        <w:rPr>
          <w:rFonts w:ascii="Times New Roman" w:hAnsi="Times New Roman" w:cs="Times New Roman"/>
          <w:color w:val="000000" w:themeColor="text1"/>
        </w:rPr>
      </w:pPr>
    </w:p>
    <w:p w14:paraId="678EDA9A" w14:textId="77777777" w:rsidR="000B6A05" w:rsidRPr="00AF0CC3" w:rsidRDefault="000B6A05" w:rsidP="000B6A05">
      <w:pPr>
        <w:pStyle w:val="ListParagraph"/>
        <w:numPr>
          <w:ilvl w:val="0"/>
          <w:numId w:val="11"/>
        </w:numPr>
        <w:spacing w:line="360" w:lineRule="auto"/>
        <w:rPr>
          <w:rFonts w:ascii="Times New Roman" w:hAnsi="Times New Roman" w:cs="Times New Roman"/>
          <w:color w:val="000000" w:themeColor="text1"/>
        </w:rPr>
      </w:pPr>
      <w:r w:rsidRPr="00AF0CC3">
        <w:rPr>
          <w:rFonts w:ascii="Times New Roman" w:hAnsi="Times New Roman" w:cs="Times New Roman"/>
          <w:color w:val="000000" w:themeColor="text1"/>
        </w:rPr>
        <w:t>Urban wastewater treatment</w:t>
      </w:r>
    </w:p>
    <w:p w14:paraId="6E652AF2" w14:textId="77777777" w:rsidR="000B6A05" w:rsidRPr="00AF0CC3" w:rsidRDefault="000B6A05" w:rsidP="000B6A05">
      <w:pPr>
        <w:spacing w:line="360" w:lineRule="auto"/>
        <w:rPr>
          <w:rFonts w:ascii="Times New Roman" w:hAnsi="Times New Roman" w:cs="Times New Roman"/>
          <w:color w:val="000000" w:themeColor="text1"/>
        </w:rPr>
      </w:pPr>
    </w:p>
    <w:p w14:paraId="3A2D806C" w14:textId="77777777" w:rsidR="000B6A05" w:rsidRPr="00AF0CC3" w:rsidRDefault="000B6A05" w:rsidP="000B6A05">
      <w:pPr>
        <w:pStyle w:val="ListParagraph"/>
        <w:numPr>
          <w:ilvl w:val="0"/>
          <w:numId w:val="11"/>
        </w:numPr>
        <w:spacing w:line="360" w:lineRule="auto"/>
        <w:rPr>
          <w:rFonts w:ascii="Times New Roman" w:hAnsi="Times New Roman" w:cs="Times New Roman"/>
          <w:color w:val="000000" w:themeColor="text1"/>
        </w:rPr>
      </w:pPr>
      <w:r w:rsidRPr="00AF0CC3">
        <w:rPr>
          <w:rFonts w:ascii="Times New Roman" w:hAnsi="Times New Roman" w:cs="Times New Roman"/>
          <w:color w:val="000000" w:themeColor="text1"/>
        </w:rPr>
        <w:t>Rural water supply systems</w:t>
      </w:r>
    </w:p>
    <w:p w14:paraId="7EA48878" w14:textId="77777777" w:rsidR="000B6A05" w:rsidRPr="00AF0CC3" w:rsidRDefault="000B6A05" w:rsidP="000B6A05">
      <w:pPr>
        <w:spacing w:line="360" w:lineRule="auto"/>
        <w:rPr>
          <w:rFonts w:ascii="Times New Roman" w:hAnsi="Times New Roman" w:cs="Times New Roman"/>
          <w:color w:val="000000" w:themeColor="text1"/>
        </w:rPr>
      </w:pPr>
    </w:p>
    <w:p w14:paraId="0914709D" w14:textId="77777777" w:rsidR="000B6A05" w:rsidRPr="00AF0CC3" w:rsidRDefault="000B6A05" w:rsidP="000B6A05">
      <w:pPr>
        <w:pStyle w:val="ListParagraph"/>
        <w:numPr>
          <w:ilvl w:val="0"/>
          <w:numId w:val="11"/>
        </w:numPr>
        <w:spacing w:line="360" w:lineRule="auto"/>
        <w:rPr>
          <w:rFonts w:ascii="Times New Roman" w:hAnsi="Times New Roman" w:cs="Times New Roman"/>
          <w:color w:val="000000" w:themeColor="text1"/>
        </w:rPr>
      </w:pPr>
      <w:r w:rsidRPr="00AF0CC3">
        <w:rPr>
          <w:rFonts w:ascii="Times New Roman" w:hAnsi="Times New Roman" w:cs="Times New Roman"/>
          <w:color w:val="000000" w:themeColor="text1"/>
        </w:rPr>
        <w:t>Flood management infrastructure.</w:t>
      </w:r>
    </w:p>
    <w:p w14:paraId="7030E4D0" w14:textId="77777777" w:rsidR="000B6A05" w:rsidRPr="00AF0CC3" w:rsidRDefault="000B6A05" w:rsidP="000B6A05">
      <w:pPr>
        <w:spacing w:line="360" w:lineRule="auto"/>
        <w:rPr>
          <w:rFonts w:ascii="Times New Roman" w:hAnsi="Times New Roman" w:cs="Times New Roman"/>
          <w:color w:val="000000" w:themeColor="text1"/>
        </w:rPr>
      </w:pPr>
    </w:p>
    <w:p w14:paraId="1EC6FF18" w14:textId="77777777" w:rsidR="000B6A05" w:rsidRPr="00AF0CC3" w:rsidRDefault="000B6A05" w:rsidP="000B6A05">
      <w:pPr>
        <w:spacing w:line="360" w:lineRule="auto"/>
        <w:rPr>
          <w:rFonts w:ascii="Times New Roman" w:hAnsi="Times New Roman" w:cs="Times New Roman"/>
          <w:color w:val="000000" w:themeColor="text1"/>
        </w:rPr>
      </w:pPr>
      <w:r w:rsidRPr="00AF0CC3">
        <w:rPr>
          <w:rFonts w:ascii="Times New Roman" w:hAnsi="Times New Roman" w:cs="Times New Roman"/>
          <w:color w:val="000000" w:themeColor="text1"/>
        </w:rPr>
        <w:t>Including both urban and rural water infrastructure projects allows the analysis to capture differences in governance across various implementation settings. Urban projects often require complex institutional coordination and financing, while rural projects tend to face resource constraints and decentralized administrative structures.</w:t>
      </w:r>
    </w:p>
    <w:p w14:paraId="5334F530" w14:textId="77777777" w:rsidR="000B6A05" w:rsidRPr="00AF0CC3" w:rsidRDefault="000B6A05" w:rsidP="000B6A05">
      <w:pPr>
        <w:spacing w:line="360" w:lineRule="auto"/>
        <w:rPr>
          <w:rFonts w:ascii="Times New Roman" w:hAnsi="Times New Roman" w:cs="Times New Roman"/>
          <w:color w:val="000000" w:themeColor="text1"/>
        </w:rPr>
      </w:pPr>
    </w:p>
    <w:p w14:paraId="31AF187E" w14:textId="77777777" w:rsidR="000B6A05" w:rsidRPr="00AF0CC3" w:rsidRDefault="000B6A05" w:rsidP="000B6A05">
      <w:pPr>
        <w:spacing w:line="360" w:lineRule="auto"/>
        <w:rPr>
          <w:rFonts w:ascii="Times New Roman" w:hAnsi="Times New Roman" w:cs="Times New Roman"/>
          <w:color w:val="000000" w:themeColor="text1"/>
        </w:rPr>
      </w:pPr>
      <w:r w:rsidRPr="00AF0CC3">
        <w:rPr>
          <w:rFonts w:ascii="Times New Roman" w:hAnsi="Times New Roman" w:cs="Times New Roman"/>
          <w:color w:val="000000" w:themeColor="text1"/>
        </w:rPr>
        <w:t>The dataset includes projects conducted over several years and contains information on planning, procurement, progress, and final outcomes. Project documentation was collected from government infrastructure reports, oversight records, and publicly accessible project documents.</w:t>
      </w:r>
    </w:p>
    <w:p w14:paraId="254B5C63" w14:textId="77777777" w:rsidR="000B6A05" w:rsidRPr="00AF0CC3" w:rsidRDefault="000B6A05" w:rsidP="000B6A05">
      <w:pPr>
        <w:spacing w:line="360" w:lineRule="auto"/>
        <w:rPr>
          <w:rFonts w:ascii="Times New Roman" w:hAnsi="Times New Roman" w:cs="Times New Roman"/>
          <w:color w:val="000000" w:themeColor="text1"/>
        </w:rPr>
      </w:pPr>
    </w:p>
    <w:p w14:paraId="572407CC" w14:textId="77777777" w:rsidR="000B6A05" w:rsidRPr="00AF0CC3" w:rsidRDefault="000B6A05" w:rsidP="000B6A05">
      <w:pPr>
        <w:spacing w:line="360" w:lineRule="auto"/>
        <w:rPr>
          <w:rFonts w:ascii="Times New Roman" w:hAnsi="Times New Roman" w:cs="Times New Roman"/>
          <w:color w:val="000000" w:themeColor="text1"/>
        </w:rPr>
      </w:pPr>
      <w:r w:rsidRPr="00AF0CC3">
        <w:rPr>
          <w:rFonts w:ascii="Times New Roman" w:hAnsi="Times New Roman" w:cs="Times New Roman"/>
          <w:color w:val="000000" w:themeColor="text1"/>
        </w:rPr>
        <w:t>After establishing the research design, the next section explains how governance and performance variables are operationalized for empirical analysis.</w:t>
      </w:r>
    </w:p>
    <w:p w14:paraId="1C4C020A" w14:textId="77777777" w:rsidR="000B6A05" w:rsidRPr="00AF0CC3" w:rsidRDefault="000B6A05" w:rsidP="000B6A05">
      <w:pPr>
        <w:spacing w:line="360" w:lineRule="auto"/>
        <w:rPr>
          <w:rFonts w:ascii="Times New Roman" w:hAnsi="Times New Roman" w:cs="Times New Roman"/>
          <w:color w:val="000000" w:themeColor="text1"/>
        </w:rPr>
      </w:pPr>
    </w:p>
    <w:p w14:paraId="2AF706D0" w14:textId="49622D61" w:rsidR="000B6A05" w:rsidRPr="00AF0CC3" w:rsidRDefault="000B6A05" w:rsidP="008A5815">
      <w:pPr>
        <w:pStyle w:val="Heading2"/>
        <w:rPr>
          <w:rFonts w:cs="Times New Roman"/>
          <w:color w:val="000000" w:themeColor="text1"/>
          <w:szCs w:val="24"/>
        </w:rPr>
      </w:pPr>
      <w:bookmarkStart w:id="238" w:name="_Toc230209532"/>
      <w:bookmarkStart w:id="239" w:name="_Toc234344812"/>
      <w:bookmarkStart w:id="240" w:name="_Toc234489044"/>
      <w:r w:rsidRPr="00AF0CC3">
        <w:rPr>
          <w:rFonts w:cs="Times New Roman"/>
          <w:color w:val="000000" w:themeColor="text1"/>
          <w:szCs w:val="24"/>
        </w:rPr>
        <w:t>Operationalization of Variables</w:t>
      </w:r>
      <w:bookmarkEnd w:id="238"/>
      <w:bookmarkEnd w:id="239"/>
      <w:bookmarkEnd w:id="240"/>
    </w:p>
    <w:p w14:paraId="61CD107C" w14:textId="77777777" w:rsidR="000B6A05" w:rsidRPr="00AF0CC3" w:rsidRDefault="000B6A05" w:rsidP="000B6A05">
      <w:pPr>
        <w:spacing w:line="360" w:lineRule="auto"/>
        <w:rPr>
          <w:rFonts w:ascii="Times New Roman" w:hAnsi="Times New Roman" w:cs="Times New Roman"/>
          <w:color w:val="000000" w:themeColor="text1"/>
        </w:rPr>
      </w:pPr>
      <w:r w:rsidRPr="00AF0CC3">
        <w:rPr>
          <w:rFonts w:ascii="Times New Roman" w:hAnsi="Times New Roman" w:cs="Times New Roman"/>
          <w:color w:val="000000" w:themeColor="text1"/>
        </w:rPr>
        <w:t>This section defines the key variables used in the analysis and explains how governance quality and project outcomes are converted into measurable indicators.</w:t>
      </w:r>
    </w:p>
    <w:p w14:paraId="12FE445C" w14:textId="16E5D438" w:rsidR="000B6A05" w:rsidRPr="00AF0CC3" w:rsidRDefault="000B6A05" w:rsidP="008A5815">
      <w:pPr>
        <w:pStyle w:val="Heading3"/>
        <w:rPr>
          <w:rFonts w:cs="Times New Roman"/>
          <w:color w:val="000000" w:themeColor="text1"/>
          <w:szCs w:val="24"/>
        </w:rPr>
      </w:pPr>
      <w:bookmarkStart w:id="241" w:name="_Toc230209533"/>
      <w:bookmarkStart w:id="242" w:name="_Toc234344813"/>
      <w:bookmarkStart w:id="243" w:name="_Toc234489045"/>
      <w:r w:rsidRPr="00AF0CC3">
        <w:rPr>
          <w:rFonts w:cs="Times New Roman"/>
          <w:color w:val="000000" w:themeColor="text1"/>
          <w:szCs w:val="24"/>
        </w:rPr>
        <w:t>Dependent Variables</w:t>
      </w:r>
      <w:bookmarkEnd w:id="241"/>
      <w:bookmarkEnd w:id="242"/>
      <w:bookmarkEnd w:id="243"/>
    </w:p>
    <w:p w14:paraId="3F9132B2" w14:textId="77777777" w:rsidR="000B6A05" w:rsidRPr="00AF0CC3" w:rsidRDefault="000B6A05" w:rsidP="000B6A05">
      <w:pPr>
        <w:spacing w:line="360" w:lineRule="auto"/>
        <w:rPr>
          <w:rFonts w:ascii="Times New Roman" w:hAnsi="Times New Roman" w:cs="Times New Roman"/>
          <w:color w:val="000000" w:themeColor="text1"/>
        </w:rPr>
      </w:pPr>
      <w:r w:rsidRPr="00AF0CC3">
        <w:rPr>
          <w:rFonts w:ascii="Times New Roman" w:hAnsi="Times New Roman" w:cs="Times New Roman"/>
          <w:color w:val="000000" w:themeColor="text1"/>
        </w:rPr>
        <w:t>The three dependent variables—project stalling, time overrun, and cost overrun—are operationalized in a manner consistent with both the infrastructure literature and the econometric specifications used in the analysis.</w:t>
      </w:r>
    </w:p>
    <w:p w14:paraId="4052B61F" w14:textId="77777777" w:rsidR="000B6A05" w:rsidRPr="00AF0CC3" w:rsidRDefault="000B6A05" w:rsidP="000B6A05">
      <w:pPr>
        <w:spacing w:line="360" w:lineRule="auto"/>
        <w:rPr>
          <w:rFonts w:ascii="Times New Roman" w:hAnsi="Times New Roman" w:cs="Times New Roman"/>
          <w:color w:val="000000" w:themeColor="text1"/>
        </w:rPr>
      </w:pPr>
      <w:r w:rsidRPr="00AF0CC3">
        <w:rPr>
          <w:rFonts w:ascii="Times New Roman" w:hAnsi="Times New Roman" w:cs="Times New Roman"/>
          <w:color w:val="000000" w:themeColor="text1"/>
        </w:rPr>
        <w:t>Three infrastructure performance outcomes are analyzed:</w:t>
      </w:r>
    </w:p>
    <w:p w14:paraId="4021ACD6" w14:textId="77777777" w:rsidR="000B6A05" w:rsidRPr="00AF0CC3" w:rsidRDefault="000B6A05" w:rsidP="000B6A05">
      <w:pPr>
        <w:pStyle w:val="ListParagraph"/>
        <w:numPr>
          <w:ilvl w:val="0"/>
          <w:numId w:val="12"/>
        </w:numPr>
        <w:spacing w:line="360" w:lineRule="auto"/>
        <w:rPr>
          <w:rFonts w:ascii="Times New Roman" w:hAnsi="Times New Roman" w:cs="Times New Roman"/>
          <w:color w:val="000000" w:themeColor="text1"/>
        </w:rPr>
      </w:pPr>
      <w:r w:rsidRPr="00AF0CC3">
        <w:rPr>
          <w:rFonts w:ascii="Times New Roman" w:hAnsi="Times New Roman" w:cs="Times New Roman"/>
          <w:color w:val="000000" w:themeColor="text1"/>
        </w:rPr>
        <w:t>Project Stalling</w:t>
      </w:r>
    </w:p>
    <w:p w14:paraId="66F064F5" w14:textId="77777777" w:rsidR="000B6A05" w:rsidRPr="00AF0CC3" w:rsidRDefault="000B6A05" w:rsidP="000B6A05">
      <w:pPr>
        <w:spacing w:before="100" w:beforeAutospacing="1" w:after="100" w:afterAutospacing="1" w:line="360" w:lineRule="auto"/>
        <w:rPr>
          <w:rFonts w:ascii="Times New Roman" w:eastAsia="Times New Roman" w:hAnsi="Times New Roman" w:cs="Times New Roman"/>
          <w:color w:val="000000" w:themeColor="text1"/>
          <w:kern w:val="0"/>
          <w14:ligatures w14:val="none"/>
        </w:rPr>
      </w:pPr>
      <w:r w:rsidRPr="00AF0CC3">
        <w:rPr>
          <w:rFonts w:ascii="Times New Roman" w:eastAsia="Times New Roman" w:hAnsi="Times New Roman" w:cs="Times New Roman"/>
          <w:color w:val="000000" w:themeColor="text1"/>
          <w:kern w:val="0"/>
          <w14:ligatures w14:val="none"/>
        </w:rPr>
        <w:t xml:space="preserve">Project stalling is defined as a prolonged halt of significant implementation activities for 24 months or more without delivering functional infrastructure services. This threshold is consistent </w:t>
      </w:r>
      <w:r w:rsidRPr="00AF0CC3">
        <w:rPr>
          <w:rFonts w:ascii="Times New Roman" w:eastAsia="Times New Roman" w:hAnsi="Times New Roman" w:cs="Times New Roman"/>
          <w:color w:val="000000" w:themeColor="text1"/>
          <w:kern w:val="0"/>
          <w14:ligatures w14:val="none"/>
        </w:rPr>
        <w:lastRenderedPageBreak/>
        <w:t>with operational benchmarks used in World Bank project performance assessments, in which extended inactivity is treated as an indicator of implementation failure rather than a routine delay (World Bank, 2017; World Bank Independent Evaluation Group, 2020).</w:t>
      </w:r>
    </w:p>
    <w:p w14:paraId="2F5DF554" w14:textId="77777777" w:rsidR="000B6A05" w:rsidRPr="00AF0CC3" w:rsidRDefault="000B6A05" w:rsidP="000B6A05">
      <w:pPr>
        <w:spacing w:before="100" w:beforeAutospacing="1" w:after="100" w:afterAutospacing="1" w:line="360" w:lineRule="auto"/>
        <w:rPr>
          <w:rFonts w:ascii="Times New Roman" w:eastAsia="Times New Roman" w:hAnsi="Times New Roman" w:cs="Times New Roman"/>
          <w:color w:val="000000" w:themeColor="text1"/>
          <w:kern w:val="0"/>
          <w14:ligatures w14:val="none"/>
        </w:rPr>
      </w:pPr>
      <w:r w:rsidRPr="00AF0CC3">
        <w:rPr>
          <w:rFonts w:ascii="Times New Roman" w:eastAsia="Times New Roman" w:hAnsi="Times New Roman" w:cs="Times New Roman"/>
          <w:color w:val="000000" w:themeColor="text1"/>
          <w:kern w:val="0"/>
          <w14:ligatures w14:val="none"/>
        </w:rPr>
        <w:t>For econometric estimation, project stalling is coded as a binary variable:</w:t>
      </w:r>
    </w:p>
    <w:p w14:paraId="429967B0" w14:textId="77777777" w:rsidR="000B6A05" w:rsidRPr="00AF0CC3" w:rsidRDefault="000B6A05" w:rsidP="000B6A05">
      <w:pPr>
        <w:spacing w:after="0" w:line="360" w:lineRule="auto"/>
        <w:rPr>
          <w:rFonts w:ascii="Times New Roman" w:eastAsia="Times New Roman" w:hAnsi="Times New Roman" w:cs="Times New Roman"/>
          <w:color w:val="000000" w:themeColor="text1"/>
          <w:kern w:val="0"/>
          <w14:ligatures w14:val="none"/>
        </w:rPr>
      </w:pPr>
      <m:oMathPara>
        <m:oMath>
          <m:r>
            <w:rPr>
              <w:rFonts w:ascii="Cambria Math" w:eastAsia="Times New Roman" w:hAnsi="Cambria Math" w:cs="Times New Roman"/>
              <w:color w:val="000000" w:themeColor="text1"/>
              <w:kern w:val="0"/>
              <w14:ligatures w14:val="none"/>
            </w:rPr>
            <m:t>Stal</m:t>
          </m:r>
          <m:sSub>
            <m:sSubPr>
              <m:ctrlPr>
                <w:rPr>
                  <w:rFonts w:ascii="Cambria Math" w:eastAsia="Times New Roman" w:hAnsi="Cambria Math" w:cs="Times New Roman"/>
                  <w:color w:val="000000" w:themeColor="text1"/>
                  <w:kern w:val="0"/>
                  <w14:ligatures w14:val="none"/>
                </w:rPr>
              </m:ctrlPr>
            </m:sSubPr>
            <m:e>
              <m:r>
                <w:rPr>
                  <w:rFonts w:ascii="Cambria Math" w:eastAsia="Times New Roman" w:hAnsi="Cambria Math" w:cs="Times New Roman"/>
                  <w:color w:val="000000" w:themeColor="text1"/>
                  <w:kern w:val="0"/>
                  <w14:ligatures w14:val="none"/>
                </w:rPr>
                <m:t>l</m:t>
              </m:r>
            </m:e>
            <m:sub>
              <m:r>
                <w:rPr>
                  <w:rFonts w:ascii="Cambria Math" w:eastAsia="Times New Roman" w:hAnsi="Cambria Math" w:cs="Times New Roman"/>
                  <w:color w:val="000000" w:themeColor="text1"/>
                  <w:kern w:val="0"/>
                  <w14:ligatures w14:val="none"/>
                </w:rPr>
                <m:t>i</m:t>
              </m:r>
            </m:sub>
          </m:sSub>
          <m:r>
            <w:rPr>
              <w:rFonts w:ascii="Cambria Math" w:eastAsia="Times New Roman" w:hAnsi="Cambria Math" w:cs="Times New Roman"/>
              <w:color w:val="000000" w:themeColor="text1"/>
              <w:kern w:val="0"/>
              <w14:ligatures w14:val="none"/>
            </w:rPr>
            <m:t>=</m:t>
          </m:r>
          <m:d>
            <m:dPr>
              <m:begChr m:val="{"/>
              <m:endChr m:val=""/>
              <m:ctrlPr>
                <w:rPr>
                  <w:rFonts w:ascii="Cambria Math" w:eastAsia="Times New Roman" w:hAnsi="Cambria Math" w:cs="Times New Roman"/>
                  <w:color w:val="000000" w:themeColor="text1"/>
                  <w:kern w:val="0"/>
                  <w14:ligatures w14:val="none"/>
                </w:rPr>
              </m:ctrlPr>
            </m:dPr>
            <m:e>
              <m:m>
                <m:mPr>
                  <m:plcHide m:val="1"/>
                  <m:mcs>
                    <m:mc>
                      <m:mcPr>
                        <m:count m:val="2"/>
                        <m:mcJc m:val="center"/>
                      </m:mcPr>
                    </m:mc>
                  </m:mcs>
                  <m:ctrlPr>
                    <w:rPr>
                      <w:rFonts w:ascii="Cambria Math" w:eastAsia="Times New Roman" w:hAnsi="Cambria Math" w:cs="Times New Roman"/>
                      <w:color w:val="000000" w:themeColor="text1"/>
                      <w:kern w:val="0"/>
                      <w14:ligatures w14:val="none"/>
                    </w:rPr>
                  </m:ctrlPr>
                </m:mPr>
                <m:mr>
                  <m:e>
                    <m:r>
                      <w:rPr>
                        <w:rFonts w:ascii="Cambria Math" w:eastAsia="Times New Roman" w:hAnsi="Cambria Math" w:cs="Times New Roman"/>
                        <w:color w:val="000000" w:themeColor="text1"/>
                        <w:kern w:val="0"/>
                        <w14:ligatures w14:val="none"/>
                      </w:rPr>
                      <m:t>1</m:t>
                    </m:r>
                  </m:e>
                  <m:e>
                    <m:r>
                      <m:rPr>
                        <m:nor/>
                      </m:rPr>
                      <w:rPr>
                        <w:rFonts w:ascii="Times New Roman" w:eastAsia="Times New Roman" w:hAnsi="Times New Roman" w:cs="Times New Roman"/>
                        <w:color w:val="000000" w:themeColor="text1"/>
                        <w:kern w:val="0"/>
                        <w14:ligatures w14:val="none"/>
                      </w:rPr>
                      <m:t xml:space="preserve">if project </m:t>
                    </m:r>
                    <m:r>
                      <w:rPr>
                        <w:rFonts w:ascii="Cambria Math" w:eastAsia="Times New Roman" w:hAnsi="Cambria Math" w:cs="Times New Roman"/>
                        <w:color w:val="000000" w:themeColor="text1"/>
                        <w:kern w:val="0"/>
                        <w14:ligatures w14:val="none"/>
                      </w:rPr>
                      <m:t>i</m:t>
                    </m:r>
                    <m:r>
                      <m:rPr>
                        <m:nor/>
                      </m:rPr>
                      <w:rPr>
                        <w:rFonts w:ascii="Times New Roman" w:eastAsia="Times New Roman" w:hAnsi="Times New Roman" w:cs="Times New Roman"/>
                        <w:color w:val="000000" w:themeColor="text1"/>
                        <w:kern w:val="0"/>
                        <w14:ligatures w14:val="none"/>
                      </w:rPr>
                      <m:t xml:space="preserve"> experienced stalling</m:t>
                    </m:r>
                  </m:e>
                </m:mr>
                <m:mr>
                  <m:e>
                    <m:r>
                      <w:rPr>
                        <w:rFonts w:ascii="Cambria Math" w:eastAsia="Times New Roman" w:hAnsi="Cambria Math" w:cs="Times New Roman"/>
                        <w:color w:val="000000" w:themeColor="text1"/>
                        <w:kern w:val="0"/>
                        <w14:ligatures w14:val="none"/>
                      </w:rPr>
                      <m:t>0</m:t>
                    </m:r>
                  </m:e>
                  <m:e>
                    <m:r>
                      <m:rPr>
                        <m:nor/>
                      </m:rPr>
                      <w:rPr>
                        <w:rFonts w:ascii="Times New Roman" w:eastAsia="Times New Roman" w:hAnsi="Times New Roman" w:cs="Times New Roman"/>
                        <w:color w:val="000000" w:themeColor="text1"/>
                        <w:kern w:val="0"/>
                        <w14:ligatures w14:val="none"/>
                      </w:rPr>
                      <m:t>otherwise</m:t>
                    </m:r>
                  </m:e>
                </m:mr>
              </m:m>
            </m:e>
          </m:d>
          <m:r>
            <m:rPr>
              <m:sty m:val="p"/>
            </m:rPr>
            <w:rPr>
              <w:rFonts w:ascii="Cambria Math" w:eastAsia="Times New Roman" w:hAnsi="Cambria Math" w:cs="Times New Roman"/>
              <w:color w:val="000000" w:themeColor="text1"/>
              <w:kern w:val="0"/>
              <w14:ligatures w14:val="none"/>
            </w:rPr>
            <w:br/>
          </m:r>
        </m:oMath>
      </m:oMathPara>
    </w:p>
    <w:p w14:paraId="122BB26B" w14:textId="77777777" w:rsidR="000B6A05" w:rsidRPr="00AF0CC3" w:rsidRDefault="000B6A05" w:rsidP="000B6A05">
      <w:pPr>
        <w:spacing w:line="360" w:lineRule="auto"/>
        <w:rPr>
          <w:rFonts w:ascii="Times New Roman" w:eastAsia="Times New Roman" w:hAnsi="Times New Roman" w:cs="Times New Roman"/>
          <w:color w:val="000000" w:themeColor="text1"/>
          <w:kern w:val="0"/>
          <w14:ligatures w14:val="none"/>
        </w:rPr>
      </w:pPr>
      <w:r w:rsidRPr="00AF0CC3">
        <w:rPr>
          <w:rFonts w:ascii="Times New Roman" w:eastAsia="Times New Roman" w:hAnsi="Times New Roman" w:cs="Times New Roman"/>
          <w:color w:val="000000" w:themeColor="text1"/>
          <w:kern w:val="0"/>
          <w14:ligatures w14:val="none"/>
        </w:rPr>
        <w:t>The 24-month threshold helps distinguish temporary administrative delays from more serious failures in project execution. While infrastructure projects may experience short-term disruptions due to procurement issues, funding cycles, or seasonal factors, a two-year period without meaningful progress serves as a conservative benchmark for identifying stalled projects. For phased projects, pauses between planned phases are not considered stalls if documentation shows that these interruptions were part of the approved implementation schedule.</w:t>
      </w:r>
    </w:p>
    <w:p w14:paraId="3168606E" w14:textId="77777777" w:rsidR="000B6A05" w:rsidRPr="00AF0CC3" w:rsidRDefault="000B6A05" w:rsidP="000B6A05">
      <w:pPr>
        <w:spacing w:line="360" w:lineRule="auto"/>
        <w:rPr>
          <w:rFonts w:ascii="Times New Roman" w:eastAsia="Times New Roman" w:hAnsi="Times New Roman" w:cs="Times New Roman"/>
          <w:color w:val="000000" w:themeColor="text1"/>
          <w:kern w:val="0"/>
          <w14:ligatures w14:val="none"/>
        </w:rPr>
      </w:pPr>
    </w:p>
    <w:p w14:paraId="0C482039" w14:textId="77777777" w:rsidR="000B6A05" w:rsidRPr="00AF0CC3" w:rsidRDefault="000B6A05" w:rsidP="000B6A05">
      <w:pPr>
        <w:spacing w:line="360" w:lineRule="auto"/>
        <w:rPr>
          <w:rFonts w:ascii="Times New Roman" w:hAnsi="Times New Roman" w:cs="Times New Roman"/>
          <w:color w:val="000000" w:themeColor="text1"/>
        </w:rPr>
      </w:pPr>
      <w:r w:rsidRPr="00AF0CC3">
        <w:rPr>
          <w:rFonts w:ascii="Times New Roman" w:hAnsi="Times New Roman" w:cs="Times New Roman"/>
          <w:color w:val="000000" w:themeColor="text1"/>
        </w:rPr>
        <w:t>Time Overruns</w:t>
      </w:r>
    </w:p>
    <w:p w14:paraId="4608F064" w14:textId="77777777" w:rsidR="000B6A05" w:rsidRPr="00AF0CC3" w:rsidRDefault="000B6A05" w:rsidP="000B6A05">
      <w:pPr>
        <w:spacing w:before="100" w:beforeAutospacing="1" w:after="100" w:afterAutospacing="1" w:line="360" w:lineRule="auto"/>
        <w:rPr>
          <w:rFonts w:ascii="Times New Roman" w:eastAsia="Times New Roman" w:hAnsi="Times New Roman" w:cs="Times New Roman"/>
          <w:color w:val="000000" w:themeColor="text1"/>
          <w:kern w:val="0"/>
          <w14:ligatures w14:val="none"/>
        </w:rPr>
      </w:pPr>
      <w:r w:rsidRPr="00AF0CC3">
        <w:rPr>
          <w:rFonts w:ascii="Times New Roman" w:eastAsia="Times New Roman" w:hAnsi="Times New Roman" w:cs="Times New Roman"/>
          <w:color w:val="000000" w:themeColor="text1"/>
          <w:kern w:val="0"/>
          <w14:ligatures w14:val="none"/>
        </w:rPr>
        <w:t>Time overrun is defined as the percentage difference between the actual project completion date and the originally approved schedule, measured from the official project start to the date of substantial completion. It is calculated as:</w:t>
      </w:r>
    </w:p>
    <w:p w14:paraId="5FFB0351" w14:textId="77777777" w:rsidR="000B6A05" w:rsidRPr="00AF0CC3" w:rsidRDefault="000B6A05" w:rsidP="000B6A05">
      <w:pPr>
        <w:spacing w:after="0" w:line="360" w:lineRule="auto"/>
        <w:rPr>
          <w:rFonts w:ascii="Times New Roman" w:eastAsia="Times New Roman" w:hAnsi="Times New Roman" w:cs="Times New Roman"/>
          <w:color w:val="000000" w:themeColor="text1"/>
          <w:kern w:val="0"/>
          <w14:ligatures w14:val="none"/>
        </w:rPr>
      </w:pPr>
      <m:oMathPara>
        <m:oMath>
          <m:r>
            <w:rPr>
              <w:rFonts w:ascii="Cambria Math" w:eastAsia="Times New Roman" w:hAnsi="Cambria Math" w:cs="Times New Roman"/>
              <w:color w:val="000000" w:themeColor="text1"/>
              <w:kern w:val="0"/>
              <w14:ligatures w14:val="none"/>
            </w:rPr>
            <m:t>TimeOverru</m:t>
          </m:r>
          <m:sSub>
            <m:sSubPr>
              <m:ctrlPr>
                <w:rPr>
                  <w:rFonts w:ascii="Cambria Math" w:eastAsia="Times New Roman" w:hAnsi="Cambria Math" w:cs="Times New Roman"/>
                  <w:color w:val="000000" w:themeColor="text1"/>
                  <w:kern w:val="0"/>
                  <w14:ligatures w14:val="none"/>
                </w:rPr>
              </m:ctrlPr>
            </m:sSubPr>
            <m:e>
              <m:r>
                <w:rPr>
                  <w:rFonts w:ascii="Cambria Math" w:eastAsia="Times New Roman" w:hAnsi="Cambria Math" w:cs="Times New Roman"/>
                  <w:color w:val="000000" w:themeColor="text1"/>
                  <w:kern w:val="0"/>
                  <w14:ligatures w14:val="none"/>
                </w:rPr>
                <m:t>n</m:t>
              </m:r>
            </m:e>
            <m:sub>
              <m:r>
                <w:rPr>
                  <w:rFonts w:ascii="Cambria Math" w:eastAsia="Times New Roman" w:hAnsi="Cambria Math" w:cs="Times New Roman"/>
                  <w:color w:val="000000" w:themeColor="text1"/>
                  <w:kern w:val="0"/>
                  <w14:ligatures w14:val="none"/>
                </w:rPr>
                <m:t>i</m:t>
              </m:r>
            </m:sub>
          </m:sSub>
          <m:r>
            <w:rPr>
              <w:rFonts w:ascii="Cambria Math" w:eastAsia="Times New Roman" w:hAnsi="Cambria Math" w:cs="Times New Roman"/>
              <w:color w:val="000000" w:themeColor="text1"/>
              <w:kern w:val="0"/>
              <w14:ligatures w14:val="none"/>
            </w:rPr>
            <m:t>=</m:t>
          </m:r>
          <m:f>
            <m:fPr>
              <m:ctrlPr>
                <w:rPr>
                  <w:rFonts w:ascii="Cambria Math" w:eastAsia="Times New Roman" w:hAnsi="Cambria Math" w:cs="Times New Roman"/>
                  <w:color w:val="000000" w:themeColor="text1"/>
                  <w:kern w:val="0"/>
                  <w14:ligatures w14:val="none"/>
                </w:rPr>
              </m:ctrlPr>
            </m:fPr>
            <m:num>
              <m:r>
                <w:rPr>
                  <w:rFonts w:ascii="Cambria Math" w:eastAsia="Times New Roman" w:hAnsi="Cambria Math" w:cs="Times New Roman"/>
                  <w:color w:val="000000" w:themeColor="text1"/>
                  <w:kern w:val="0"/>
                  <w14:ligatures w14:val="none"/>
                </w:rPr>
                <m:t>Actual Duratio</m:t>
              </m:r>
              <m:sSub>
                <m:sSubPr>
                  <m:ctrlPr>
                    <w:rPr>
                      <w:rFonts w:ascii="Cambria Math" w:eastAsia="Times New Roman" w:hAnsi="Cambria Math" w:cs="Times New Roman"/>
                      <w:color w:val="000000" w:themeColor="text1"/>
                      <w:kern w:val="0"/>
                      <w14:ligatures w14:val="none"/>
                    </w:rPr>
                  </m:ctrlPr>
                </m:sSubPr>
                <m:e>
                  <m:r>
                    <w:rPr>
                      <w:rFonts w:ascii="Cambria Math" w:eastAsia="Times New Roman" w:hAnsi="Cambria Math" w:cs="Times New Roman"/>
                      <w:color w:val="000000" w:themeColor="text1"/>
                      <w:kern w:val="0"/>
                      <w14:ligatures w14:val="none"/>
                    </w:rPr>
                    <m:t>n</m:t>
                  </m:r>
                </m:e>
                <m:sub>
                  <m:r>
                    <w:rPr>
                      <w:rFonts w:ascii="Cambria Math" w:eastAsia="Times New Roman" w:hAnsi="Cambria Math" w:cs="Times New Roman"/>
                      <w:color w:val="000000" w:themeColor="text1"/>
                      <w:kern w:val="0"/>
                      <w14:ligatures w14:val="none"/>
                    </w:rPr>
                    <m:t>i</m:t>
                  </m:r>
                </m:sub>
              </m:sSub>
              <m:r>
                <w:rPr>
                  <w:rFonts w:ascii="Cambria Math" w:eastAsia="Times New Roman" w:hAnsi="Cambria Math" w:cs="Times New Roman"/>
                  <w:color w:val="000000" w:themeColor="text1"/>
                  <w:kern w:val="0"/>
                  <w14:ligatures w14:val="none"/>
                </w:rPr>
                <m:t>-Planned Duratio</m:t>
              </m:r>
              <m:sSub>
                <m:sSubPr>
                  <m:ctrlPr>
                    <w:rPr>
                      <w:rFonts w:ascii="Cambria Math" w:eastAsia="Times New Roman" w:hAnsi="Cambria Math" w:cs="Times New Roman"/>
                      <w:color w:val="000000" w:themeColor="text1"/>
                      <w:kern w:val="0"/>
                      <w14:ligatures w14:val="none"/>
                    </w:rPr>
                  </m:ctrlPr>
                </m:sSubPr>
                <m:e>
                  <m:r>
                    <w:rPr>
                      <w:rFonts w:ascii="Cambria Math" w:eastAsia="Times New Roman" w:hAnsi="Cambria Math" w:cs="Times New Roman"/>
                      <w:color w:val="000000" w:themeColor="text1"/>
                      <w:kern w:val="0"/>
                      <w14:ligatures w14:val="none"/>
                    </w:rPr>
                    <m:t>n</m:t>
                  </m:r>
                </m:e>
                <m:sub>
                  <m:r>
                    <w:rPr>
                      <w:rFonts w:ascii="Cambria Math" w:eastAsia="Times New Roman" w:hAnsi="Cambria Math" w:cs="Times New Roman"/>
                      <w:color w:val="000000" w:themeColor="text1"/>
                      <w:kern w:val="0"/>
                      <w14:ligatures w14:val="none"/>
                    </w:rPr>
                    <m:t>i</m:t>
                  </m:r>
                </m:sub>
              </m:sSub>
            </m:num>
            <m:den>
              <m:r>
                <w:rPr>
                  <w:rFonts w:ascii="Cambria Math" w:eastAsia="Times New Roman" w:hAnsi="Cambria Math" w:cs="Times New Roman"/>
                  <w:color w:val="000000" w:themeColor="text1"/>
                  <w:kern w:val="0"/>
                  <w14:ligatures w14:val="none"/>
                </w:rPr>
                <m:t>Planned Duratio</m:t>
              </m:r>
              <m:sSub>
                <m:sSubPr>
                  <m:ctrlPr>
                    <w:rPr>
                      <w:rFonts w:ascii="Cambria Math" w:eastAsia="Times New Roman" w:hAnsi="Cambria Math" w:cs="Times New Roman"/>
                      <w:color w:val="000000" w:themeColor="text1"/>
                      <w:kern w:val="0"/>
                      <w14:ligatures w14:val="none"/>
                    </w:rPr>
                  </m:ctrlPr>
                </m:sSubPr>
                <m:e>
                  <m:r>
                    <w:rPr>
                      <w:rFonts w:ascii="Cambria Math" w:eastAsia="Times New Roman" w:hAnsi="Cambria Math" w:cs="Times New Roman"/>
                      <w:color w:val="000000" w:themeColor="text1"/>
                      <w:kern w:val="0"/>
                      <w14:ligatures w14:val="none"/>
                    </w:rPr>
                    <m:t>n</m:t>
                  </m:r>
                </m:e>
                <m:sub>
                  <m:r>
                    <w:rPr>
                      <w:rFonts w:ascii="Cambria Math" w:eastAsia="Times New Roman" w:hAnsi="Cambria Math" w:cs="Times New Roman"/>
                      <w:color w:val="000000" w:themeColor="text1"/>
                      <w:kern w:val="0"/>
                      <w14:ligatures w14:val="none"/>
                    </w:rPr>
                    <m:t>i</m:t>
                  </m:r>
                </m:sub>
              </m:sSub>
            </m:den>
          </m:f>
          <m:r>
            <w:rPr>
              <w:rFonts w:ascii="Cambria Math" w:eastAsia="Times New Roman" w:hAnsi="Cambria Math" w:cs="Times New Roman"/>
              <w:color w:val="000000" w:themeColor="text1"/>
              <w:kern w:val="0"/>
              <w14:ligatures w14:val="none"/>
            </w:rPr>
            <m:t>×100</m:t>
          </m:r>
          <m:r>
            <m:rPr>
              <m:sty m:val="p"/>
            </m:rPr>
            <w:rPr>
              <w:rFonts w:ascii="Cambria Math" w:eastAsia="Times New Roman" w:hAnsi="Cambria Math" w:cs="Times New Roman"/>
              <w:color w:val="000000" w:themeColor="text1"/>
              <w:kern w:val="0"/>
              <w14:ligatures w14:val="none"/>
            </w:rPr>
            <w:br/>
          </m:r>
        </m:oMath>
      </m:oMathPara>
    </w:p>
    <w:p w14:paraId="3BBB3635" w14:textId="77777777" w:rsidR="000B6A05" w:rsidRPr="00AF0CC3" w:rsidRDefault="000B6A05" w:rsidP="000B6A05">
      <w:pPr>
        <w:spacing w:before="100" w:beforeAutospacing="1" w:after="100" w:afterAutospacing="1" w:line="360" w:lineRule="auto"/>
        <w:rPr>
          <w:rFonts w:ascii="Times New Roman" w:eastAsia="Times New Roman" w:hAnsi="Times New Roman" w:cs="Times New Roman"/>
          <w:color w:val="000000" w:themeColor="text1"/>
          <w:kern w:val="0"/>
          <w14:ligatures w14:val="none"/>
        </w:rPr>
      </w:pPr>
      <w:r w:rsidRPr="00AF0CC3">
        <w:rPr>
          <w:rFonts w:ascii="Times New Roman" w:eastAsia="Times New Roman" w:hAnsi="Times New Roman" w:cs="Times New Roman"/>
          <w:color w:val="000000" w:themeColor="text1"/>
          <w:kern w:val="0"/>
          <w14:ligatures w14:val="none"/>
        </w:rPr>
        <w:t>This definition aligns with standard methods in infrastructure project evaluation and World Bank project performance frameworks (World Bank, 2018). For regression analysis, time overrun is considered a continuous variable. When needed, extreme values are reviewed and, if appropriate, winsorized to minimize the impact of outliers.</w:t>
      </w:r>
    </w:p>
    <w:p w14:paraId="181B6BCB" w14:textId="77777777" w:rsidR="000B6A05" w:rsidRPr="00AF0CC3" w:rsidRDefault="000B6A05" w:rsidP="000B6A05">
      <w:pPr>
        <w:spacing w:line="360" w:lineRule="auto"/>
        <w:rPr>
          <w:rFonts w:ascii="Times New Roman" w:hAnsi="Times New Roman" w:cs="Times New Roman"/>
          <w:color w:val="000000" w:themeColor="text1"/>
        </w:rPr>
      </w:pPr>
      <w:r w:rsidRPr="00AF0CC3">
        <w:rPr>
          <w:rFonts w:ascii="Times New Roman" w:hAnsi="Times New Roman" w:cs="Times New Roman"/>
          <w:color w:val="000000" w:themeColor="text1"/>
        </w:rPr>
        <w:lastRenderedPageBreak/>
        <w:t>Prior research has shown that infrastructure delays often originate from governance and managerial factors that can be systematically analyzed using project-level data (Love et al., 2016).</w:t>
      </w:r>
    </w:p>
    <w:p w14:paraId="6F030ABB" w14:textId="77777777" w:rsidR="000B6A05" w:rsidRPr="00AF0CC3" w:rsidRDefault="000B6A05" w:rsidP="000B6A05">
      <w:pPr>
        <w:pStyle w:val="ListParagraph"/>
        <w:numPr>
          <w:ilvl w:val="0"/>
          <w:numId w:val="12"/>
        </w:numPr>
        <w:spacing w:line="360" w:lineRule="auto"/>
        <w:rPr>
          <w:rFonts w:ascii="Times New Roman" w:hAnsi="Times New Roman" w:cs="Times New Roman"/>
          <w:color w:val="000000" w:themeColor="text1"/>
        </w:rPr>
      </w:pPr>
      <w:r w:rsidRPr="00AF0CC3">
        <w:rPr>
          <w:rFonts w:ascii="Times New Roman" w:hAnsi="Times New Roman" w:cs="Times New Roman"/>
          <w:color w:val="000000" w:themeColor="text1"/>
        </w:rPr>
        <w:t>Cost Overruns</w:t>
      </w:r>
    </w:p>
    <w:p w14:paraId="62BFACC8" w14:textId="77777777" w:rsidR="000B6A05" w:rsidRPr="00AF0CC3" w:rsidRDefault="000B6A05" w:rsidP="000B6A05">
      <w:pPr>
        <w:spacing w:before="100" w:beforeAutospacing="1" w:after="100" w:afterAutospacing="1" w:line="360" w:lineRule="auto"/>
        <w:rPr>
          <w:rFonts w:ascii="Times New Roman" w:eastAsia="Times New Roman" w:hAnsi="Times New Roman" w:cs="Times New Roman"/>
          <w:color w:val="000000" w:themeColor="text1"/>
          <w:kern w:val="0"/>
          <w14:ligatures w14:val="none"/>
        </w:rPr>
      </w:pPr>
      <w:r w:rsidRPr="00AF0CC3">
        <w:rPr>
          <w:rFonts w:ascii="Times New Roman" w:eastAsia="Times New Roman" w:hAnsi="Times New Roman" w:cs="Times New Roman"/>
          <w:color w:val="000000" w:themeColor="text1"/>
          <w:kern w:val="0"/>
          <w14:ligatures w14:val="none"/>
        </w:rPr>
        <w:t>Cost overrun is defined as the percentage difference between the actual project expenditure and the initially approved project budget, expressed as:</w:t>
      </w:r>
    </w:p>
    <w:p w14:paraId="6E545071" w14:textId="77777777" w:rsidR="000B6A05" w:rsidRPr="00AF0CC3" w:rsidRDefault="000B6A05" w:rsidP="000B6A05">
      <w:pPr>
        <w:spacing w:after="0" w:line="360" w:lineRule="auto"/>
        <w:rPr>
          <w:rFonts w:ascii="Times New Roman" w:eastAsia="Times New Roman" w:hAnsi="Times New Roman" w:cs="Times New Roman"/>
          <w:color w:val="000000" w:themeColor="text1"/>
          <w:kern w:val="0"/>
          <w14:ligatures w14:val="none"/>
        </w:rPr>
      </w:pPr>
      <m:oMathPara>
        <m:oMath>
          <m:r>
            <w:rPr>
              <w:rFonts w:ascii="Cambria Math" w:eastAsia="Times New Roman" w:hAnsi="Cambria Math" w:cs="Times New Roman"/>
              <w:color w:val="000000" w:themeColor="text1"/>
              <w:kern w:val="0"/>
              <w14:ligatures w14:val="none"/>
            </w:rPr>
            <m:t>CostOverru</m:t>
          </m:r>
          <m:sSub>
            <m:sSubPr>
              <m:ctrlPr>
                <w:rPr>
                  <w:rFonts w:ascii="Cambria Math" w:eastAsia="Times New Roman" w:hAnsi="Cambria Math" w:cs="Times New Roman"/>
                  <w:color w:val="000000" w:themeColor="text1"/>
                  <w:kern w:val="0"/>
                  <w14:ligatures w14:val="none"/>
                </w:rPr>
              </m:ctrlPr>
            </m:sSubPr>
            <m:e>
              <m:r>
                <w:rPr>
                  <w:rFonts w:ascii="Cambria Math" w:eastAsia="Times New Roman" w:hAnsi="Cambria Math" w:cs="Times New Roman"/>
                  <w:color w:val="000000" w:themeColor="text1"/>
                  <w:kern w:val="0"/>
                  <w14:ligatures w14:val="none"/>
                </w:rPr>
                <m:t>n</m:t>
              </m:r>
            </m:e>
            <m:sub>
              <m:r>
                <w:rPr>
                  <w:rFonts w:ascii="Cambria Math" w:eastAsia="Times New Roman" w:hAnsi="Cambria Math" w:cs="Times New Roman"/>
                  <w:color w:val="000000" w:themeColor="text1"/>
                  <w:kern w:val="0"/>
                  <w14:ligatures w14:val="none"/>
                </w:rPr>
                <m:t>i</m:t>
              </m:r>
            </m:sub>
          </m:sSub>
          <m:r>
            <w:rPr>
              <w:rFonts w:ascii="Cambria Math" w:eastAsia="Times New Roman" w:hAnsi="Cambria Math" w:cs="Times New Roman"/>
              <w:color w:val="000000" w:themeColor="text1"/>
              <w:kern w:val="0"/>
              <w14:ligatures w14:val="none"/>
            </w:rPr>
            <m:t>=</m:t>
          </m:r>
          <m:f>
            <m:fPr>
              <m:ctrlPr>
                <w:rPr>
                  <w:rFonts w:ascii="Cambria Math" w:eastAsia="Times New Roman" w:hAnsi="Cambria Math" w:cs="Times New Roman"/>
                  <w:color w:val="000000" w:themeColor="text1"/>
                  <w:kern w:val="0"/>
                  <w14:ligatures w14:val="none"/>
                </w:rPr>
              </m:ctrlPr>
            </m:fPr>
            <m:num>
              <m:r>
                <w:rPr>
                  <w:rFonts w:ascii="Cambria Math" w:eastAsia="Times New Roman" w:hAnsi="Cambria Math" w:cs="Times New Roman"/>
                  <w:color w:val="000000" w:themeColor="text1"/>
                  <w:kern w:val="0"/>
                  <w14:ligatures w14:val="none"/>
                </w:rPr>
                <m:t>Actual Cos</m:t>
              </m:r>
              <m:sSub>
                <m:sSubPr>
                  <m:ctrlPr>
                    <w:rPr>
                      <w:rFonts w:ascii="Cambria Math" w:eastAsia="Times New Roman" w:hAnsi="Cambria Math" w:cs="Times New Roman"/>
                      <w:color w:val="000000" w:themeColor="text1"/>
                      <w:kern w:val="0"/>
                      <w14:ligatures w14:val="none"/>
                    </w:rPr>
                  </m:ctrlPr>
                </m:sSubPr>
                <m:e>
                  <m:r>
                    <w:rPr>
                      <w:rFonts w:ascii="Cambria Math" w:eastAsia="Times New Roman" w:hAnsi="Cambria Math" w:cs="Times New Roman"/>
                      <w:color w:val="000000" w:themeColor="text1"/>
                      <w:kern w:val="0"/>
                      <w14:ligatures w14:val="none"/>
                    </w:rPr>
                    <m:t>t</m:t>
                  </m:r>
                </m:e>
                <m:sub>
                  <m:r>
                    <w:rPr>
                      <w:rFonts w:ascii="Cambria Math" w:eastAsia="Times New Roman" w:hAnsi="Cambria Math" w:cs="Times New Roman"/>
                      <w:color w:val="000000" w:themeColor="text1"/>
                      <w:kern w:val="0"/>
                      <w14:ligatures w14:val="none"/>
                    </w:rPr>
                    <m:t>i</m:t>
                  </m:r>
                </m:sub>
              </m:sSub>
              <m:r>
                <w:rPr>
                  <w:rFonts w:ascii="Cambria Math" w:eastAsia="Times New Roman" w:hAnsi="Cambria Math" w:cs="Times New Roman"/>
                  <w:color w:val="000000" w:themeColor="text1"/>
                  <w:kern w:val="0"/>
                  <w14:ligatures w14:val="none"/>
                </w:rPr>
                <m:t>-Approved Budge</m:t>
              </m:r>
              <m:sSub>
                <m:sSubPr>
                  <m:ctrlPr>
                    <w:rPr>
                      <w:rFonts w:ascii="Cambria Math" w:eastAsia="Times New Roman" w:hAnsi="Cambria Math" w:cs="Times New Roman"/>
                      <w:color w:val="000000" w:themeColor="text1"/>
                      <w:kern w:val="0"/>
                      <w14:ligatures w14:val="none"/>
                    </w:rPr>
                  </m:ctrlPr>
                </m:sSubPr>
                <m:e>
                  <m:r>
                    <w:rPr>
                      <w:rFonts w:ascii="Cambria Math" w:eastAsia="Times New Roman" w:hAnsi="Cambria Math" w:cs="Times New Roman"/>
                      <w:color w:val="000000" w:themeColor="text1"/>
                      <w:kern w:val="0"/>
                      <w14:ligatures w14:val="none"/>
                    </w:rPr>
                    <m:t>t</m:t>
                  </m:r>
                </m:e>
                <m:sub>
                  <m:r>
                    <w:rPr>
                      <w:rFonts w:ascii="Cambria Math" w:eastAsia="Times New Roman" w:hAnsi="Cambria Math" w:cs="Times New Roman"/>
                      <w:color w:val="000000" w:themeColor="text1"/>
                      <w:kern w:val="0"/>
                      <w14:ligatures w14:val="none"/>
                    </w:rPr>
                    <m:t>i</m:t>
                  </m:r>
                </m:sub>
              </m:sSub>
            </m:num>
            <m:den>
              <m:r>
                <w:rPr>
                  <w:rFonts w:ascii="Cambria Math" w:eastAsia="Times New Roman" w:hAnsi="Cambria Math" w:cs="Times New Roman"/>
                  <w:color w:val="000000" w:themeColor="text1"/>
                  <w:kern w:val="0"/>
                  <w14:ligatures w14:val="none"/>
                </w:rPr>
                <m:t>Approved Budge</m:t>
              </m:r>
              <m:sSub>
                <m:sSubPr>
                  <m:ctrlPr>
                    <w:rPr>
                      <w:rFonts w:ascii="Cambria Math" w:eastAsia="Times New Roman" w:hAnsi="Cambria Math" w:cs="Times New Roman"/>
                      <w:color w:val="000000" w:themeColor="text1"/>
                      <w:kern w:val="0"/>
                      <w14:ligatures w14:val="none"/>
                    </w:rPr>
                  </m:ctrlPr>
                </m:sSubPr>
                <m:e>
                  <m:r>
                    <w:rPr>
                      <w:rFonts w:ascii="Cambria Math" w:eastAsia="Times New Roman" w:hAnsi="Cambria Math" w:cs="Times New Roman"/>
                      <w:color w:val="000000" w:themeColor="text1"/>
                      <w:kern w:val="0"/>
                      <w14:ligatures w14:val="none"/>
                    </w:rPr>
                    <m:t>t</m:t>
                  </m:r>
                </m:e>
                <m:sub>
                  <m:r>
                    <w:rPr>
                      <w:rFonts w:ascii="Cambria Math" w:eastAsia="Times New Roman" w:hAnsi="Cambria Math" w:cs="Times New Roman"/>
                      <w:color w:val="000000" w:themeColor="text1"/>
                      <w:kern w:val="0"/>
                      <w14:ligatures w14:val="none"/>
                    </w:rPr>
                    <m:t>i</m:t>
                  </m:r>
                </m:sub>
              </m:sSub>
            </m:den>
          </m:f>
          <m:r>
            <w:rPr>
              <w:rFonts w:ascii="Cambria Math" w:eastAsia="Times New Roman" w:hAnsi="Cambria Math" w:cs="Times New Roman"/>
              <w:color w:val="000000" w:themeColor="text1"/>
              <w:kern w:val="0"/>
              <w14:ligatures w14:val="none"/>
            </w:rPr>
            <m:t>×100</m:t>
          </m:r>
          <m:r>
            <m:rPr>
              <m:sty m:val="p"/>
            </m:rPr>
            <w:rPr>
              <w:rFonts w:ascii="Cambria Math" w:eastAsia="Times New Roman" w:hAnsi="Cambria Math" w:cs="Times New Roman"/>
              <w:color w:val="000000" w:themeColor="text1"/>
              <w:kern w:val="0"/>
              <w14:ligatures w14:val="none"/>
            </w:rPr>
            <w:br/>
          </m:r>
        </m:oMath>
      </m:oMathPara>
    </w:p>
    <w:p w14:paraId="339EEC72" w14:textId="77777777" w:rsidR="000B6A05" w:rsidRPr="00AF0CC3" w:rsidRDefault="000B6A05" w:rsidP="000B6A05">
      <w:pPr>
        <w:spacing w:before="100" w:beforeAutospacing="1" w:after="100" w:afterAutospacing="1" w:line="360" w:lineRule="auto"/>
        <w:rPr>
          <w:rFonts w:ascii="Times New Roman" w:eastAsia="Times New Roman" w:hAnsi="Times New Roman" w:cs="Times New Roman"/>
          <w:color w:val="000000" w:themeColor="text1"/>
          <w:kern w:val="0"/>
          <w14:ligatures w14:val="none"/>
        </w:rPr>
      </w:pPr>
      <w:r w:rsidRPr="00AF0CC3">
        <w:rPr>
          <w:rFonts w:ascii="Times New Roman" w:eastAsia="Times New Roman" w:hAnsi="Times New Roman" w:cs="Times New Roman"/>
          <w:color w:val="000000" w:themeColor="text1"/>
          <w:kern w:val="0"/>
          <w14:ligatures w14:val="none"/>
        </w:rPr>
        <w:t xml:space="preserve">This measure aligns with standard definitions employed in public investment management and World Bank evaluation frameworks (World Bank, 2018; IEG, 2020). In econometric models, cost overruns are treated as continuous variables and used as indicators of financial governance performance. </w:t>
      </w:r>
      <w:r w:rsidRPr="00AF0CC3">
        <w:rPr>
          <w:rFonts w:ascii="Times New Roman" w:hAnsi="Times New Roman" w:cs="Times New Roman"/>
          <w:color w:val="000000" w:themeColor="text1"/>
        </w:rPr>
        <w:t>Infrastructure research consistently finds recurring patterns of cost escalation across large projects (Flyvbjerg, 2014).</w:t>
      </w:r>
    </w:p>
    <w:p w14:paraId="72E1B2BE" w14:textId="77777777" w:rsidR="000B6A05" w:rsidRPr="00AF0CC3" w:rsidRDefault="000B6A05" w:rsidP="000B6A05">
      <w:pPr>
        <w:spacing w:line="360" w:lineRule="auto"/>
        <w:rPr>
          <w:rFonts w:ascii="Times New Roman" w:hAnsi="Times New Roman" w:cs="Times New Roman"/>
          <w:color w:val="000000" w:themeColor="text1"/>
        </w:rPr>
      </w:pPr>
    </w:p>
    <w:p w14:paraId="5793215A" w14:textId="77425D36" w:rsidR="000B6A05" w:rsidRPr="00AF0CC3" w:rsidRDefault="000B6A05" w:rsidP="008A5815">
      <w:pPr>
        <w:pStyle w:val="Heading3"/>
        <w:rPr>
          <w:rFonts w:cs="Times New Roman"/>
          <w:color w:val="000000" w:themeColor="text1"/>
          <w:szCs w:val="24"/>
        </w:rPr>
      </w:pPr>
      <w:bookmarkStart w:id="244" w:name="_Toc230209534"/>
      <w:bookmarkStart w:id="245" w:name="_Toc234344814"/>
      <w:bookmarkStart w:id="246" w:name="_Toc234489046"/>
      <w:r w:rsidRPr="00AF0CC3">
        <w:rPr>
          <w:rFonts w:cs="Times New Roman"/>
          <w:color w:val="000000" w:themeColor="text1"/>
          <w:szCs w:val="24"/>
        </w:rPr>
        <w:t>Independent Variable: Governance Quality Index</w:t>
      </w:r>
      <w:bookmarkEnd w:id="244"/>
      <w:bookmarkEnd w:id="245"/>
      <w:bookmarkEnd w:id="246"/>
    </w:p>
    <w:p w14:paraId="0DDCC603" w14:textId="50FF5EA3" w:rsidR="004B5571" w:rsidRPr="00AF0CC3" w:rsidRDefault="004B5571" w:rsidP="004B5571">
      <w:pPr>
        <w:spacing w:line="360" w:lineRule="auto"/>
        <w:rPr>
          <w:rFonts w:ascii="Times New Roman" w:hAnsi="Times New Roman" w:cs="Times New Roman"/>
          <w:color w:val="000000" w:themeColor="text1"/>
        </w:rPr>
      </w:pPr>
      <w:r w:rsidRPr="00AF0CC3">
        <w:rPr>
          <w:rFonts w:ascii="Times New Roman" w:hAnsi="Times New Roman" w:cs="Times New Roman"/>
          <w:color w:val="000000" w:themeColor="text1"/>
        </w:rPr>
        <w:t xml:space="preserve">A central methodological contribution of this study is the development of the Governance Quality Index (GQI) as a structured measure of project-level governance quality. Although governance is widely </w:t>
      </w:r>
      <w:r w:rsidR="002B25DB" w:rsidRPr="00AF0CC3">
        <w:rPr>
          <w:rFonts w:ascii="Times New Roman" w:hAnsi="Times New Roman" w:cs="Times New Roman"/>
          <w:color w:val="000000" w:themeColor="text1"/>
        </w:rPr>
        <w:t>recognized</w:t>
      </w:r>
      <w:r w:rsidRPr="00AF0CC3">
        <w:rPr>
          <w:rFonts w:ascii="Times New Roman" w:hAnsi="Times New Roman" w:cs="Times New Roman"/>
          <w:color w:val="000000" w:themeColor="text1"/>
        </w:rPr>
        <w:t xml:space="preserve"> as an important determinant of infrastructure performance, existing research frequently relies on national governance indicators, qualitative institutional assessments, or perception-based measures that are not designed to evaluate governance arrangements within individual infrastructure projects. </w:t>
      </w:r>
      <w:r w:rsidR="00327809" w:rsidRPr="00AF0CC3">
        <w:rPr>
          <w:rFonts w:ascii="Times New Roman" w:hAnsi="Times New Roman" w:cs="Times New Roman"/>
          <w:color w:val="000000" w:themeColor="text1"/>
        </w:rPr>
        <w:t>GQI</w:t>
      </w:r>
      <w:r w:rsidRPr="00AF0CC3">
        <w:rPr>
          <w:rFonts w:ascii="Times New Roman" w:hAnsi="Times New Roman" w:cs="Times New Roman"/>
          <w:color w:val="000000" w:themeColor="text1"/>
        </w:rPr>
        <w:t xml:space="preserve"> addresses this gap by </w:t>
      </w:r>
      <w:r w:rsidR="002B25DB" w:rsidRPr="00AF0CC3">
        <w:rPr>
          <w:rFonts w:ascii="Times New Roman" w:hAnsi="Times New Roman" w:cs="Times New Roman"/>
          <w:color w:val="000000" w:themeColor="text1"/>
        </w:rPr>
        <w:t>operationalizing</w:t>
      </w:r>
      <w:r w:rsidRPr="00AF0CC3">
        <w:rPr>
          <w:rFonts w:ascii="Times New Roman" w:hAnsi="Times New Roman" w:cs="Times New Roman"/>
          <w:color w:val="000000" w:themeColor="text1"/>
        </w:rPr>
        <w:t xml:space="preserve"> governance through observable project-level indicators derived from documentary evidence.</w:t>
      </w:r>
    </w:p>
    <w:p w14:paraId="69A519A9" w14:textId="77777777" w:rsidR="004B5571" w:rsidRPr="00AF0CC3" w:rsidRDefault="004B5571" w:rsidP="004B5571">
      <w:pPr>
        <w:spacing w:line="360" w:lineRule="auto"/>
        <w:rPr>
          <w:rFonts w:ascii="Times New Roman" w:hAnsi="Times New Roman" w:cs="Times New Roman"/>
          <w:color w:val="000000" w:themeColor="text1"/>
        </w:rPr>
      </w:pPr>
    </w:p>
    <w:p w14:paraId="7DD6478D" w14:textId="532DBFA0" w:rsidR="004B5571" w:rsidRPr="00AF0CC3" w:rsidRDefault="004B5571" w:rsidP="004B5571">
      <w:pPr>
        <w:spacing w:line="360" w:lineRule="auto"/>
        <w:rPr>
          <w:rFonts w:ascii="Times New Roman" w:hAnsi="Times New Roman" w:cs="Times New Roman"/>
          <w:color w:val="000000" w:themeColor="text1"/>
        </w:rPr>
      </w:pPr>
      <w:r w:rsidRPr="00AF0CC3">
        <w:rPr>
          <w:rFonts w:ascii="Times New Roman" w:hAnsi="Times New Roman" w:cs="Times New Roman"/>
          <w:color w:val="000000" w:themeColor="text1"/>
        </w:rPr>
        <w:t xml:space="preserve">The development of </w:t>
      </w:r>
      <w:r w:rsidR="00163866" w:rsidRPr="00AF0CC3">
        <w:rPr>
          <w:rFonts w:ascii="Times New Roman" w:hAnsi="Times New Roman" w:cs="Times New Roman"/>
          <w:color w:val="000000" w:themeColor="text1"/>
        </w:rPr>
        <w:t>GQI</w:t>
      </w:r>
      <w:r w:rsidRPr="00AF0CC3">
        <w:rPr>
          <w:rFonts w:ascii="Times New Roman" w:hAnsi="Times New Roman" w:cs="Times New Roman"/>
          <w:color w:val="000000" w:themeColor="text1"/>
        </w:rPr>
        <w:t xml:space="preserve"> followed a systematic process. First, governance principles were identified through an extensive review of international infrastructure governance literature, </w:t>
      </w:r>
      <w:r w:rsidRPr="00AF0CC3">
        <w:rPr>
          <w:rFonts w:ascii="Times New Roman" w:hAnsi="Times New Roman" w:cs="Times New Roman"/>
          <w:color w:val="000000" w:themeColor="text1"/>
        </w:rPr>
        <w:lastRenderedPageBreak/>
        <w:t>including guidance published by the OECD, World Bank, United Nations, and major infrastructure governance studies. Second, governance dimensions were screened against three criteria: theoretical relevance, applicability to infrastructure governance, and availability of verifiable documentary evidence across the sampled projects. Third, operational definitions and coding rules were established for each governance indicator to promote consistency during assessment. Finally, governance scores were aggregated to generate a composite measure representing overall governance quality for each project.</w:t>
      </w:r>
    </w:p>
    <w:p w14:paraId="2083E04A" w14:textId="77777777" w:rsidR="004B5571" w:rsidRPr="00AF0CC3" w:rsidRDefault="004B5571" w:rsidP="004B5571">
      <w:pPr>
        <w:spacing w:line="360" w:lineRule="auto"/>
        <w:rPr>
          <w:rFonts w:ascii="Times New Roman" w:hAnsi="Times New Roman" w:cs="Times New Roman"/>
          <w:color w:val="000000" w:themeColor="text1"/>
        </w:rPr>
      </w:pPr>
    </w:p>
    <w:p w14:paraId="7E40384B" w14:textId="77777777" w:rsidR="004B5571" w:rsidRPr="00AF0CC3" w:rsidRDefault="004B5571" w:rsidP="004B5571">
      <w:pPr>
        <w:spacing w:line="360" w:lineRule="auto"/>
        <w:rPr>
          <w:rFonts w:ascii="Times New Roman" w:hAnsi="Times New Roman" w:cs="Times New Roman"/>
          <w:color w:val="000000" w:themeColor="text1"/>
        </w:rPr>
      </w:pPr>
      <w:r w:rsidRPr="00AF0CC3">
        <w:rPr>
          <w:rFonts w:ascii="Times New Roman" w:hAnsi="Times New Roman" w:cs="Times New Roman"/>
          <w:color w:val="000000" w:themeColor="text1"/>
        </w:rPr>
        <w:t>The resulting index captures governance capability across nine complementary dimensions: procurement transparency, institutional coordination, audit responsiveness, contract supervision, payment reliability, documentation transparency, feasibility study completeness, land acquisition readiness, and risk allocation clarity. Collectively, these indicators represent governance processes operating throughout the infrastructure lifecycle rather than isolated administrative functions.</w:t>
      </w:r>
    </w:p>
    <w:p w14:paraId="00BC850B" w14:textId="77777777" w:rsidR="004B5571" w:rsidRPr="00AF0CC3" w:rsidRDefault="004B5571" w:rsidP="004B5571">
      <w:pPr>
        <w:spacing w:line="360" w:lineRule="auto"/>
        <w:rPr>
          <w:rFonts w:ascii="Times New Roman" w:hAnsi="Times New Roman" w:cs="Times New Roman"/>
          <w:color w:val="000000" w:themeColor="text1"/>
        </w:rPr>
      </w:pPr>
    </w:p>
    <w:p w14:paraId="42735D20" w14:textId="5B48AAC5" w:rsidR="000B6A05" w:rsidRPr="00AF0CC3" w:rsidRDefault="004B5571" w:rsidP="004B5571">
      <w:pPr>
        <w:spacing w:line="360" w:lineRule="auto"/>
        <w:rPr>
          <w:rFonts w:ascii="Times New Roman" w:hAnsi="Times New Roman" w:cs="Times New Roman"/>
          <w:color w:val="000000" w:themeColor="text1"/>
        </w:rPr>
      </w:pPr>
      <w:r w:rsidRPr="00AF0CC3">
        <w:rPr>
          <w:rFonts w:ascii="Times New Roman" w:hAnsi="Times New Roman" w:cs="Times New Roman"/>
          <w:color w:val="000000" w:themeColor="text1"/>
        </w:rPr>
        <w:t>The GQI should therefore be understood as an operational measure of institutional governance capability rather than merely a checklist of governance activities. By combining multiple governance dimensions into a single composite index, the study provides a practical framework for examining how integrated governance systems are associated with infrastructure delivery outcomes.</w:t>
      </w:r>
    </w:p>
    <w:p w14:paraId="5EC86FE3" w14:textId="77777777" w:rsidR="000B6A05" w:rsidRPr="00AF0CC3" w:rsidRDefault="000B6A05" w:rsidP="000B6A05">
      <w:pPr>
        <w:spacing w:line="360" w:lineRule="auto"/>
        <w:rPr>
          <w:rFonts w:ascii="Times New Roman" w:hAnsi="Times New Roman" w:cs="Times New Roman"/>
          <w:color w:val="000000" w:themeColor="text1"/>
        </w:rPr>
      </w:pPr>
      <w:r w:rsidRPr="00AF0CC3">
        <w:rPr>
          <w:rFonts w:ascii="Times New Roman" w:hAnsi="Times New Roman" w:cs="Times New Roman"/>
          <w:color w:val="000000" w:themeColor="text1"/>
        </w:rPr>
        <w:t>The Governance Quality Index (GQI) was constructed using nine governance indicators covering project preparation, procurement governance, implementation management, oversight responsiveness, and documentation transparency. Each indicator was scored on a 0–2 scale, producing a maximum governance score of 18. The composite index was normalized to the range 0 to 1.</w:t>
      </w:r>
    </w:p>
    <w:p w14:paraId="4A793A72" w14:textId="77777777" w:rsidR="000B6A05" w:rsidRPr="00AF0CC3" w:rsidRDefault="000B6A05" w:rsidP="000B6A05">
      <w:pPr>
        <w:spacing w:line="360" w:lineRule="auto"/>
        <w:rPr>
          <w:rFonts w:ascii="Times New Roman" w:hAnsi="Times New Roman" w:cs="Times New Roman"/>
          <w:color w:val="000000" w:themeColor="text1"/>
        </w:rPr>
      </w:pPr>
      <w:r w:rsidRPr="00AF0CC3">
        <w:rPr>
          <w:rFonts w:ascii="Times New Roman" w:hAnsi="Times New Roman" w:cs="Times New Roman"/>
          <w:color w:val="000000" w:themeColor="text1"/>
        </w:rPr>
        <w:t>Previous research shows that governance structures and project management practices can be identified through observable indicators (Joslin &amp; Müller, 2015). Studies on public infrastructure governance also highlight the importance of structured decision points and oversight mechanisms as measurable signs of governance quality (Klakegg et al., 2010).</w:t>
      </w:r>
    </w:p>
    <w:p w14:paraId="27C3FF3B" w14:textId="77777777" w:rsidR="000B6A05" w:rsidRPr="00AF0CC3" w:rsidRDefault="000B6A05" w:rsidP="000B6A05">
      <w:pPr>
        <w:spacing w:line="360" w:lineRule="auto"/>
        <w:rPr>
          <w:rFonts w:ascii="Times New Roman" w:hAnsi="Times New Roman" w:cs="Times New Roman"/>
          <w:color w:val="000000" w:themeColor="text1"/>
        </w:rPr>
      </w:pPr>
    </w:p>
    <w:p w14:paraId="25234FC7" w14:textId="77777777" w:rsidR="000B6A05" w:rsidRPr="00AF0CC3" w:rsidRDefault="000B6A05" w:rsidP="000B6A05">
      <w:pPr>
        <w:spacing w:line="360" w:lineRule="auto"/>
        <w:rPr>
          <w:rFonts w:ascii="Times New Roman" w:hAnsi="Times New Roman" w:cs="Times New Roman"/>
          <w:color w:val="000000" w:themeColor="text1"/>
        </w:rPr>
      </w:pPr>
      <w:r w:rsidRPr="00AF0CC3">
        <w:rPr>
          <w:rFonts w:ascii="Times New Roman" w:hAnsi="Times New Roman" w:cs="Times New Roman"/>
          <w:color w:val="000000" w:themeColor="text1"/>
        </w:rPr>
        <w:t>Indicators are standardized and aggregated into a composite index that represents overall governance quality.</w:t>
      </w:r>
    </w:p>
    <w:p w14:paraId="56B85ADC" w14:textId="77777777" w:rsidR="000B6A05" w:rsidRPr="00AF0CC3" w:rsidRDefault="000B6A05" w:rsidP="000B6A05">
      <w:pPr>
        <w:spacing w:line="360" w:lineRule="auto"/>
        <w:rPr>
          <w:rFonts w:ascii="Times New Roman" w:hAnsi="Times New Roman" w:cs="Times New Roman"/>
          <w:color w:val="000000" w:themeColor="text1"/>
        </w:rPr>
      </w:pPr>
      <w:r w:rsidRPr="00AF0CC3">
        <w:rPr>
          <w:rFonts w:ascii="Times New Roman" w:hAnsi="Times New Roman" w:cs="Times New Roman"/>
          <w:color w:val="000000" w:themeColor="text1"/>
        </w:rPr>
        <w:t>Table 3.1 shows the individual indicators used to construct the Governance Quality Index and the coding questions used during data collection. Each indicator reflects a specific governance practice related to a stage of the infrastructure project lifecycle.</w:t>
      </w:r>
    </w:p>
    <w:p w14:paraId="2183C4CE" w14:textId="77777777" w:rsidR="000B6A05" w:rsidRPr="00AF0CC3" w:rsidRDefault="000B6A05" w:rsidP="000B6A05">
      <w:pPr>
        <w:spacing w:line="360" w:lineRule="auto"/>
        <w:rPr>
          <w:rFonts w:ascii="Times New Roman" w:hAnsi="Times New Roman" w:cs="Times New Roman"/>
          <w:color w:val="000000" w:themeColor="text1"/>
        </w:rPr>
      </w:pPr>
    </w:p>
    <w:p w14:paraId="68260F49" w14:textId="20F46083" w:rsidR="00AC022A" w:rsidRPr="00AF0CC3" w:rsidRDefault="00AC022A" w:rsidP="00AC022A">
      <w:pPr>
        <w:pStyle w:val="Caption"/>
        <w:keepNext/>
        <w:rPr>
          <w:rFonts w:ascii="Times New Roman" w:hAnsi="Times New Roman" w:cs="Times New Roman"/>
          <w:sz w:val="24"/>
          <w:szCs w:val="24"/>
        </w:rPr>
      </w:pPr>
      <w:bookmarkStart w:id="247" w:name="_Toc234437364"/>
      <w:r w:rsidRPr="00AF0CC3">
        <w:rPr>
          <w:rFonts w:ascii="Times New Roman" w:hAnsi="Times New Roman" w:cs="Times New Roman"/>
          <w:sz w:val="24"/>
          <w:szCs w:val="24"/>
        </w:rPr>
        <w:t xml:space="preserve">Table </w:t>
      </w:r>
      <w:r w:rsidR="007F4206" w:rsidRPr="00AF0CC3">
        <w:rPr>
          <w:rFonts w:ascii="Times New Roman" w:hAnsi="Times New Roman" w:cs="Times New Roman"/>
          <w:sz w:val="24"/>
          <w:szCs w:val="24"/>
        </w:rPr>
        <w:fldChar w:fldCharType="begin"/>
      </w:r>
      <w:r w:rsidR="007F4206" w:rsidRPr="00AF0CC3">
        <w:rPr>
          <w:rFonts w:ascii="Times New Roman" w:hAnsi="Times New Roman" w:cs="Times New Roman"/>
          <w:sz w:val="24"/>
          <w:szCs w:val="24"/>
        </w:rPr>
        <w:instrText xml:space="preserve"> STYLEREF 1 \s </w:instrText>
      </w:r>
      <w:r w:rsidR="007F4206" w:rsidRPr="00AF0CC3">
        <w:rPr>
          <w:rFonts w:ascii="Times New Roman" w:hAnsi="Times New Roman" w:cs="Times New Roman"/>
          <w:sz w:val="24"/>
          <w:szCs w:val="24"/>
        </w:rPr>
        <w:fldChar w:fldCharType="separate"/>
      </w:r>
      <w:r w:rsidR="007F4206" w:rsidRPr="00AF0CC3">
        <w:rPr>
          <w:rFonts w:ascii="Times New Roman" w:hAnsi="Times New Roman" w:cs="Times New Roman"/>
          <w:noProof/>
          <w:sz w:val="24"/>
          <w:szCs w:val="24"/>
        </w:rPr>
        <w:t>3</w:t>
      </w:r>
      <w:r w:rsidR="007F4206" w:rsidRPr="00AF0CC3">
        <w:rPr>
          <w:rFonts w:ascii="Times New Roman" w:hAnsi="Times New Roman" w:cs="Times New Roman"/>
          <w:noProof/>
          <w:sz w:val="24"/>
          <w:szCs w:val="24"/>
        </w:rPr>
        <w:fldChar w:fldCharType="end"/>
      </w:r>
      <w:r w:rsidR="007F4206" w:rsidRPr="00AF0CC3">
        <w:rPr>
          <w:rFonts w:ascii="Times New Roman" w:hAnsi="Times New Roman" w:cs="Times New Roman"/>
          <w:sz w:val="24"/>
          <w:szCs w:val="24"/>
        </w:rPr>
        <w:noBreakHyphen/>
      </w:r>
      <w:r w:rsidR="007F4206" w:rsidRPr="00AF0CC3">
        <w:rPr>
          <w:rFonts w:ascii="Times New Roman" w:hAnsi="Times New Roman" w:cs="Times New Roman"/>
          <w:sz w:val="24"/>
          <w:szCs w:val="24"/>
        </w:rPr>
        <w:fldChar w:fldCharType="begin"/>
      </w:r>
      <w:r w:rsidR="007F4206" w:rsidRPr="00AF0CC3">
        <w:rPr>
          <w:rFonts w:ascii="Times New Roman" w:hAnsi="Times New Roman" w:cs="Times New Roman"/>
          <w:sz w:val="24"/>
          <w:szCs w:val="24"/>
        </w:rPr>
        <w:instrText xml:space="preserve"> SEQ Table \* ARABIC \s 1 </w:instrText>
      </w:r>
      <w:r w:rsidR="007F4206" w:rsidRPr="00AF0CC3">
        <w:rPr>
          <w:rFonts w:ascii="Times New Roman" w:hAnsi="Times New Roman" w:cs="Times New Roman"/>
          <w:sz w:val="24"/>
          <w:szCs w:val="24"/>
        </w:rPr>
        <w:fldChar w:fldCharType="separate"/>
      </w:r>
      <w:r w:rsidR="007F4206" w:rsidRPr="00AF0CC3">
        <w:rPr>
          <w:rFonts w:ascii="Times New Roman" w:hAnsi="Times New Roman" w:cs="Times New Roman"/>
          <w:noProof/>
          <w:sz w:val="24"/>
          <w:szCs w:val="24"/>
        </w:rPr>
        <w:t>1</w:t>
      </w:r>
      <w:r w:rsidR="007F4206" w:rsidRPr="00AF0CC3">
        <w:rPr>
          <w:rFonts w:ascii="Times New Roman" w:hAnsi="Times New Roman" w:cs="Times New Roman"/>
          <w:noProof/>
          <w:sz w:val="24"/>
          <w:szCs w:val="24"/>
        </w:rPr>
        <w:fldChar w:fldCharType="end"/>
      </w:r>
      <w:r w:rsidRPr="00AF0CC3">
        <w:rPr>
          <w:rFonts w:ascii="Times New Roman" w:hAnsi="Times New Roman" w:cs="Times New Roman"/>
          <w:sz w:val="24"/>
          <w:szCs w:val="24"/>
        </w:rPr>
        <w:t xml:space="preserve"> Governance Quality Index Indicators</w:t>
      </w:r>
      <w:bookmarkEnd w:id="247"/>
    </w:p>
    <w:tbl>
      <w:tblPr>
        <w:tblW w:w="0" w:type="auto"/>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1627"/>
        <w:gridCol w:w="2021"/>
        <w:gridCol w:w="5702"/>
      </w:tblGrid>
      <w:tr w:rsidR="000B6A05" w:rsidRPr="00AF0CC3" w14:paraId="28EDF894" w14:textId="77777777" w:rsidTr="00E73C98">
        <w:trPr>
          <w:tblHeader/>
          <w:tblCellSpacing w:w="15" w:type="dxa"/>
        </w:trPr>
        <w:tc>
          <w:tcPr>
            <w:tcW w:w="0" w:type="auto"/>
            <w:vAlign w:val="center"/>
            <w:hideMark/>
          </w:tcPr>
          <w:p w14:paraId="4690B36C" w14:textId="77777777" w:rsidR="000B6A05" w:rsidRPr="00AF0CC3" w:rsidRDefault="000B6A05" w:rsidP="00E73C98">
            <w:pPr>
              <w:spacing w:after="0" w:line="360" w:lineRule="auto"/>
              <w:jc w:val="center"/>
              <w:rPr>
                <w:rFonts w:ascii="Times New Roman" w:eastAsia="Times New Roman" w:hAnsi="Times New Roman" w:cs="Times New Roman"/>
                <w:b/>
                <w:bCs/>
                <w:color w:val="000000" w:themeColor="text1"/>
                <w:kern w:val="0"/>
                <w14:ligatures w14:val="none"/>
              </w:rPr>
            </w:pPr>
            <w:r w:rsidRPr="00AF0CC3">
              <w:rPr>
                <w:rFonts w:ascii="Times New Roman" w:eastAsia="Times New Roman" w:hAnsi="Times New Roman" w:cs="Times New Roman"/>
                <w:b/>
                <w:bCs/>
                <w:color w:val="000000" w:themeColor="text1"/>
                <w:kern w:val="0"/>
                <w14:ligatures w14:val="none"/>
              </w:rPr>
              <w:t>Lifecycle Stage</w:t>
            </w:r>
          </w:p>
        </w:tc>
        <w:tc>
          <w:tcPr>
            <w:tcW w:w="0" w:type="auto"/>
            <w:vAlign w:val="center"/>
            <w:hideMark/>
          </w:tcPr>
          <w:p w14:paraId="384019D1" w14:textId="77777777" w:rsidR="000B6A05" w:rsidRPr="00AF0CC3" w:rsidRDefault="000B6A05" w:rsidP="00E73C98">
            <w:pPr>
              <w:spacing w:after="0" w:line="360" w:lineRule="auto"/>
              <w:jc w:val="center"/>
              <w:rPr>
                <w:rFonts w:ascii="Times New Roman" w:eastAsia="Times New Roman" w:hAnsi="Times New Roman" w:cs="Times New Roman"/>
                <w:b/>
                <w:bCs/>
                <w:color w:val="000000" w:themeColor="text1"/>
                <w:kern w:val="0"/>
                <w14:ligatures w14:val="none"/>
              </w:rPr>
            </w:pPr>
            <w:r w:rsidRPr="00AF0CC3">
              <w:rPr>
                <w:rFonts w:ascii="Times New Roman" w:eastAsia="Times New Roman" w:hAnsi="Times New Roman" w:cs="Times New Roman"/>
                <w:b/>
                <w:bCs/>
                <w:color w:val="000000" w:themeColor="text1"/>
                <w:kern w:val="0"/>
                <w14:ligatures w14:val="none"/>
              </w:rPr>
              <w:t>Indicator</w:t>
            </w:r>
          </w:p>
        </w:tc>
        <w:tc>
          <w:tcPr>
            <w:tcW w:w="0" w:type="auto"/>
            <w:vAlign w:val="center"/>
            <w:hideMark/>
          </w:tcPr>
          <w:p w14:paraId="0E2B29C4" w14:textId="77777777" w:rsidR="000B6A05" w:rsidRPr="00AF0CC3" w:rsidRDefault="000B6A05" w:rsidP="00E73C98">
            <w:pPr>
              <w:spacing w:after="0" w:line="360" w:lineRule="auto"/>
              <w:jc w:val="center"/>
              <w:rPr>
                <w:rFonts w:ascii="Times New Roman" w:eastAsia="Times New Roman" w:hAnsi="Times New Roman" w:cs="Times New Roman"/>
                <w:b/>
                <w:bCs/>
                <w:color w:val="000000" w:themeColor="text1"/>
                <w:kern w:val="0"/>
                <w14:ligatures w14:val="none"/>
              </w:rPr>
            </w:pPr>
            <w:r w:rsidRPr="00AF0CC3">
              <w:rPr>
                <w:rFonts w:ascii="Times New Roman" w:eastAsia="Times New Roman" w:hAnsi="Times New Roman" w:cs="Times New Roman"/>
                <w:b/>
                <w:bCs/>
                <w:color w:val="000000" w:themeColor="text1"/>
                <w:kern w:val="0"/>
                <w14:ligatures w14:val="none"/>
              </w:rPr>
              <w:t>Coding Question</w:t>
            </w:r>
          </w:p>
        </w:tc>
      </w:tr>
      <w:tr w:rsidR="000B6A05" w:rsidRPr="00AF0CC3" w14:paraId="358C9E2E" w14:textId="77777777" w:rsidTr="00E73C98">
        <w:trPr>
          <w:tblCellSpacing w:w="15" w:type="dxa"/>
        </w:trPr>
        <w:tc>
          <w:tcPr>
            <w:tcW w:w="0" w:type="auto"/>
            <w:vAlign w:val="center"/>
            <w:hideMark/>
          </w:tcPr>
          <w:p w14:paraId="4C661E55" w14:textId="77777777" w:rsidR="000B6A05" w:rsidRPr="00AF0CC3" w:rsidRDefault="000B6A05" w:rsidP="00E73C98">
            <w:pPr>
              <w:spacing w:after="0" w:line="360" w:lineRule="auto"/>
              <w:rPr>
                <w:rFonts w:ascii="Times New Roman" w:eastAsia="Times New Roman" w:hAnsi="Times New Roman" w:cs="Times New Roman"/>
                <w:color w:val="000000" w:themeColor="text1"/>
                <w:kern w:val="0"/>
                <w14:ligatures w14:val="none"/>
              </w:rPr>
            </w:pPr>
            <w:r w:rsidRPr="00AF0CC3">
              <w:rPr>
                <w:rFonts w:ascii="Times New Roman" w:eastAsia="Times New Roman" w:hAnsi="Times New Roman" w:cs="Times New Roman"/>
                <w:color w:val="000000" w:themeColor="text1"/>
                <w:kern w:val="0"/>
                <w14:ligatures w14:val="none"/>
              </w:rPr>
              <w:t>Preparation</w:t>
            </w:r>
          </w:p>
        </w:tc>
        <w:tc>
          <w:tcPr>
            <w:tcW w:w="0" w:type="auto"/>
            <w:vAlign w:val="center"/>
            <w:hideMark/>
          </w:tcPr>
          <w:p w14:paraId="04A6712F" w14:textId="77777777" w:rsidR="000B6A05" w:rsidRPr="00AF0CC3" w:rsidRDefault="000B6A05" w:rsidP="00E73C98">
            <w:pPr>
              <w:spacing w:after="0" w:line="360" w:lineRule="auto"/>
              <w:rPr>
                <w:rFonts w:ascii="Times New Roman" w:eastAsia="Times New Roman" w:hAnsi="Times New Roman" w:cs="Times New Roman"/>
                <w:color w:val="000000" w:themeColor="text1"/>
                <w:kern w:val="0"/>
                <w14:ligatures w14:val="none"/>
              </w:rPr>
            </w:pPr>
            <w:r w:rsidRPr="00AF0CC3">
              <w:rPr>
                <w:rFonts w:ascii="Times New Roman" w:eastAsia="Times New Roman" w:hAnsi="Times New Roman" w:cs="Times New Roman"/>
                <w:color w:val="000000" w:themeColor="text1"/>
                <w:kern w:val="0"/>
                <w14:ligatures w14:val="none"/>
              </w:rPr>
              <w:t>Feasibility study quality</w:t>
            </w:r>
          </w:p>
        </w:tc>
        <w:tc>
          <w:tcPr>
            <w:tcW w:w="0" w:type="auto"/>
            <w:vAlign w:val="center"/>
            <w:hideMark/>
          </w:tcPr>
          <w:p w14:paraId="0050C470" w14:textId="77777777" w:rsidR="000B6A05" w:rsidRPr="00AF0CC3" w:rsidRDefault="000B6A05" w:rsidP="00E73C98">
            <w:pPr>
              <w:spacing w:after="0" w:line="360" w:lineRule="auto"/>
              <w:rPr>
                <w:rFonts w:ascii="Times New Roman" w:eastAsia="Times New Roman" w:hAnsi="Times New Roman" w:cs="Times New Roman"/>
                <w:color w:val="000000" w:themeColor="text1"/>
                <w:kern w:val="0"/>
                <w14:ligatures w14:val="none"/>
              </w:rPr>
            </w:pPr>
            <w:r w:rsidRPr="00AF0CC3">
              <w:rPr>
                <w:rFonts w:ascii="Times New Roman" w:eastAsia="Times New Roman" w:hAnsi="Times New Roman" w:cs="Times New Roman"/>
                <w:color w:val="000000" w:themeColor="text1"/>
                <w:kern w:val="0"/>
                <w14:ligatures w14:val="none"/>
              </w:rPr>
              <w:t>Was a full technical and financial feasibility study completed before project approval?</w:t>
            </w:r>
          </w:p>
        </w:tc>
      </w:tr>
      <w:tr w:rsidR="000B6A05" w:rsidRPr="00AF0CC3" w14:paraId="7B59694D" w14:textId="77777777" w:rsidTr="00E73C98">
        <w:trPr>
          <w:tblCellSpacing w:w="15" w:type="dxa"/>
        </w:trPr>
        <w:tc>
          <w:tcPr>
            <w:tcW w:w="0" w:type="auto"/>
            <w:vAlign w:val="center"/>
            <w:hideMark/>
          </w:tcPr>
          <w:p w14:paraId="6E9D2BF8" w14:textId="77777777" w:rsidR="000B6A05" w:rsidRPr="00AF0CC3" w:rsidRDefault="000B6A05" w:rsidP="00E73C98">
            <w:pPr>
              <w:spacing w:after="0" w:line="360" w:lineRule="auto"/>
              <w:rPr>
                <w:rFonts w:ascii="Times New Roman" w:eastAsia="Times New Roman" w:hAnsi="Times New Roman" w:cs="Times New Roman"/>
                <w:color w:val="000000" w:themeColor="text1"/>
                <w:kern w:val="0"/>
                <w14:ligatures w14:val="none"/>
              </w:rPr>
            </w:pPr>
            <w:r w:rsidRPr="00AF0CC3">
              <w:rPr>
                <w:rFonts w:ascii="Times New Roman" w:eastAsia="Times New Roman" w:hAnsi="Times New Roman" w:cs="Times New Roman"/>
                <w:color w:val="000000" w:themeColor="text1"/>
                <w:kern w:val="0"/>
                <w14:ligatures w14:val="none"/>
              </w:rPr>
              <w:t>Preparation</w:t>
            </w:r>
          </w:p>
        </w:tc>
        <w:tc>
          <w:tcPr>
            <w:tcW w:w="0" w:type="auto"/>
            <w:vAlign w:val="center"/>
            <w:hideMark/>
          </w:tcPr>
          <w:p w14:paraId="1EACA87B" w14:textId="77777777" w:rsidR="000B6A05" w:rsidRPr="00AF0CC3" w:rsidRDefault="000B6A05" w:rsidP="00E73C98">
            <w:pPr>
              <w:spacing w:after="0" w:line="360" w:lineRule="auto"/>
              <w:rPr>
                <w:rFonts w:ascii="Times New Roman" w:eastAsia="Times New Roman" w:hAnsi="Times New Roman" w:cs="Times New Roman"/>
                <w:color w:val="000000" w:themeColor="text1"/>
                <w:kern w:val="0"/>
                <w14:ligatures w14:val="none"/>
              </w:rPr>
            </w:pPr>
            <w:r w:rsidRPr="00AF0CC3">
              <w:rPr>
                <w:rFonts w:ascii="Times New Roman" w:eastAsia="Times New Roman" w:hAnsi="Times New Roman" w:cs="Times New Roman"/>
                <w:color w:val="000000" w:themeColor="text1"/>
                <w:kern w:val="0"/>
                <w14:ligatures w14:val="none"/>
              </w:rPr>
              <w:t>Risk assessment</w:t>
            </w:r>
          </w:p>
        </w:tc>
        <w:tc>
          <w:tcPr>
            <w:tcW w:w="0" w:type="auto"/>
            <w:vAlign w:val="center"/>
            <w:hideMark/>
          </w:tcPr>
          <w:p w14:paraId="60C83300" w14:textId="77777777" w:rsidR="000B6A05" w:rsidRPr="00AF0CC3" w:rsidRDefault="000B6A05" w:rsidP="00E73C98">
            <w:pPr>
              <w:spacing w:after="0" w:line="360" w:lineRule="auto"/>
              <w:rPr>
                <w:rFonts w:ascii="Times New Roman" w:eastAsia="Times New Roman" w:hAnsi="Times New Roman" w:cs="Times New Roman"/>
                <w:color w:val="000000" w:themeColor="text1"/>
                <w:kern w:val="0"/>
                <w14:ligatures w14:val="none"/>
              </w:rPr>
            </w:pPr>
            <w:r w:rsidRPr="00AF0CC3">
              <w:rPr>
                <w:rFonts w:ascii="Times New Roman" w:eastAsia="Times New Roman" w:hAnsi="Times New Roman" w:cs="Times New Roman"/>
                <w:color w:val="000000" w:themeColor="text1"/>
                <w:kern w:val="0"/>
                <w14:ligatures w14:val="none"/>
              </w:rPr>
              <w:t>Were environmental, land, and social risks formally assessed?</w:t>
            </w:r>
          </w:p>
        </w:tc>
      </w:tr>
      <w:tr w:rsidR="000B6A05" w:rsidRPr="00AF0CC3" w14:paraId="53E859D0" w14:textId="77777777" w:rsidTr="00E73C98">
        <w:trPr>
          <w:tblCellSpacing w:w="15" w:type="dxa"/>
        </w:trPr>
        <w:tc>
          <w:tcPr>
            <w:tcW w:w="0" w:type="auto"/>
            <w:vAlign w:val="center"/>
            <w:hideMark/>
          </w:tcPr>
          <w:p w14:paraId="3029BB2A" w14:textId="77777777" w:rsidR="000B6A05" w:rsidRPr="00AF0CC3" w:rsidRDefault="000B6A05" w:rsidP="00E73C98">
            <w:pPr>
              <w:spacing w:after="0" w:line="360" w:lineRule="auto"/>
              <w:rPr>
                <w:rFonts w:ascii="Times New Roman" w:eastAsia="Times New Roman" w:hAnsi="Times New Roman" w:cs="Times New Roman"/>
                <w:color w:val="000000" w:themeColor="text1"/>
                <w:kern w:val="0"/>
                <w14:ligatures w14:val="none"/>
              </w:rPr>
            </w:pPr>
            <w:r w:rsidRPr="00AF0CC3">
              <w:rPr>
                <w:rFonts w:ascii="Times New Roman" w:eastAsia="Times New Roman" w:hAnsi="Times New Roman" w:cs="Times New Roman"/>
                <w:color w:val="000000" w:themeColor="text1"/>
                <w:kern w:val="0"/>
                <w14:ligatures w14:val="none"/>
              </w:rPr>
              <w:t>Procurement</w:t>
            </w:r>
          </w:p>
        </w:tc>
        <w:tc>
          <w:tcPr>
            <w:tcW w:w="0" w:type="auto"/>
            <w:vAlign w:val="center"/>
            <w:hideMark/>
          </w:tcPr>
          <w:p w14:paraId="4BFE0E67" w14:textId="77777777" w:rsidR="000B6A05" w:rsidRPr="00AF0CC3" w:rsidRDefault="000B6A05" w:rsidP="00E73C98">
            <w:pPr>
              <w:spacing w:after="0" w:line="360" w:lineRule="auto"/>
              <w:rPr>
                <w:rFonts w:ascii="Times New Roman" w:eastAsia="Times New Roman" w:hAnsi="Times New Roman" w:cs="Times New Roman"/>
                <w:color w:val="000000" w:themeColor="text1"/>
                <w:kern w:val="0"/>
                <w14:ligatures w14:val="none"/>
              </w:rPr>
            </w:pPr>
            <w:r w:rsidRPr="00AF0CC3">
              <w:rPr>
                <w:rFonts w:ascii="Times New Roman" w:eastAsia="Times New Roman" w:hAnsi="Times New Roman" w:cs="Times New Roman"/>
                <w:color w:val="000000" w:themeColor="text1"/>
                <w:kern w:val="0"/>
                <w14:ligatures w14:val="none"/>
              </w:rPr>
              <w:t>Transparent procurement</w:t>
            </w:r>
          </w:p>
        </w:tc>
        <w:tc>
          <w:tcPr>
            <w:tcW w:w="0" w:type="auto"/>
            <w:vAlign w:val="center"/>
            <w:hideMark/>
          </w:tcPr>
          <w:p w14:paraId="6C7B5E95" w14:textId="77777777" w:rsidR="000B6A05" w:rsidRPr="00AF0CC3" w:rsidRDefault="000B6A05" w:rsidP="00E73C98">
            <w:pPr>
              <w:spacing w:after="0" w:line="360" w:lineRule="auto"/>
              <w:rPr>
                <w:rFonts w:ascii="Times New Roman" w:eastAsia="Times New Roman" w:hAnsi="Times New Roman" w:cs="Times New Roman"/>
                <w:color w:val="000000" w:themeColor="text1"/>
                <w:kern w:val="0"/>
                <w14:ligatures w14:val="none"/>
              </w:rPr>
            </w:pPr>
            <w:r w:rsidRPr="00AF0CC3">
              <w:rPr>
                <w:rFonts w:ascii="Times New Roman" w:eastAsia="Times New Roman" w:hAnsi="Times New Roman" w:cs="Times New Roman"/>
                <w:color w:val="000000" w:themeColor="text1"/>
                <w:kern w:val="0"/>
                <w14:ligatures w14:val="none"/>
              </w:rPr>
              <w:t>Was the contractor selected through competitive bidding?</w:t>
            </w:r>
          </w:p>
        </w:tc>
      </w:tr>
      <w:tr w:rsidR="000B6A05" w:rsidRPr="00AF0CC3" w14:paraId="5E179326" w14:textId="77777777" w:rsidTr="00E73C98">
        <w:trPr>
          <w:tblCellSpacing w:w="15" w:type="dxa"/>
        </w:trPr>
        <w:tc>
          <w:tcPr>
            <w:tcW w:w="0" w:type="auto"/>
            <w:vAlign w:val="center"/>
            <w:hideMark/>
          </w:tcPr>
          <w:p w14:paraId="13CA58C2" w14:textId="77777777" w:rsidR="000B6A05" w:rsidRPr="00AF0CC3" w:rsidRDefault="000B6A05" w:rsidP="00E73C98">
            <w:pPr>
              <w:spacing w:after="0" w:line="360" w:lineRule="auto"/>
              <w:rPr>
                <w:rFonts w:ascii="Times New Roman" w:eastAsia="Times New Roman" w:hAnsi="Times New Roman" w:cs="Times New Roman"/>
                <w:color w:val="000000" w:themeColor="text1"/>
                <w:kern w:val="0"/>
                <w14:ligatures w14:val="none"/>
              </w:rPr>
            </w:pPr>
            <w:r w:rsidRPr="00AF0CC3">
              <w:rPr>
                <w:rFonts w:ascii="Times New Roman" w:eastAsia="Times New Roman" w:hAnsi="Times New Roman" w:cs="Times New Roman"/>
                <w:color w:val="000000" w:themeColor="text1"/>
                <w:kern w:val="0"/>
                <w14:ligatures w14:val="none"/>
              </w:rPr>
              <w:t>Procurement</w:t>
            </w:r>
          </w:p>
        </w:tc>
        <w:tc>
          <w:tcPr>
            <w:tcW w:w="0" w:type="auto"/>
            <w:vAlign w:val="center"/>
            <w:hideMark/>
          </w:tcPr>
          <w:p w14:paraId="54BBB5EF" w14:textId="77777777" w:rsidR="000B6A05" w:rsidRPr="00AF0CC3" w:rsidRDefault="000B6A05" w:rsidP="00E73C98">
            <w:pPr>
              <w:spacing w:after="0" w:line="360" w:lineRule="auto"/>
              <w:rPr>
                <w:rFonts w:ascii="Times New Roman" w:eastAsia="Times New Roman" w:hAnsi="Times New Roman" w:cs="Times New Roman"/>
                <w:color w:val="000000" w:themeColor="text1"/>
                <w:kern w:val="0"/>
                <w14:ligatures w14:val="none"/>
              </w:rPr>
            </w:pPr>
            <w:r w:rsidRPr="00AF0CC3">
              <w:rPr>
                <w:rFonts w:ascii="Times New Roman" w:eastAsia="Times New Roman" w:hAnsi="Times New Roman" w:cs="Times New Roman"/>
                <w:color w:val="000000" w:themeColor="text1"/>
                <w:kern w:val="0"/>
                <w14:ligatures w14:val="none"/>
              </w:rPr>
              <w:t>Contract clarity</w:t>
            </w:r>
          </w:p>
        </w:tc>
        <w:tc>
          <w:tcPr>
            <w:tcW w:w="0" w:type="auto"/>
            <w:vAlign w:val="center"/>
            <w:hideMark/>
          </w:tcPr>
          <w:p w14:paraId="403F7927" w14:textId="77777777" w:rsidR="000B6A05" w:rsidRPr="00AF0CC3" w:rsidRDefault="000B6A05" w:rsidP="00E73C98">
            <w:pPr>
              <w:spacing w:after="0" w:line="360" w:lineRule="auto"/>
              <w:rPr>
                <w:rFonts w:ascii="Times New Roman" w:eastAsia="Times New Roman" w:hAnsi="Times New Roman" w:cs="Times New Roman"/>
                <w:color w:val="000000" w:themeColor="text1"/>
                <w:kern w:val="0"/>
                <w14:ligatures w14:val="none"/>
              </w:rPr>
            </w:pPr>
            <w:r w:rsidRPr="00AF0CC3">
              <w:rPr>
                <w:rFonts w:ascii="Times New Roman" w:eastAsia="Times New Roman" w:hAnsi="Times New Roman" w:cs="Times New Roman"/>
                <w:color w:val="000000" w:themeColor="text1"/>
                <w:kern w:val="0"/>
                <w14:ligatures w14:val="none"/>
              </w:rPr>
              <w:t>Are responsibilities and risk allocation clearly defined in contracts?</w:t>
            </w:r>
          </w:p>
        </w:tc>
      </w:tr>
      <w:tr w:rsidR="000B6A05" w:rsidRPr="00AF0CC3" w14:paraId="2A96848C" w14:textId="77777777" w:rsidTr="00E73C98">
        <w:trPr>
          <w:tblCellSpacing w:w="15" w:type="dxa"/>
        </w:trPr>
        <w:tc>
          <w:tcPr>
            <w:tcW w:w="0" w:type="auto"/>
            <w:vAlign w:val="center"/>
            <w:hideMark/>
          </w:tcPr>
          <w:p w14:paraId="49750BAB" w14:textId="77777777" w:rsidR="000B6A05" w:rsidRPr="00AF0CC3" w:rsidRDefault="000B6A05" w:rsidP="00E73C98">
            <w:pPr>
              <w:spacing w:after="0" w:line="360" w:lineRule="auto"/>
              <w:rPr>
                <w:rFonts w:ascii="Times New Roman" w:eastAsia="Times New Roman" w:hAnsi="Times New Roman" w:cs="Times New Roman"/>
                <w:color w:val="000000" w:themeColor="text1"/>
                <w:kern w:val="0"/>
                <w14:ligatures w14:val="none"/>
              </w:rPr>
            </w:pPr>
            <w:r w:rsidRPr="00AF0CC3">
              <w:rPr>
                <w:rFonts w:ascii="Times New Roman" w:eastAsia="Times New Roman" w:hAnsi="Times New Roman" w:cs="Times New Roman"/>
                <w:color w:val="000000" w:themeColor="text1"/>
                <w:kern w:val="0"/>
                <w14:ligatures w14:val="none"/>
              </w:rPr>
              <w:t>Implementation</w:t>
            </w:r>
          </w:p>
        </w:tc>
        <w:tc>
          <w:tcPr>
            <w:tcW w:w="0" w:type="auto"/>
            <w:vAlign w:val="center"/>
            <w:hideMark/>
          </w:tcPr>
          <w:p w14:paraId="2A4D8A6C" w14:textId="77777777" w:rsidR="000B6A05" w:rsidRPr="00AF0CC3" w:rsidRDefault="000B6A05" w:rsidP="00E73C98">
            <w:pPr>
              <w:spacing w:after="0" w:line="360" w:lineRule="auto"/>
              <w:rPr>
                <w:rFonts w:ascii="Times New Roman" w:eastAsia="Times New Roman" w:hAnsi="Times New Roman" w:cs="Times New Roman"/>
                <w:color w:val="000000" w:themeColor="text1"/>
                <w:kern w:val="0"/>
                <w14:ligatures w14:val="none"/>
              </w:rPr>
            </w:pPr>
            <w:r w:rsidRPr="00AF0CC3">
              <w:rPr>
                <w:rFonts w:ascii="Times New Roman" w:eastAsia="Times New Roman" w:hAnsi="Times New Roman" w:cs="Times New Roman"/>
                <w:color w:val="000000" w:themeColor="text1"/>
                <w:kern w:val="0"/>
                <w14:ligatures w14:val="none"/>
              </w:rPr>
              <w:t>Monitoring mechanisms</w:t>
            </w:r>
          </w:p>
        </w:tc>
        <w:tc>
          <w:tcPr>
            <w:tcW w:w="0" w:type="auto"/>
            <w:vAlign w:val="center"/>
            <w:hideMark/>
          </w:tcPr>
          <w:p w14:paraId="7BC408E7" w14:textId="77777777" w:rsidR="000B6A05" w:rsidRPr="00AF0CC3" w:rsidRDefault="000B6A05" w:rsidP="00E73C98">
            <w:pPr>
              <w:spacing w:after="0" w:line="360" w:lineRule="auto"/>
              <w:rPr>
                <w:rFonts w:ascii="Times New Roman" w:eastAsia="Times New Roman" w:hAnsi="Times New Roman" w:cs="Times New Roman"/>
                <w:color w:val="000000" w:themeColor="text1"/>
                <w:kern w:val="0"/>
                <w14:ligatures w14:val="none"/>
              </w:rPr>
            </w:pPr>
            <w:r w:rsidRPr="00AF0CC3">
              <w:rPr>
                <w:rFonts w:ascii="Times New Roman" w:eastAsia="Times New Roman" w:hAnsi="Times New Roman" w:cs="Times New Roman"/>
                <w:color w:val="000000" w:themeColor="text1"/>
                <w:kern w:val="0"/>
                <w14:ligatures w14:val="none"/>
              </w:rPr>
              <w:t>Were formal project monitoring systems established?</w:t>
            </w:r>
          </w:p>
        </w:tc>
      </w:tr>
      <w:tr w:rsidR="000B6A05" w:rsidRPr="00AF0CC3" w14:paraId="2BFAFC68" w14:textId="77777777" w:rsidTr="00E73C98">
        <w:trPr>
          <w:tblCellSpacing w:w="15" w:type="dxa"/>
        </w:trPr>
        <w:tc>
          <w:tcPr>
            <w:tcW w:w="0" w:type="auto"/>
            <w:vAlign w:val="center"/>
            <w:hideMark/>
          </w:tcPr>
          <w:p w14:paraId="6B67C7CC" w14:textId="77777777" w:rsidR="000B6A05" w:rsidRPr="00AF0CC3" w:rsidRDefault="000B6A05" w:rsidP="00E73C98">
            <w:pPr>
              <w:spacing w:after="0" w:line="360" w:lineRule="auto"/>
              <w:rPr>
                <w:rFonts w:ascii="Times New Roman" w:eastAsia="Times New Roman" w:hAnsi="Times New Roman" w:cs="Times New Roman"/>
                <w:color w:val="000000" w:themeColor="text1"/>
                <w:kern w:val="0"/>
                <w14:ligatures w14:val="none"/>
              </w:rPr>
            </w:pPr>
            <w:r w:rsidRPr="00AF0CC3">
              <w:rPr>
                <w:rFonts w:ascii="Times New Roman" w:eastAsia="Times New Roman" w:hAnsi="Times New Roman" w:cs="Times New Roman"/>
                <w:color w:val="000000" w:themeColor="text1"/>
                <w:kern w:val="0"/>
                <w14:ligatures w14:val="none"/>
              </w:rPr>
              <w:t>Implementation</w:t>
            </w:r>
          </w:p>
        </w:tc>
        <w:tc>
          <w:tcPr>
            <w:tcW w:w="0" w:type="auto"/>
            <w:vAlign w:val="center"/>
            <w:hideMark/>
          </w:tcPr>
          <w:p w14:paraId="0768CE41" w14:textId="77777777" w:rsidR="000B6A05" w:rsidRPr="00AF0CC3" w:rsidRDefault="000B6A05" w:rsidP="00E73C98">
            <w:pPr>
              <w:spacing w:after="0" w:line="360" w:lineRule="auto"/>
              <w:rPr>
                <w:rFonts w:ascii="Times New Roman" w:eastAsia="Times New Roman" w:hAnsi="Times New Roman" w:cs="Times New Roman"/>
                <w:color w:val="000000" w:themeColor="text1"/>
                <w:kern w:val="0"/>
                <w14:ligatures w14:val="none"/>
              </w:rPr>
            </w:pPr>
            <w:r w:rsidRPr="00AF0CC3">
              <w:rPr>
                <w:rFonts w:ascii="Times New Roman" w:eastAsia="Times New Roman" w:hAnsi="Times New Roman" w:cs="Times New Roman"/>
                <w:color w:val="000000" w:themeColor="text1"/>
                <w:kern w:val="0"/>
                <w14:ligatures w14:val="none"/>
              </w:rPr>
              <w:t>Payment management</w:t>
            </w:r>
          </w:p>
        </w:tc>
        <w:tc>
          <w:tcPr>
            <w:tcW w:w="0" w:type="auto"/>
            <w:vAlign w:val="center"/>
            <w:hideMark/>
          </w:tcPr>
          <w:p w14:paraId="5ABD51E1" w14:textId="77777777" w:rsidR="000B6A05" w:rsidRPr="00AF0CC3" w:rsidRDefault="000B6A05" w:rsidP="00E73C98">
            <w:pPr>
              <w:spacing w:after="0" w:line="360" w:lineRule="auto"/>
              <w:rPr>
                <w:rFonts w:ascii="Times New Roman" w:eastAsia="Times New Roman" w:hAnsi="Times New Roman" w:cs="Times New Roman"/>
                <w:color w:val="000000" w:themeColor="text1"/>
                <w:kern w:val="0"/>
                <w14:ligatures w14:val="none"/>
              </w:rPr>
            </w:pPr>
            <w:r w:rsidRPr="00AF0CC3">
              <w:rPr>
                <w:rFonts w:ascii="Times New Roman" w:eastAsia="Times New Roman" w:hAnsi="Times New Roman" w:cs="Times New Roman"/>
                <w:color w:val="000000" w:themeColor="text1"/>
                <w:kern w:val="0"/>
                <w14:ligatures w14:val="none"/>
              </w:rPr>
              <w:t>Were contractor payments made on schedule without prolonged arrears?</w:t>
            </w:r>
          </w:p>
        </w:tc>
      </w:tr>
      <w:tr w:rsidR="000B6A05" w:rsidRPr="00AF0CC3" w14:paraId="40F34BD4" w14:textId="77777777" w:rsidTr="00E73C98">
        <w:trPr>
          <w:tblCellSpacing w:w="15" w:type="dxa"/>
        </w:trPr>
        <w:tc>
          <w:tcPr>
            <w:tcW w:w="0" w:type="auto"/>
            <w:vAlign w:val="center"/>
            <w:hideMark/>
          </w:tcPr>
          <w:p w14:paraId="56B1E930" w14:textId="77777777" w:rsidR="000B6A05" w:rsidRPr="00AF0CC3" w:rsidRDefault="000B6A05" w:rsidP="00E73C98">
            <w:pPr>
              <w:spacing w:after="0" w:line="360" w:lineRule="auto"/>
              <w:rPr>
                <w:rFonts w:ascii="Times New Roman" w:eastAsia="Times New Roman" w:hAnsi="Times New Roman" w:cs="Times New Roman"/>
                <w:color w:val="000000" w:themeColor="text1"/>
                <w:kern w:val="0"/>
                <w14:ligatures w14:val="none"/>
              </w:rPr>
            </w:pPr>
            <w:r w:rsidRPr="00AF0CC3">
              <w:rPr>
                <w:rFonts w:ascii="Times New Roman" w:eastAsia="Times New Roman" w:hAnsi="Times New Roman" w:cs="Times New Roman"/>
                <w:color w:val="000000" w:themeColor="text1"/>
                <w:kern w:val="0"/>
                <w14:ligatures w14:val="none"/>
              </w:rPr>
              <w:t>Oversight</w:t>
            </w:r>
          </w:p>
        </w:tc>
        <w:tc>
          <w:tcPr>
            <w:tcW w:w="0" w:type="auto"/>
            <w:vAlign w:val="center"/>
            <w:hideMark/>
          </w:tcPr>
          <w:p w14:paraId="024BB440" w14:textId="77777777" w:rsidR="000B6A05" w:rsidRPr="00AF0CC3" w:rsidRDefault="000B6A05" w:rsidP="00E73C98">
            <w:pPr>
              <w:spacing w:after="0" w:line="360" w:lineRule="auto"/>
              <w:rPr>
                <w:rFonts w:ascii="Times New Roman" w:eastAsia="Times New Roman" w:hAnsi="Times New Roman" w:cs="Times New Roman"/>
                <w:color w:val="000000" w:themeColor="text1"/>
                <w:kern w:val="0"/>
                <w14:ligatures w14:val="none"/>
              </w:rPr>
            </w:pPr>
            <w:r w:rsidRPr="00AF0CC3">
              <w:rPr>
                <w:rFonts w:ascii="Times New Roman" w:eastAsia="Times New Roman" w:hAnsi="Times New Roman" w:cs="Times New Roman"/>
                <w:color w:val="000000" w:themeColor="text1"/>
                <w:kern w:val="0"/>
                <w14:ligatures w14:val="none"/>
              </w:rPr>
              <w:t>Independent audit</w:t>
            </w:r>
          </w:p>
        </w:tc>
        <w:tc>
          <w:tcPr>
            <w:tcW w:w="0" w:type="auto"/>
            <w:vAlign w:val="center"/>
            <w:hideMark/>
          </w:tcPr>
          <w:p w14:paraId="2D4EBE9D" w14:textId="77777777" w:rsidR="000B6A05" w:rsidRPr="00AF0CC3" w:rsidRDefault="000B6A05" w:rsidP="00E73C98">
            <w:pPr>
              <w:spacing w:after="0" w:line="360" w:lineRule="auto"/>
              <w:rPr>
                <w:rFonts w:ascii="Times New Roman" w:eastAsia="Times New Roman" w:hAnsi="Times New Roman" w:cs="Times New Roman"/>
                <w:color w:val="000000" w:themeColor="text1"/>
                <w:kern w:val="0"/>
                <w14:ligatures w14:val="none"/>
              </w:rPr>
            </w:pPr>
            <w:r w:rsidRPr="00AF0CC3">
              <w:rPr>
                <w:rFonts w:ascii="Times New Roman" w:eastAsia="Times New Roman" w:hAnsi="Times New Roman" w:cs="Times New Roman"/>
                <w:color w:val="000000" w:themeColor="text1"/>
                <w:kern w:val="0"/>
                <w14:ligatures w14:val="none"/>
              </w:rPr>
              <w:t>Was the project subject to external oversight or audit?</w:t>
            </w:r>
          </w:p>
        </w:tc>
      </w:tr>
      <w:tr w:rsidR="000B6A05" w:rsidRPr="00AF0CC3" w14:paraId="7D23E59C" w14:textId="77777777" w:rsidTr="00E73C98">
        <w:trPr>
          <w:tblCellSpacing w:w="15" w:type="dxa"/>
        </w:trPr>
        <w:tc>
          <w:tcPr>
            <w:tcW w:w="0" w:type="auto"/>
            <w:vAlign w:val="center"/>
            <w:hideMark/>
          </w:tcPr>
          <w:p w14:paraId="50B0D6BC" w14:textId="77777777" w:rsidR="000B6A05" w:rsidRPr="00AF0CC3" w:rsidRDefault="000B6A05" w:rsidP="00E73C98">
            <w:pPr>
              <w:spacing w:after="0" w:line="360" w:lineRule="auto"/>
              <w:rPr>
                <w:rFonts w:ascii="Times New Roman" w:eastAsia="Times New Roman" w:hAnsi="Times New Roman" w:cs="Times New Roman"/>
                <w:color w:val="000000" w:themeColor="text1"/>
                <w:kern w:val="0"/>
                <w14:ligatures w14:val="none"/>
              </w:rPr>
            </w:pPr>
            <w:r w:rsidRPr="00AF0CC3">
              <w:rPr>
                <w:rFonts w:ascii="Times New Roman" w:eastAsia="Times New Roman" w:hAnsi="Times New Roman" w:cs="Times New Roman"/>
                <w:color w:val="000000" w:themeColor="text1"/>
                <w:kern w:val="0"/>
                <w14:ligatures w14:val="none"/>
              </w:rPr>
              <w:t>Oversight</w:t>
            </w:r>
          </w:p>
        </w:tc>
        <w:tc>
          <w:tcPr>
            <w:tcW w:w="0" w:type="auto"/>
            <w:vAlign w:val="center"/>
            <w:hideMark/>
          </w:tcPr>
          <w:p w14:paraId="2B2AD885" w14:textId="77777777" w:rsidR="000B6A05" w:rsidRPr="00AF0CC3" w:rsidRDefault="000B6A05" w:rsidP="00E73C98">
            <w:pPr>
              <w:spacing w:after="0" w:line="360" w:lineRule="auto"/>
              <w:rPr>
                <w:rFonts w:ascii="Times New Roman" w:eastAsia="Times New Roman" w:hAnsi="Times New Roman" w:cs="Times New Roman"/>
                <w:color w:val="000000" w:themeColor="text1"/>
                <w:kern w:val="0"/>
                <w14:ligatures w14:val="none"/>
              </w:rPr>
            </w:pPr>
            <w:r w:rsidRPr="00AF0CC3">
              <w:rPr>
                <w:rFonts w:ascii="Times New Roman" w:eastAsia="Times New Roman" w:hAnsi="Times New Roman" w:cs="Times New Roman"/>
                <w:color w:val="000000" w:themeColor="text1"/>
                <w:kern w:val="0"/>
                <w14:ligatures w14:val="none"/>
              </w:rPr>
              <w:t>Corrective action</w:t>
            </w:r>
          </w:p>
        </w:tc>
        <w:tc>
          <w:tcPr>
            <w:tcW w:w="0" w:type="auto"/>
            <w:vAlign w:val="center"/>
            <w:hideMark/>
          </w:tcPr>
          <w:p w14:paraId="25C12136" w14:textId="77777777" w:rsidR="000B6A05" w:rsidRPr="00AF0CC3" w:rsidRDefault="000B6A05" w:rsidP="00E73C98">
            <w:pPr>
              <w:spacing w:after="0" w:line="360" w:lineRule="auto"/>
              <w:rPr>
                <w:rFonts w:ascii="Times New Roman" w:eastAsia="Times New Roman" w:hAnsi="Times New Roman" w:cs="Times New Roman"/>
                <w:color w:val="000000" w:themeColor="text1"/>
                <w:kern w:val="0"/>
                <w14:ligatures w14:val="none"/>
              </w:rPr>
            </w:pPr>
            <w:r w:rsidRPr="00AF0CC3">
              <w:rPr>
                <w:rFonts w:ascii="Times New Roman" w:eastAsia="Times New Roman" w:hAnsi="Times New Roman" w:cs="Times New Roman"/>
                <w:color w:val="000000" w:themeColor="text1"/>
                <w:kern w:val="0"/>
                <w14:ligatures w14:val="none"/>
              </w:rPr>
              <w:t>Were audit findings acted upon during implementation?</w:t>
            </w:r>
          </w:p>
        </w:tc>
      </w:tr>
    </w:tbl>
    <w:p w14:paraId="652C9F6F" w14:textId="77777777" w:rsidR="000B6A05" w:rsidRPr="00AF0CC3" w:rsidRDefault="000B6A05" w:rsidP="000B6A05">
      <w:pPr>
        <w:spacing w:line="360" w:lineRule="auto"/>
        <w:rPr>
          <w:rFonts w:ascii="Times New Roman" w:hAnsi="Times New Roman" w:cs="Times New Roman"/>
          <w:color w:val="000000" w:themeColor="text1"/>
        </w:rPr>
      </w:pPr>
    </w:p>
    <w:p w14:paraId="7BED58A3" w14:textId="77777777" w:rsidR="000B6A05" w:rsidRPr="00AF0CC3" w:rsidRDefault="000B6A05" w:rsidP="000B6A05">
      <w:pPr>
        <w:spacing w:line="360" w:lineRule="auto"/>
        <w:rPr>
          <w:rFonts w:ascii="Times New Roman" w:hAnsi="Times New Roman" w:cs="Times New Roman"/>
          <w:color w:val="000000" w:themeColor="text1"/>
        </w:rPr>
      </w:pPr>
      <w:r w:rsidRPr="00AF0CC3">
        <w:rPr>
          <w:rFonts w:ascii="Times New Roman" w:hAnsi="Times New Roman" w:cs="Times New Roman"/>
          <w:color w:val="000000" w:themeColor="text1"/>
        </w:rPr>
        <w:t>The scoring of these indicators provides a structured method for evaluating governance practices across projects.</w:t>
      </w:r>
    </w:p>
    <w:p w14:paraId="5B6E53F5" w14:textId="77777777" w:rsidR="000B6A05" w:rsidRPr="00AF0CC3" w:rsidRDefault="000B6A05" w:rsidP="000B6A05">
      <w:pPr>
        <w:spacing w:line="360" w:lineRule="auto"/>
        <w:rPr>
          <w:rFonts w:ascii="Times New Roman" w:hAnsi="Times New Roman" w:cs="Times New Roman"/>
          <w:color w:val="000000" w:themeColor="text1"/>
        </w:rPr>
      </w:pPr>
    </w:p>
    <w:p w14:paraId="3297C9D4" w14:textId="29D505CF" w:rsidR="000B6A05" w:rsidRPr="00AF0CC3" w:rsidRDefault="000B6A05" w:rsidP="008A5815">
      <w:pPr>
        <w:pStyle w:val="Heading4"/>
        <w:rPr>
          <w:rFonts w:eastAsia="Times New Roman" w:cs="Times New Roman"/>
          <w:color w:val="000000" w:themeColor="text1"/>
        </w:rPr>
      </w:pPr>
      <w:bookmarkStart w:id="248" w:name="_Toc230209535"/>
      <w:r w:rsidRPr="00AF0CC3">
        <w:rPr>
          <w:rFonts w:eastAsia="Times New Roman" w:cs="Times New Roman"/>
          <w:color w:val="000000" w:themeColor="text1"/>
        </w:rPr>
        <w:t>Governance Quality Index Coding Guide</w:t>
      </w:r>
      <w:bookmarkEnd w:id="248"/>
    </w:p>
    <w:p w14:paraId="04268C1B" w14:textId="77777777" w:rsidR="000B6A05" w:rsidRPr="00AF0CC3" w:rsidRDefault="000B6A05" w:rsidP="000B6A05">
      <w:pPr>
        <w:spacing w:after="100" w:afterAutospacing="1" w:line="360" w:lineRule="auto"/>
        <w:rPr>
          <w:rFonts w:ascii="Times New Roman" w:eastAsia="Times New Roman" w:hAnsi="Times New Roman" w:cs="Times New Roman"/>
          <w:color w:val="000000" w:themeColor="text1"/>
          <w:kern w:val="0"/>
          <w14:ligatures w14:val="none"/>
        </w:rPr>
      </w:pPr>
      <w:r w:rsidRPr="00AF0CC3">
        <w:rPr>
          <w:rFonts w:ascii="Times New Roman" w:eastAsia="Times New Roman" w:hAnsi="Times New Roman" w:cs="Times New Roman"/>
          <w:color w:val="000000" w:themeColor="text1"/>
          <w:kern w:val="0"/>
          <w14:ligatures w14:val="none"/>
        </w:rPr>
        <w:t xml:space="preserve">The </w:t>
      </w:r>
      <w:r w:rsidRPr="00AF0CC3">
        <w:rPr>
          <w:rFonts w:ascii="Times New Roman" w:eastAsia="Times New Roman" w:hAnsi="Times New Roman" w:cs="Times New Roman"/>
          <w:b/>
          <w:bCs/>
          <w:color w:val="000000" w:themeColor="text1"/>
          <w:kern w:val="0"/>
          <w14:ligatures w14:val="none"/>
        </w:rPr>
        <w:t>Governance Quality Index (GQI)</w:t>
      </w:r>
      <w:r w:rsidRPr="00AF0CC3">
        <w:rPr>
          <w:rFonts w:ascii="Times New Roman" w:eastAsia="Times New Roman" w:hAnsi="Times New Roman" w:cs="Times New Roman"/>
          <w:color w:val="000000" w:themeColor="text1"/>
          <w:kern w:val="0"/>
          <w14:ligatures w14:val="none"/>
        </w:rPr>
        <w:t xml:space="preserve"> is constructed using </w:t>
      </w:r>
      <w:r w:rsidRPr="00AF0CC3">
        <w:rPr>
          <w:rFonts w:ascii="Times New Roman" w:eastAsia="Times New Roman" w:hAnsi="Times New Roman" w:cs="Times New Roman"/>
          <w:b/>
          <w:bCs/>
          <w:color w:val="000000" w:themeColor="text1"/>
          <w:kern w:val="0"/>
          <w14:ligatures w14:val="none"/>
        </w:rPr>
        <w:t>nine indicators across four lifecycle stages</w:t>
      </w:r>
      <w:r w:rsidRPr="00AF0CC3">
        <w:rPr>
          <w:rFonts w:ascii="Times New Roman" w:eastAsia="Times New Roman" w:hAnsi="Times New Roman" w:cs="Times New Roman"/>
          <w:color w:val="000000" w:themeColor="text1"/>
          <w:kern w:val="0"/>
          <w14:ligatures w14:val="none"/>
        </w:rPr>
        <w:t>.</w:t>
      </w:r>
    </w:p>
    <w:p w14:paraId="55D9A33A" w14:textId="77777777" w:rsidR="000B6A05" w:rsidRPr="00AF0CC3" w:rsidRDefault="000B6A05" w:rsidP="000B6A05">
      <w:pPr>
        <w:spacing w:line="360" w:lineRule="auto"/>
        <w:rPr>
          <w:rFonts w:ascii="Times New Roman" w:hAnsi="Times New Roman" w:cs="Times New Roman"/>
          <w:b/>
          <w:bCs/>
          <w:color w:val="000000" w:themeColor="text1"/>
        </w:rPr>
      </w:pPr>
      <w:r w:rsidRPr="00AF0CC3">
        <w:rPr>
          <w:rFonts w:ascii="Times New Roman" w:hAnsi="Times New Roman" w:cs="Times New Roman"/>
          <w:b/>
          <w:bCs/>
          <w:color w:val="000000" w:themeColor="text1"/>
        </w:rPr>
        <w:t>Scoring system</w:t>
      </w:r>
    </w:p>
    <w:tbl>
      <w:tblPr>
        <w:tblW w:w="0" w:type="auto"/>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669"/>
        <w:gridCol w:w="4247"/>
      </w:tblGrid>
      <w:tr w:rsidR="000B6A05" w:rsidRPr="00AF0CC3" w14:paraId="4B828185" w14:textId="77777777" w:rsidTr="00E73C98">
        <w:trPr>
          <w:tblHeader/>
          <w:tblCellSpacing w:w="15" w:type="dxa"/>
        </w:trPr>
        <w:tc>
          <w:tcPr>
            <w:tcW w:w="0" w:type="auto"/>
            <w:vAlign w:val="center"/>
            <w:hideMark/>
          </w:tcPr>
          <w:p w14:paraId="1957C37C" w14:textId="77777777" w:rsidR="000B6A05" w:rsidRPr="00AF0CC3" w:rsidRDefault="000B6A05" w:rsidP="00E73C98">
            <w:pPr>
              <w:spacing w:after="0" w:line="360" w:lineRule="auto"/>
              <w:jc w:val="center"/>
              <w:rPr>
                <w:rFonts w:ascii="Times New Roman" w:eastAsia="Times New Roman" w:hAnsi="Times New Roman" w:cs="Times New Roman"/>
                <w:b/>
                <w:bCs/>
                <w:color w:val="000000" w:themeColor="text1"/>
                <w:kern w:val="0"/>
                <w14:ligatures w14:val="none"/>
              </w:rPr>
            </w:pPr>
            <w:r w:rsidRPr="00AF0CC3">
              <w:rPr>
                <w:rFonts w:ascii="Times New Roman" w:eastAsia="Times New Roman" w:hAnsi="Times New Roman" w:cs="Times New Roman"/>
                <w:b/>
                <w:bCs/>
                <w:color w:val="000000" w:themeColor="text1"/>
                <w:kern w:val="0"/>
                <w14:ligatures w14:val="none"/>
              </w:rPr>
              <w:t>Score</w:t>
            </w:r>
          </w:p>
        </w:tc>
        <w:tc>
          <w:tcPr>
            <w:tcW w:w="0" w:type="auto"/>
            <w:vAlign w:val="center"/>
            <w:hideMark/>
          </w:tcPr>
          <w:p w14:paraId="56F33699" w14:textId="77777777" w:rsidR="000B6A05" w:rsidRPr="00AF0CC3" w:rsidRDefault="000B6A05" w:rsidP="00E73C98">
            <w:pPr>
              <w:spacing w:after="0" w:line="360" w:lineRule="auto"/>
              <w:jc w:val="center"/>
              <w:rPr>
                <w:rFonts w:ascii="Times New Roman" w:eastAsia="Times New Roman" w:hAnsi="Times New Roman" w:cs="Times New Roman"/>
                <w:b/>
                <w:bCs/>
                <w:color w:val="000000" w:themeColor="text1"/>
                <w:kern w:val="0"/>
                <w14:ligatures w14:val="none"/>
              </w:rPr>
            </w:pPr>
            <w:r w:rsidRPr="00AF0CC3">
              <w:rPr>
                <w:rFonts w:ascii="Times New Roman" w:eastAsia="Times New Roman" w:hAnsi="Times New Roman" w:cs="Times New Roman"/>
                <w:b/>
                <w:bCs/>
                <w:color w:val="000000" w:themeColor="text1"/>
                <w:kern w:val="0"/>
                <w14:ligatures w14:val="none"/>
              </w:rPr>
              <w:t>Interpretation</w:t>
            </w:r>
          </w:p>
        </w:tc>
      </w:tr>
      <w:tr w:rsidR="000B6A05" w:rsidRPr="00AF0CC3" w14:paraId="2BC312C0" w14:textId="77777777" w:rsidTr="00E73C98">
        <w:trPr>
          <w:tblCellSpacing w:w="15" w:type="dxa"/>
        </w:trPr>
        <w:tc>
          <w:tcPr>
            <w:tcW w:w="0" w:type="auto"/>
            <w:vAlign w:val="center"/>
            <w:hideMark/>
          </w:tcPr>
          <w:p w14:paraId="68AFA168" w14:textId="77777777" w:rsidR="000B6A05" w:rsidRPr="00AF0CC3" w:rsidRDefault="000B6A05" w:rsidP="00E73C98">
            <w:pPr>
              <w:spacing w:after="0" w:line="360" w:lineRule="auto"/>
              <w:rPr>
                <w:rFonts w:ascii="Times New Roman" w:eastAsia="Times New Roman" w:hAnsi="Times New Roman" w:cs="Times New Roman"/>
                <w:color w:val="000000" w:themeColor="text1"/>
                <w:kern w:val="0"/>
                <w14:ligatures w14:val="none"/>
              </w:rPr>
            </w:pPr>
            <w:r w:rsidRPr="00AF0CC3">
              <w:rPr>
                <w:rFonts w:ascii="Times New Roman" w:eastAsia="Times New Roman" w:hAnsi="Times New Roman" w:cs="Times New Roman"/>
                <w:color w:val="000000" w:themeColor="text1"/>
                <w:kern w:val="0"/>
                <w14:ligatures w14:val="none"/>
              </w:rPr>
              <w:t>0</w:t>
            </w:r>
          </w:p>
        </w:tc>
        <w:tc>
          <w:tcPr>
            <w:tcW w:w="0" w:type="auto"/>
            <w:vAlign w:val="center"/>
            <w:hideMark/>
          </w:tcPr>
          <w:p w14:paraId="34D007AC" w14:textId="77777777" w:rsidR="000B6A05" w:rsidRPr="00AF0CC3" w:rsidRDefault="000B6A05" w:rsidP="00E73C98">
            <w:pPr>
              <w:spacing w:after="0" w:line="360" w:lineRule="auto"/>
              <w:rPr>
                <w:rFonts w:ascii="Times New Roman" w:eastAsia="Times New Roman" w:hAnsi="Times New Roman" w:cs="Times New Roman"/>
                <w:color w:val="000000" w:themeColor="text1"/>
                <w:kern w:val="0"/>
                <w14:ligatures w14:val="none"/>
              </w:rPr>
            </w:pPr>
            <w:r w:rsidRPr="00AF0CC3">
              <w:rPr>
                <w:rFonts w:ascii="Times New Roman" w:eastAsia="Times New Roman" w:hAnsi="Times New Roman" w:cs="Times New Roman"/>
                <w:color w:val="000000" w:themeColor="text1"/>
                <w:kern w:val="0"/>
                <w14:ligatures w14:val="none"/>
              </w:rPr>
              <w:t>Governance practice absent</w:t>
            </w:r>
          </w:p>
        </w:tc>
      </w:tr>
      <w:tr w:rsidR="000B6A05" w:rsidRPr="00AF0CC3" w14:paraId="0A7829CB" w14:textId="77777777" w:rsidTr="00E73C98">
        <w:trPr>
          <w:tblCellSpacing w:w="15" w:type="dxa"/>
        </w:trPr>
        <w:tc>
          <w:tcPr>
            <w:tcW w:w="0" w:type="auto"/>
            <w:vAlign w:val="center"/>
            <w:hideMark/>
          </w:tcPr>
          <w:p w14:paraId="75B30B3D" w14:textId="77777777" w:rsidR="000B6A05" w:rsidRPr="00AF0CC3" w:rsidRDefault="000B6A05" w:rsidP="00E73C98">
            <w:pPr>
              <w:spacing w:after="0" w:line="360" w:lineRule="auto"/>
              <w:rPr>
                <w:rFonts w:ascii="Times New Roman" w:eastAsia="Times New Roman" w:hAnsi="Times New Roman" w:cs="Times New Roman"/>
                <w:color w:val="000000" w:themeColor="text1"/>
                <w:kern w:val="0"/>
                <w14:ligatures w14:val="none"/>
              </w:rPr>
            </w:pPr>
            <w:r w:rsidRPr="00AF0CC3">
              <w:rPr>
                <w:rFonts w:ascii="Times New Roman" w:eastAsia="Times New Roman" w:hAnsi="Times New Roman" w:cs="Times New Roman"/>
                <w:color w:val="000000" w:themeColor="text1"/>
                <w:kern w:val="0"/>
                <w14:ligatures w14:val="none"/>
              </w:rPr>
              <w:t>1</w:t>
            </w:r>
          </w:p>
        </w:tc>
        <w:tc>
          <w:tcPr>
            <w:tcW w:w="0" w:type="auto"/>
            <w:vAlign w:val="center"/>
            <w:hideMark/>
          </w:tcPr>
          <w:p w14:paraId="70C32BE7" w14:textId="77777777" w:rsidR="000B6A05" w:rsidRPr="00AF0CC3" w:rsidRDefault="000B6A05" w:rsidP="00E73C98">
            <w:pPr>
              <w:spacing w:after="0" w:line="360" w:lineRule="auto"/>
              <w:rPr>
                <w:rFonts w:ascii="Times New Roman" w:eastAsia="Times New Roman" w:hAnsi="Times New Roman" w:cs="Times New Roman"/>
                <w:color w:val="000000" w:themeColor="text1"/>
                <w:kern w:val="0"/>
                <w14:ligatures w14:val="none"/>
              </w:rPr>
            </w:pPr>
            <w:r w:rsidRPr="00AF0CC3">
              <w:rPr>
                <w:rFonts w:ascii="Times New Roman" w:eastAsia="Times New Roman" w:hAnsi="Times New Roman" w:cs="Times New Roman"/>
                <w:color w:val="000000" w:themeColor="text1"/>
                <w:kern w:val="0"/>
                <w14:ligatures w14:val="none"/>
              </w:rPr>
              <w:t>Governance practice partially implemented</w:t>
            </w:r>
          </w:p>
        </w:tc>
      </w:tr>
      <w:tr w:rsidR="000B6A05" w:rsidRPr="00AF0CC3" w14:paraId="6A313AC8" w14:textId="77777777" w:rsidTr="00E73C98">
        <w:trPr>
          <w:tblCellSpacing w:w="15" w:type="dxa"/>
        </w:trPr>
        <w:tc>
          <w:tcPr>
            <w:tcW w:w="0" w:type="auto"/>
            <w:vAlign w:val="center"/>
            <w:hideMark/>
          </w:tcPr>
          <w:p w14:paraId="3EE80160" w14:textId="77777777" w:rsidR="000B6A05" w:rsidRPr="00AF0CC3" w:rsidRDefault="000B6A05" w:rsidP="00E73C98">
            <w:pPr>
              <w:spacing w:after="0" w:line="360" w:lineRule="auto"/>
              <w:rPr>
                <w:rFonts w:ascii="Times New Roman" w:eastAsia="Times New Roman" w:hAnsi="Times New Roman" w:cs="Times New Roman"/>
                <w:color w:val="000000" w:themeColor="text1"/>
                <w:kern w:val="0"/>
                <w14:ligatures w14:val="none"/>
              </w:rPr>
            </w:pPr>
            <w:r w:rsidRPr="00AF0CC3">
              <w:rPr>
                <w:rFonts w:ascii="Times New Roman" w:eastAsia="Times New Roman" w:hAnsi="Times New Roman" w:cs="Times New Roman"/>
                <w:color w:val="000000" w:themeColor="text1"/>
                <w:kern w:val="0"/>
                <w14:ligatures w14:val="none"/>
              </w:rPr>
              <w:t>2</w:t>
            </w:r>
          </w:p>
        </w:tc>
        <w:tc>
          <w:tcPr>
            <w:tcW w:w="0" w:type="auto"/>
            <w:vAlign w:val="center"/>
            <w:hideMark/>
          </w:tcPr>
          <w:p w14:paraId="6589954B" w14:textId="77777777" w:rsidR="000B6A05" w:rsidRPr="00AF0CC3" w:rsidRDefault="000B6A05" w:rsidP="00E73C98">
            <w:pPr>
              <w:spacing w:after="0" w:line="360" w:lineRule="auto"/>
              <w:rPr>
                <w:rFonts w:ascii="Times New Roman" w:eastAsia="Times New Roman" w:hAnsi="Times New Roman" w:cs="Times New Roman"/>
                <w:color w:val="000000" w:themeColor="text1"/>
                <w:kern w:val="0"/>
                <w14:ligatures w14:val="none"/>
              </w:rPr>
            </w:pPr>
            <w:r w:rsidRPr="00AF0CC3">
              <w:rPr>
                <w:rFonts w:ascii="Times New Roman" w:eastAsia="Times New Roman" w:hAnsi="Times New Roman" w:cs="Times New Roman"/>
                <w:color w:val="000000" w:themeColor="text1"/>
                <w:kern w:val="0"/>
                <w14:ligatures w14:val="none"/>
              </w:rPr>
              <w:t>Governance practice is fully implemented</w:t>
            </w:r>
          </w:p>
        </w:tc>
      </w:tr>
    </w:tbl>
    <w:p w14:paraId="7DA8F101" w14:textId="77777777" w:rsidR="000B6A05" w:rsidRPr="00AF0CC3" w:rsidRDefault="000B6A05" w:rsidP="000B6A05">
      <w:pPr>
        <w:spacing w:after="100" w:afterAutospacing="1" w:line="360" w:lineRule="auto"/>
        <w:rPr>
          <w:rFonts w:ascii="Times New Roman" w:eastAsia="Times New Roman" w:hAnsi="Times New Roman" w:cs="Times New Roman"/>
          <w:color w:val="000000" w:themeColor="text1"/>
          <w:kern w:val="0"/>
          <w14:ligatures w14:val="none"/>
        </w:rPr>
      </w:pPr>
      <w:r w:rsidRPr="00AF0CC3">
        <w:rPr>
          <w:rFonts w:ascii="Times New Roman" w:eastAsia="Times New Roman" w:hAnsi="Times New Roman" w:cs="Times New Roman"/>
          <w:color w:val="000000" w:themeColor="text1"/>
          <w:kern w:val="0"/>
          <w14:ligatures w14:val="none"/>
        </w:rPr>
        <w:t xml:space="preserve">Maximum score = </w:t>
      </w:r>
      <w:r w:rsidRPr="00AF0CC3">
        <w:rPr>
          <w:rFonts w:ascii="Times New Roman" w:eastAsia="Times New Roman" w:hAnsi="Times New Roman" w:cs="Times New Roman"/>
          <w:b/>
          <w:bCs/>
          <w:color w:val="000000" w:themeColor="text1"/>
          <w:kern w:val="0"/>
          <w14:ligatures w14:val="none"/>
        </w:rPr>
        <w:t>18</w:t>
      </w:r>
    </w:p>
    <w:p w14:paraId="5532B836" w14:textId="77777777" w:rsidR="000B6A05" w:rsidRPr="00AF0CC3" w:rsidRDefault="000B6A05" w:rsidP="000B6A05">
      <w:pPr>
        <w:spacing w:line="360" w:lineRule="auto"/>
        <w:rPr>
          <w:rFonts w:ascii="Times New Roman" w:hAnsi="Times New Roman" w:cs="Times New Roman"/>
          <w:color w:val="000000" w:themeColor="text1"/>
        </w:rPr>
      </w:pPr>
      <w:r w:rsidRPr="00AF0CC3">
        <w:rPr>
          <w:rFonts w:ascii="Times New Roman" w:hAnsi="Times New Roman" w:cs="Times New Roman"/>
          <w:color w:val="000000" w:themeColor="text1"/>
        </w:rPr>
        <w:t>To promote transparency in developing the Governance Quality Index (GQI), the scoring framework for evaluating governance practices throughout the project lifecycle is outlined in Table 3.2. The rubric specifies the governance stages, indicators, and scoring range for assessing the presence and quality of governance mechanisms in each infrastructure project.</w:t>
      </w:r>
    </w:p>
    <w:p w14:paraId="23B8DBE5" w14:textId="77777777" w:rsidR="000B6A05" w:rsidRPr="00AF0CC3" w:rsidRDefault="000B6A05" w:rsidP="000B6A05">
      <w:pPr>
        <w:spacing w:line="360" w:lineRule="auto"/>
        <w:rPr>
          <w:rFonts w:ascii="Times New Roman" w:hAnsi="Times New Roman" w:cs="Times New Roman"/>
          <w:i/>
          <w:iCs/>
          <w:color w:val="000000" w:themeColor="text1"/>
        </w:rPr>
      </w:pPr>
    </w:p>
    <w:p w14:paraId="0263E0BC" w14:textId="2B865DB0" w:rsidR="00711AD0" w:rsidRPr="00AF0CC3" w:rsidRDefault="00711AD0" w:rsidP="00711AD0">
      <w:pPr>
        <w:pStyle w:val="Caption"/>
        <w:keepNext/>
        <w:rPr>
          <w:rFonts w:ascii="Times New Roman" w:hAnsi="Times New Roman" w:cs="Times New Roman"/>
          <w:sz w:val="24"/>
          <w:szCs w:val="24"/>
        </w:rPr>
      </w:pPr>
      <w:bookmarkStart w:id="249" w:name="_Toc234437365"/>
      <w:r w:rsidRPr="00AF0CC3">
        <w:rPr>
          <w:rFonts w:ascii="Times New Roman" w:hAnsi="Times New Roman" w:cs="Times New Roman"/>
          <w:sz w:val="24"/>
          <w:szCs w:val="24"/>
        </w:rPr>
        <w:t xml:space="preserve">Table </w:t>
      </w:r>
      <w:r w:rsidR="007F4206" w:rsidRPr="00AF0CC3">
        <w:rPr>
          <w:rFonts w:ascii="Times New Roman" w:hAnsi="Times New Roman" w:cs="Times New Roman"/>
          <w:sz w:val="24"/>
          <w:szCs w:val="24"/>
        </w:rPr>
        <w:fldChar w:fldCharType="begin"/>
      </w:r>
      <w:r w:rsidR="007F4206" w:rsidRPr="00AF0CC3">
        <w:rPr>
          <w:rFonts w:ascii="Times New Roman" w:hAnsi="Times New Roman" w:cs="Times New Roman"/>
          <w:sz w:val="24"/>
          <w:szCs w:val="24"/>
        </w:rPr>
        <w:instrText xml:space="preserve"> STYLEREF 1 \s </w:instrText>
      </w:r>
      <w:r w:rsidR="007F4206" w:rsidRPr="00AF0CC3">
        <w:rPr>
          <w:rFonts w:ascii="Times New Roman" w:hAnsi="Times New Roman" w:cs="Times New Roman"/>
          <w:sz w:val="24"/>
          <w:szCs w:val="24"/>
        </w:rPr>
        <w:fldChar w:fldCharType="separate"/>
      </w:r>
      <w:r w:rsidR="007F4206" w:rsidRPr="00AF0CC3">
        <w:rPr>
          <w:rFonts w:ascii="Times New Roman" w:hAnsi="Times New Roman" w:cs="Times New Roman"/>
          <w:noProof/>
          <w:sz w:val="24"/>
          <w:szCs w:val="24"/>
        </w:rPr>
        <w:t>3</w:t>
      </w:r>
      <w:r w:rsidR="007F4206" w:rsidRPr="00AF0CC3">
        <w:rPr>
          <w:rFonts w:ascii="Times New Roman" w:hAnsi="Times New Roman" w:cs="Times New Roman"/>
          <w:noProof/>
          <w:sz w:val="24"/>
          <w:szCs w:val="24"/>
        </w:rPr>
        <w:fldChar w:fldCharType="end"/>
      </w:r>
      <w:r w:rsidR="007F4206" w:rsidRPr="00AF0CC3">
        <w:rPr>
          <w:rFonts w:ascii="Times New Roman" w:hAnsi="Times New Roman" w:cs="Times New Roman"/>
          <w:sz w:val="24"/>
          <w:szCs w:val="24"/>
        </w:rPr>
        <w:noBreakHyphen/>
      </w:r>
      <w:r w:rsidR="007F4206" w:rsidRPr="00AF0CC3">
        <w:rPr>
          <w:rFonts w:ascii="Times New Roman" w:hAnsi="Times New Roman" w:cs="Times New Roman"/>
          <w:sz w:val="24"/>
          <w:szCs w:val="24"/>
        </w:rPr>
        <w:fldChar w:fldCharType="begin"/>
      </w:r>
      <w:r w:rsidR="007F4206" w:rsidRPr="00AF0CC3">
        <w:rPr>
          <w:rFonts w:ascii="Times New Roman" w:hAnsi="Times New Roman" w:cs="Times New Roman"/>
          <w:sz w:val="24"/>
          <w:szCs w:val="24"/>
        </w:rPr>
        <w:instrText xml:space="preserve"> SEQ Table \* ARABIC \s 1 </w:instrText>
      </w:r>
      <w:r w:rsidR="007F4206" w:rsidRPr="00AF0CC3">
        <w:rPr>
          <w:rFonts w:ascii="Times New Roman" w:hAnsi="Times New Roman" w:cs="Times New Roman"/>
          <w:sz w:val="24"/>
          <w:szCs w:val="24"/>
        </w:rPr>
        <w:fldChar w:fldCharType="separate"/>
      </w:r>
      <w:r w:rsidR="007F4206" w:rsidRPr="00AF0CC3">
        <w:rPr>
          <w:rFonts w:ascii="Times New Roman" w:hAnsi="Times New Roman" w:cs="Times New Roman"/>
          <w:noProof/>
          <w:sz w:val="24"/>
          <w:szCs w:val="24"/>
        </w:rPr>
        <w:t>2</w:t>
      </w:r>
      <w:r w:rsidR="007F4206" w:rsidRPr="00AF0CC3">
        <w:rPr>
          <w:rFonts w:ascii="Times New Roman" w:hAnsi="Times New Roman" w:cs="Times New Roman"/>
          <w:noProof/>
          <w:sz w:val="24"/>
          <w:szCs w:val="24"/>
        </w:rPr>
        <w:fldChar w:fldCharType="end"/>
      </w:r>
      <w:r w:rsidRPr="00AF0CC3">
        <w:rPr>
          <w:rFonts w:ascii="Times New Roman" w:hAnsi="Times New Roman" w:cs="Times New Roman"/>
          <w:sz w:val="24"/>
          <w:szCs w:val="24"/>
        </w:rPr>
        <w:t xml:space="preserve"> Governance Quality Index Scoring Rubric</w:t>
      </w:r>
      <w:bookmarkEnd w:id="249"/>
    </w:p>
    <w:tbl>
      <w:tblPr>
        <w:tblW w:w="0" w:type="auto"/>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1816"/>
        <w:gridCol w:w="1777"/>
        <w:gridCol w:w="2534"/>
        <w:gridCol w:w="2437"/>
        <w:gridCol w:w="786"/>
      </w:tblGrid>
      <w:tr w:rsidR="000B6A05" w:rsidRPr="00AF0CC3" w14:paraId="571185C0" w14:textId="77777777" w:rsidTr="00E73C98">
        <w:trPr>
          <w:tblHeader/>
          <w:tblCellSpacing w:w="15" w:type="dxa"/>
        </w:trPr>
        <w:tc>
          <w:tcPr>
            <w:tcW w:w="0" w:type="auto"/>
            <w:vAlign w:val="center"/>
            <w:hideMark/>
          </w:tcPr>
          <w:p w14:paraId="05D8B829" w14:textId="77777777" w:rsidR="000B6A05" w:rsidRPr="00AF0CC3" w:rsidRDefault="000B6A05" w:rsidP="00E73C98">
            <w:pPr>
              <w:spacing w:after="0" w:line="360" w:lineRule="auto"/>
              <w:jc w:val="center"/>
              <w:rPr>
                <w:rFonts w:ascii="Times New Roman" w:eastAsia="Times New Roman" w:hAnsi="Times New Roman" w:cs="Times New Roman"/>
                <w:b/>
                <w:bCs/>
                <w:color w:val="000000" w:themeColor="text1"/>
                <w:kern w:val="0"/>
                <w14:ligatures w14:val="none"/>
              </w:rPr>
            </w:pPr>
            <w:r w:rsidRPr="00AF0CC3">
              <w:rPr>
                <w:rFonts w:ascii="Times New Roman" w:eastAsia="Times New Roman" w:hAnsi="Times New Roman" w:cs="Times New Roman"/>
                <w:b/>
                <w:bCs/>
                <w:color w:val="000000" w:themeColor="text1"/>
                <w:kern w:val="0"/>
                <w14:ligatures w14:val="none"/>
              </w:rPr>
              <w:t>Governance Stage</w:t>
            </w:r>
          </w:p>
        </w:tc>
        <w:tc>
          <w:tcPr>
            <w:tcW w:w="0" w:type="auto"/>
            <w:vAlign w:val="center"/>
            <w:hideMark/>
          </w:tcPr>
          <w:p w14:paraId="661DB9CF" w14:textId="77777777" w:rsidR="000B6A05" w:rsidRPr="00AF0CC3" w:rsidRDefault="000B6A05" w:rsidP="00E73C98">
            <w:pPr>
              <w:spacing w:after="0" w:line="360" w:lineRule="auto"/>
              <w:jc w:val="center"/>
              <w:rPr>
                <w:rFonts w:ascii="Times New Roman" w:eastAsia="Times New Roman" w:hAnsi="Times New Roman" w:cs="Times New Roman"/>
                <w:b/>
                <w:bCs/>
                <w:color w:val="000000" w:themeColor="text1"/>
                <w:kern w:val="0"/>
                <w14:ligatures w14:val="none"/>
              </w:rPr>
            </w:pPr>
            <w:r w:rsidRPr="00AF0CC3">
              <w:rPr>
                <w:rFonts w:ascii="Times New Roman" w:eastAsia="Times New Roman" w:hAnsi="Times New Roman" w:cs="Times New Roman"/>
                <w:b/>
                <w:bCs/>
                <w:color w:val="000000" w:themeColor="text1"/>
                <w:kern w:val="0"/>
                <w14:ligatures w14:val="none"/>
              </w:rPr>
              <w:t>Indicator</w:t>
            </w:r>
          </w:p>
        </w:tc>
        <w:tc>
          <w:tcPr>
            <w:tcW w:w="0" w:type="auto"/>
            <w:vAlign w:val="center"/>
            <w:hideMark/>
          </w:tcPr>
          <w:p w14:paraId="1D6E2DE4" w14:textId="77777777" w:rsidR="000B6A05" w:rsidRPr="00AF0CC3" w:rsidRDefault="000B6A05" w:rsidP="00E73C98">
            <w:pPr>
              <w:spacing w:after="0" w:line="360" w:lineRule="auto"/>
              <w:jc w:val="center"/>
              <w:rPr>
                <w:rFonts w:ascii="Times New Roman" w:eastAsia="Times New Roman" w:hAnsi="Times New Roman" w:cs="Times New Roman"/>
                <w:b/>
                <w:bCs/>
                <w:color w:val="000000" w:themeColor="text1"/>
                <w:kern w:val="0"/>
                <w14:ligatures w14:val="none"/>
              </w:rPr>
            </w:pPr>
            <w:r w:rsidRPr="00AF0CC3">
              <w:rPr>
                <w:rFonts w:ascii="Times New Roman" w:eastAsia="Times New Roman" w:hAnsi="Times New Roman" w:cs="Times New Roman"/>
                <w:b/>
                <w:bCs/>
                <w:color w:val="000000" w:themeColor="text1"/>
                <w:kern w:val="0"/>
                <w14:ligatures w14:val="none"/>
              </w:rPr>
              <w:t>Description</w:t>
            </w:r>
          </w:p>
        </w:tc>
        <w:tc>
          <w:tcPr>
            <w:tcW w:w="0" w:type="auto"/>
            <w:vAlign w:val="center"/>
            <w:hideMark/>
          </w:tcPr>
          <w:p w14:paraId="26E348B0" w14:textId="77777777" w:rsidR="000B6A05" w:rsidRPr="00AF0CC3" w:rsidRDefault="000B6A05" w:rsidP="00E73C98">
            <w:pPr>
              <w:spacing w:after="0" w:line="360" w:lineRule="auto"/>
              <w:jc w:val="center"/>
              <w:rPr>
                <w:rFonts w:ascii="Times New Roman" w:eastAsia="Times New Roman" w:hAnsi="Times New Roman" w:cs="Times New Roman"/>
                <w:b/>
                <w:bCs/>
                <w:color w:val="000000" w:themeColor="text1"/>
                <w:kern w:val="0"/>
                <w14:ligatures w14:val="none"/>
              </w:rPr>
            </w:pPr>
            <w:r w:rsidRPr="00AF0CC3">
              <w:rPr>
                <w:rFonts w:ascii="Times New Roman" w:eastAsia="Times New Roman" w:hAnsi="Times New Roman" w:cs="Times New Roman"/>
                <w:b/>
                <w:bCs/>
                <w:color w:val="000000" w:themeColor="text1"/>
                <w:kern w:val="0"/>
                <w14:ligatures w14:val="none"/>
              </w:rPr>
              <w:t>Scoring Criteria</w:t>
            </w:r>
          </w:p>
        </w:tc>
        <w:tc>
          <w:tcPr>
            <w:tcW w:w="0" w:type="auto"/>
            <w:vAlign w:val="center"/>
            <w:hideMark/>
          </w:tcPr>
          <w:p w14:paraId="78685F00" w14:textId="77777777" w:rsidR="000B6A05" w:rsidRPr="00AF0CC3" w:rsidRDefault="000B6A05" w:rsidP="00E73C98">
            <w:pPr>
              <w:spacing w:after="0" w:line="360" w:lineRule="auto"/>
              <w:jc w:val="center"/>
              <w:rPr>
                <w:rFonts w:ascii="Times New Roman" w:eastAsia="Times New Roman" w:hAnsi="Times New Roman" w:cs="Times New Roman"/>
                <w:b/>
                <w:bCs/>
                <w:color w:val="000000" w:themeColor="text1"/>
                <w:kern w:val="0"/>
                <w14:ligatures w14:val="none"/>
              </w:rPr>
            </w:pPr>
            <w:r w:rsidRPr="00AF0CC3">
              <w:rPr>
                <w:rFonts w:ascii="Times New Roman" w:eastAsia="Times New Roman" w:hAnsi="Times New Roman" w:cs="Times New Roman"/>
                <w:b/>
                <w:bCs/>
                <w:color w:val="000000" w:themeColor="text1"/>
                <w:kern w:val="0"/>
                <w14:ligatures w14:val="none"/>
              </w:rPr>
              <w:t>Score Range</w:t>
            </w:r>
          </w:p>
        </w:tc>
      </w:tr>
      <w:tr w:rsidR="000B6A05" w:rsidRPr="00AF0CC3" w14:paraId="224EE07C" w14:textId="77777777" w:rsidTr="00E73C98">
        <w:trPr>
          <w:tblCellSpacing w:w="15" w:type="dxa"/>
        </w:trPr>
        <w:tc>
          <w:tcPr>
            <w:tcW w:w="0" w:type="auto"/>
            <w:vAlign w:val="center"/>
            <w:hideMark/>
          </w:tcPr>
          <w:p w14:paraId="5644EF3D" w14:textId="77777777" w:rsidR="000B6A05" w:rsidRPr="00AF0CC3" w:rsidRDefault="000B6A05" w:rsidP="00E73C98">
            <w:pPr>
              <w:spacing w:after="0" w:line="360" w:lineRule="auto"/>
              <w:rPr>
                <w:rFonts w:ascii="Times New Roman" w:eastAsia="Times New Roman" w:hAnsi="Times New Roman" w:cs="Times New Roman"/>
                <w:color w:val="000000" w:themeColor="text1"/>
                <w:kern w:val="0"/>
                <w14:ligatures w14:val="none"/>
              </w:rPr>
            </w:pPr>
            <w:r w:rsidRPr="00AF0CC3">
              <w:rPr>
                <w:rFonts w:ascii="Times New Roman" w:eastAsia="Times New Roman" w:hAnsi="Times New Roman" w:cs="Times New Roman"/>
                <w:b/>
                <w:bCs/>
                <w:color w:val="000000" w:themeColor="text1"/>
                <w:kern w:val="0"/>
                <w14:ligatures w14:val="none"/>
              </w:rPr>
              <w:t>Project Preparation</w:t>
            </w:r>
          </w:p>
        </w:tc>
        <w:tc>
          <w:tcPr>
            <w:tcW w:w="0" w:type="auto"/>
            <w:vAlign w:val="center"/>
            <w:hideMark/>
          </w:tcPr>
          <w:p w14:paraId="2D9AE4DB" w14:textId="77777777" w:rsidR="000B6A05" w:rsidRPr="00AF0CC3" w:rsidRDefault="000B6A05" w:rsidP="00E73C98">
            <w:pPr>
              <w:spacing w:after="0" w:line="360" w:lineRule="auto"/>
              <w:rPr>
                <w:rFonts w:ascii="Times New Roman" w:eastAsia="Times New Roman" w:hAnsi="Times New Roman" w:cs="Times New Roman"/>
                <w:color w:val="000000" w:themeColor="text1"/>
                <w:kern w:val="0"/>
                <w14:ligatures w14:val="none"/>
              </w:rPr>
            </w:pPr>
            <w:r w:rsidRPr="00AF0CC3">
              <w:rPr>
                <w:rFonts w:ascii="Times New Roman" w:eastAsia="Times New Roman" w:hAnsi="Times New Roman" w:cs="Times New Roman"/>
                <w:color w:val="000000" w:themeColor="text1"/>
                <w:kern w:val="0"/>
                <w14:ligatures w14:val="none"/>
              </w:rPr>
              <w:t>Feasibility study completeness</w:t>
            </w:r>
          </w:p>
        </w:tc>
        <w:tc>
          <w:tcPr>
            <w:tcW w:w="0" w:type="auto"/>
            <w:vAlign w:val="center"/>
            <w:hideMark/>
          </w:tcPr>
          <w:p w14:paraId="2A4A7C67" w14:textId="77777777" w:rsidR="000B6A05" w:rsidRPr="00AF0CC3" w:rsidRDefault="000B6A05" w:rsidP="00E73C98">
            <w:pPr>
              <w:spacing w:after="0" w:line="360" w:lineRule="auto"/>
              <w:rPr>
                <w:rFonts w:ascii="Times New Roman" w:eastAsia="Times New Roman" w:hAnsi="Times New Roman" w:cs="Times New Roman"/>
                <w:color w:val="000000" w:themeColor="text1"/>
                <w:kern w:val="0"/>
                <w14:ligatures w14:val="none"/>
              </w:rPr>
            </w:pPr>
            <w:r w:rsidRPr="00AF0CC3">
              <w:rPr>
                <w:rFonts w:ascii="Times New Roman" w:eastAsia="Times New Roman" w:hAnsi="Times New Roman" w:cs="Times New Roman"/>
                <w:color w:val="000000" w:themeColor="text1"/>
                <w:kern w:val="0"/>
                <w14:ligatures w14:val="none"/>
              </w:rPr>
              <w:t>The extent to which technical, economic, environmental, and social feasibility assessments were conducted prior to project approval</w:t>
            </w:r>
          </w:p>
        </w:tc>
        <w:tc>
          <w:tcPr>
            <w:tcW w:w="0" w:type="auto"/>
            <w:vAlign w:val="center"/>
            <w:hideMark/>
          </w:tcPr>
          <w:p w14:paraId="069342E7" w14:textId="77777777" w:rsidR="000B6A05" w:rsidRPr="00AF0CC3" w:rsidRDefault="000B6A05" w:rsidP="00E73C98">
            <w:pPr>
              <w:spacing w:after="0" w:line="360" w:lineRule="auto"/>
              <w:rPr>
                <w:rFonts w:ascii="Times New Roman" w:eastAsia="Times New Roman" w:hAnsi="Times New Roman" w:cs="Times New Roman"/>
                <w:color w:val="000000" w:themeColor="text1"/>
                <w:kern w:val="0"/>
                <w14:ligatures w14:val="none"/>
              </w:rPr>
            </w:pPr>
            <w:r w:rsidRPr="00AF0CC3">
              <w:rPr>
                <w:rFonts w:ascii="Times New Roman" w:eastAsia="Times New Roman" w:hAnsi="Times New Roman" w:cs="Times New Roman"/>
                <w:color w:val="000000" w:themeColor="text1"/>
                <w:kern w:val="0"/>
                <w14:ligatures w14:val="none"/>
              </w:rPr>
              <w:t>0 = No documented feasibility study; 1 = Partial feasibility study; 2 = Comprehensive feasibility analysis</w:t>
            </w:r>
          </w:p>
        </w:tc>
        <w:tc>
          <w:tcPr>
            <w:tcW w:w="0" w:type="auto"/>
            <w:vAlign w:val="center"/>
            <w:hideMark/>
          </w:tcPr>
          <w:p w14:paraId="5A7A5655" w14:textId="77777777" w:rsidR="000B6A05" w:rsidRPr="00AF0CC3" w:rsidRDefault="000B6A05" w:rsidP="00E73C98">
            <w:pPr>
              <w:spacing w:after="0" w:line="360" w:lineRule="auto"/>
              <w:rPr>
                <w:rFonts w:ascii="Times New Roman" w:eastAsia="Times New Roman" w:hAnsi="Times New Roman" w:cs="Times New Roman"/>
                <w:color w:val="000000" w:themeColor="text1"/>
                <w:kern w:val="0"/>
                <w14:ligatures w14:val="none"/>
              </w:rPr>
            </w:pPr>
            <w:r w:rsidRPr="00AF0CC3">
              <w:rPr>
                <w:rFonts w:ascii="Times New Roman" w:eastAsia="Times New Roman" w:hAnsi="Times New Roman" w:cs="Times New Roman"/>
                <w:color w:val="000000" w:themeColor="text1"/>
                <w:kern w:val="0"/>
                <w14:ligatures w14:val="none"/>
              </w:rPr>
              <w:t>0–2</w:t>
            </w:r>
          </w:p>
        </w:tc>
      </w:tr>
      <w:tr w:rsidR="000B6A05" w:rsidRPr="00AF0CC3" w14:paraId="31AD2677" w14:textId="77777777" w:rsidTr="00E73C98">
        <w:trPr>
          <w:tblCellSpacing w:w="15" w:type="dxa"/>
        </w:trPr>
        <w:tc>
          <w:tcPr>
            <w:tcW w:w="0" w:type="auto"/>
            <w:vAlign w:val="center"/>
            <w:hideMark/>
          </w:tcPr>
          <w:p w14:paraId="4706B436" w14:textId="77777777" w:rsidR="000B6A05" w:rsidRPr="00AF0CC3" w:rsidRDefault="000B6A05" w:rsidP="00E73C98">
            <w:pPr>
              <w:spacing w:after="0" w:line="360" w:lineRule="auto"/>
              <w:rPr>
                <w:rFonts w:ascii="Times New Roman" w:eastAsia="Times New Roman" w:hAnsi="Times New Roman" w:cs="Times New Roman"/>
                <w:color w:val="000000" w:themeColor="text1"/>
                <w:kern w:val="0"/>
                <w14:ligatures w14:val="none"/>
              </w:rPr>
            </w:pPr>
          </w:p>
        </w:tc>
        <w:tc>
          <w:tcPr>
            <w:tcW w:w="0" w:type="auto"/>
            <w:vAlign w:val="center"/>
            <w:hideMark/>
          </w:tcPr>
          <w:p w14:paraId="673C5A2D" w14:textId="77777777" w:rsidR="000B6A05" w:rsidRPr="00AF0CC3" w:rsidRDefault="000B6A05" w:rsidP="00E73C98">
            <w:pPr>
              <w:spacing w:after="0" w:line="360" w:lineRule="auto"/>
              <w:rPr>
                <w:rFonts w:ascii="Times New Roman" w:eastAsia="Times New Roman" w:hAnsi="Times New Roman" w:cs="Times New Roman"/>
                <w:color w:val="000000" w:themeColor="text1"/>
                <w:kern w:val="0"/>
                <w14:ligatures w14:val="none"/>
              </w:rPr>
            </w:pPr>
            <w:r w:rsidRPr="00AF0CC3">
              <w:rPr>
                <w:rFonts w:ascii="Times New Roman" w:eastAsia="Times New Roman" w:hAnsi="Times New Roman" w:cs="Times New Roman"/>
                <w:color w:val="000000" w:themeColor="text1"/>
                <w:kern w:val="0"/>
                <w14:ligatures w14:val="none"/>
              </w:rPr>
              <w:t>Land acquisition readiness</w:t>
            </w:r>
          </w:p>
        </w:tc>
        <w:tc>
          <w:tcPr>
            <w:tcW w:w="0" w:type="auto"/>
            <w:vAlign w:val="center"/>
            <w:hideMark/>
          </w:tcPr>
          <w:p w14:paraId="115C5308" w14:textId="77777777" w:rsidR="000B6A05" w:rsidRPr="00AF0CC3" w:rsidRDefault="000B6A05" w:rsidP="00E73C98">
            <w:pPr>
              <w:spacing w:after="0" w:line="360" w:lineRule="auto"/>
              <w:rPr>
                <w:rFonts w:ascii="Times New Roman" w:eastAsia="Times New Roman" w:hAnsi="Times New Roman" w:cs="Times New Roman"/>
                <w:color w:val="000000" w:themeColor="text1"/>
                <w:kern w:val="0"/>
                <w14:ligatures w14:val="none"/>
              </w:rPr>
            </w:pPr>
            <w:r w:rsidRPr="00AF0CC3">
              <w:rPr>
                <w:rFonts w:ascii="Times New Roman" w:eastAsia="Times New Roman" w:hAnsi="Times New Roman" w:cs="Times New Roman"/>
                <w:color w:val="000000" w:themeColor="text1"/>
                <w:kern w:val="0"/>
                <w14:ligatures w14:val="none"/>
              </w:rPr>
              <w:t>The degree to which land acquisition and resettlement issues were resolved prior to procurement</w:t>
            </w:r>
          </w:p>
        </w:tc>
        <w:tc>
          <w:tcPr>
            <w:tcW w:w="0" w:type="auto"/>
            <w:vAlign w:val="center"/>
            <w:hideMark/>
          </w:tcPr>
          <w:p w14:paraId="1DEA15DA" w14:textId="77777777" w:rsidR="000B6A05" w:rsidRPr="00AF0CC3" w:rsidRDefault="000B6A05" w:rsidP="00E73C98">
            <w:pPr>
              <w:spacing w:after="0" w:line="360" w:lineRule="auto"/>
              <w:rPr>
                <w:rFonts w:ascii="Times New Roman" w:eastAsia="Times New Roman" w:hAnsi="Times New Roman" w:cs="Times New Roman"/>
                <w:color w:val="000000" w:themeColor="text1"/>
                <w:kern w:val="0"/>
                <w14:ligatures w14:val="none"/>
              </w:rPr>
            </w:pPr>
            <w:r w:rsidRPr="00AF0CC3">
              <w:rPr>
                <w:rFonts w:ascii="Times New Roman" w:eastAsia="Times New Roman" w:hAnsi="Times New Roman" w:cs="Times New Roman"/>
                <w:color w:val="000000" w:themeColor="text1"/>
                <w:kern w:val="0"/>
                <w14:ligatures w14:val="none"/>
              </w:rPr>
              <w:t>0 = No land acquisition planning; 1 = Partial planning; 2 = Land issues fully resolved prior to procurement</w:t>
            </w:r>
          </w:p>
        </w:tc>
        <w:tc>
          <w:tcPr>
            <w:tcW w:w="0" w:type="auto"/>
            <w:vAlign w:val="center"/>
            <w:hideMark/>
          </w:tcPr>
          <w:p w14:paraId="38550BA9" w14:textId="77777777" w:rsidR="000B6A05" w:rsidRPr="00AF0CC3" w:rsidRDefault="000B6A05" w:rsidP="00E73C98">
            <w:pPr>
              <w:spacing w:after="0" w:line="360" w:lineRule="auto"/>
              <w:rPr>
                <w:rFonts w:ascii="Times New Roman" w:eastAsia="Times New Roman" w:hAnsi="Times New Roman" w:cs="Times New Roman"/>
                <w:color w:val="000000" w:themeColor="text1"/>
                <w:kern w:val="0"/>
                <w14:ligatures w14:val="none"/>
              </w:rPr>
            </w:pPr>
            <w:r w:rsidRPr="00AF0CC3">
              <w:rPr>
                <w:rFonts w:ascii="Times New Roman" w:eastAsia="Times New Roman" w:hAnsi="Times New Roman" w:cs="Times New Roman"/>
                <w:color w:val="000000" w:themeColor="text1"/>
                <w:kern w:val="0"/>
                <w14:ligatures w14:val="none"/>
              </w:rPr>
              <w:t>0–2</w:t>
            </w:r>
          </w:p>
        </w:tc>
      </w:tr>
      <w:tr w:rsidR="000B6A05" w:rsidRPr="00AF0CC3" w14:paraId="7F9B4E35" w14:textId="77777777" w:rsidTr="00E73C98">
        <w:trPr>
          <w:tblCellSpacing w:w="15" w:type="dxa"/>
        </w:trPr>
        <w:tc>
          <w:tcPr>
            <w:tcW w:w="0" w:type="auto"/>
            <w:vAlign w:val="center"/>
            <w:hideMark/>
          </w:tcPr>
          <w:p w14:paraId="5AA9756D" w14:textId="77777777" w:rsidR="000B6A05" w:rsidRPr="00AF0CC3" w:rsidRDefault="000B6A05" w:rsidP="00E73C98">
            <w:pPr>
              <w:spacing w:after="0" w:line="360" w:lineRule="auto"/>
              <w:rPr>
                <w:rFonts w:ascii="Times New Roman" w:eastAsia="Times New Roman" w:hAnsi="Times New Roman" w:cs="Times New Roman"/>
                <w:color w:val="000000" w:themeColor="text1"/>
                <w:kern w:val="0"/>
                <w14:ligatures w14:val="none"/>
              </w:rPr>
            </w:pPr>
            <w:r w:rsidRPr="00AF0CC3">
              <w:rPr>
                <w:rFonts w:ascii="Times New Roman" w:eastAsia="Times New Roman" w:hAnsi="Times New Roman" w:cs="Times New Roman"/>
                <w:b/>
                <w:bCs/>
                <w:color w:val="000000" w:themeColor="text1"/>
                <w:kern w:val="0"/>
                <w14:ligatures w14:val="none"/>
              </w:rPr>
              <w:t>Procurement Governance</w:t>
            </w:r>
          </w:p>
        </w:tc>
        <w:tc>
          <w:tcPr>
            <w:tcW w:w="0" w:type="auto"/>
            <w:vAlign w:val="center"/>
            <w:hideMark/>
          </w:tcPr>
          <w:p w14:paraId="320ABA67" w14:textId="77777777" w:rsidR="000B6A05" w:rsidRPr="00AF0CC3" w:rsidRDefault="000B6A05" w:rsidP="00E73C98">
            <w:pPr>
              <w:spacing w:after="0" w:line="360" w:lineRule="auto"/>
              <w:rPr>
                <w:rFonts w:ascii="Times New Roman" w:eastAsia="Times New Roman" w:hAnsi="Times New Roman" w:cs="Times New Roman"/>
                <w:color w:val="000000" w:themeColor="text1"/>
                <w:kern w:val="0"/>
                <w14:ligatures w14:val="none"/>
              </w:rPr>
            </w:pPr>
            <w:r w:rsidRPr="00AF0CC3">
              <w:rPr>
                <w:rFonts w:ascii="Times New Roman" w:eastAsia="Times New Roman" w:hAnsi="Times New Roman" w:cs="Times New Roman"/>
                <w:color w:val="000000" w:themeColor="text1"/>
                <w:kern w:val="0"/>
                <w14:ligatures w14:val="none"/>
              </w:rPr>
              <w:t>Procurement transparency</w:t>
            </w:r>
          </w:p>
        </w:tc>
        <w:tc>
          <w:tcPr>
            <w:tcW w:w="0" w:type="auto"/>
            <w:vAlign w:val="center"/>
            <w:hideMark/>
          </w:tcPr>
          <w:p w14:paraId="609DD928" w14:textId="77777777" w:rsidR="000B6A05" w:rsidRPr="00AF0CC3" w:rsidRDefault="000B6A05" w:rsidP="00E73C98">
            <w:pPr>
              <w:spacing w:after="0" w:line="360" w:lineRule="auto"/>
              <w:rPr>
                <w:rFonts w:ascii="Times New Roman" w:eastAsia="Times New Roman" w:hAnsi="Times New Roman" w:cs="Times New Roman"/>
                <w:color w:val="000000" w:themeColor="text1"/>
                <w:kern w:val="0"/>
                <w14:ligatures w14:val="none"/>
              </w:rPr>
            </w:pPr>
            <w:r w:rsidRPr="00AF0CC3">
              <w:rPr>
                <w:rFonts w:ascii="Times New Roman" w:eastAsia="Times New Roman" w:hAnsi="Times New Roman" w:cs="Times New Roman"/>
                <w:color w:val="000000" w:themeColor="text1"/>
                <w:kern w:val="0"/>
                <w14:ligatures w14:val="none"/>
              </w:rPr>
              <w:t>Degree of compliance with competitive procurement procedures</w:t>
            </w:r>
          </w:p>
        </w:tc>
        <w:tc>
          <w:tcPr>
            <w:tcW w:w="0" w:type="auto"/>
            <w:vAlign w:val="center"/>
            <w:hideMark/>
          </w:tcPr>
          <w:p w14:paraId="22A0C846" w14:textId="77777777" w:rsidR="000B6A05" w:rsidRPr="00AF0CC3" w:rsidRDefault="000B6A05" w:rsidP="00E73C98">
            <w:pPr>
              <w:spacing w:after="0" w:line="360" w:lineRule="auto"/>
              <w:rPr>
                <w:rFonts w:ascii="Times New Roman" w:eastAsia="Times New Roman" w:hAnsi="Times New Roman" w:cs="Times New Roman"/>
                <w:color w:val="000000" w:themeColor="text1"/>
                <w:kern w:val="0"/>
                <w14:ligatures w14:val="none"/>
              </w:rPr>
            </w:pPr>
            <w:r w:rsidRPr="00AF0CC3">
              <w:rPr>
                <w:rFonts w:ascii="Times New Roman" w:eastAsia="Times New Roman" w:hAnsi="Times New Roman" w:cs="Times New Roman"/>
                <w:color w:val="000000" w:themeColor="text1"/>
                <w:kern w:val="0"/>
                <w14:ligatures w14:val="none"/>
              </w:rPr>
              <w:t>0 = non-competitive procurement; 1 = Limited competition; 2 = Open competitive procurement</w:t>
            </w:r>
          </w:p>
        </w:tc>
        <w:tc>
          <w:tcPr>
            <w:tcW w:w="0" w:type="auto"/>
            <w:vAlign w:val="center"/>
            <w:hideMark/>
          </w:tcPr>
          <w:p w14:paraId="0D2FD8C2" w14:textId="77777777" w:rsidR="000B6A05" w:rsidRPr="00AF0CC3" w:rsidRDefault="000B6A05" w:rsidP="00E73C98">
            <w:pPr>
              <w:spacing w:after="0" w:line="360" w:lineRule="auto"/>
              <w:rPr>
                <w:rFonts w:ascii="Times New Roman" w:eastAsia="Times New Roman" w:hAnsi="Times New Roman" w:cs="Times New Roman"/>
                <w:color w:val="000000" w:themeColor="text1"/>
                <w:kern w:val="0"/>
                <w14:ligatures w14:val="none"/>
              </w:rPr>
            </w:pPr>
            <w:r w:rsidRPr="00AF0CC3">
              <w:rPr>
                <w:rFonts w:ascii="Times New Roman" w:eastAsia="Times New Roman" w:hAnsi="Times New Roman" w:cs="Times New Roman"/>
                <w:color w:val="000000" w:themeColor="text1"/>
                <w:kern w:val="0"/>
                <w14:ligatures w14:val="none"/>
              </w:rPr>
              <w:t>0–2</w:t>
            </w:r>
          </w:p>
        </w:tc>
      </w:tr>
      <w:tr w:rsidR="000B6A05" w:rsidRPr="00AF0CC3" w14:paraId="3F4E0DF6" w14:textId="77777777" w:rsidTr="00E73C98">
        <w:trPr>
          <w:tblCellSpacing w:w="15" w:type="dxa"/>
        </w:trPr>
        <w:tc>
          <w:tcPr>
            <w:tcW w:w="0" w:type="auto"/>
            <w:vAlign w:val="center"/>
            <w:hideMark/>
          </w:tcPr>
          <w:p w14:paraId="04144F41" w14:textId="77777777" w:rsidR="000B6A05" w:rsidRPr="00AF0CC3" w:rsidRDefault="000B6A05" w:rsidP="00E73C98">
            <w:pPr>
              <w:spacing w:after="0" w:line="360" w:lineRule="auto"/>
              <w:rPr>
                <w:rFonts w:ascii="Times New Roman" w:eastAsia="Times New Roman" w:hAnsi="Times New Roman" w:cs="Times New Roman"/>
                <w:color w:val="000000" w:themeColor="text1"/>
                <w:kern w:val="0"/>
                <w14:ligatures w14:val="none"/>
              </w:rPr>
            </w:pPr>
          </w:p>
        </w:tc>
        <w:tc>
          <w:tcPr>
            <w:tcW w:w="0" w:type="auto"/>
            <w:vAlign w:val="center"/>
            <w:hideMark/>
          </w:tcPr>
          <w:p w14:paraId="1A3117CE" w14:textId="77777777" w:rsidR="000B6A05" w:rsidRPr="00AF0CC3" w:rsidRDefault="000B6A05" w:rsidP="00E73C98">
            <w:pPr>
              <w:spacing w:after="0" w:line="360" w:lineRule="auto"/>
              <w:rPr>
                <w:rFonts w:ascii="Times New Roman" w:eastAsia="Times New Roman" w:hAnsi="Times New Roman" w:cs="Times New Roman"/>
                <w:color w:val="000000" w:themeColor="text1"/>
                <w:kern w:val="0"/>
                <w14:ligatures w14:val="none"/>
              </w:rPr>
            </w:pPr>
            <w:r w:rsidRPr="00AF0CC3">
              <w:rPr>
                <w:rFonts w:ascii="Times New Roman" w:eastAsia="Times New Roman" w:hAnsi="Times New Roman" w:cs="Times New Roman"/>
                <w:color w:val="000000" w:themeColor="text1"/>
                <w:kern w:val="0"/>
                <w14:ligatures w14:val="none"/>
              </w:rPr>
              <w:t>Risk allocation clarity</w:t>
            </w:r>
          </w:p>
        </w:tc>
        <w:tc>
          <w:tcPr>
            <w:tcW w:w="0" w:type="auto"/>
            <w:vAlign w:val="center"/>
            <w:hideMark/>
          </w:tcPr>
          <w:p w14:paraId="686AED3C" w14:textId="77777777" w:rsidR="000B6A05" w:rsidRPr="00AF0CC3" w:rsidRDefault="000B6A05" w:rsidP="00E73C98">
            <w:pPr>
              <w:spacing w:after="0" w:line="360" w:lineRule="auto"/>
              <w:rPr>
                <w:rFonts w:ascii="Times New Roman" w:eastAsia="Times New Roman" w:hAnsi="Times New Roman" w:cs="Times New Roman"/>
                <w:color w:val="000000" w:themeColor="text1"/>
                <w:kern w:val="0"/>
                <w14:ligatures w14:val="none"/>
              </w:rPr>
            </w:pPr>
            <w:r w:rsidRPr="00AF0CC3">
              <w:rPr>
                <w:rFonts w:ascii="Times New Roman" w:eastAsia="Times New Roman" w:hAnsi="Times New Roman" w:cs="Times New Roman"/>
                <w:color w:val="000000" w:themeColor="text1"/>
                <w:kern w:val="0"/>
                <w14:ligatures w14:val="none"/>
              </w:rPr>
              <w:t>Clarity of contractual allocation of key implementation risks</w:t>
            </w:r>
          </w:p>
        </w:tc>
        <w:tc>
          <w:tcPr>
            <w:tcW w:w="0" w:type="auto"/>
            <w:vAlign w:val="center"/>
            <w:hideMark/>
          </w:tcPr>
          <w:p w14:paraId="691C07DD" w14:textId="77777777" w:rsidR="000B6A05" w:rsidRPr="00AF0CC3" w:rsidRDefault="000B6A05" w:rsidP="00E73C98">
            <w:pPr>
              <w:spacing w:after="0" w:line="360" w:lineRule="auto"/>
              <w:rPr>
                <w:rFonts w:ascii="Times New Roman" w:eastAsia="Times New Roman" w:hAnsi="Times New Roman" w:cs="Times New Roman"/>
                <w:color w:val="000000" w:themeColor="text1"/>
                <w:kern w:val="0"/>
                <w14:ligatures w14:val="none"/>
              </w:rPr>
            </w:pPr>
            <w:r w:rsidRPr="00AF0CC3">
              <w:rPr>
                <w:rFonts w:ascii="Times New Roman" w:eastAsia="Times New Roman" w:hAnsi="Times New Roman" w:cs="Times New Roman"/>
                <w:color w:val="000000" w:themeColor="text1"/>
                <w:kern w:val="0"/>
                <w14:ligatures w14:val="none"/>
              </w:rPr>
              <w:t>0 = Risks poorly specified; 1 = Partial risk allocation; 2 = Clearly defined contractual risk allocation</w:t>
            </w:r>
          </w:p>
        </w:tc>
        <w:tc>
          <w:tcPr>
            <w:tcW w:w="0" w:type="auto"/>
            <w:vAlign w:val="center"/>
            <w:hideMark/>
          </w:tcPr>
          <w:p w14:paraId="736686CB" w14:textId="77777777" w:rsidR="000B6A05" w:rsidRPr="00AF0CC3" w:rsidRDefault="000B6A05" w:rsidP="00E73C98">
            <w:pPr>
              <w:spacing w:after="0" w:line="360" w:lineRule="auto"/>
              <w:rPr>
                <w:rFonts w:ascii="Times New Roman" w:eastAsia="Times New Roman" w:hAnsi="Times New Roman" w:cs="Times New Roman"/>
                <w:color w:val="000000" w:themeColor="text1"/>
                <w:kern w:val="0"/>
                <w14:ligatures w14:val="none"/>
              </w:rPr>
            </w:pPr>
            <w:r w:rsidRPr="00AF0CC3">
              <w:rPr>
                <w:rFonts w:ascii="Times New Roman" w:eastAsia="Times New Roman" w:hAnsi="Times New Roman" w:cs="Times New Roman"/>
                <w:color w:val="000000" w:themeColor="text1"/>
                <w:kern w:val="0"/>
                <w14:ligatures w14:val="none"/>
              </w:rPr>
              <w:t>0–2</w:t>
            </w:r>
          </w:p>
        </w:tc>
      </w:tr>
      <w:tr w:rsidR="000B6A05" w:rsidRPr="00AF0CC3" w14:paraId="4A362B2B" w14:textId="77777777" w:rsidTr="00E73C98">
        <w:trPr>
          <w:tblCellSpacing w:w="15" w:type="dxa"/>
        </w:trPr>
        <w:tc>
          <w:tcPr>
            <w:tcW w:w="0" w:type="auto"/>
            <w:vAlign w:val="center"/>
            <w:hideMark/>
          </w:tcPr>
          <w:p w14:paraId="307A65B8" w14:textId="77777777" w:rsidR="000B6A05" w:rsidRPr="00AF0CC3" w:rsidRDefault="000B6A05" w:rsidP="00E73C98">
            <w:pPr>
              <w:spacing w:after="0" w:line="360" w:lineRule="auto"/>
              <w:rPr>
                <w:rFonts w:ascii="Times New Roman" w:eastAsia="Times New Roman" w:hAnsi="Times New Roman" w:cs="Times New Roman"/>
                <w:color w:val="000000" w:themeColor="text1"/>
                <w:kern w:val="0"/>
                <w14:ligatures w14:val="none"/>
              </w:rPr>
            </w:pPr>
            <w:r w:rsidRPr="00AF0CC3">
              <w:rPr>
                <w:rFonts w:ascii="Times New Roman" w:eastAsia="Times New Roman" w:hAnsi="Times New Roman" w:cs="Times New Roman"/>
                <w:b/>
                <w:bCs/>
                <w:color w:val="000000" w:themeColor="text1"/>
                <w:kern w:val="0"/>
                <w14:ligatures w14:val="none"/>
              </w:rPr>
              <w:t>Implementation Governance</w:t>
            </w:r>
          </w:p>
        </w:tc>
        <w:tc>
          <w:tcPr>
            <w:tcW w:w="0" w:type="auto"/>
            <w:vAlign w:val="center"/>
            <w:hideMark/>
          </w:tcPr>
          <w:p w14:paraId="629D0508" w14:textId="77777777" w:rsidR="000B6A05" w:rsidRPr="00AF0CC3" w:rsidRDefault="000B6A05" w:rsidP="00E73C98">
            <w:pPr>
              <w:spacing w:after="0" w:line="360" w:lineRule="auto"/>
              <w:rPr>
                <w:rFonts w:ascii="Times New Roman" w:eastAsia="Times New Roman" w:hAnsi="Times New Roman" w:cs="Times New Roman"/>
                <w:color w:val="000000" w:themeColor="text1"/>
                <w:kern w:val="0"/>
                <w14:ligatures w14:val="none"/>
              </w:rPr>
            </w:pPr>
            <w:r w:rsidRPr="00AF0CC3">
              <w:rPr>
                <w:rFonts w:ascii="Times New Roman" w:eastAsia="Times New Roman" w:hAnsi="Times New Roman" w:cs="Times New Roman"/>
                <w:color w:val="000000" w:themeColor="text1"/>
                <w:kern w:val="0"/>
                <w14:ligatures w14:val="none"/>
              </w:rPr>
              <w:t>Contract supervision capacity</w:t>
            </w:r>
          </w:p>
        </w:tc>
        <w:tc>
          <w:tcPr>
            <w:tcW w:w="0" w:type="auto"/>
            <w:vAlign w:val="center"/>
            <w:hideMark/>
          </w:tcPr>
          <w:p w14:paraId="3CD6DECB" w14:textId="77777777" w:rsidR="000B6A05" w:rsidRPr="00AF0CC3" w:rsidRDefault="000B6A05" w:rsidP="00E73C98">
            <w:pPr>
              <w:spacing w:after="0" w:line="360" w:lineRule="auto"/>
              <w:rPr>
                <w:rFonts w:ascii="Times New Roman" w:eastAsia="Times New Roman" w:hAnsi="Times New Roman" w:cs="Times New Roman"/>
                <w:color w:val="000000" w:themeColor="text1"/>
                <w:kern w:val="0"/>
                <w14:ligatures w14:val="none"/>
              </w:rPr>
            </w:pPr>
            <w:r w:rsidRPr="00AF0CC3">
              <w:rPr>
                <w:rFonts w:ascii="Times New Roman" w:eastAsia="Times New Roman" w:hAnsi="Times New Roman" w:cs="Times New Roman"/>
                <w:color w:val="000000" w:themeColor="text1"/>
                <w:kern w:val="0"/>
                <w14:ligatures w14:val="none"/>
              </w:rPr>
              <w:t>Presence of formal monitoring and project supervision mechanisms</w:t>
            </w:r>
          </w:p>
        </w:tc>
        <w:tc>
          <w:tcPr>
            <w:tcW w:w="0" w:type="auto"/>
            <w:vAlign w:val="center"/>
            <w:hideMark/>
          </w:tcPr>
          <w:p w14:paraId="1A2DF840" w14:textId="77777777" w:rsidR="000B6A05" w:rsidRPr="00AF0CC3" w:rsidRDefault="000B6A05" w:rsidP="00E73C98">
            <w:pPr>
              <w:spacing w:after="0" w:line="360" w:lineRule="auto"/>
              <w:rPr>
                <w:rFonts w:ascii="Times New Roman" w:eastAsia="Times New Roman" w:hAnsi="Times New Roman" w:cs="Times New Roman"/>
                <w:color w:val="000000" w:themeColor="text1"/>
                <w:kern w:val="0"/>
                <w14:ligatures w14:val="none"/>
              </w:rPr>
            </w:pPr>
            <w:r w:rsidRPr="00AF0CC3">
              <w:rPr>
                <w:rFonts w:ascii="Times New Roman" w:eastAsia="Times New Roman" w:hAnsi="Times New Roman" w:cs="Times New Roman"/>
                <w:color w:val="000000" w:themeColor="text1"/>
                <w:kern w:val="0"/>
                <w14:ligatures w14:val="none"/>
              </w:rPr>
              <w:t>0 = No formal supervision; 1 = Limited monitoring; 2 = Dedicated supervision structure</w:t>
            </w:r>
          </w:p>
        </w:tc>
        <w:tc>
          <w:tcPr>
            <w:tcW w:w="0" w:type="auto"/>
            <w:vAlign w:val="center"/>
            <w:hideMark/>
          </w:tcPr>
          <w:p w14:paraId="7099754E" w14:textId="77777777" w:rsidR="000B6A05" w:rsidRPr="00AF0CC3" w:rsidRDefault="000B6A05" w:rsidP="00E73C98">
            <w:pPr>
              <w:spacing w:after="0" w:line="360" w:lineRule="auto"/>
              <w:rPr>
                <w:rFonts w:ascii="Times New Roman" w:eastAsia="Times New Roman" w:hAnsi="Times New Roman" w:cs="Times New Roman"/>
                <w:color w:val="000000" w:themeColor="text1"/>
                <w:kern w:val="0"/>
                <w14:ligatures w14:val="none"/>
              </w:rPr>
            </w:pPr>
            <w:r w:rsidRPr="00AF0CC3">
              <w:rPr>
                <w:rFonts w:ascii="Times New Roman" w:eastAsia="Times New Roman" w:hAnsi="Times New Roman" w:cs="Times New Roman"/>
                <w:color w:val="000000" w:themeColor="text1"/>
                <w:kern w:val="0"/>
                <w14:ligatures w14:val="none"/>
              </w:rPr>
              <w:t>0–2</w:t>
            </w:r>
          </w:p>
        </w:tc>
      </w:tr>
      <w:tr w:rsidR="000B6A05" w:rsidRPr="00AF0CC3" w14:paraId="5AF8B768" w14:textId="77777777" w:rsidTr="00E73C98">
        <w:trPr>
          <w:tblCellSpacing w:w="15" w:type="dxa"/>
        </w:trPr>
        <w:tc>
          <w:tcPr>
            <w:tcW w:w="0" w:type="auto"/>
            <w:vAlign w:val="center"/>
            <w:hideMark/>
          </w:tcPr>
          <w:p w14:paraId="1B22F7F3" w14:textId="77777777" w:rsidR="000B6A05" w:rsidRPr="00AF0CC3" w:rsidRDefault="000B6A05" w:rsidP="00E73C98">
            <w:pPr>
              <w:spacing w:after="0" w:line="360" w:lineRule="auto"/>
              <w:rPr>
                <w:rFonts w:ascii="Times New Roman" w:eastAsia="Times New Roman" w:hAnsi="Times New Roman" w:cs="Times New Roman"/>
                <w:color w:val="000000" w:themeColor="text1"/>
                <w:kern w:val="0"/>
                <w14:ligatures w14:val="none"/>
              </w:rPr>
            </w:pPr>
          </w:p>
        </w:tc>
        <w:tc>
          <w:tcPr>
            <w:tcW w:w="0" w:type="auto"/>
            <w:vAlign w:val="center"/>
            <w:hideMark/>
          </w:tcPr>
          <w:p w14:paraId="278EEB43" w14:textId="77777777" w:rsidR="000B6A05" w:rsidRPr="00AF0CC3" w:rsidRDefault="000B6A05" w:rsidP="00E73C98">
            <w:pPr>
              <w:spacing w:after="0" w:line="360" w:lineRule="auto"/>
              <w:rPr>
                <w:rFonts w:ascii="Times New Roman" w:eastAsia="Times New Roman" w:hAnsi="Times New Roman" w:cs="Times New Roman"/>
                <w:color w:val="000000" w:themeColor="text1"/>
                <w:kern w:val="0"/>
                <w14:ligatures w14:val="none"/>
              </w:rPr>
            </w:pPr>
            <w:r w:rsidRPr="00AF0CC3">
              <w:rPr>
                <w:rFonts w:ascii="Times New Roman" w:eastAsia="Times New Roman" w:hAnsi="Times New Roman" w:cs="Times New Roman"/>
                <w:color w:val="000000" w:themeColor="text1"/>
                <w:kern w:val="0"/>
                <w14:ligatures w14:val="none"/>
              </w:rPr>
              <w:t>Payment reliability</w:t>
            </w:r>
          </w:p>
        </w:tc>
        <w:tc>
          <w:tcPr>
            <w:tcW w:w="0" w:type="auto"/>
            <w:vAlign w:val="center"/>
            <w:hideMark/>
          </w:tcPr>
          <w:p w14:paraId="30E435D8" w14:textId="77777777" w:rsidR="000B6A05" w:rsidRPr="00AF0CC3" w:rsidRDefault="000B6A05" w:rsidP="00E73C98">
            <w:pPr>
              <w:spacing w:after="0" w:line="360" w:lineRule="auto"/>
              <w:rPr>
                <w:rFonts w:ascii="Times New Roman" w:eastAsia="Times New Roman" w:hAnsi="Times New Roman" w:cs="Times New Roman"/>
                <w:color w:val="000000" w:themeColor="text1"/>
                <w:kern w:val="0"/>
                <w14:ligatures w14:val="none"/>
              </w:rPr>
            </w:pPr>
            <w:r w:rsidRPr="00AF0CC3">
              <w:rPr>
                <w:rFonts w:ascii="Times New Roman" w:eastAsia="Times New Roman" w:hAnsi="Times New Roman" w:cs="Times New Roman"/>
                <w:color w:val="000000" w:themeColor="text1"/>
                <w:kern w:val="0"/>
                <w14:ligatures w14:val="none"/>
              </w:rPr>
              <w:t>Consistency and timeliness of contractor payments during implementation</w:t>
            </w:r>
          </w:p>
        </w:tc>
        <w:tc>
          <w:tcPr>
            <w:tcW w:w="0" w:type="auto"/>
            <w:vAlign w:val="center"/>
            <w:hideMark/>
          </w:tcPr>
          <w:p w14:paraId="3DF26467" w14:textId="77777777" w:rsidR="000B6A05" w:rsidRPr="00AF0CC3" w:rsidRDefault="000B6A05" w:rsidP="00E73C98">
            <w:pPr>
              <w:spacing w:after="0" w:line="360" w:lineRule="auto"/>
              <w:rPr>
                <w:rFonts w:ascii="Times New Roman" w:eastAsia="Times New Roman" w:hAnsi="Times New Roman" w:cs="Times New Roman"/>
                <w:color w:val="000000" w:themeColor="text1"/>
                <w:kern w:val="0"/>
                <w14:ligatures w14:val="none"/>
              </w:rPr>
            </w:pPr>
            <w:r w:rsidRPr="00AF0CC3">
              <w:rPr>
                <w:rFonts w:ascii="Times New Roman" w:eastAsia="Times New Roman" w:hAnsi="Times New Roman" w:cs="Times New Roman"/>
                <w:color w:val="000000" w:themeColor="text1"/>
                <w:kern w:val="0"/>
                <w14:ligatures w14:val="none"/>
              </w:rPr>
              <w:t>0 = Frequent payment delays; 1 = Occasional delays; 2 = Payments made according to contract schedule</w:t>
            </w:r>
          </w:p>
        </w:tc>
        <w:tc>
          <w:tcPr>
            <w:tcW w:w="0" w:type="auto"/>
            <w:vAlign w:val="center"/>
            <w:hideMark/>
          </w:tcPr>
          <w:p w14:paraId="1702A175" w14:textId="77777777" w:rsidR="000B6A05" w:rsidRPr="00AF0CC3" w:rsidRDefault="000B6A05" w:rsidP="00E73C98">
            <w:pPr>
              <w:spacing w:after="0" w:line="360" w:lineRule="auto"/>
              <w:rPr>
                <w:rFonts w:ascii="Times New Roman" w:eastAsia="Times New Roman" w:hAnsi="Times New Roman" w:cs="Times New Roman"/>
                <w:color w:val="000000" w:themeColor="text1"/>
                <w:kern w:val="0"/>
                <w14:ligatures w14:val="none"/>
              </w:rPr>
            </w:pPr>
            <w:r w:rsidRPr="00AF0CC3">
              <w:rPr>
                <w:rFonts w:ascii="Times New Roman" w:eastAsia="Times New Roman" w:hAnsi="Times New Roman" w:cs="Times New Roman"/>
                <w:color w:val="000000" w:themeColor="text1"/>
                <w:kern w:val="0"/>
                <w14:ligatures w14:val="none"/>
              </w:rPr>
              <w:t>0–2</w:t>
            </w:r>
          </w:p>
        </w:tc>
      </w:tr>
      <w:tr w:rsidR="000B6A05" w:rsidRPr="00AF0CC3" w14:paraId="2A1C4584" w14:textId="77777777" w:rsidTr="00E73C98">
        <w:trPr>
          <w:tblCellSpacing w:w="15" w:type="dxa"/>
        </w:trPr>
        <w:tc>
          <w:tcPr>
            <w:tcW w:w="0" w:type="auto"/>
            <w:vAlign w:val="center"/>
            <w:hideMark/>
          </w:tcPr>
          <w:p w14:paraId="12A0E993" w14:textId="77777777" w:rsidR="000B6A05" w:rsidRPr="00AF0CC3" w:rsidRDefault="000B6A05" w:rsidP="00E73C98">
            <w:pPr>
              <w:spacing w:after="0" w:line="360" w:lineRule="auto"/>
              <w:rPr>
                <w:rFonts w:ascii="Times New Roman" w:eastAsia="Times New Roman" w:hAnsi="Times New Roman" w:cs="Times New Roman"/>
                <w:color w:val="000000" w:themeColor="text1"/>
                <w:kern w:val="0"/>
                <w14:ligatures w14:val="none"/>
              </w:rPr>
            </w:pPr>
            <w:r w:rsidRPr="00AF0CC3">
              <w:rPr>
                <w:rFonts w:ascii="Times New Roman" w:eastAsia="Times New Roman" w:hAnsi="Times New Roman" w:cs="Times New Roman"/>
                <w:b/>
                <w:bCs/>
                <w:color w:val="000000" w:themeColor="text1"/>
                <w:kern w:val="0"/>
                <w14:ligatures w14:val="none"/>
              </w:rPr>
              <w:lastRenderedPageBreak/>
              <w:t>Oversight and Accountability</w:t>
            </w:r>
          </w:p>
        </w:tc>
        <w:tc>
          <w:tcPr>
            <w:tcW w:w="0" w:type="auto"/>
            <w:vAlign w:val="center"/>
            <w:hideMark/>
          </w:tcPr>
          <w:p w14:paraId="422D693F" w14:textId="77777777" w:rsidR="000B6A05" w:rsidRPr="00AF0CC3" w:rsidRDefault="000B6A05" w:rsidP="00E73C98">
            <w:pPr>
              <w:spacing w:after="0" w:line="360" w:lineRule="auto"/>
              <w:rPr>
                <w:rFonts w:ascii="Times New Roman" w:eastAsia="Times New Roman" w:hAnsi="Times New Roman" w:cs="Times New Roman"/>
                <w:color w:val="000000" w:themeColor="text1"/>
                <w:kern w:val="0"/>
                <w14:ligatures w14:val="none"/>
              </w:rPr>
            </w:pPr>
            <w:r w:rsidRPr="00AF0CC3">
              <w:rPr>
                <w:rFonts w:ascii="Times New Roman" w:eastAsia="Times New Roman" w:hAnsi="Times New Roman" w:cs="Times New Roman"/>
                <w:color w:val="000000" w:themeColor="text1"/>
                <w:kern w:val="0"/>
                <w14:ligatures w14:val="none"/>
              </w:rPr>
              <w:t>Audit responsiveness</w:t>
            </w:r>
          </w:p>
        </w:tc>
        <w:tc>
          <w:tcPr>
            <w:tcW w:w="0" w:type="auto"/>
            <w:vAlign w:val="center"/>
            <w:hideMark/>
          </w:tcPr>
          <w:p w14:paraId="632B5C3E" w14:textId="77777777" w:rsidR="000B6A05" w:rsidRPr="00AF0CC3" w:rsidRDefault="000B6A05" w:rsidP="00E73C98">
            <w:pPr>
              <w:spacing w:after="0" w:line="360" w:lineRule="auto"/>
              <w:rPr>
                <w:rFonts w:ascii="Times New Roman" w:eastAsia="Times New Roman" w:hAnsi="Times New Roman" w:cs="Times New Roman"/>
                <w:color w:val="000000" w:themeColor="text1"/>
                <w:kern w:val="0"/>
                <w14:ligatures w14:val="none"/>
              </w:rPr>
            </w:pPr>
            <w:r w:rsidRPr="00AF0CC3">
              <w:rPr>
                <w:rFonts w:ascii="Times New Roman" w:eastAsia="Times New Roman" w:hAnsi="Times New Roman" w:cs="Times New Roman"/>
                <w:color w:val="000000" w:themeColor="text1"/>
                <w:kern w:val="0"/>
                <w14:ligatures w14:val="none"/>
              </w:rPr>
              <w:t>The degree to which audit recommendations were implemented</w:t>
            </w:r>
          </w:p>
        </w:tc>
        <w:tc>
          <w:tcPr>
            <w:tcW w:w="0" w:type="auto"/>
            <w:vAlign w:val="center"/>
            <w:hideMark/>
          </w:tcPr>
          <w:p w14:paraId="117EA5DF" w14:textId="77777777" w:rsidR="000B6A05" w:rsidRPr="00AF0CC3" w:rsidRDefault="000B6A05" w:rsidP="00E73C98">
            <w:pPr>
              <w:spacing w:after="0" w:line="360" w:lineRule="auto"/>
              <w:rPr>
                <w:rFonts w:ascii="Times New Roman" w:eastAsia="Times New Roman" w:hAnsi="Times New Roman" w:cs="Times New Roman"/>
                <w:color w:val="000000" w:themeColor="text1"/>
                <w:kern w:val="0"/>
                <w14:ligatures w14:val="none"/>
              </w:rPr>
            </w:pPr>
            <w:r w:rsidRPr="00AF0CC3">
              <w:rPr>
                <w:rFonts w:ascii="Times New Roman" w:eastAsia="Times New Roman" w:hAnsi="Times New Roman" w:cs="Times New Roman"/>
                <w:color w:val="000000" w:themeColor="text1"/>
                <w:kern w:val="0"/>
                <w14:ligatures w14:val="none"/>
              </w:rPr>
              <w:t>0 = No response to audit findings; 1 = Partial response; 2 = Full implementation of recommendations</w:t>
            </w:r>
          </w:p>
        </w:tc>
        <w:tc>
          <w:tcPr>
            <w:tcW w:w="0" w:type="auto"/>
            <w:vAlign w:val="center"/>
            <w:hideMark/>
          </w:tcPr>
          <w:p w14:paraId="42AE0C57" w14:textId="77777777" w:rsidR="000B6A05" w:rsidRPr="00AF0CC3" w:rsidRDefault="000B6A05" w:rsidP="00E73C98">
            <w:pPr>
              <w:spacing w:after="0" w:line="360" w:lineRule="auto"/>
              <w:rPr>
                <w:rFonts w:ascii="Times New Roman" w:eastAsia="Times New Roman" w:hAnsi="Times New Roman" w:cs="Times New Roman"/>
                <w:color w:val="000000" w:themeColor="text1"/>
                <w:kern w:val="0"/>
                <w14:ligatures w14:val="none"/>
              </w:rPr>
            </w:pPr>
            <w:r w:rsidRPr="00AF0CC3">
              <w:rPr>
                <w:rFonts w:ascii="Times New Roman" w:eastAsia="Times New Roman" w:hAnsi="Times New Roman" w:cs="Times New Roman"/>
                <w:color w:val="000000" w:themeColor="text1"/>
                <w:kern w:val="0"/>
                <w14:ligatures w14:val="none"/>
              </w:rPr>
              <w:t>0–2</w:t>
            </w:r>
          </w:p>
        </w:tc>
      </w:tr>
      <w:tr w:rsidR="000B6A05" w:rsidRPr="00AF0CC3" w14:paraId="7BECA6E3" w14:textId="77777777" w:rsidTr="00E73C98">
        <w:trPr>
          <w:tblCellSpacing w:w="15" w:type="dxa"/>
        </w:trPr>
        <w:tc>
          <w:tcPr>
            <w:tcW w:w="0" w:type="auto"/>
            <w:vAlign w:val="center"/>
            <w:hideMark/>
          </w:tcPr>
          <w:p w14:paraId="19A39F9D" w14:textId="77777777" w:rsidR="000B6A05" w:rsidRPr="00AF0CC3" w:rsidRDefault="000B6A05" w:rsidP="00E73C98">
            <w:pPr>
              <w:spacing w:after="0" w:line="360" w:lineRule="auto"/>
              <w:rPr>
                <w:rFonts w:ascii="Times New Roman" w:eastAsia="Times New Roman" w:hAnsi="Times New Roman" w:cs="Times New Roman"/>
                <w:color w:val="000000" w:themeColor="text1"/>
                <w:kern w:val="0"/>
                <w14:ligatures w14:val="none"/>
              </w:rPr>
            </w:pPr>
          </w:p>
        </w:tc>
        <w:tc>
          <w:tcPr>
            <w:tcW w:w="0" w:type="auto"/>
            <w:vAlign w:val="center"/>
            <w:hideMark/>
          </w:tcPr>
          <w:p w14:paraId="352F0887" w14:textId="77777777" w:rsidR="000B6A05" w:rsidRPr="00AF0CC3" w:rsidRDefault="000B6A05" w:rsidP="00E73C98">
            <w:pPr>
              <w:spacing w:after="0" w:line="360" w:lineRule="auto"/>
              <w:rPr>
                <w:rFonts w:ascii="Times New Roman" w:eastAsia="Times New Roman" w:hAnsi="Times New Roman" w:cs="Times New Roman"/>
                <w:color w:val="000000" w:themeColor="text1"/>
                <w:kern w:val="0"/>
                <w14:ligatures w14:val="none"/>
              </w:rPr>
            </w:pPr>
            <w:r w:rsidRPr="00AF0CC3">
              <w:rPr>
                <w:rFonts w:ascii="Times New Roman" w:eastAsia="Times New Roman" w:hAnsi="Times New Roman" w:cs="Times New Roman"/>
                <w:color w:val="000000" w:themeColor="text1"/>
                <w:kern w:val="0"/>
                <w14:ligatures w14:val="none"/>
              </w:rPr>
              <w:t>Institutional coordination</w:t>
            </w:r>
          </w:p>
        </w:tc>
        <w:tc>
          <w:tcPr>
            <w:tcW w:w="0" w:type="auto"/>
            <w:vAlign w:val="center"/>
            <w:hideMark/>
          </w:tcPr>
          <w:p w14:paraId="6866E940" w14:textId="77777777" w:rsidR="000B6A05" w:rsidRPr="00AF0CC3" w:rsidRDefault="000B6A05" w:rsidP="00E73C98">
            <w:pPr>
              <w:spacing w:after="0" w:line="360" w:lineRule="auto"/>
              <w:rPr>
                <w:rFonts w:ascii="Times New Roman" w:eastAsia="Times New Roman" w:hAnsi="Times New Roman" w:cs="Times New Roman"/>
                <w:color w:val="000000" w:themeColor="text1"/>
                <w:kern w:val="0"/>
                <w14:ligatures w14:val="none"/>
              </w:rPr>
            </w:pPr>
            <w:r w:rsidRPr="00AF0CC3">
              <w:rPr>
                <w:rFonts w:ascii="Times New Roman" w:eastAsia="Times New Roman" w:hAnsi="Times New Roman" w:cs="Times New Roman"/>
                <w:color w:val="000000" w:themeColor="text1"/>
                <w:kern w:val="0"/>
                <w14:ligatures w14:val="none"/>
              </w:rPr>
              <w:t>Coordination between implementing agencies and oversight institutions</w:t>
            </w:r>
          </w:p>
        </w:tc>
        <w:tc>
          <w:tcPr>
            <w:tcW w:w="0" w:type="auto"/>
            <w:vAlign w:val="center"/>
            <w:hideMark/>
          </w:tcPr>
          <w:p w14:paraId="4F0F1DA8" w14:textId="77777777" w:rsidR="000B6A05" w:rsidRPr="00AF0CC3" w:rsidRDefault="000B6A05" w:rsidP="00E73C98">
            <w:pPr>
              <w:spacing w:after="0" w:line="360" w:lineRule="auto"/>
              <w:rPr>
                <w:rFonts w:ascii="Times New Roman" w:eastAsia="Times New Roman" w:hAnsi="Times New Roman" w:cs="Times New Roman"/>
                <w:color w:val="000000" w:themeColor="text1"/>
                <w:kern w:val="0"/>
                <w14:ligatures w14:val="none"/>
              </w:rPr>
            </w:pPr>
            <w:r w:rsidRPr="00AF0CC3">
              <w:rPr>
                <w:rFonts w:ascii="Times New Roman" w:eastAsia="Times New Roman" w:hAnsi="Times New Roman" w:cs="Times New Roman"/>
                <w:color w:val="000000" w:themeColor="text1"/>
                <w:kern w:val="0"/>
                <w14:ligatures w14:val="none"/>
              </w:rPr>
              <w:t>0 = Fragmented institutional coordination; 1 = Partial coordination; 2 = Effective institutional coordination</w:t>
            </w:r>
          </w:p>
        </w:tc>
        <w:tc>
          <w:tcPr>
            <w:tcW w:w="0" w:type="auto"/>
            <w:vAlign w:val="center"/>
            <w:hideMark/>
          </w:tcPr>
          <w:p w14:paraId="11F194F8" w14:textId="77777777" w:rsidR="000B6A05" w:rsidRPr="00AF0CC3" w:rsidRDefault="000B6A05" w:rsidP="00E73C98">
            <w:pPr>
              <w:spacing w:after="0" w:line="360" w:lineRule="auto"/>
              <w:rPr>
                <w:rFonts w:ascii="Times New Roman" w:eastAsia="Times New Roman" w:hAnsi="Times New Roman" w:cs="Times New Roman"/>
                <w:color w:val="000000" w:themeColor="text1"/>
                <w:kern w:val="0"/>
                <w14:ligatures w14:val="none"/>
              </w:rPr>
            </w:pPr>
            <w:r w:rsidRPr="00AF0CC3">
              <w:rPr>
                <w:rFonts w:ascii="Times New Roman" w:eastAsia="Times New Roman" w:hAnsi="Times New Roman" w:cs="Times New Roman"/>
                <w:color w:val="000000" w:themeColor="text1"/>
                <w:kern w:val="0"/>
                <w14:ligatures w14:val="none"/>
              </w:rPr>
              <w:t>0–2</w:t>
            </w:r>
          </w:p>
        </w:tc>
      </w:tr>
      <w:tr w:rsidR="000B6A05" w:rsidRPr="00AF0CC3" w14:paraId="7B7191FC" w14:textId="77777777" w:rsidTr="00E73C98">
        <w:trPr>
          <w:tblCellSpacing w:w="15" w:type="dxa"/>
        </w:trPr>
        <w:tc>
          <w:tcPr>
            <w:tcW w:w="0" w:type="auto"/>
            <w:vAlign w:val="center"/>
            <w:hideMark/>
          </w:tcPr>
          <w:p w14:paraId="40CB4687" w14:textId="77777777" w:rsidR="000B6A05" w:rsidRPr="00AF0CC3" w:rsidRDefault="000B6A05" w:rsidP="00E73C98">
            <w:pPr>
              <w:spacing w:after="0" w:line="360" w:lineRule="auto"/>
              <w:rPr>
                <w:rFonts w:ascii="Times New Roman" w:eastAsia="Times New Roman" w:hAnsi="Times New Roman" w:cs="Times New Roman"/>
                <w:color w:val="000000" w:themeColor="text1"/>
                <w:kern w:val="0"/>
                <w14:ligatures w14:val="none"/>
              </w:rPr>
            </w:pPr>
          </w:p>
        </w:tc>
        <w:tc>
          <w:tcPr>
            <w:tcW w:w="0" w:type="auto"/>
            <w:vAlign w:val="center"/>
            <w:hideMark/>
          </w:tcPr>
          <w:p w14:paraId="515D90D1" w14:textId="77777777" w:rsidR="000B6A05" w:rsidRPr="00AF0CC3" w:rsidRDefault="000B6A05" w:rsidP="00E73C98">
            <w:pPr>
              <w:spacing w:after="0" w:line="360" w:lineRule="auto"/>
              <w:rPr>
                <w:rFonts w:ascii="Times New Roman" w:eastAsia="Times New Roman" w:hAnsi="Times New Roman" w:cs="Times New Roman"/>
                <w:color w:val="000000" w:themeColor="text1"/>
                <w:kern w:val="0"/>
                <w14:ligatures w14:val="none"/>
              </w:rPr>
            </w:pPr>
            <w:r w:rsidRPr="00AF0CC3">
              <w:rPr>
                <w:rFonts w:ascii="Times New Roman" w:eastAsia="Times New Roman" w:hAnsi="Times New Roman" w:cs="Times New Roman"/>
                <w:color w:val="000000" w:themeColor="text1"/>
                <w:kern w:val="0"/>
                <w14:ligatures w14:val="none"/>
              </w:rPr>
              <w:t>Documentation transparency and record completeness</w:t>
            </w:r>
          </w:p>
        </w:tc>
        <w:tc>
          <w:tcPr>
            <w:tcW w:w="0" w:type="auto"/>
            <w:vAlign w:val="center"/>
            <w:hideMark/>
          </w:tcPr>
          <w:p w14:paraId="0D8991B9" w14:textId="77777777" w:rsidR="000B6A05" w:rsidRPr="00AF0CC3" w:rsidRDefault="000B6A05" w:rsidP="00E73C98">
            <w:pPr>
              <w:spacing w:after="0" w:line="360" w:lineRule="auto"/>
              <w:rPr>
                <w:rFonts w:ascii="Times New Roman" w:eastAsia="Times New Roman" w:hAnsi="Times New Roman" w:cs="Times New Roman"/>
                <w:color w:val="000000" w:themeColor="text1"/>
                <w:kern w:val="0"/>
                <w14:ligatures w14:val="none"/>
              </w:rPr>
            </w:pPr>
            <w:r w:rsidRPr="00AF0CC3">
              <w:rPr>
                <w:rFonts w:ascii="Times New Roman" w:eastAsia="Times New Roman" w:hAnsi="Times New Roman" w:cs="Times New Roman"/>
                <w:color w:val="000000" w:themeColor="text1"/>
                <w:kern w:val="0"/>
                <w14:ligatures w14:val="none"/>
              </w:rPr>
              <w:t>Availability and consistency of project records, procurement documentation, implementation reports, and audit records throughout the project lifecycle</w:t>
            </w:r>
          </w:p>
        </w:tc>
        <w:tc>
          <w:tcPr>
            <w:tcW w:w="0" w:type="auto"/>
            <w:vAlign w:val="center"/>
            <w:hideMark/>
          </w:tcPr>
          <w:p w14:paraId="71A819FB" w14:textId="77777777" w:rsidR="000B6A05" w:rsidRPr="00AF0CC3" w:rsidRDefault="000B6A05" w:rsidP="00E73C98">
            <w:pPr>
              <w:spacing w:after="0" w:line="360" w:lineRule="auto"/>
              <w:rPr>
                <w:rFonts w:ascii="Times New Roman" w:eastAsia="Times New Roman" w:hAnsi="Times New Roman" w:cs="Times New Roman"/>
                <w:color w:val="000000" w:themeColor="text1"/>
                <w:kern w:val="0"/>
                <w14:ligatures w14:val="none"/>
              </w:rPr>
            </w:pPr>
            <w:r w:rsidRPr="00AF0CC3">
              <w:rPr>
                <w:rFonts w:ascii="Times New Roman" w:eastAsia="Times New Roman" w:hAnsi="Times New Roman" w:cs="Times New Roman"/>
                <w:color w:val="000000" w:themeColor="text1"/>
                <w:kern w:val="0"/>
                <w14:ligatures w14:val="none"/>
              </w:rPr>
              <w:t>0 = Major documentation gaps; 1 = Partial or inconsistent documentation; 2 = Comprehensive and verifiable documentation available</w:t>
            </w:r>
          </w:p>
        </w:tc>
        <w:tc>
          <w:tcPr>
            <w:tcW w:w="0" w:type="auto"/>
            <w:vAlign w:val="center"/>
            <w:hideMark/>
          </w:tcPr>
          <w:p w14:paraId="58F99FBA" w14:textId="77777777" w:rsidR="000B6A05" w:rsidRPr="00AF0CC3" w:rsidRDefault="000B6A05" w:rsidP="00E73C98">
            <w:pPr>
              <w:spacing w:after="0" w:line="360" w:lineRule="auto"/>
              <w:rPr>
                <w:rFonts w:ascii="Times New Roman" w:eastAsia="Times New Roman" w:hAnsi="Times New Roman" w:cs="Times New Roman"/>
                <w:color w:val="000000" w:themeColor="text1"/>
                <w:kern w:val="0"/>
                <w14:ligatures w14:val="none"/>
              </w:rPr>
            </w:pPr>
            <w:r w:rsidRPr="00AF0CC3">
              <w:rPr>
                <w:rFonts w:ascii="Times New Roman" w:eastAsia="Times New Roman" w:hAnsi="Times New Roman" w:cs="Times New Roman"/>
                <w:color w:val="000000" w:themeColor="text1"/>
                <w:kern w:val="0"/>
                <w14:ligatures w14:val="none"/>
              </w:rPr>
              <w:t>0–2</w:t>
            </w:r>
          </w:p>
        </w:tc>
      </w:tr>
    </w:tbl>
    <w:p w14:paraId="4EFA7492" w14:textId="77777777" w:rsidR="000B6A05" w:rsidRPr="00AF0CC3" w:rsidRDefault="000B6A05" w:rsidP="000B6A05">
      <w:pPr>
        <w:spacing w:line="360" w:lineRule="auto"/>
        <w:rPr>
          <w:rFonts w:ascii="Times New Roman" w:hAnsi="Times New Roman" w:cs="Times New Roman"/>
          <w:color w:val="000000" w:themeColor="text1"/>
        </w:rPr>
      </w:pPr>
    </w:p>
    <w:p w14:paraId="7956E0F9" w14:textId="77777777" w:rsidR="000B6A05" w:rsidRPr="00AF0CC3" w:rsidRDefault="000B6A05" w:rsidP="000B6A05">
      <w:pPr>
        <w:spacing w:line="360" w:lineRule="auto"/>
        <w:rPr>
          <w:rFonts w:ascii="Times New Roman" w:hAnsi="Times New Roman" w:cs="Times New Roman"/>
          <w:color w:val="000000" w:themeColor="text1"/>
        </w:rPr>
      </w:pPr>
      <w:r w:rsidRPr="00AF0CC3">
        <w:rPr>
          <w:rFonts w:ascii="Times New Roman" w:hAnsi="Times New Roman" w:cs="Times New Roman"/>
          <w:color w:val="000000" w:themeColor="text1"/>
        </w:rPr>
        <w:t>Documentation transparency and record completeness are included as indicators of governance quality because infrastructure governance depends not only on formal procedures but also on the institutional capacity to maintain transparent and verifiable records throughout the project lifecycle. In many infrastructure contexts, particularly within decentralized and resource-constrained environments, fragmented or missing documentation may reflect weaknesses in oversight, accountability, and administrative coordination.</w:t>
      </w:r>
    </w:p>
    <w:p w14:paraId="1501ABCB" w14:textId="77777777" w:rsidR="000B6A05" w:rsidRPr="00AF0CC3" w:rsidRDefault="000B6A05" w:rsidP="000B6A05">
      <w:pPr>
        <w:spacing w:line="360" w:lineRule="auto"/>
        <w:rPr>
          <w:rFonts w:ascii="Times New Roman" w:hAnsi="Times New Roman" w:cs="Times New Roman"/>
          <w:color w:val="000000" w:themeColor="text1"/>
        </w:rPr>
      </w:pPr>
      <w:r w:rsidRPr="00AF0CC3">
        <w:rPr>
          <w:rFonts w:ascii="Times New Roman" w:hAnsi="Times New Roman" w:cs="Times New Roman"/>
          <w:color w:val="000000" w:themeColor="text1"/>
        </w:rPr>
        <w:lastRenderedPageBreak/>
        <w:t>Table 3.2 shows the scoring rubric used to develop the Governance Quality Index. Governance practices are evaluated over four stages of the infrastructure lifecycle: preparation, procurement, implementation, and oversight. Each indicator is scored based on documentary evidence from project reports, audit findings, and implementation records. The total score provides a composite measure of governance quality for each project.</w:t>
      </w:r>
    </w:p>
    <w:p w14:paraId="7C283D9E" w14:textId="77777777" w:rsidR="000B6A05" w:rsidRPr="00AF0CC3" w:rsidRDefault="000B6A05" w:rsidP="000B6A05">
      <w:pPr>
        <w:spacing w:line="360" w:lineRule="auto"/>
        <w:rPr>
          <w:rFonts w:ascii="Times New Roman" w:hAnsi="Times New Roman" w:cs="Times New Roman"/>
          <w:color w:val="000000" w:themeColor="text1"/>
        </w:rPr>
      </w:pPr>
      <w:r w:rsidRPr="00AF0CC3">
        <w:rPr>
          <w:rFonts w:ascii="Times New Roman" w:hAnsi="Times New Roman" w:cs="Times New Roman"/>
          <w:color w:val="000000" w:themeColor="text1"/>
        </w:rPr>
        <w:t>The combined scores from these indicators form the composite Governance Quality Index used in the econometric analysis.</w:t>
      </w:r>
    </w:p>
    <w:p w14:paraId="2ED0E36A" w14:textId="77777777" w:rsidR="000B6A05" w:rsidRPr="00AF0CC3" w:rsidRDefault="000B6A05" w:rsidP="000B6A05">
      <w:pPr>
        <w:spacing w:line="360" w:lineRule="auto"/>
        <w:rPr>
          <w:rFonts w:ascii="Times New Roman" w:hAnsi="Times New Roman" w:cs="Times New Roman"/>
          <w:color w:val="000000" w:themeColor="text1"/>
        </w:rPr>
      </w:pPr>
    </w:p>
    <w:p w14:paraId="1EB12DA8" w14:textId="6E8FD546" w:rsidR="000B6A05" w:rsidRPr="00AF0CC3" w:rsidRDefault="000B6A05" w:rsidP="008A5815">
      <w:pPr>
        <w:pStyle w:val="Heading4"/>
        <w:rPr>
          <w:rFonts w:cs="Times New Roman"/>
          <w:color w:val="000000" w:themeColor="text1"/>
        </w:rPr>
      </w:pPr>
      <w:bookmarkStart w:id="250" w:name="_Toc230209536"/>
      <w:r w:rsidRPr="00AF0CC3">
        <w:rPr>
          <w:rFonts w:cs="Times New Roman"/>
          <w:color w:val="000000" w:themeColor="text1"/>
        </w:rPr>
        <w:t>Index Construction</w:t>
      </w:r>
      <w:bookmarkEnd w:id="250"/>
    </w:p>
    <w:p w14:paraId="0E3138D6" w14:textId="77777777" w:rsidR="000B6A05" w:rsidRPr="00AF0CC3" w:rsidRDefault="000B6A05" w:rsidP="000B6A05">
      <w:pPr>
        <w:spacing w:line="360" w:lineRule="auto"/>
        <w:rPr>
          <w:rFonts w:ascii="Times New Roman" w:hAnsi="Times New Roman" w:cs="Times New Roman"/>
          <w:color w:val="000000" w:themeColor="text1"/>
        </w:rPr>
      </w:pPr>
      <w:r w:rsidRPr="00AF0CC3">
        <w:rPr>
          <w:rFonts w:ascii="Times New Roman" w:hAnsi="Times New Roman" w:cs="Times New Roman"/>
          <w:color w:val="000000" w:themeColor="text1"/>
        </w:rPr>
        <w:t>The nine indicators are combined using equal weighting to create a composite index ranging from 0 to 100. Equal weighting is justified because governance integrity is conceptualized as a lifecycle property, where weaknesses at any stage can compromise overall project performance. Project preparation, procurement transparency, contract management, and oversight are treated as equally essential components of governance quality, and there is no strong theoretical reason to favor one stage over another beforehand.</w:t>
      </w:r>
    </w:p>
    <w:p w14:paraId="115E2311" w14:textId="77777777" w:rsidR="000B6A05" w:rsidRPr="00AF0CC3" w:rsidRDefault="000B6A05" w:rsidP="000B6A05">
      <w:pPr>
        <w:spacing w:line="360" w:lineRule="auto"/>
        <w:rPr>
          <w:rFonts w:ascii="Times New Roman" w:hAnsi="Times New Roman" w:cs="Times New Roman"/>
          <w:color w:val="000000" w:themeColor="text1"/>
        </w:rPr>
      </w:pPr>
    </w:p>
    <w:p w14:paraId="6373F4ED" w14:textId="77777777" w:rsidR="000B6A05" w:rsidRPr="00AF0CC3" w:rsidRDefault="000B6A05" w:rsidP="000B6A05">
      <w:pPr>
        <w:spacing w:line="360" w:lineRule="auto"/>
        <w:rPr>
          <w:rFonts w:ascii="Times New Roman" w:hAnsi="Times New Roman" w:cs="Times New Roman"/>
          <w:color w:val="000000" w:themeColor="text1"/>
        </w:rPr>
      </w:pPr>
      <w:r w:rsidRPr="00AF0CC3">
        <w:rPr>
          <w:rFonts w:ascii="Times New Roman" w:hAnsi="Times New Roman" w:cs="Times New Roman"/>
          <w:color w:val="000000" w:themeColor="text1"/>
        </w:rPr>
        <w:t>Equal weighting also improves transparency and replicability by avoiding arbitrary or sample-dependent weights. Although alternative methods such as principal component analysis (PCA) or factor analysis can be used to derive empirical weights, these techniques focus on statistical variance rather than theoretical importance and may yield weights that vary with the specific sample composition. Therefore, equal weighting remains the baseline choice.</w:t>
      </w:r>
    </w:p>
    <w:p w14:paraId="72881950" w14:textId="77777777" w:rsidR="000B6A05" w:rsidRPr="00AF0CC3" w:rsidRDefault="000B6A05" w:rsidP="000B6A05">
      <w:pPr>
        <w:spacing w:line="360" w:lineRule="auto"/>
        <w:rPr>
          <w:rFonts w:ascii="Times New Roman" w:hAnsi="Times New Roman" w:cs="Times New Roman"/>
          <w:color w:val="000000" w:themeColor="text1"/>
        </w:rPr>
      </w:pPr>
    </w:p>
    <w:p w14:paraId="6A3FFD82" w14:textId="77777777" w:rsidR="000B6A05" w:rsidRPr="00AF0CC3" w:rsidRDefault="000B6A05" w:rsidP="000B6A05">
      <w:pPr>
        <w:spacing w:line="360" w:lineRule="auto"/>
        <w:rPr>
          <w:rFonts w:ascii="Times New Roman" w:hAnsi="Times New Roman" w:cs="Times New Roman"/>
          <w:color w:val="000000" w:themeColor="text1"/>
        </w:rPr>
      </w:pPr>
      <w:r w:rsidRPr="00AF0CC3">
        <w:rPr>
          <w:rFonts w:ascii="Times New Roman" w:hAnsi="Times New Roman" w:cs="Times New Roman"/>
          <w:color w:val="000000" w:themeColor="text1"/>
        </w:rPr>
        <w:t>The Governance Quality Index is calculated by summing the scores of the nine governance indicators. The maximum possible score is eighteen. To ensure consistency in analysis, the index is normalized to a 0–1 scale.</w:t>
      </w:r>
    </w:p>
    <w:p w14:paraId="33ED5059" w14:textId="77777777" w:rsidR="000B6A05" w:rsidRPr="00AF0CC3" w:rsidRDefault="000B6A05" w:rsidP="000B6A05">
      <w:pPr>
        <w:spacing w:line="360" w:lineRule="auto"/>
        <w:rPr>
          <w:rFonts w:ascii="Times New Roman" w:hAnsi="Times New Roman" w:cs="Times New Roman"/>
          <w:color w:val="000000" w:themeColor="text1"/>
        </w:rPr>
      </w:pPr>
      <m:oMathPara>
        <m:oMath>
          <m:r>
            <w:rPr>
              <w:rFonts w:ascii="Cambria Math" w:hAnsi="Cambria Math" w:cs="Times New Roman"/>
              <w:color w:val="000000" w:themeColor="text1"/>
            </w:rPr>
            <m:t>GQ</m:t>
          </m:r>
          <m:sSub>
            <m:sSubPr>
              <m:ctrlPr>
                <w:rPr>
                  <w:rFonts w:ascii="Cambria Math" w:hAnsi="Cambria Math" w:cs="Times New Roman"/>
                  <w:color w:val="000000" w:themeColor="text1"/>
                </w:rPr>
              </m:ctrlPr>
            </m:sSubPr>
            <m:e>
              <m:r>
                <w:rPr>
                  <w:rFonts w:ascii="Cambria Math" w:hAnsi="Cambria Math" w:cs="Times New Roman"/>
                  <w:color w:val="000000" w:themeColor="text1"/>
                </w:rPr>
                <m:t>I</m:t>
              </m:r>
            </m:e>
            <m:sub>
              <m:r>
                <w:rPr>
                  <w:rFonts w:ascii="Cambria Math" w:hAnsi="Cambria Math" w:cs="Times New Roman"/>
                  <w:color w:val="000000" w:themeColor="text1"/>
                </w:rPr>
                <m:t>i</m:t>
              </m:r>
            </m:sub>
          </m:sSub>
          <m:r>
            <w:rPr>
              <w:rFonts w:ascii="Cambria Math" w:hAnsi="Cambria Math" w:cs="Times New Roman"/>
              <w:color w:val="000000" w:themeColor="text1"/>
            </w:rPr>
            <m:t>=</m:t>
          </m:r>
          <m:f>
            <m:fPr>
              <m:ctrlPr>
                <w:rPr>
                  <w:rFonts w:ascii="Cambria Math" w:hAnsi="Cambria Math" w:cs="Times New Roman"/>
                  <w:color w:val="000000" w:themeColor="text1"/>
                </w:rPr>
              </m:ctrlPr>
            </m:fPr>
            <m:num>
              <m:nary>
                <m:naryPr>
                  <m:chr m:val="∑"/>
                  <m:limLoc m:val="undOvr"/>
                  <m:grow m:val="1"/>
                  <m:ctrlPr>
                    <w:rPr>
                      <w:rFonts w:ascii="Cambria Math" w:hAnsi="Cambria Math" w:cs="Times New Roman"/>
                      <w:color w:val="000000" w:themeColor="text1"/>
                    </w:rPr>
                  </m:ctrlPr>
                </m:naryPr>
                <m:sub>
                  <m:r>
                    <w:rPr>
                      <w:rFonts w:ascii="Cambria Math" w:hAnsi="Cambria Math" w:cs="Times New Roman"/>
                      <w:color w:val="000000" w:themeColor="text1"/>
                    </w:rPr>
                    <m:t>j=1</m:t>
                  </m:r>
                </m:sub>
                <m:sup>
                  <m:r>
                    <w:rPr>
                      <w:rFonts w:ascii="Cambria Math" w:hAnsi="Cambria Math" w:cs="Times New Roman"/>
                      <w:color w:val="000000" w:themeColor="text1"/>
                    </w:rPr>
                    <m:t>8</m:t>
                  </m:r>
                </m:sup>
                <m:e>
                  <m:r>
                    <w:rPr>
                      <w:rFonts w:ascii="Cambria Math" w:hAnsi="Cambria Math" w:cs="Times New Roman"/>
                      <w:color w:val="000000" w:themeColor="text1"/>
                    </w:rPr>
                    <m:t>Scor</m:t>
                  </m:r>
                </m:e>
              </m:nary>
              <m:sSub>
                <m:sSubPr>
                  <m:ctrlPr>
                    <w:rPr>
                      <w:rFonts w:ascii="Cambria Math" w:hAnsi="Cambria Math" w:cs="Times New Roman"/>
                      <w:color w:val="000000" w:themeColor="text1"/>
                    </w:rPr>
                  </m:ctrlPr>
                </m:sSubPr>
                <m:e>
                  <m:r>
                    <w:rPr>
                      <w:rFonts w:ascii="Cambria Math" w:hAnsi="Cambria Math" w:cs="Times New Roman"/>
                      <w:color w:val="000000" w:themeColor="text1"/>
                    </w:rPr>
                    <m:t>e</m:t>
                  </m:r>
                </m:e>
                <m:sub>
                  <m:r>
                    <w:rPr>
                      <w:rFonts w:ascii="Cambria Math" w:hAnsi="Cambria Math" w:cs="Times New Roman"/>
                      <w:color w:val="000000" w:themeColor="text1"/>
                    </w:rPr>
                    <m:t>ij</m:t>
                  </m:r>
                </m:sub>
              </m:sSub>
            </m:num>
            <m:den>
              <m:r>
                <w:rPr>
                  <w:rFonts w:ascii="Cambria Math" w:hAnsi="Cambria Math" w:cs="Times New Roman"/>
                  <w:color w:val="000000" w:themeColor="text1"/>
                </w:rPr>
                <m:t>18</m:t>
              </m:r>
            </m:den>
          </m:f>
          <m:r>
            <m:rPr>
              <m:sty m:val="p"/>
            </m:rPr>
            <w:rPr>
              <w:rFonts w:ascii="Cambria Math" w:hAnsi="Cambria Math" w:cs="Times New Roman"/>
              <w:color w:val="000000" w:themeColor="text1"/>
            </w:rPr>
            <w:br/>
          </m:r>
        </m:oMath>
      </m:oMathPara>
    </w:p>
    <w:p w14:paraId="3230444B" w14:textId="77777777" w:rsidR="000B6A05" w:rsidRPr="00AF0CC3" w:rsidRDefault="000B6A05" w:rsidP="000B6A05">
      <w:pPr>
        <w:spacing w:line="360" w:lineRule="auto"/>
        <w:rPr>
          <w:rFonts w:ascii="Times New Roman" w:hAnsi="Times New Roman" w:cs="Times New Roman"/>
          <w:color w:val="000000" w:themeColor="text1"/>
        </w:rPr>
      </w:pPr>
      <w:r w:rsidRPr="00AF0CC3">
        <w:rPr>
          <w:rFonts w:ascii="Times New Roman" w:hAnsi="Times New Roman" w:cs="Times New Roman"/>
          <w:color w:val="000000" w:themeColor="text1"/>
        </w:rPr>
        <w:lastRenderedPageBreak/>
        <w:t>Where:</w:t>
      </w:r>
    </w:p>
    <w:p w14:paraId="00B8C28C" w14:textId="77777777" w:rsidR="000B6A05" w:rsidRPr="00AF0CC3" w:rsidRDefault="000B6A05" w:rsidP="000B6A05">
      <w:pPr>
        <w:numPr>
          <w:ilvl w:val="0"/>
          <w:numId w:val="10"/>
        </w:numPr>
        <w:spacing w:line="360" w:lineRule="auto"/>
        <w:rPr>
          <w:rFonts w:ascii="Times New Roman" w:hAnsi="Times New Roman" w:cs="Times New Roman"/>
          <w:color w:val="000000" w:themeColor="text1"/>
        </w:rPr>
      </w:pPr>
      <m:oMath>
        <m:r>
          <w:rPr>
            <w:rFonts w:ascii="Cambria Math" w:hAnsi="Cambria Math" w:cs="Times New Roman"/>
            <w:color w:val="000000" w:themeColor="text1"/>
          </w:rPr>
          <m:t>GQ</m:t>
        </m:r>
        <m:sSub>
          <m:sSubPr>
            <m:ctrlPr>
              <w:rPr>
                <w:rFonts w:ascii="Cambria Math" w:hAnsi="Cambria Math" w:cs="Times New Roman"/>
                <w:color w:val="000000" w:themeColor="text1"/>
              </w:rPr>
            </m:ctrlPr>
          </m:sSubPr>
          <m:e>
            <m:r>
              <w:rPr>
                <w:rFonts w:ascii="Cambria Math" w:hAnsi="Cambria Math" w:cs="Times New Roman"/>
                <w:color w:val="000000" w:themeColor="text1"/>
              </w:rPr>
              <m:t>I</m:t>
            </m:r>
          </m:e>
          <m:sub>
            <m:r>
              <w:rPr>
                <w:rFonts w:ascii="Cambria Math" w:hAnsi="Cambria Math" w:cs="Times New Roman"/>
                <w:color w:val="000000" w:themeColor="text1"/>
              </w:rPr>
              <m:t>i</m:t>
            </m:r>
          </m:sub>
        </m:sSub>
      </m:oMath>
      <w:r w:rsidRPr="00AF0CC3">
        <w:rPr>
          <w:rFonts w:ascii="Times New Roman" w:hAnsi="Times New Roman" w:cs="Times New Roman"/>
          <w:color w:val="000000" w:themeColor="text1"/>
        </w:rPr>
        <w:t xml:space="preserve">represents governance quality for the project </w:t>
      </w:r>
      <m:oMath>
        <m:r>
          <w:rPr>
            <w:rFonts w:ascii="Cambria Math" w:hAnsi="Cambria Math" w:cs="Times New Roman"/>
            <w:color w:val="000000" w:themeColor="text1"/>
          </w:rPr>
          <m:t>i</m:t>
        </m:r>
      </m:oMath>
    </w:p>
    <w:p w14:paraId="4B0C2B68" w14:textId="77777777" w:rsidR="000B6A05" w:rsidRPr="00AF0CC3" w:rsidRDefault="000B6A05" w:rsidP="000B6A05">
      <w:pPr>
        <w:numPr>
          <w:ilvl w:val="0"/>
          <w:numId w:val="10"/>
        </w:numPr>
        <w:spacing w:line="360" w:lineRule="auto"/>
        <w:rPr>
          <w:rFonts w:ascii="Times New Roman" w:hAnsi="Times New Roman" w:cs="Times New Roman"/>
          <w:color w:val="000000" w:themeColor="text1"/>
        </w:rPr>
      </w:pPr>
      <m:oMath>
        <m:r>
          <w:rPr>
            <w:rFonts w:ascii="Cambria Math" w:hAnsi="Cambria Math" w:cs="Times New Roman"/>
            <w:color w:val="000000" w:themeColor="text1"/>
          </w:rPr>
          <m:t>Scor</m:t>
        </m:r>
        <m:sSub>
          <m:sSubPr>
            <m:ctrlPr>
              <w:rPr>
                <w:rFonts w:ascii="Cambria Math" w:hAnsi="Cambria Math" w:cs="Times New Roman"/>
                <w:color w:val="000000" w:themeColor="text1"/>
              </w:rPr>
            </m:ctrlPr>
          </m:sSubPr>
          <m:e>
            <m:r>
              <w:rPr>
                <w:rFonts w:ascii="Cambria Math" w:hAnsi="Cambria Math" w:cs="Times New Roman"/>
                <w:color w:val="000000" w:themeColor="text1"/>
              </w:rPr>
              <m:t>e</m:t>
            </m:r>
          </m:e>
          <m:sub>
            <m:r>
              <w:rPr>
                <w:rFonts w:ascii="Cambria Math" w:hAnsi="Cambria Math" w:cs="Times New Roman"/>
                <w:color w:val="000000" w:themeColor="text1"/>
              </w:rPr>
              <m:t>ij</m:t>
            </m:r>
          </m:sub>
        </m:sSub>
      </m:oMath>
      <w:r w:rsidRPr="00AF0CC3">
        <w:rPr>
          <w:rFonts w:ascii="Times New Roman" w:hAnsi="Times New Roman" w:cs="Times New Roman"/>
          <w:color w:val="000000" w:themeColor="text1"/>
        </w:rPr>
        <w:t xml:space="preserve">represents the score for the governance indicator </w:t>
      </w:r>
      <m:oMath>
        <m:r>
          <w:rPr>
            <w:rFonts w:ascii="Cambria Math" w:hAnsi="Cambria Math" w:cs="Times New Roman"/>
            <w:color w:val="000000" w:themeColor="text1"/>
          </w:rPr>
          <m:t>j</m:t>
        </m:r>
      </m:oMath>
      <w:r w:rsidRPr="00AF0CC3">
        <w:rPr>
          <w:rFonts w:ascii="Times New Roman" w:hAnsi="Times New Roman" w:cs="Times New Roman"/>
          <w:color w:val="000000" w:themeColor="text1"/>
        </w:rPr>
        <w:t xml:space="preserve">for project </w:t>
      </w:r>
      <m:oMath>
        <m:r>
          <w:rPr>
            <w:rFonts w:ascii="Cambria Math" w:hAnsi="Cambria Math" w:cs="Times New Roman"/>
            <w:color w:val="000000" w:themeColor="text1"/>
          </w:rPr>
          <m:t>i</m:t>
        </m:r>
      </m:oMath>
    </w:p>
    <w:p w14:paraId="2CEA179D" w14:textId="77777777" w:rsidR="000B6A05" w:rsidRPr="00AF0CC3" w:rsidRDefault="000B6A05" w:rsidP="000B6A05">
      <w:pPr>
        <w:spacing w:line="360" w:lineRule="auto"/>
        <w:rPr>
          <w:rFonts w:ascii="Times New Roman" w:hAnsi="Times New Roman" w:cs="Times New Roman"/>
          <w:color w:val="000000" w:themeColor="text1"/>
        </w:rPr>
      </w:pPr>
      <w:r w:rsidRPr="00AF0CC3">
        <w:rPr>
          <w:rFonts w:ascii="Times New Roman" w:hAnsi="Times New Roman" w:cs="Times New Roman"/>
          <w:color w:val="000000" w:themeColor="text1"/>
        </w:rPr>
        <w:t>This standardized index allows for comparing governance quality across diverse types and sizes of projects.</w:t>
      </w:r>
    </w:p>
    <w:p w14:paraId="2B98B761" w14:textId="77777777" w:rsidR="000B6A05" w:rsidRPr="00AF0CC3" w:rsidRDefault="000B6A05" w:rsidP="000B6A05">
      <w:pPr>
        <w:spacing w:line="360" w:lineRule="auto"/>
        <w:rPr>
          <w:rFonts w:ascii="Times New Roman" w:hAnsi="Times New Roman" w:cs="Times New Roman"/>
          <w:color w:val="000000" w:themeColor="text1"/>
        </w:rPr>
      </w:pPr>
      <w:r w:rsidRPr="00AF0CC3">
        <w:rPr>
          <w:rFonts w:ascii="Times New Roman" w:hAnsi="Times New Roman" w:cs="Times New Roman"/>
          <w:color w:val="000000" w:themeColor="text1"/>
        </w:rPr>
        <w:t>Because governance practices influence infrastructure delivery at different points in the project lifecycle, the project lifecycle governance measurement model helps analyze how early-stage governance decisions impact subsequent project implementation outcomes.</w:t>
      </w:r>
    </w:p>
    <w:p w14:paraId="1CBFD9CF" w14:textId="77777777" w:rsidR="000B6A05" w:rsidRPr="00AF0CC3" w:rsidRDefault="000B6A05" w:rsidP="000B6A05">
      <w:pPr>
        <w:spacing w:line="360" w:lineRule="auto"/>
        <w:rPr>
          <w:rFonts w:ascii="Times New Roman" w:hAnsi="Times New Roman" w:cs="Times New Roman"/>
          <w:color w:val="000000" w:themeColor="text1"/>
        </w:rPr>
      </w:pPr>
    </w:p>
    <w:p w14:paraId="07139E50" w14:textId="2893F29B" w:rsidR="000B6A05" w:rsidRPr="00AF0CC3" w:rsidRDefault="000B6A05" w:rsidP="008A5815">
      <w:pPr>
        <w:pStyle w:val="Heading3"/>
        <w:rPr>
          <w:rFonts w:cs="Times New Roman"/>
          <w:color w:val="000000" w:themeColor="text1"/>
          <w:szCs w:val="24"/>
        </w:rPr>
      </w:pPr>
      <w:bookmarkStart w:id="251" w:name="_Toc230209537"/>
      <w:bookmarkStart w:id="252" w:name="_Toc234344815"/>
      <w:bookmarkStart w:id="253" w:name="_Toc234489047"/>
      <w:r w:rsidRPr="00AF0CC3">
        <w:rPr>
          <w:rFonts w:cs="Times New Roman"/>
          <w:color w:val="000000" w:themeColor="text1"/>
          <w:szCs w:val="24"/>
        </w:rPr>
        <w:t>Control Variables</w:t>
      </w:r>
      <w:bookmarkEnd w:id="251"/>
      <w:bookmarkEnd w:id="252"/>
      <w:bookmarkEnd w:id="253"/>
    </w:p>
    <w:p w14:paraId="16AD1AD0" w14:textId="77777777" w:rsidR="000B6A05" w:rsidRPr="00AF0CC3" w:rsidRDefault="000B6A05" w:rsidP="000B6A05">
      <w:pPr>
        <w:spacing w:line="360" w:lineRule="auto"/>
        <w:rPr>
          <w:rFonts w:ascii="Times New Roman" w:hAnsi="Times New Roman" w:cs="Times New Roman"/>
          <w:color w:val="000000" w:themeColor="text1"/>
        </w:rPr>
      </w:pPr>
      <w:r w:rsidRPr="00AF0CC3">
        <w:rPr>
          <w:rFonts w:ascii="Times New Roman" w:hAnsi="Times New Roman" w:cs="Times New Roman"/>
          <w:color w:val="000000" w:themeColor="text1"/>
        </w:rPr>
        <w:t>Control variables include project size, sectoral classification, implementing agency type, funding source, and climate exposure.</w:t>
      </w:r>
    </w:p>
    <w:p w14:paraId="09EA5670" w14:textId="77777777" w:rsidR="000B6A05" w:rsidRPr="00AF0CC3" w:rsidRDefault="000B6A05" w:rsidP="000B6A05">
      <w:pPr>
        <w:spacing w:line="360" w:lineRule="auto"/>
        <w:rPr>
          <w:rFonts w:ascii="Times New Roman" w:hAnsi="Times New Roman" w:cs="Times New Roman"/>
          <w:color w:val="000000" w:themeColor="text1"/>
        </w:rPr>
      </w:pPr>
    </w:p>
    <w:p w14:paraId="7E02B4FD" w14:textId="77777777" w:rsidR="000B6A05" w:rsidRPr="00AF0CC3" w:rsidRDefault="000B6A05" w:rsidP="000B6A05">
      <w:pPr>
        <w:spacing w:line="360" w:lineRule="auto"/>
        <w:rPr>
          <w:rFonts w:ascii="Times New Roman" w:hAnsi="Times New Roman" w:cs="Times New Roman"/>
          <w:color w:val="000000" w:themeColor="text1"/>
        </w:rPr>
      </w:pPr>
      <w:r w:rsidRPr="00AF0CC3">
        <w:rPr>
          <w:rFonts w:ascii="Times New Roman" w:hAnsi="Times New Roman" w:cs="Times New Roman"/>
          <w:color w:val="000000" w:themeColor="text1"/>
        </w:rPr>
        <w:t>Climate exposure is classified as low, medium, or high based on documented exposure to droughts, floods, and rainfall variability during project implementation. Low exposure indicates project areas with little recorded climate disruption, medium exposure indicates areas experiencing occasional or moderate climate-related disruptions, and high exposure indicates areas facing recurrent or severe climate shocks likely to impact implementation timelines or infrastructure performance. When available, these classifications are supported by data from the Kenya Meteorological Department and verified against project documentation.</w:t>
      </w:r>
    </w:p>
    <w:p w14:paraId="48E657DA" w14:textId="77777777" w:rsidR="000B6A05" w:rsidRPr="00AF0CC3" w:rsidRDefault="000B6A05" w:rsidP="000B6A05">
      <w:pPr>
        <w:pStyle w:val="ListParagraph"/>
        <w:numPr>
          <w:ilvl w:val="0"/>
          <w:numId w:val="13"/>
        </w:numPr>
        <w:spacing w:line="360" w:lineRule="auto"/>
        <w:rPr>
          <w:rFonts w:ascii="Times New Roman" w:hAnsi="Times New Roman" w:cs="Times New Roman"/>
          <w:color w:val="000000" w:themeColor="text1"/>
        </w:rPr>
      </w:pPr>
      <w:r w:rsidRPr="00AF0CC3">
        <w:rPr>
          <w:rFonts w:ascii="Times New Roman" w:hAnsi="Times New Roman" w:cs="Times New Roman"/>
          <w:color w:val="000000" w:themeColor="text1"/>
        </w:rPr>
        <w:t>Political Transition</w:t>
      </w:r>
    </w:p>
    <w:p w14:paraId="47C52F78" w14:textId="77777777" w:rsidR="000B6A05" w:rsidRPr="00AF0CC3" w:rsidRDefault="000B6A05" w:rsidP="000B6A05">
      <w:pPr>
        <w:spacing w:line="360" w:lineRule="auto"/>
        <w:rPr>
          <w:rFonts w:ascii="Times New Roman" w:hAnsi="Times New Roman" w:cs="Times New Roman"/>
          <w:color w:val="000000" w:themeColor="text1"/>
        </w:rPr>
      </w:pPr>
      <w:r w:rsidRPr="00AF0CC3">
        <w:rPr>
          <w:rFonts w:ascii="Times New Roman" w:hAnsi="Times New Roman" w:cs="Times New Roman"/>
          <w:color w:val="000000" w:themeColor="text1"/>
        </w:rPr>
        <w:t>Political transitions reflect changes in political leadership during project implementation. Political turnover can interrupt administrative continuity and shift project priorities.</w:t>
      </w:r>
    </w:p>
    <w:p w14:paraId="72BAF04C" w14:textId="77777777" w:rsidR="000B6A05" w:rsidRPr="00AF0CC3" w:rsidRDefault="000B6A05" w:rsidP="000B6A05">
      <w:pPr>
        <w:pStyle w:val="ListParagraph"/>
        <w:numPr>
          <w:ilvl w:val="0"/>
          <w:numId w:val="13"/>
        </w:numPr>
        <w:spacing w:line="360" w:lineRule="auto"/>
        <w:rPr>
          <w:rFonts w:ascii="Times New Roman" w:hAnsi="Times New Roman" w:cs="Times New Roman"/>
          <w:color w:val="000000" w:themeColor="text1"/>
        </w:rPr>
      </w:pPr>
      <w:r w:rsidRPr="00AF0CC3">
        <w:rPr>
          <w:rFonts w:ascii="Times New Roman" w:hAnsi="Times New Roman" w:cs="Times New Roman"/>
          <w:color w:val="000000" w:themeColor="text1"/>
        </w:rPr>
        <w:t>Climate Exposure</w:t>
      </w:r>
    </w:p>
    <w:p w14:paraId="08A18E6C" w14:textId="77777777" w:rsidR="000B6A05" w:rsidRPr="00AF0CC3" w:rsidRDefault="000B6A05" w:rsidP="000B6A05">
      <w:pPr>
        <w:spacing w:line="360" w:lineRule="auto"/>
        <w:rPr>
          <w:rFonts w:ascii="Times New Roman" w:hAnsi="Times New Roman" w:cs="Times New Roman"/>
          <w:color w:val="000000" w:themeColor="text1"/>
        </w:rPr>
      </w:pPr>
      <w:r w:rsidRPr="00AF0CC3">
        <w:rPr>
          <w:rFonts w:ascii="Times New Roman" w:hAnsi="Times New Roman" w:cs="Times New Roman"/>
          <w:color w:val="000000" w:themeColor="text1"/>
        </w:rPr>
        <w:lastRenderedPageBreak/>
        <w:t>Climate exposure measures how much projects are affected by climate-related shocks like droughts or flooding. Research in socio-hydrology shows that climate impacts are influenced by governance institutions rather than happening independently (Di Baldassarre et al., 2020).</w:t>
      </w:r>
    </w:p>
    <w:p w14:paraId="38E16D9F" w14:textId="77777777" w:rsidR="000B6A05" w:rsidRPr="00AF0CC3" w:rsidRDefault="000B6A05" w:rsidP="000B6A05">
      <w:pPr>
        <w:pStyle w:val="ListParagraph"/>
        <w:numPr>
          <w:ilvl w:val="0"/>
          <w:numId w:val="13"/>
        </w:numPr>
        <w:spacing w:line="360" w:lineRule="auto"/>
        <w:rPr>
          <w:rFonts w:ascii="Times New Roman" w:hAnsi="Times New Roman" w:cs="Times New Roman"/>
          <w:color w:val="000000" w:themeColor="text1"/>
        </w:rPr>
      </w:pPr>
      <w:r w:rsidRPr="00AF0CC3">
        <w:rPr>
          <w:rFonts w:ascii="Times New Roman" w:hAnsi="Times New Roman" w:cs="Times New Roman"/>
          <w:color w:val="000000" w:themeColor="text1"/>
        </w:rPr>
        <w:t>Project Size</w:t>
      </w:r>
    </w:p>
    <w:p w14:paraId="3B3742EE" w14:textId="77777777" w:rsidR="000B6A05" w:rsidRPr="00AF0CC3" w:rsidRDefault="000B6A05" w:rsidP="000B6A05">
      <w:pPr>
        <w:spacing w:line="360" w:lineRule="auto"/>
        <w:rPr>
          <w:rFonts w:ascii="Times New Roman" w:hAnsi="Times New Roman" w:cs="Times New Roman"/>
          <w:color w:val="000000" w:themeColor="text1"/>
        </w:rPr>
      </w:pPr>
      <w:r w:rsidRPr="00AF0CC3">
        <w:rPr>
          <w:rFonts w:ascii="Times New Roman" w:hAnsi="Times New Roman" w:cs="Times New Roman"/>
          <w:color w:val="000000" w:themeColor="text1"/>
        </w:rPr>
        <w:t>The project size is determined by the total approved budget.</w:t>
      </w:r>
    </w:p>
    <w:p w14:paraId="520F79F4" w14:textId="77777777" w:rsidR="000B6A05" w:rsidRPr="00AF0CC3" w:rsidRDefault="000B6A05" w:rsidP="000B6A05">
      <w:pPr>
        <w:pStyle w:val="ListParagraph"/>
        <w:numPr>
          <w:ilvl w:val="0"/>
          <w:numId w:val="13"/>
        </w:numPr>
        <w:spacing w:line="360" w:lineRule="auto"/>
        <w:rPr>
          <w:rFonts w:ascii="Times New Roman" w:hAnsi="Times New Roman" w:cs="Times New Roman"/>
          <w:color w:val="000000" w:themeColor="text1"/>
        </w:rPr>
      </w:pPr>
      <w:r w:rsidRPr="00AF0CC3">
        <w:rPr>
          <w:rFonts w:ascii="Times New Roman" w:hAnsi="Times New Roman" w:cs="Times New Roman"/>
          <w:color w:val="000000" w:themeColor="text1"/>
        </w:rPr>
        <w:t>Financing Model</w:t>
      </w:r>
    </w:p>
    <w:p w14:paraId="36C66925" w14:textId="77777777" w:rsidR="000B6A05" w:rsidRPr="00AF0CC3" w:rsidRDefault="000B6A05" w:rsidP="000B6A05">
      <w:pPr>
        <w:spacing w:line="360" w:lineRule="auto"/>
        <w:rPr>
          <w:rFonts w:ascii="Times New Roman" w:hAnsi="Times New Roman" w:cs="Times New Roman"/>
          <w:color w:val="000000" w:themeColor="text1"/>
        </w:rPr>
      </w:pPr>
      <w:r w:rsidRPr="00AF0CC3">
        <w:rPr>
          <w:rFonts w:ascii="Times New Roman" w:hAnsi="Times New Roman" w:cs="Times New Roman"/>
          <w:color w:val="000000" w:themeColor="text1"/>
        </w:rPr>
        <w:t>Projects are categorized by procurement methods, such as public procurement and public-private partnerships.</w:t>
      </w:r>
    </w:p>
    <w:p w14:paraId="23B0FB0B" w14:textId="1C64F646" w:rsidR="00034460" w:rsidRPr="00AF0CC3" w:rsidRDefault="00034460" w:rsidP="00034460">
      <w:pPr>
        <w:pStyle w:val="Caption"/>
        <w:keepNext/>
        <w:rPr>
          <w:rFonts w:ascii="Times New Roman" w:hAnsi="Times New Roman" w:cs="Times New Roman"/>
          <w:sz w:val="24"/>
          <w:szCs w:val="24"/>
        </w:rPr>
      </w:pPr>
      <w:bookmarkStart w:id="254" w:name="_Toc234437366"/>
      <w:r w:rsidRPr="00AF0CC3">
        <w:rPr>
          <w:rFonts w:ascii="Times New Roman" w:hAnsi="Times New Roman" w:cs="Times New Roman"/>
          <w:sz w:val="24"/>
          <w:szCs w:val="24"/>
        </w:rPr>
        <w:t xml:space="preserve">Table </w:t>
      </w:r>
      <w:r w:rsidR="007F4206" w:rsidRPr="00AF0CC3">
        <w:rPr>
          <w:rFonts w:ascii="Times New Roman" w:hAnsi="Times New Roman" w:cs="Times New Roman"/>
          <w:sz w:val="24"/>
          <w:szCs w:val="24"/>
        </w:rPr>
        <w:fldChar w:fldCharType="begin"/>
      </w:r>
      <w:r w:rsidR="007F4206" w:rsidRPr="00AF0CC3">
        <w:rPr>
          <w:rFonts w:ascii="Times New Roman" w:hAnsi="Times New Roman" w:cs="Times New Roman"/>
          <w:sz w:val="24"/>
          <w:szCs w:val="24"/>
        </w:rPr>
        <w:instrText xml:space="preserve"> STYLEREF 1 \s </w:instrText>
      </w:r>
      <w:r w:rsidR="007F4206" w:rsidRPr="00AF0CC3">
        <w:rPr>
          <w:rFonts w:ascii="Times New Roman" w:hAnsi="Times New Roman" w:cs="Times New Roman"/>
          <w:sz w:val="24"/>
          <w:szCs w:val="24"/>
        </w:rPr>
        <w:fldChar w:fldCharType="separate"/>
      </w:r>
      <w:r w:rsidR="007F4206" w:rsidRPr="00AF0CC3">
        <w:rPr>
          <w:rFonts w:ascii="Times New Roman" w:hAnsi="Times New Roman" w:cs="Times New Roman"/>
          <w:noProof/>
          <w:sz w:val="24"/>
          <w:szCs w:val="24"/>
        </w:rPr>
        <w:t>3</w:t>
      </w:r>
      <w:r w:rsidR="007F4206" w:rsidRPr="00AF0CC3">
        <w:rPr>
          <w:rFonts w:ascii="Times New Roman" w:hAnsi="Times New Roman" w:cs="Times New Roman"/>
          <w:noProof/>
          <w:sz w:val="24"/>
          <w:szCs w:val="24"/>
        </w:rPr>
        <w:fldChar w:fldCharType="end"/>
      </w:r>
      <w:r w:rsidR="007F4206" w:rsidRPr="00AF0CC3">
        <w:rPr>
          <w:rFonts w:ascii="Times New Roman" w:hAnsi="Times New Roman" w:cs="Times New Roman"/>
          <w:sz w:val="24"/>
          <w:szCs w:val="24"/>
        </w:rPr>
        <w:noBreakHyphen/>
      </w:r>
      <w:r w:rsidR="007F4206" w:rsidRPr="00AF0CC3">
        <w:rPr>
          <w:rFonts w:ascii="Times New Roman" w:hAnsi="Times New Roman" w:cs="Times New Roman"/>
          <w:sz w:val="24"/>
          <w:szCs w:val="24"/>
        </w:rPr>
        <w:fldChar w:fldCharType="begin"/>
      </w:r>
      <w:r w:rsidR="007F4206" w:rsidRPr="00AF0CC3">
        <w:rPr>
          <w:rFonts w:ascii="Times New Roman" w:hAnsi="Times New Roman" w:cs="Times New Roman"/>
          <w:sz w:val="24"/>
          <w:szCs w:val="24"/>
        </w:rPr>
        <w:instrText xml:space="preserve"> SEQ Table \* ARABIC \s 1 </w:instrText>
      </w:r>
      <w:r w:rsidR="007F4206" w:rsidRPr="00AF0CC3">
        <w:rPr>
          <w:rFonts w:ascii="Times New Roman" w:hAnsi="Times New Roman" w:cs="Times New Roman"/>
          <w:sz w:val="24"/>
          <w:szCs w:val="24"/>
        </w:rPr>
        <w:fldChar w:fldCharType="separate"/>
      </w:r>
      <w:r w:rsidR="007F4206" w:rsidRPr="00AF0CC3">
        <w:rPr>
          <w:rFonts w:ascii="Times New Roman" w:hAnsi="Times New Roman" w:cs="Times New Roman"/>
          <w:noProof/>
          <w:sz w:val="24"/>
          <w:szCs w:val="24"/>
        </w:rPr>
        <w:t>3</w:t>
      </w:r>
      <w:r w:rsidR="007F4206" w:rsidRPr="00AF0CC3">
        <w:rPr>
          <w:rFonts w:ascii="Times New Roman" w:hAnsi="Times New Roman" w:cs="Times New Roman"/>
          <w:noProof/>
          <w:sz w:val="24"/>
          <w:szCs w:val="24"/>
        </w:rPr>
        <w:fldChar w:fldCharType="end"/>
      </w:r>
      <w:r w:rsidRPr="00AF0CC3">
        <w:rPr>
          <w:rFonts w:ascii="Times New Roman" w:hAnsi="Times New Roman" w:cs="Times New Roman"/>
          <w:sz w:val="24"/>
          <w:szCs w:val="24"/>
        </w:rPr>
        <w:t xml:space="preserve"> Summary of Variables and Measurement</w:t>
      </w:r>
      <w:bookmarkEnd w:id="254"/>
    </w:p>
    <w:tbl>
      <w:tblPr>
        <w:tblW w:w="0" w:type="auto"/>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2575"/>
        <w:gridCol w:w="1267"/>
        <w:gridCol w:w="2868"/>
      </w:tblGrid>
      <w:tr w:rsidR="000B6A05" w:rsidRPr="00AF0CC3" w14:paraId="39CF4416" w14:textId="77777777" w:rsidTr="00E73C98">
        <w:trPr>
          <w:tblHeader/>
          <w:tblCellSpacing w:w="15" w:type="dxa"/>
        </w:trPr>
        <w:tc>
          <w:tcPr>
            <w:tcW w:w="0" w:type="auto"/>
            <w:vAlign w:val="center"/>
            <w:hideMark/>
          </w:tcPr>
          <w:p w14:paraId="0153AF59" w14:textId="77777777" w:rsidR="000B6A05" w:rsidRPr="00AF0CC3" w:rsidRDefault="000B6A05" w:rsidP="00E73C98">
            <w:pPr>
              <w:spacing w:line="360" w:lineRule="auto"/>
              <w:rPr>
                <w:rFonts w:ascii="Times New Roman" w:hAnsi="Times New Roman" w:cs="Times New Roman"/>
                <w:b/>
                <w:bCs/>
                <w:color w:val="000000" w:themeColor="text1"/>
              </w:rPr>
            </w:pPr>
            <w:r w:rsidRPr="00AF0CC3">
              <w:rPr>
                <w:rFonts w:ascii="Times New Roman" w:hAnsi="Times New Roman" w:cs="Times New Roman"/>
                <w:b/>
                <w:bCs/>
                <w:color w:val="000000" w:themeColor="text1"/>
              </w:rPr>
              <w:t>Variable</w:t>
            </w:r>
          </w:p>
        </w:tc>
        <w:tc>
          <w:tcPr>
            <w:tcW w:w="0" w:type="auto"/>
            <w:vAlign w:val="center"/>
            <w:hideMark/>
          </w:tcPr>
          <w:p w14:paraId="027A9B50" w14:textId="77777777" w:rsidR="000B6A05" w:rsidRPr="00AF0CC3" w:rsidRDefault="000B6A05" w:rsidP="00E73C98">
            <w:pPr>
              <w:spacing w:line="360" w:lineRule="auto"/>
              <w:rPr>
                <w:rFonts w:ascii="Times New Roman" w:hAnsi="Times New Roman" w:cs="Times New Roman"/>
                <w:b/>
                <w:bCs/>
                <w:color w:val="000000" w:themeColor="text1"/>
              </w:rPr>
            </w:pPr>
            <w:r w:rsidRPr="00AF0CC3">
              <w:rPr>
                <w:rFonts w:ascii="Times New Roman" w:hAnsi="Times New Roman" w:cs="Times New Roman"/>
                <w:b/>
                <w:bCs/>
                <w:color w:val="000000" w:themeColor="text1"/>
              </w:rPr>
              <w:t>Type</w:t>
            </w:r>
          </w:p>
        </w:tc>
        <w:tc>
          <w:tcPr>
            <w:tcW w:w="0" w:type="auto"/>
            <w:vAlign w:val="center"/>
            <w:hideMark/>
          </w:tcPr>
          <w:p w14:paraId="34A50576" w14:textId="77777777" w:rsidR="000B6A05" w:rsidRPr="00AF0CC3" w:rsidRDefault="000B6A05" w:rsidP="00E73C98">
            <w:pPr>
              <w:spacing w:line="360" w:lineRule="auto"/>
              <w:rPr>
                <w:rFonts w:ascii="Times New Roman" w:hAnsi="Times New Roman" w:cs="Times New Roman"/>
                <w:b/>
                <w:bCs/>
                <w:color w:val="000000" w:themeColor="text1"/>
              </w:rPr>
            </w:pPr>
            <w:r w:rsidRPr="00AF0CC3">
              <w:rPr>
                <w:rFonts w:ascii="Times New Roman" w:hAnsi="Times New Roman" w:cs="Times New Roman"/>
                <w:b/>
                <w:bCs/>
                <w:color w:val="000000" w:themeColor="text1"/>
              </w:rPr>
              <w:t>Measurement</w:t>
            </w:r>
          </w:p>
        </w:tc>
      </w:tr>
      <w:tr w:rsidR="000B6A05" w:rsidRPr="00AF0CC3" w14:paraId="1330AF49" w14:textId="77777777" w:rsidTr="00E73C98">
        <w:trPr>
          <w:tblCellSpacing w:w="15" w:type="dxa"/>
        </w:trPr>
        <w:tc>
          <w:tcPr>
            <w:tcW w:w="0" w:type="auto"/>
            <w:vAlign w:val="center"/>
            <w:hideMark/>
          </w:tcPr>
          <w:p w14:paraId="5F73E4BB" w14:textId="77777777" w:rsidR="000B6A05" w:rsidRPr="00AF0CC3" w:rsidRDefault="000B6A05" w:rsidP="00E73C98">
            <w:pPr>
              <w:spacing w:line="360" w:lineRule="auto"/>
              <w:rPr>
                <w:rFonts w:ascii="Times New Roman" w:hAnsi="Times New Roman" w:cs="Times New Roman"/>
                <w:color w:val="000000" w:themeColor="text1"/>
              </w:rPr>
            </w:pPr>
            <w:r w:rsidRPr="00AF0CC3">
              <w:rPr>
                <w:rFonts w:ascii="Times New Roman" w:hAnsi="Times New Roman" w:cs="Times New Roman"/>
                <w:color w:val="000000" w:themeColor="text1"/>
              </w:rPr>
              <w:t>Project stalling</w:t>
            </w:r>
          </w:p>
        </w:tc>
        <w:tc>
          <w:tcPr>
            <w:tcW w:w="0" w:type="auto"/>
            <w:vAlign w:val="center"/>
            <w:hideMark/>
          </w:tcPr>
          <w:p w14:paraId="7C1ACF45" w14:textId="77777777" w:rsidR="000B6A05" w:rsidRPr="00AF0CC3" w:rsidRDefault="000B6A05" w:rsidP="00E73C98">
            <w:pPr>
              <w:spacing w:line="360" w:lineRule="auto"/>
              <w:rPr>
                <w:rFonts w:ascii="Times New Roman" w:hAnsi="Times New Roman" w:cs="Times New Roman"/>
                <w:color w:val="000000" w:themeColor="text1"/>
              </w:rPr>
            </w:pPr>
            <w:r w:rsidRPr="00AF0CC3">
              <w:rPr>
                <w:rFonts w:ascii="Times New Roman" w:hAnsi="Times New Roman" w:cs="Times New Roman"/>
                <w:color w:val="000000" w:themeColor="text1"/>
              </w:rPr>
              <w:t>Dependent</w:t>
            </w:r>
          </w:p>
        </w:tc>
        <w:tc>
          <w:tcPr>
            <w:tcW w:w="0" w:type="auto"/>
            <w:vAlign w:val="center"/>
            <w:hideMark/>
          </w:tcPr>
          <w:p w14:paraId="2B8E7524" w14:textId="77777777" w:rsidR="000B6A05" w:rsidRPr="00AF0CC3" w:rsidRDefault="000B6A05" w:rsidP="00E73C98">
            <w:pPr>
              <w:spacing w:line="360" w:lineRule="auto"/>
              <w:rPr>
                <w:rFonts w:ascii="Times New Roman" w:hAnsi="Times New Roman" w:cs="Times New Roman"/>
                <w:color w:val="000000" w:themeColor="text1"/>
              </w:rPr>
            </w:pPr>
            <w:r w:rsidRPr="00AF0CC3">
              <w:rPr>
                <w:rFonts w:ascii="Times New Roman" w:hAnsi="Times New Roman" w:cs="Times New Roman"/>
                <w:color w:val="000000" w:themeColor="text1"/>
              </w:rPr>
              <w:t>Binary indicator</w:t>
            </w:r>
          </w:p>
        </w:tc>
      </w:tr>
      <w:tr w:rsidR="000B6A05" w:rsidRPr="00AF0CC3" w14:paraId="23BDC6A3" w14:textId="77777777" w:rsidTr="00E73C98">
        <w:trPr>
          <w:tblCellSpacing w:w="15" w:type="dxa"/>
        </w:trPr>
        <w:tc>
          <w:tcPr>
            <w:tcW w:w="0" w:type="auto"/>
            <w:vAlign w:val="center"/>
            <w:hideMark/>
          </w:tcPr>
          <w:p w14:paraId="4DC148C1" w14:textId="77777777" w:rsidR="000B6A05" w:rsidRPr="00AF0CC3" w:rsidRDefault="000B6A05" w:rsidP="00E73C98">
            <w:pPr>
              <w:spacing w:line="360" w:lineRule="auto"/>
              <w:rPr>
                <w:rFonts w:ascii="Times New Roman" w:hAnsi="Times New Roman" w:cs="Times New Roman"/>
                <w:color w:val="000000" w:themeColor="text1"/>
              </w:rPr>
            </w:pPr>
            <w:r w:rsidRPr="00AF0CC3">
              <w:rPr>
                <w:rFonts w:ascii="Times New Roman" w:hAnsi="Times New Roman" w:cs="Times New Roman"/>
                <w:color w:val="000000" w:themeColor="text1"/>
              </w:rPr>
              <w:t>Time overruns</w:t>
            </w:r>
          </w:p>
        </w:tc>
        <w:tc>
          <w:tcPr>
            <w:tcW w:w="0" w:type="auto"/>
            <w:vAlign w:val="center"/>
            <w:hideMark/>
          </w:tcPr>
          <w:p w14:paraId="0B10E7A9" w14:textId="77777777" w:rsidR="000B6A05" w:rsidRPr="00AF0CC3" w:rsidRDefault="000B6A05" w:rsidP="00E73C98">
            <w:pPr>
              <w:spacing w:line="360" w:lineRule="auto"/>
              <w:rPr>
                <w:rFonts w:ascii="Times New Roman" w:hAnsi="Times New Roman" w:cs="Times New Roman"/>
                <w:color w:val="000000" w:themeColor="text1"/>
              </w:rPr>
            </w:pPr>
            <w:r w:rsidRPr="00AF0CC3">
              <w:rPr>
                <w:rFonts w:ascii="Times New Roman" w:hAnsi="Times New Roman" w:cs="Times New Roman"/>
                <w:color w:val="000000" w:themeColor="text1"/>
              </w:rPr>
              <w:t>Dependent</w:t>
            </w:r>
          </w:p>
        </w:tc>
        <w:tc>
          <w:tcPr>
            <w:tcW w:w="0" w:type="auto"/>
            <w:vAlign w:val="center"/>
            <w:hideMark/>
          </w:tcPr>
          <w:p w14:paraId="2294062E" w14:textId="77777777" w:rsidR="000B6A05" w:rsidRPr="00AF0CC3" w:rsidRDefault="000B6A05" w:rsidP="00E73C98">
            <w:pPr>
              <w:spacing w:line="360" w:lineRule="auto"/>
              <w:rPr>
                <w:rFonts w:ascii="Times New Roman" w:hAnsi="Times New Roman" w:cs="Times New Roman"/>
                <w:color w:val="000000" w:themeColor="text1"/>
              </w:rPr>
            </w:pPr>
            <w:r w:rsidRPr="00AF0CC3">
              <w:rPr>
                <w:rFonts w:ascii="Times New Roman" w:hAnsi="Times New Roman" w:cs="Times New Roman"/>
                <w:color w:val="000000" w:themeColor="text1"/>
              </w:rPr>
              <w:t>Percentage delay</w:t>
            </w:r>
          </w:p>
        </w:tc>
      </w:tr>
      <w:tr w:rsidR="000B6A05" w:rsidRPr="00AF0CC3" w14:paraId="2EC5781A" w14:textId="77777777" w:rsidTr="00E73C98">
        <w:trPr>
          <w:tblCellSpacing w:w="15" w:type="dxa"/>
        </w:trPr>
        <w:tc>
          <w:tcPr>
            <w:tcW w:w="0" w:type="auto"/>
            <w:vAlign w:val="center"/>
            <w:hideMark/>
          </w:tcPr>
          <w:p w14:paraId="427A3055" w14:textId="77777777" w:rsidR="000B6A05" w:rsidRPr="00AF0CC3" w:rsidRDefault="000B6A05" w:rsidP="00E73C98">
            <w:pPr>
              <w:spacing w:line="360" w:lineRule="auto"/>
              <w:rPr>
                <w:rFonts w:ascii="Times New Roman" w:hAnsi="Times New Roman" w:cs="Times New Roman"/>
                <w:color w:val="000000" w:themeColor="text1"/>
              </w:rPr>
            </w:pPr>
            <w:r w:rsidRPr="00AF0CC3">
              <w:rPr>
                <w:rFonts w:ascii="Times New Roman" w:hAnsi="Times New Roman" w:cs="Times New Roman"/>
                <w:color w:val="000000" w:themeColor="text1"/>
              </w:rPr>
              <w:t>Cost overruns</w:t>
            </w:r>
          </w:p>
        </w:tc>
        <w:tc>
          <w:tcPr>
            <w:tcW w:w="0" w:type="auto"/>
            <w:vAlign w:val="center"/>
            <w:hideMark/>
          </w:tcPr>
          <w:p w14:paraId="649D13E7" w14:textId="77777777" w:rsidR="000B6A05" w:rsidRPr="00AF0CC3" w:rsidRDefault="000B6A05" w:rsidP="00E73C98">
            <w:pPr>
              <w:spacing w:line="360" w:lineRule="auto"/>
              <w:rPr>
                <w:rFonts w:ascii="Times New Roman" w:hAnsi="Times New Roman" w:cs="Times New Roman"/>
                <w:color w:val="000000" w:themeColor="text1"/>
              </w:rPr>
            </w:pPr>
            <w:r w:rsidRPr="00AF0CC3">
              <w:rPr>
                <w:rFonts w:ascii="Times New Roman" w:hAnsi="Times New Roman" w:cs="Times New Roman"/>
                <w:color w:val="000000" w:themeColor="text1"/>
              </w:rPr>
              <w:t>Dependent</w:t>
            </w:r>
          </w:p>
        </w:tc>
        <w:tc>
          <w:tcPr>
            <w:tcW w:w="0" w:type="auto"/>
            <w:vAlign w:val="center"/>
            <w:hideMark/>
          </w:tcPr>
          <w:p w14:paraId="79117BC0" w14:textId="77777777" w:rsidR="000B6A05" w:rsidRPr="00AF0CC3" w:rsidRDefault="000B6A05" w:rsidP="00E73C98">
            <w:pPr>
              <w:spacing w:line="360" w:lineRule="auto"/>
              <w:rPr>
                <w:rFonts w:ascii="Times New Roman" w:hAnsi="Times New Roman" w:cs="Times New Roman"/>
                <w:color w:val="000000" w:themeColor="text1"/>
              </w:rPr>
            </w:pPr>
            <w:r w:rsidRPr="00AF0CC3">
              <w:rPr>
                <w:rFonts w:ascii="Times New Roman" w:hAnsi="Times New Roman" w:cs="Times New Roman"/>
                <w:color w:val="000000" w:themeColor="text1"/>
              </w:rPr>
              <w:t>Percentage cost increase</w:t>
            </w:r>
          </w:p>
        </w:tc>
      </w:tr>
      <w:tr w:rsidR="000B6A05" w:rsidRPr="00AF0CC3" w14:paraId="53C69BAD" w14:textId="77777777" w:rsidTr="00E73C98">
        <w:trPr>
          <w:tblCellSpacing w:w="15" w:type="dxa"/>
        </w:trPr>
        <w:tc>
          <w:tcPr>
            <w:tcW w:w="0" w:type="auto"/>
            <w:vAlign w:val="center"/>
            <w:hideMark/>
          </w:tcPr>
          <w:p w14:paraId="689D40F4" w14:textId="77777777" w:rsidR="000B6A05" w:rsidRPr="00AF0CC3" w:rsidRDefault="000B6A05" w:rsidP="00E73C98">
            <w:pPr>
              <w:spacing w:line="360" w:lineRule="auto"/>
              <w:rPr>
                <w:rFonts w:ascii="Times New Roman" w:hAnsi="Times New Roman" w:cs="Times New Roman"/>
                <w:color w:val="000000" w:themeColor="text1"/>
              </w:rPr>
            </w:pPr>
            <w:r w:rsidRPr="00AF0CC3">
              <w:rPr>
                <w:rFonts w:ascii="Times New Roman" w:hAnsi="Times New Roman" w:cs="Times New Roman"/>
                <w:color w:val="000000" w:themeColor="text1"/>
              </w:rPr>
              <w:t>Governance quality index</w:t>
            </w:r>
          </w:p>
        </w:tc>
        <w:tc>
          <w:tcPr>
            <w:tcW w:w="0" w:type="auto"/>
            <w:vAlign w:val="center"/>
            <w:hideMark/>
          </w:tcPr>
          <w:p w14:paraId="73D1C3BA" w14:textId="77777777" w:rsidR="000B6A05" w:rsidRPr="00AF0CC3" w:rsidRDefault="000B6A05" w:rsidP="00E73C98">
            <w:pPr>
              <w:spacing w:line="360" w:lineRule="auto"/>
              <w:rPr>
                <w:rFonts w:ascii="Times New Roman" w:hAnsi="Times New Roman" w:cs="Times New Roman"/>
                <w:color w:val="000000" w:themeColor="text1"/>
              </w:rPr>
            </w:pPr>
            <w:r w:rsidRPr="00AF0CC3">
              <w:rPr>
                <w:rFonts w:ascii="Times New Roman" w:hAnsi="Times New Roman" w:cs="Times New Roman"/>
                <w:color w:val="000000" w:themeColor="text1"/>
              </w:rPr>
              <w:t>Independent</w:t>
            </w:r>
          </w:p>
        </w:tc>
        <w:tc>
          <w:tcPr>
            <w:tcW w:w="0" w:type="auto"/>
            <w:vAlign w:val="center"/>
            <w:hideMark/>
          </w:tcPr>
          <w:p w14:paraId="514EB6C6" w14:textId="77777777" w:rsidR="000B6A05" w:rsidRPr="00AF0CC3" w:rsidRDefault="000B6A05" w:rsidP="00E73C98">
            <w:pPr>
              <w:spacing w:line="360" w:lineRule="auto"/>
              <w:rPr>
                <w:rFonts w:ascii="Times New Roman" w:hAnsi="Times New Roman" w:cs="Times New Roman"/>
                <w:color w:val="000000" w:themeColor="text1"/>
              </w:rPr>
            </w:pPr>
            <w:r w:rsidRPr="00AF0CC3">
              <w:rPr>
                <w:rFonts w:ascii="Times New Roman" w:hAnsi="Times New Roman" w:cs="Times New Roman"/>
                <w:color w:val="000000" w:themeColor="text1"/>
              </w:rPr>
              <w:t>Composite governance score</w:t>
            </w:r>
          </w:p>
        </w:tc>
      </w:tr>
      <w:tr w:rsidR="000B6A05" w:rsidRPr="00AF0CC3" w14:paraId="78A969AD" w14:textId="77777777" w:rsidTr="00E73C98">
        <w:trPr>
          <w:tblCellSpacing w:w="15" w:type="dxa"/>
        </w:trPr>
        <w:tc>
          <w:tcPr>
            <w:tcW w:w="0" w:type="auto"/>
            <w:vAlign w:val="center"/>
            <w:hideMark/>
          </w:tcPr>
          <w:p w14:paraId="054F1C36" w14:textId="77777777" w:rsidR="000B6A05" w:rsidRPr="00AF0CC3" w:rsidRDefault="000B6A05" w:rsidP="00E73C98">
            <w:pPr>
              <w:spacing w:line="360" w:lineRule="auto"/>
              <w:rPr>
                <w:rFonts w:ascii="Times New Roman" w:hAnsi="Times New Roman" w:cs="Times New Roman"/>
                <w:color w:val="000000" w:themeColor="text1"/>
              </w:rPr>
            </w:pPr>
            <w:r w:rsidRPr="00AF0CC3">
              <w:rPr>
                <w:rFonts w:ascii="Times New Roman" w:hAnsi="Times New Roman" w:cs="Times New Roman"/>
                <w:color w:val="000000" w:themeColor="text1"/>
              </w:rPr>
              <w:t>Political transition</w:t>
            </w:r>
          </w:p>
        </w:tc>
        <w:tc>
          <w:tcPr>
            <w:tcW w:w="0" w:type="auto"/>
            <w:vAlign w:val="center"/>
            <w:hideMark/>
          </w:tcPr>
          <w:p w14:paraId="46F9E75C" w14:textId="77777777" w:rsidR="000B6A05" w:rsidRPr="00AF0CC3" w:rsidRDefault="000B6A05" w:rsidP="00E73C98">
            <w:pPr>
              <w:spacing w:line="360" w:lineRule="auto"/>
              <w:rPr>
                <w:rFonts w:ascii="Times New Roman" w:hAnsi="Times New Roman" w:cs="Times New Roman"/>
                <w:color w:val="000000" w:themeColor="text1"/>
              </w:rPr>
            </w:pPr>
            <w:r w:rsidRPr="00AF0CC3">
              <w:rPr>
                <w:rFonts w:ascii="Times New Roman" w:hAnsi="Times New Roman" w:cs="Times New Roman"/>
                <w:color w:val="000000" w:themeColor="text1"/>
              </w:rPr>
              <w:t>Control</w:t>
            </w:r>
          </w:p>
        </w:tc>
        <w:tc>
          <w:tcPr>
            <w:tcW w:w="0" w:type="auto"/>
            <w:vAlign w:val="center"/>
            <w:hideMark/>
          </w:tcPr>
          <w:p w14:paraId="7C2D808C" w14:textId="77777777" w:rsidR="000B6A05" w:rsidRPr="00AF0CC3" w:rsidRDefault="000B6A05" w:rsidP="00E73C98">
            <w:pPr>
              <w:spacing w:line="360" w:lineRule="auto"/>
              <w:rPr>
                <w:rFonts w:ascii="Times New Roman" w:hAnsi="Times New Roman" w:cs="Times New Roman"/>
                <w:color w:val="000000" w:themeColor="text1"/>
              </w:rPr>
            </w:pPr>
            <w:r w:rsidRPr="00AF0CC3">
              <w:rPr>
                <w:rFonts w:ascii="Times New Roman" w:hAnsi="Times New Roman" w:cs="Times New Roman"/>
                <w:color w:val="000000" w:themeColor="text1"/>
              </w:rPr>
              <w:t>Leadership change indicator</w:t>
            </w:r>
          </w:p>
        </w:tc>
      </w:tr>
      <w:tr w:rsidR="000B6A05" w:rsidRPr="00AF0CC3" w14:paraId="2D04C340" w14:textId="77777777" w:rsidTr="00E73C98">
        <w:trPr>
          <w:tblCellSpacing w:w="15" w:type="dxa"/>
        </w:trPr>
        <w:tc>
          <w:tcPr>
            <w:tcW w:w="0" w:type="auto"/>
            <w:vAlign w:val="center"/>
            <w:hideMark/>
          </w:tcPr>
          <w:p w14:paraId="16480491" w14:textId="77777777" w:rsidR="000B6A05" w:rsidRPr="00AF0CC3" w:rsidRDefault="000B6A05" w:rsidP="00E73C98">
            <w:pPr>
              <w:spacing w:line="360" w:lineRule="auto"/>
              <w:rPr>
                <w:rFonts w:ascii="Times New Roman" w:hAnsi="Times New Roman" w:cs="Times New Roman"/>
                <w:color w:val="000000" w:themeColor="text1"/>
              </w:rPr>
            </w:pPr>
            <w:r w:rsidRPr="00AF0CC3">
              <w:rPr>
                <w:rFonts w:ascii="Times New Roman" w:hAnsi="Times New Roman" w:cs="Times New Roman"/>
                <w:color w:val="000000" w:themeColor="text1"/>
              </w:rPr>
              <w:t>Climate exposure</w:t>
            </w:r>
          </w:p>
        </w:tc>
        <w:tc>
          <w:tcPr>
            <w:tcW w:w="0" w:type="auto"/>
            <w:vAlign w:val="center"/>
            <w:hideMark/>
          </w:tcPr>
          <w:p w14:paraId="63E3E5BF" w14:textId="77777777" w:rsidR="000B6A05" w:rsidRPr="00AF0CC3" w:rsidRDefault="000B6A05" w:rsidP="00E73C98">
            <w:pPr>
              <w:spacing w:line="360" w:lineRule="auto"/>
              <w:rPr>
                <w:rFonts w:ascii="Times New Roman" w:hAnsi="Times New Roman" w:cs="Times New Roman"/>
                <w:color w:val="000000" w:themeColor="text1"/>
              </w:rPr>
            </w:pPr>
            <w:r w:rsidRPr="00AF0CC3">
              <w:rPr>
                <w:rFonts w:ascii="Times New Roman" w:hAnsi="Times New Roman" w:cs="Times New Roman"/>
                <w:color w:val="000000" w:themeColor="text1"/>
              </w:rPr>
              <w:t>Control</w:t>
            </w:r>
          </w:p>
        </w:tc>
        <w:tc>
          <w:tcPr>
            <w:tcW w:w="0" w:type="auto"/>
            <w:vAlign w:val="center"/>
            <w:hideMark/>
          </w:tcPr>
          <w:p w14:paraId="38F1BDA2" w14:textId="77777777" w:rsidR="000B6A05" w:rsidRPr="00AF0CC3" w:rsidRDefault="000B6A05" w:rsidP="00E73C98">
            <w:pPr>
              <w:spacing w:line="360" w:lineRule="auto"/>
              <w:rPr>
                <w:rFonts w:ascii="Times New Roman" w:hAnsi="Times New Roman" w:cs="Times New Roman"/>
                <w:color w:val="000000" w:themeColor="text1"/>
              </w:rPr>
            </w:pPr>
            <w:r w:rsidRPr="00AF0CC3">
              <w:rPr>
                <w:rFonts w:ascii="Times New Roman" w:hAnsi="Times New Roman" w:cs="Times New Roman"/>
                <w:color w:val="000000" w:themeColor="text1"/>
              </w:rPr>
              <w:t>Climate shock indicator</w:t>
            </w:r>
          </w:p>
        </w:tc>
      </w:tr>
    </w:tbl>
    <w:p w14:paraId="2AC32819" w14:textId="77777777" w:rsidR="000B6A05" w:rsidRPr="00AF0CC3" w:rsidRDefault="000B6A05" w:rsidP="000B6A05">
      <w:pPr>
        <w:spacing w:line="360" w:lineRule="auto"/>
        <w:rPr>
          <w:rFonts w:ascii="Times New Roman" w:hAnsi="Times New Roman" w:cs="Times New Roman"/>
          <w:color w:val="000000" w:themeColor="text1"/>
        </w:rPr>
      </w:pPr>
    </w:p>
    <w:p w14:paraId="1BE60341" w14:textId="77777777" w:rsidR="000B6A05" w:rsidRPr="00AF0CC3" w:rsidRDefault="000B6A05" w:rsidP="000B6A05">
      <w:pPr>
        <w:spacing w:line="360" w:lineRule="auto"/>
        <w:rPr>
          <w:rFonts w:ascii="Times New Roman" w:hAnsi="Times New Roman" w:cs="Times New Roman"/>
          <w:color w:val="000000" w:themeColor="text1"/>
        </w:rPr>
      </w:pPr>
      <w:r w:rsidRPr="00AF0CC3">
        <w:rPr>
          <w:rFonts w:ascii="Times New Roman" w:hAnsi="Times New Roman" w:cs="Times New Roman"/>
          <w:color w:val="000000" w:themeColor="text1"/>
        </w:rPr>
        <w:t>With variables defined, the next section develops the conceptual framework that connects governance quality to infrastructure outcomes. All variables are derived from documentary evidence and standardized to ensure comparability across projects.</w:t>
      </w:r>
    </w:p>
    <w:p w14:paraId="6217829E" w14:textId="2FE3E827" w:rsidR="000B6A05" w:rsidRPr="00AF0CC3" w:rsidRDefault="000B6A05" w:rsidP="008A5815">
      <w:pPr>
        <w:pStyle w:val="Heading2"/>
        <w:rPr>
          <w:rFonts w:cs="Times New Roman"/>
          <w:color w:val="000000" w:themeColor="text1"/>
          <w:szCs w:val="24"/>
        </w:rPr>
      </w:pPr>
      <w:bookmarkStart w:id="255" w:name="_Toc230209538"/>
      <w:bookmarkStart w:id="256" w:name="_Toc234344816"/>
      <w:bookmarkStart w:id="257" w:name="_Toc234489048"/>
      <w:r w:rsidRPr="00AF0CC3">
        <w:rPr>
          <w:rFonts w:cs="Times New Roman"/>
          <w:color w:val="000000" w:themeColor="text1"/>
          <w:szCs w:val="24"/>
        </w:rPr>
        <w:t>Conceptual Framework and Hypotheses</w:t>
      </w:r>
      <w:bookmarkEnd w:id="255"/>
      <w:bookmarkEnd w:id="256"/>
      <w:bookmarkEnd w:id="257"/>
    </w:p>
    <w:p w14:paraId="3AFAD578" w14:textId="77777777" w:rsidR="000B6A05" w:rsidRPr="00AF0CC3" w:rsidRDefault="000B6A05" w:rsidP="000B6A05">
      <w:pPr>
        <w:spacing w:line="360" w:lineRule="auto"/>
        <w:rPr>
          <w:rFonts w:ascii="Times New Roman" w:hAnsi="Times New Roman" w:cs="Times New Roman"/>
          <w:color w:val="000000" w:themeColor="text1"/>
        </w:rPr>
      </w:pPr>
      <w:r w:rsidRPr="00AF0CC3">
        <w:rPr>
          <w:rFonts w:ascii="Times New Roman" w:hAnsi="Times New Roman" w:cs="Times New Roman"/>
          <w:color w:val="000000" w:themeColor="text1"/>
        </w:rPr>
        <w:t>This section develops the conceptual framework connecting governance quality to infrastructure performance and presents the hypotheses examined in empirical analysis.</w:t>
      </w:r>
    </w:p>
    <w:p w14:paraId="43DC2FEA" w14:textId="77777777" w:rsidR="000B6A05" w:rsidRPr="00AF0CC3" w:rsidRDefault="000B6A05" w:rsidP="000B6A05">
      <w:pPr>
        <w:spacing w:line="360" w:lineRule="auto"/>
        <w:rPr>
          <w:rFonts w:ascii="Times New Roman" w:hAnsi="Times New Roman" w:cs="Times New Roman"/>
          <w:color w:val="000000" w:themeColor="text1"/>
        </w:rPr>
      </w:pPr>
    </w:p>
    <w:p w14:paraId="7126FD3F" w14:textId="77777777" w:rsidR="000B6A05" w:rsidRPr="00AF0CC3" w:rsidRDefault="000B6A05" w:rsidP="000B6A05">
      <w:pPr>
        <w:spacing w:line="360" w:lineRule="auto"/>
        <w:rPr>
          <w:rFonts w:ascii="Times New Roman" w:hAnsi="Times New Roman" w:cs="Times New Roman"/>
          <w:color w:val="000000" w:themeColor="text1"/>
        </w:rPr>
      </w:pPr>
      <w:r w:rsidRPr="00AF0CC3">
        <w:rPr>
          <w:rFonts w:ascii="Times New Roman" w:hAnsi="Times New Roman" w:cs="Times New Roman"/>
          <w:color w:val="000000" w:themeColor="text1"/>
        </w:rPr>
        <w:lastRenderedPageBreak/>
        <w:t>The conceptual framework guiding this study directly builds on the theoretical synthesis developed in Chapter Two. Infrastructure delivery outcomes are viewed as the cumulative result of governance processes happening throughout the project lifecycle. Governance quality affects how risks are identified, assigned, and managed during project preparation, procurement, implementation, and oversight.</w:t>
      </w:r>
    </w:p>
    <w:p w14:paraId="7FCE4089" w14:textId="77777777" w:rsidR="000B6A05" w:rsidRPr="00AF0CC3" w:rsidRDefault="000B6A05" w:rsidP="000B6A05">
      <w:pPr>
        <w:spacing w:line="360" w:lineRule="auto"/>
        <w:rPr>
          <w:rFonts w:ascii="Times New Roman" w:hAnsi="Times New Roman" w:cs="Times New Roman"/>
          <w:color w:val="000000" w:themeColor="text1"/>
        </w:rPr>
      </w:pPr>
    </w:p>
    <w:p w14:paraId="268EC247" w14:textId="77777777" w:rsidR="000B6A05" w:rsidRPr="00AF0CC3" w:rsidRDefault="000B6A05" w:rsidP="000B6A05">
      <w:pPr>
        <w:spacing w:line="360" w:lineRule="auto"/>
        <w:rPr>
          <w:rFonts w:ascii="Times New Roman" w:hAnsi="Times New Roman" w:cs="Times New Roman"/>
          <w:color w:val="000000" w:themeColor="text1"/>
        </w:rPr>
      </w:pPr>
      <w:r w:rsidRPr="00AF0CC3">
        <w:rPr>
          <w:rFonts w:ascii="Times New Roman" w:hAnsi="Times New Roman" w:cs="Times New Roman"/>
          <w:color w:val="000000" w:themeColor="text1"/>
        </w:rPr>
        <w:t>Weak governance practices allow early-stage risks to persist and build up over time. For example, inadequate feasibility studies may miss land acquisition issues or hydrological risks. If such issues are not addressed during procurement, contractual arrangements might inconsistently assign risks between implementing agencies and contractors. During implementation, these unresolved issues may manifest as payment disputes, contract renegotiations, or construction delays. When combined with fiscal constraints or institutional fragmentation, these problems can cause prolonged inactivity or project stalls.</w:t>
      </w:r>
    </w:p>
    <w:p w14:paraId="4DBFF708" w14:textId="77777777" w:rsidR="000B6A05" w:rsidRPr="00AF0CC3" w:rsidRDefault="000B6A05" w:rsidP="000B6A05">
      <w:pPr>
        <w:spacing w:line="360" w:lineRule="auto"/>
        <w:rPr>
          <w:rFonts w:ascii="Times New Roman" w:hAnsi="Times New Roman" w:cs="Times New Roman"/>
          <w:color w:val="000000" w:themeColor="text1"/>
        </w:rPr>
      </w:pPr>
    </w:p>
    <w:p w14:paraId="5874D48F" w14:textId="77777777" w:rsidR="000B6A05" w:rsidRPr="00AF0CC3" w:rsidRDefault="000B6A05" w:rsidP="000B6A05">
      <w:pPr>
        <w:spacing w:line="360" w:lineRule="auto"/>
        <w:rPr>
          <w:rFonts w:ascii="Times New Roman" w:hAnsi="Times New Roman" w:cs="Times New Roman"/>
          <w:color w:val="000000" w:themeColor="text1"/>
        </w:rPr>
      </w:pPr>
      <w:r w:rsidRPr="00AF0CC3">
        <w:rPr>
          <w:rFonts w:ascii="Times New Roman" w:hAnsi="Times New Roman" w:cs="Times New Roman"/>
          <w:color w:val="000000" w:themeColor="text1"/>
        </w:rPr>
        <w:t>The conceptual framework thus links governance quality to infrastructure outcomes through a series of intermediate implementation mechanisms. These include risk allocation, procurement transparency, contract supervision capacity, and the responsiveness of oversight institutions.</w:t>
      </w:r>
    </w:p>
    <w:p w14:paraId="150B45F2" w14:textId="77777777" w:rsidR="000B6A05" w:rsidRPr="00AF0CC3" w:rsidRDefault="000B6A05" w:rsidP="000B6A05">
      <w:pPr>
        <w:spacing w:line="360" w:lineRule="auto"/>
        <w:rPr>
          <w:rFonts w:ascii="Times New Roman" w:hAnsi="Times New Roman" w:cs="Times New Roman"/>
          <w:color w:val="000000" w:themeColor="text1"/>
        </w:rPr>
      </w:pPr>
    </w:p>
    <w:p w14:paraId="6C872024" w14:textId="77777777" w:rsidR="000B6A05" w:rsidRPr="00AF0CC3" w:rsidRDefault="000B6A05" w:rsidP="000B6A05">
      <w:pPr>
        <w:spacing w:line="360" w:lineRule="auto"/>
        <w:rPr>
          <w:rFonts w:ascii="Times New Roman" w:hAnsi="Times New Roman" w:cs="Times New Roman"/>
          <w:color w:val="000000" w:themeColor="text1"/>
        </w:rPr>
      </w:pPr>
      <w:r w:rsidRPr="00AF0CC3">
        <w:rPr>
          <w:rFonts w:ascii="Times New Roman" w:hAnsi="Times New Roman" w:cs="Times New Roman"/>
          <w:color w:val="000000" w:themeColor="text1"/>
        </w:rPr>
        <w:t>In addition to governance quality, the framework includes two contextual factors that can influence project outcomes: climate exposure and political transition dynamics. Climate events such as floods and droughts can disrupt construction timelines and alter the hydrological assumptions underlying project design. Political transitions might affect project continuity through shifts in administrative leadership, budget priorities, or institutional mandates.</w:t>
      </w:r>
    </w:p>
    <w:p w14:paraId="16E8ED02" w14:textId="77777777" w:rsidR="000B6A05" w:rsidRPr="00AF0CC3" w:rsidRDefault="000B6A05" w:rsidP="000B6A05">
      <w:pPr>
        <w:spacing w:line="360" w:lineRule="auto"/>
        <w:rPr>
          <w:rFonts w:ascii="Times New Roman" w:hAnsi="Times New Roman" w:cs="Times New Roman"/>
          <w:color w:val="000000" w:themeColor="text1"/>
        </w:rPr>
      </w:pPr>
    </w:p>
    <w:p w14:paraId="00D916CF" w14:textId="77777777" w:rsidR="000B6A05" w:rsidRPr="00AF0CC3" w:rsidRDefault="000B6A05" w:rsidP="000B6A05">
      <w:pPr>
        <w:spacing w:line="360" w:lineRule="auto"/>
        <w:rPr>
          <w:rFonts w:ascii="Times New Roman" w:hAnsi="Times New Roman" w:cs="Times New Roman"/>
          <w:color w:val="000000" w:themeColor="text1"/>
        </w:rPr>
      </w:pPr>
      <w:r w:rsidRPr="00AF0CC3">
        <w:rPr>
          <w:rFonts w:ascii="Times New Roman" w:hAnsi="Times New Roman" w:cs="Times New Roman"/>
          <w:color w:val="000000" w:themeColor="text1"/>
        </w:rPr>
        <w:t>These contextual variables do not operate independently of governance quality. Instead, they interact with institutional capacity to shape how projects respond to external shocks. Strong governance systems can withstand such shocks through adaptive management, while weak governance systems may experience implementation failures.</w:t>
      </w:r>
    </w:p>
    <w:p w14:paraId="09A89057" w14:textId="77777777" w:rsidR="00447C9E" w:rsidRPr="00AF0CC3" w:rsidRDefault="000B6A05" w:rsidP="00447C9E">
      <w:pPr>
        <w:keepNext/>
        <w:spacing w:line="360" w:lineRule="auto"/>
        <w:rPr>
          <w:rFonts w:ascii="Times New Roman" w:hAnsi="Times New Roman" w:cs="Times New Roman"/>
        </w:rPr>
      </w:pPr>
      <w:r w:rsidRPr="00AF0CC3">
        <w:rPr>
          <w:rFonts w:ascii="Times New Roman" w:hAnsi="Times New Roman" w:cs="Times New Roman"/>
          <w:b/>
          <w:bCs/>
          <w:noProof/>
          <w:color w:val="000000" w:themeColor="text1"/>
        </w:rPr>
        <w:lastRenderedPageBreak/>
        <w:drawing>
          <wp:inline distT="0" distB="0" distL="0" distR="0" wp14:anchorId="0972621D" wp14:editId="042A966E">
            <wp:extent cx="6443132" cy="4031088"/>
            <wp:effectExtent l="0" t="0" r="0" b="7620"/>
            <wp:docPr id="209183590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91835903" name=""/>
                    <pic:cNvPicPr/>
                  </pic:nvPicPr>
                  <pic:blipFill>
                    <a:blip r:embed="rId25"/>
                    <a:stretch>
                      <a:fillRect/>
                    </a:stretch>
                  </pic:blipFill>
                  <pic:spPr>
                    <a:xfrm>
                      <a:off x="0" y="0"/>
                      <a:ext cx="6458320" cy="4040590"/>
                    </a:xfrm>
                    <a:prstGeom prst="rect">
                      <a:avLst/>
                    </a:prstGeom>
                  </pic:spPr>
                </pic:pic>
              </a:graphicData>
            </a:graphic>
          </wp:inline>
        </w:drawing>
      </w:r>
    </w:p>
    <w:p w14:paraId="50E37E34" w14:textId="57FE03F3" w:rsidR="000B6A05" w:rsidRPr="00AF0CC3" w:rsidRDefault="00447C9E" w:rsidP="00447C9E">
      <w:pPr>
        <w:pStyle w:val="Caption"/>
        <w:rPr>
          <w:rFonts w:ascii="Times New Roman" w:hAnsi="Times New Roman" w:cs="Times New Roman"/>
          <w:b/>
          <w:bCs/>
          <w:color w:val="000000" w:themeColor="text1"/>
          <w:sz w:val="24"/>
          <w:szCs w:val="24"/>
        </w:rPr>
      </w:pPr>
      <w:bookmarkStart w:id="258" w:name="_Toc234481928"/>
      <w:r w:rsidRPr="00AF0CC3">
        <w:rPr>
          <w:rFonts w:ascii="Times New Roman" w:hAnsi="Times New Roman" w:cs="Times New Roman"/>
          <w:sz w:val="24"/>
          <w:szCs w:val="24"/>
        </w:rPr>
        <w:t xml:space="preserve">Figure </w:t>
      </w:r>
      <w:r w:rsidR="00052921" w:rsidRPr="00AF0CC3">
        <w:rPr>
          <w:rFonts w:ascii="Times New Roman" w:hAnsi="Times New Roman" w:cs="Times New Roman"/>
          <w:sz w:val="24"/>
          <w:szCs w:val="24"/>
        </w:rPr>
        <w:fldChar w:fldCharType="begin"/>
      </w:r>
      <w:r w:rsidR="00052921" w:rsidRPr="00AF0CC3">
        <w:rPr>
          <w:rFonts w:ascii="Times New Roman" w:hAnsi="Times New Roman" w:cs="Times New Roman"/>
          <w:sz w:val="24"/>
          <w:szCs w:val="24"/>
        </w:rPr>
        <w:instrText xml:space="preserve"> STYLEREF 1 \s </w:instrText>
      </w:r>
      <w:r w:rsidR="00052921" w:rsidRPr="00AF0CC3">
        <w:rPr>
          <w:rFonts w:ascii="Times New Roman" w:hAnsi="Times New Roman" w:cs="Times New Roman"/>
          <w:sz w:val="24"/>
          <w:szCs w:val="24"/>
        </w:rPr>
        <w:fldChar w:fldCharType="separate"/>
      </w:r>
      <w:r w:rsidR="00052921" w:rsidRPr="00AF0CC3">
        <w:rPr>
          <w:rFonts w:ascii="Times New Roman" w:hAnsi="Times New Roman" w:cs="Times New Roman"/>
          <w:noProof/>
          <w:sz w:val="24"/>
          <w:szCs w:val="24"/>
        </w:rPr>
        <w:t>3</w:t>
      </w:r>
      <w:r w:rsidR="00052921" w:rsidRPr="00AF0CC3">
        <w:rPr>
          <w:rFonts w:ascii="Times New Roman" w:hAnsi="Times New Roman" w:cs="Times New Roman"/>
          <w:noProof/>
          <w:sz w:val="24"/>
          <w:szCs w:val="24"/>
        </w:rPr>
        <w:fldChar w:fldCharType="end"/>
      </w:r>
      <w:r w:rsidR="00BF2261" w:rsidRPr="00AF0CC3">
        <w:rPr>
          <w:rFonts w:ascii="Times New Roman" w:hAnsi="Times New Roman" w:cs="Times New Roman"/>
          <w:sz w:val="24"/>
          <w:szCs w:val="24"/>
        </w:rPr>
        <w:t>.</w:t>
      </w:r>
      <w:r w:rsidR="00052921" w:rsidRPr="00AF0CC3">
        <w:rPr>
          <w:rFonts w:ascii="Times New Roman" w:hAnsi="Times New Roman" w:cs="Times New Roman"/>
          <w:sz w:val="24"/>
          <w:szCs w:val="24"/>
        </w:rPr>
        <w:fldChar w:fldCharType="begin"/>
      </w:r>
      <w:r w:rsidR="00052921" w:rsidRPr="00AF0CC3">
        <w:rPr>
          <w:rFonts w:ascii="Times New Roman" w:hAnsi="Times New Roman" w:cs="Times New Roman"/>
          <w:sz w:val="24"/>
          <w:szCs w:val="24"/>
        </w:rPr>
        <w:instrText xml:space="preserve"> SEQ Figure \* ARABIC \s 1 </w:instrText>
      </w:r>
      <w:r w:rsidR="00052921" w:rsidRPr="00AF0CC3">
        <w:rPr>
          <w:rFonts w:ascii="Times New Roman" w:hAnsi="Times New Roman" w:cs="Times New Roman"/>
          <w:sz w:val="24"/>
          <w:szCs w:val="24"/>
        </w:rPr>
        <w:fldChar w:fldCharType="separate"/>
      </w:r>
      <w:r w:rsidR="00052921" w:rsidRPr="00AF0CC3">
        <w:rPr>
          <w:rFonts w:ascii="Times New Roman" w:hAnsi="Times New Roman" w:cs="Times New Roman"/>
          <w:noProof/>
          <w:sz w:val="24"/>
          <w:szCs w:val="24"/>
        </w:rPr>
        <w:t>1</w:t>
      </w:r>
      <w:r w:rsidR="00052921" w:rsidRPr="00AF0CC3">
        <w:rPr>
          <w:rFonts w:ascii="Times New Roman" w:hAnsi="Times New Roman" w:cs="Times New Roman"/>
          <w:noProof/>
          <w:sz w:val="24"/>
          <w:szCs w:val="24"/>
        </w:rPr>
        <w:fldChar w:fldCharType="end"/>
      </w:r>
      <w:r w:rsidRPr="00AF0CC3">
        <w:rPr>
          <w:rFonts w:ascii="Times New Roman" w:hAnsi="Times New Roman" w:cs="Times New Roman"/>
          <w:sz w:val="24"/>
          <w:szCs w:val="24"/>
        </w:rPr>
        <w:t xml:space="preserve"> Conceptual Framework Linking Governance Quality and Infrastructure Delivery Outcomes</w:t>
      </w:r>
      <w:bookmarkEnd w:id="258"/>
    </w:p>
    <w:p w14:paraId="426D5EA1" w14:textId="77777777" w:rsidR="000B6A05" w:rsidRPr="00AF0CC3" w:rsidRDefault="000B6A05" w:rsidP="000B6A05">
      <w:pPr>
        <w:spacing w:line="360" w:lineRule="auto"/>
        <w:rPr>
          <w:rFonts w:ascii="Times New Roman" w:hAnsi="Times New Roman" w:cs="Times New Roman"/>
          <w:color w:val="000000" w:themeColor="text1"/>
        </w:rPr>
      </w:pPr>
    </w:p>
    <w:p w14:paraId="78D41E73" w14:textId="77777777" w:rsidR="000B6A05" w:rsidRPr="00AF0CC3" w:rsidRDefault="000B6A05" w:rsidP="000B6A05">
      <w:pPr>
        <w:spacing w:line="360" w:lineRule="auto"/>
        <w:rPr>
          <w:rFonts w:ascii="Times New Roman" w:hAnsi="Times New Roman" w:cs="Times New Roman"/>
          <w:color w:val="000000" w:themeColor="text1"/>
        </w:rPr>
      </w:pPr>
      <w:r w:rsidRPr="00AF0CC3">
        <w:rPr>
          <w:rFonts w:ascii="Times New Roman" w:hAnsi="Times New Roman" w:cs="Times New Roman"/>
          <w:color w:val="000000" w:themeColor="text1"/>
        </w:rPr>
        <w:t>Figure 3.1 illustrates the conceptual relationships examined in this study. The Governance Quality Index (GQI) is the principal independent variable, capturing governance performance across the infrastructure project lifecycle. The framework proposes that stronger governance quality reduces the likelihood of project stalling and minimizes time and cost overruns. Climate exposure and political transition conditions are modeled as moderating variables because they may strengthen or weaken implementation outcomes depending on institutional resilience. The framework also incorporates control variables, including project size, implementing agency type, funding source, institutional complexity, geographic location, and planned project duration. The conceptual framework provides the analytical basis for the hypotheses and econometric models estimated in Chapters Three and Four.</w:t>
      </w:r>
    </w:p>
    <w:p w14:paraId="7CA12B6B" w14:textId="77777777" w:rsidR="000B6A05" w:rsidRPr="00AF0CC3" w:rsidRDefault="000B6A05" w:rsidP="000B6A05">
      <w:pPr>
        <w:spacing w:line="360" w:lineRule="auto"/>
        <w:rPr>
          <w:rFonts w:ascii="Times New Roman" w:hAnsi="Times New Roman" w:cs="Times New Roman"/>
          <w:color w:val="000000" w:themeColor="text1"/>
        </w:rPr>
      </w:pPr>
    </w:p>
    <w:p w14:paraId="4E0B9BA3" w14:textId="4ABDEB61" w:rsidR="000B6A05" w:rsidRPr="00AF0CC3" w:rsidRDefault="000B6A05" w:rsidP="008A5815">
      <w:pPr>
        <w:pStyle w:val="Heading3"/>
        <w:rPr>
          <w:rFonts w:cs="Times New Roman"/>
          <w:color w:val="000000" w:themeColor="text1"/>
          <w:szCs w:val="24"/>
        </w:rPr>
      </w:pPr>
      <w:bookmarkStart w:id="259" w:name="_Toc230209539"/>
      <w:bookmarkStart w:id="260" w:name="_Toc234344817"/>
      <w:bookmarkStart w:id="261" w:name="_Toc234489049"/>
      <w:r w:rsidRPr="00AF0CC3">
        <w:rPr>
          <w:rFonts w:cs="Times New Roman"/>
          <w:color w:val="000000" w:themeColor="text1"/>
          <w:szCs w:val="24"/>
        </w:rPr>
        <w:lastRenderedPageBreak/>
        <w:t>Research Hypotheses</w:t>
      </w:r>
      <w:bookmarkEnd w:id="259"/>
      <w:bookmarkEnd w:id="260"/>
      <w:bookmarkEnd w:id="261"/>
    </w:p>
    <w:p w14:paraId="2E5E881E" w14:textId="77777777" w:rsidR="000B6A05" w:rsidRPr="00AF0CC3" w:rsidRDefault="000B6A05" w:rsidP="000B6A05">
      <w:pPr>
        <w:spacing w:line="360" w:lineRule="auto"/>
        <w:rPr>
          <w:rFonts w:ascii="Times New Roman" w:hAnsi="Times New Roman" w:cs="Times New Roman"/>
          <w:color w:val="000000" w:themeColor="text1"/>
        </w:rPr>
      </w:pPr>
    </w:p>
    <w:p w14:paraId="7B98C0CF" w14:textId="77777777" w:rsidR="000B6A05" w:rsidRPr="00AF0CC3" w:rsidRDefault="000B6A05" w:rsidP="000B6A05">
      <w:pPr>
        <w:spacing w:line="360" w:lineRule="auto"/>
        <w:rPr>
          <w:rFonts w:ascii="Times New Roman" w:hAnsi="Times New Roman" w:cs="Times New Roman"/>
          <w:color w:val="000000" w:themeColor="text1"/>
        </w:rPr>
      </w:pPr>
      <w:r w:rsidRPr="00AF0CC3">
        <w:rPr>
          <w:rFonts w:ascii="Times New Roman" w:hAnsi="Times New Roman" w:cs="Times New Roman"/>
          <w:color w:val="000000" w:themeColor="text1"/>
        </w:rPr>
        <w:t>Based on the theoretical arguments and empirical research reviewed in Chapter Two, the study tests the following hypotheses.</w:t>
      </w:r>
    </w:p>
    <w:p w14:paraId="2E29C434" w14:textId="77777777" w:rsidR="000B6A05" w:rsidRPr="00AF0CC3" w:rsidRDefault="000B6A05" w:rsidP="000B6A05">
      <w:pPr>
        <w:spacing w:line="360" w:lineRule="auto"/>
        <w:rPr>
          <w:rFonts w:ascii="Times New Roman" w:hAnsi="Times New Roman" w:cs="Times New Roman"/>
          <w:color w:val="000000" w:themeColor="text1"/>
        </w:rPr>
      </w:pPr>
    </w:p>
    <w:p w14:paraId="1358D43D" w14:textId="77777777" w:rsidR="000B6A05" w:rsidRPr="00AF0CC3" w:rsidRDefault="000B6A05" w:rsidP="000B6A05">
      <w:pPr>
        <w:spacing w:line="360" w:lineRule="auto"/>
        <w:rPr>
          <w:rFonts w:ascii="Times New Roman" w:hAnsi="Times New Roman" w:cs="Times New Roman"/>
          <w:color w:val="000000" w:themeColor="text1"/>
        </w:rPr>
      </w:pPr>
      <w:r w:rsidRPr="00AF0CC3">
        <w:rPr>
          <w:rFonts w:ascii="Times New Roman" w:hAnsi="Times New Roman" w:cs="Times New Roman"/>
          <w:color w:val="000000" w:themeColor="text1"/>
        </w:rPr>
        <w:t>H1: Governance Quality and Project Stalling- Higher governance quality reduces the probability that water infrastructure projects stall.</w:t>
      </w:r>
    </w:p>
    <w:p w14:paraId="51D2D75D" w14:textId="77777777" w:rsidR="000B6A05" w:rsidRPr="00AF0CC3" w:rsidRDefault="000B6A05" w:rsidP="000B6A05">
      <w:pPr>
        <w:spacing w:line="360" w:lineRule="auto"/>
        <w:rPr>
          <w:rFonts w:ascii="Times New Roman" w:hAnsi="Times New Roman" w:cs="Times New Roman"/>
          <w:color w:val="000000" w:themeColor="text1"/>
        </w:rPr>
      </w:pPr>
    </w:p>
    <w:p w14:paraId="209CF543" w14:textId="77777777" w:rsidR="000B6A05" w:rsidRPr="00AF0CC3" w:rsidRDefault="000B6A05" w:rsidP="000B6A05">
      <w:pPr>
        <w:spacing w:line="360" w:lineRule="auto"/>
        <w:rPr>
          <w:rFonts w:ascii="Times New Roman" w:hAnsi="Times New Roman" w:cs="Times New Roman"/>
          <w:color w:val="000000" w:themeColor="text1"/>
        </w:rPr>
      </w:pPr>
      <w:r w:rsidRPr="00AF0CC3">
        <w:rPr>
          <w:rFonts w:ascii="Times New Roman" w:hAnsi="Times New Roman" w:cs="Times New Roman"/>
          <w:color w:val="000000" w:themeColor="text1"/>
        </w:rPr>
        <w:t>H2: Governance Quality and Time Overruns</w:t>
      </w:r>
    </w:p>
    <w:p w14:paraId="4079C316" w14:textId="77777777" w:rsidR="000B6A05" w:rsidRPr="00AF0CC3" w:rsidRDefault="000B6A05" w:rsidP="000B6A05">
      <w:pPr>
        <w:spacing w:line="360" w:lineRule="auto"/>
        <w:rPr>
          <w:rFonts w:ascii="Times New Roman" w:hAnsi="Times New Roman" w:cs="Times New Roman"/>
          <w:color w:val="000000" w:themeColor="text1"/>
        </w:rPr>
      </w:pPr>
    </w:p>
    <w:p w14:paraId="1A3E023B" w14:textId="77777777" w:rsidR="000B6A05" w:rsidRPr="00AF0CC3" w:rsidRDefault="000B6A05" w:rsidP="000B6A05">
      <w:pPr>
        <w:spacing w:line="360" w:lineRule="auto"/>
        <w:rPr>
          <w:rFonts w:ascii="Times New Roman" w:hAnsi="Times New Roman" w:cs="Times New Roman"/>
          <w:color w:val="000000" w:themeColor="text1"/>
        </w:rPr>
      </w:pPr>
      <w:r w:rsidRPr="00AF0CC3">
        <w:rPr>
          <w:rFonts w:ascii="Times New Roman" w:hAnsi="Times New Roman" w:cs="Times New Roman"/>
          <w:color w:val="000000" w:themeColor="text1"/>
        </w:rPr>
        <w:t>Higher governance quality reduces the magnitude of time overruns in water infrastructure projects.</w:t>
      </w:r>
    </w:p>
    <w:p w14:paraId="57E83FBD" w14:textId="77777777" w:rsidR="000B6A05" w:rsidRPr="00AF0CC3" w:rsidRDefault="000B6A05" w:rsidP="000B6A05">
      <w:pPr>
        <w:spacing w:line="360" w:lineRule="auto"/>
        <w:rPr>
          <w:rFonts w:ascii="Times New Roman" w:hAnsi="Times New Roman" w:cs="Times New Roman"/>
          <w:color w:val="000000" w:themeColor="text1"/>
        </w:rPr>
      </w:pPr>
    </w:p>
    <w:p w14:paraId="03E2193E" w14:textId="77777777" w:rsidR="000B6A05" w:rsidRPr="00AF0CC3" w:rsidRDefault="000B6A05" w:rsidP="000B6A05">
      <w:pPr>
        <w:spacing w:line="360" w:lineRule="auto"/>
        <w:rPr>
          <w:rFonts w:ascii="Times New Roman" w:hAnsi="Times New Roman" w:cs="Times New Roman"/>
          <w:color w:val="000000" w:themeColor="text1"/>
        </w:rPr>
      </w:pPr>
      <w:r w:rsidRPr="00AF0CC3">
        <w:rPr>
          <w:rFonts w:ascii="Times New Roman" w:hAnsi="Times New Roman" w:cs="Times New Roman"/>
          <w:color w:val="000000" w:themeColor="text1"/>
        </w:rPr>
        <w:t>H3: Governance Quality and Cost Overruns</w:t>
      </w:r>
    </w:p>
    <w:p w14:paraId="13EF225D" w14:textId="77777777" w:rsidR="000B6A05" w:rsidRPr="00AF0CC3" w:rsidRDefault="000B6A05" w:rsidP="000B6A05">
      <w:pPr>
        <w:spacing w:line="360" w:lineRule="auto"/>
        <w:rPr>
          <w:rFonts w:ascii="Times New Roman" w:hAnsi="Times New Roman" w:cs="Times New Roman"/>
          <w:color w:val="000000" w:themeColor="text1"/>
        </w:rPr>
      </w:pPr>
    </w:p>
    <w:p w14:paraId="5805FE29" w14:textId="77777777" w:rsidR="000B6A05" w:rsidRPr="00AF0CC3" w:rsidRDefault="000B6A05" w:rsidP="000B6A05">
      <w:pPr>
        <w:spacing w:line="360" w:lineRule="auto"/>
        <w:rPr>
          <w:rFonts w:ascii="Times New Roman" w:hAnsi="Times New Roman" w:cs="Times New Roman"/>
          <w:color w:val="000000" w:themeColor="text1"/>
        </w:rPr>
      </w:pPr>
      <w:r w:rsidRPr="00AF0CC3">
        <w:rPr>
          <w:rFonts w:ascii="Times New Roman" w:hAnsi="Times New Roman" w:cs="Times New Roman"/>
          <w:color w:val="000000" w:themeColor="text1"/>
        </w:rPr>
        <w:t>Higher governance quality reduces the magnitude of cost overruns in water infrastructure projects.</w:t>
      </w:r>
    </w:p>
    <w:p w14:paraId="78F44375" w14:textId="77777777" w:rsidR="000B6A05" w:rsidRPr="00AF0CC3" w:rsidRDefault="000B6A05" w:rsidP="000B6A05">
      <w:pPr>
        <w:spacing w:line="360" w:lineRule="auto"/>
        <w:rPr>
          <w:rFonts w:ascii="Times New Roman" w:hAnsi="Times New Roman" w:cs="Times New Roman"/>
          <w:color w:val="000000" w:themeColor="text1"/>
        </w:rPr>
      </w:pPr>
    </w:p>
    <w:p w14:paraId="4DCCD42B" w14:textId="77777777" w:rsidR="000B6A05" w:rsidRPr="00AF0CC3" w:rsidRDefault="000B6A05" w:rsidP="000B6A05">
      <w:pPr>
        <w:spacing w:line="360" w:lineRule="auto"/>
        <w:rPr>
          <w:rFonts w:ascii="Times New Roman" w:hAnsi="Times New Roman" w:cs="Times New Roman"/>
          <w:color w:val="000000" w:themeColor="text1"/>
        </w:rPr>
      </w:pPr>
      <w:r w:rsidRPr="00AF0CC3">
        <w:rPr>
          <w:rFonts w:ascii="Times New Roman" w:hAnsi="Times New Roman" w:cs="Times New Roman"/>
          <w:color w:val="000000" w:themeColor="text1"/>
        </w:rPr>
        <w:t>H4: Climate Interaction Hypothesis</w:t>
      </w:r>
    </w:p>
    <w:p w14:paraId="45F4486B" w14:textId="77777777" w:rsidR="000B6A05" w:rsidRPr="00AF0CC3" w:rsidRDefault="000B6A05" w:rsidP="000B6A05">
      <w:pPr>
        <w:spacing w:line="360" w:lineRule="auto"/>
        <w:rPr>
          <w:rFonts w:ascii="Times New Roman" w:hAnsi="Times New Roman" w:cs="Times New Roman"/>
          <w:color w:val="000000" w:themeColor="text1"/>
        </w:rPr>
      </w:pPr>
    </w:p>
    <w:p w14:paraId="478AFFB2" w14:textId="77777777" w:rsidR="000B6A05" w:rsidRPr="00AF0CC3" w:rsidRDefault="000B6A05" w:rsidP="000B6A05">
      <w:pPr>
        <w:spacing w:line="360" w:lineRule="auto"/>
        <w:rPr>
          <w:rFonts w:ascii="Times New Roman" w:hAnsi="Times New Roman" w:cs="Times New Roman"/>
          <w:color w:val="000000" w:themeColor="text1"/>
        </w:rPr>
      </w:pPr>
      <w:r w:rsidRPr="00AF0CC3">
        <w:rPr>
          <w:rFonts w:ascii="Times New Roman" w:hAnsi="Times New Roman" w:cs="Times New Roman"/>
          <w:color w:val="000000" w:themeColor="text1"/>
        </w:rPr>
        <w:t>Climate exposure moderates the relationship between governance quality and infrastructure performance, making projects with better governance more resilient to climate-related disruptions.</w:t>
      </w:r>
    </w:p>
    <w:p w14:paraId="3A802CCD" w14:textId="77777777" w:rsidR="000B6A05" w:rsidRPr="00AF0CC3" w:rsidRDefault="000B6A05" w:rsidP="000B6A05">
      <w:pPr>
        <w:spacing w:line="360" w:lineRule="auto"/>
        <w:rPr>
          <w:rFonts w:ascii="Times New Roman" w:hAnsi="Times New Roman" w:cs="Times New Roman"/>
          <w:color w:val="000000" w:themeColor="text1"/>
        </w:rPr>
      </w:pPr>
    </w:p>
    <w:p w14:paraId="624385D8" w14:textId="77777777" w:rsidR="000B6A05" w:rsidRPr="00AF0CC3" w:rsidRDefault="000B6A05" w:rsidP="000B6A05">
      <w:pPr>
        <w:spacing w:line="360" w:lineRule="auto"/>
        <w:rPr>
          <w:rFonts w:ascii="Times New Roman" w:hAnsi="Times New Roman" w:cs="Times New Roman"/>
          <w:color w:val="000000" w:themeColor="text1"/>
        </w:rPr>
      </w:pPr>
      <w:r w:rsidRPr="00AF0CC3">
        <w:rPr>
          <w:rFonts w:ascii="Times New Roman" w:hAnsi="Times New Roman" w:cs="Times New Roman"/>
          <w:color w:val="000000" w:themeColor="text1"/>
        </w:rPr>
        <w:t>H5: Political Transition Hypothesis</w:t>
      </w:r>
    </w:p>
    <w:p w14:paraId="53729359" w14:textId="77777777" w:rsidR="000B6A05" w:rsidRPr="00AF0CC3" w:rsidRDefault="000B6A05" w:rsidP="000B6A05">
      <w:pPr>
        <w:spacing w:line="360" w:lineRule="auto"/>
        <w:rPr>
          <w:rFonts w:ascii="Times New Roman" w:hAnsi="Times New Roman" w:cs="Times New Roman"/>
          <w:color w:val="000000" w:themeColor="text1"/>
        </w:rPr>
      </w:pPr>
    </w:p>
    <w:p w14:paraId="6D8B9C0A" w14:textId="77777777" w:rsidR="000B6A05" w:rsidRPr="00AF0CC3" w:rsidRDefault="000B6A05" w:rsidP="000B6A05">
      <w:pPr>
        <w:spacing w:line="360" w:lineRule="auto"/>
        <w:rPr>
          <w:rFonts w:ascii="Times New Roman" w:hAnsi="Times New Roman" w:cs="Times New Roman"/>
          <w:color w:val="000000" w:themeColor="text1"/>
        </w:rPr>
      </w:pPr>
      <w:r w:rsidRPr="00AF0CC3">
        <w:rPr>
          <w:rFonts w:ascii="Times New Roman" w:hAnsi="Times New Roman" w:cs="Times New Roman"/>
          <w:color w:val="000000" w:themeColor="text1"/>
        </w:rPr>
        <w:t>Political transition exposure moderates the relationship between governance quality and infrastructure performance, indicating that projects undertaken during periods of political transition are more susceptible to implementation disruptions.</w:t>
      </w:r>
    </w:p>
    <w:p w14:paraId="1FEE1C41" w14:textId="77777777" w:rsidR="000B6A05" w:rsidRPr="00AF0CC3" w:rsidRDefault="000B6A05" w:rsidP="000B6A05">
      <w:pPr>
        <w:spacing w:line="360" w:lineRule="auto"/>
        <w:rPr>
          <w:rFonts w:ascii="Times New Roman" w:hAnsi="Times New Roman" w:cs="Times New Roman"/>
          <w:color w:val="000000" w:themeColor="text1"/>
        </w:rPr>
      </w:pPr>
    </w:p>
    <w:p w14:paraId="0CBE9D64" w14:textId="52F2A116" w:rsidR="000B6A05" w:rsidRPr="00AF0CC3" w:rsidRDefault="000B6A05" w:rsidP="008A5815">
      <w:pPr>
        <w:pStyle w:val="Heading2"/>
        <w:rPr>
          <w:rFonts w:cs="Times New Roman"/>
          <w:color w:val="000000" w:themeColor="text1"/>
          <w:szCs w:val="24"/>
        </w:rPr>
      </w:pPr>
      <w:bookmarkStart w:id="262" w:name="_Toc230209540"/>
      <w:bookmarkStart w:id="263" w:name="_Toc234344818"/>
      <w:bookmarkStart w:id="264" w:name="_Toc234489050"/>
      <w:r w:rsidRPr="00AF0CC3">
        <w:rPr>
          <w:rFonts w:cs="Times New Roman"/>
          <w:color w:val="000000" w:themeColor="text1"/>
          <w:szCs w:val="24"/>
        </w:rPr>
        <w:t>Study Population</w:t>
      </w:r>
      <w:bookmarkEnd w:id="262"/>
      <w:bookmarkEnd w:id="263"/>
      <w:bookmarkEnd w:id="264"/>
    </w:p>
    <w:p w14:paraId="07A8CC84" w14:textId="77777777" w:rsidR="000B6A05" w:rsidRPr="00AF0CC3" w:rsidRDefault="000B6A05" w:rsidP="000B6A05">
      <w:pPr>
        <w:spacing w:line="360" w:lineRule="auto"/>
        <w:rPr>
          <w:rFonts w:ascii="Times New Roman" w:hAnsi="Times New Roman" w:cs="Times New Roman"/>
          <w:color w:val="000000" w:themeColor="text1"/>
        </w:rPr>
      </w:pPr>
    </w:p>
    <w:p w14:paraId="71BA867E" w14:textId="77777777" w:rsidR="000B6A05" w:rsidRPr="00AF0CC3" w:rsidRDefault="000B6A05" w:rsidP="000B6A05">
      <w:pPr>
        <w:spacing w:line="360" w:lineRule="auto"/>
        <w:rPr>
          <w:rFonts w:ascii="Times New Roman" w:hAnsi="Times New Roman" w:cs="Times New Roman"/>
          <w:color w:val="000000" w:themeColor="text1"/>
        </w:rPr>
      </w:pPr>
      <w:r w:rsidRPr="00AF0CC3">
        <w:rPr>
          <w:rFonts w:ascii="Times New Roman" w:hAnsi="Times New Roman" w:cs="Times New Roman"/>
          <w:color w:val="000000" w:themeColor="text1"/>
        </w:rPr>
        <w:t>The population of interest includes water infrastructure projects implemented in Kenya between 2005 and 2023. The study encompasses projects across various categories of water management infrastructure.</w:t>
      </w:r>
    </w:p>
    <w:p w14:paraId="1BC685DD" w14:textId="77777777" w:rsidR="000B6A05" w:rsidRPr="00AF0CC3" w:rsidRDefault="000B6A05" w:rsidP="000B6A05">
      <w:pPr>
        <w:spacing w:line="360" w:lineRule="auto"/>
        <w:rPr>
          <w:rFonts w:ascii="Times New Roman" w:hAnsi="Times New Roman" w:cs="Times New Roman"/>
          <w:color w:val="000000" w:themeColor="text1"/>
        </w:rPr>
      </w:pPr>
    </w:p>
    <w:p w14:paraId="2A0A2CF4" w14:textId="77777777" w:rsidR="000B6A05" w:rsidRPr="00AF0CC3" w:rsidRDefault="000B6A05" w:rsidP="000B6A05">
      <w:pPr>
        <w:pStyle w:val="ListParagraph"/>
        <w:numPr>
          <w:ilvl w:val="0"/>
          <w:numId w:val="14"/>
        </w:numPr>
        <w:spacing w:line="360" w:lineRule="auto"/>
        <w:rPr>
          <w:rFonts w:ascii="Times New Roman" w:hAnsi="Times New Roman" w:cs="Times New Roman"/>
          <w:color w:val="000000" w:themeColor="text1"/>
        </w:rPr>
      </w:pPr>
      <w:r w:rsidRPr="00AF0CC3">
        <w:rPr>
          <w:rFonts w:ascii="Times New Roman" w:hAnsi="Times New Roman" w:cs="Times New Roman"/>
          <w:color w:val="000000" w:themeColor="text1"/>
        </w:rPr>
        <w:t>Urban water supply systems</w:t>
      </w:r>
    </w:p>
    <w:p w14:paraId="636B52EC" w14:textId="77777777" w:rsidR="000B6A05" w:rsidRPr="00AF0CC3" w:rsidRDefault="000B6A05" w:rsidP="000B6A05">
      <w:pPr>
        <w:spacing w:line="360" w:lineRule="auto"/>
        <w:rPr>
          <w:rFonts w:ascii="Times New Roman" w:hAnsi="Times New Roman" w:cs="Times New Roman"/>
          <w:color w:val="000000" w:themeColor="text1"/>
        </w:rPr>
      </w:pPr>
    </w:p>
    <w:p w14:paraId="2759101C" w14:textId="77777777" w:rsidR="000B6A05" w:rsidRPr="00AF0CC3" w:rsidRDefault="000B6A05" w:rsidP="000B6A05">
      <w:pPr>
        <w:pStyle w:val="ListParagraph"/>
        <w:numPr>
          <w:ilvl w:val="0"/>
          <w:numId w:val="14"/>
        </w:numPr>
        <w:spacing w:line="360" w:lineRule="auto"/>
        <w:rPr>
          <w:rFonts w:ascii="Times New Roman" w:hAnsi="Times New Roman" w:cs="Times New Roman"/>
          <w:color w:val="000000" w:themeColor="text1"/>
        </w:rPr>
      </w:pPr>
      <w:r w:rsidRPr="00AF0CC3">
        <w:rPr>
          <w:rFonts w:ascii="Times New Roman" w:hAnsi="Times New Roman" w:cs="Times New Roman"/>
          <w:color w:val="000000" w:themeColor="text1"/>
        </w:rPr>
        <w:t>Rural water supply infrastructure</w:t>
      </w:r>
    </w:p>
    <w:p w14:paraId="1ECBDCFD" w14:textId="77777777" w:rsidR="000B6A05" w:rsidRPr="00AF0CC3" w:rsidRDefault="000B6A05" w:rsidP="000B6A05">
      <w:pPr>
        <w:spacing w:line="360" w:lineRule="auto"/>
        <w:rPr>
          <w:rFonts w:ascii="Times New Roman" w:hAnsi="Times New Roman" w:cs="Times New Roman"/>
          <w:color w:val="000000" w:themeColor="text1"/>
        </w:rPr>
      </w:pPr>
    </w:p>
    <w:p w14:paraId="0DE98F15" w14:textId="77777777" w:rsidR="000B6A05" w:rsidRPr="00AF0CC3" w:rsidRDefault="000B6A05" w:rsidP="000B6A05">
      <w:pPr>
        <w:pStyle w:val="ListParagraph"/>
        <w:numPr>
          <w:ilvl w:val="0"/>
          <w:numId w:val="14"/>
        </w:numPr>
        <w:spacing w:line="360" w:lineRule="auto"/>
        <w:rPr>
          <w:rFonts w:ascii="Times New Roman" w:hAnsi="Times New Roman" w:cs="Times New Roman"/>
          <w:color w:val="000000" w:themeColor="text1"/>
        </w:rPr>
      </w:pPr>
      <w:r w:rsidRPr="00AF0CC3">
        <w:rPr>
          <w:rFonts w:ascii="Times New Roman" w:hAnsi="Times New Roman" w:cs="Times New Roman"/>
          <w:color w:val="000000" w:themeColor="text1"/>
        </w:rPr>
        <w:t>Wastewater treatment facilities</w:t>
      </w:r>
    </w:p>
    <w:p w14:paraId="5422E2CF" w14:textId="77777777" w:rsidR="000B6A05" w:rsidRPr="00AF0CC3" w:rsidRDefault="000B6A05" w:rsidP="000B6A05">
      <w:pPr>
        <w:spacing w:line="360" w:lineRule="auto"/>
        <w:rPr>
          <w:rFonts w:ascii="Times New Roman" w:hAnsi="Times New Roman" w:cs="Times New Roman"/>
          <w:color w:val="000000" w:themeColor="text1"/>
        </w:rPr>
      </w:pPr>
    </w:p>
    <w:p w14:paraId="5963F24B" w14:textId="77777777" w:rsidR="000B6A05" w:rsidRPr="00AF0CC3" w:rsidRDefault="000B6A05" w:rsidP="000B6A05">
      <w:pPr>
        <w:pStyle w:val="ListParagraph"/>
        <w:numPr>
          <w:ilvl w:val="0"/>
          <w:numId w:val="14"/>
        </w:numPr>
        <w:spacing w:line="360" w:lineRule="auto"/>
        <w:rPr>
          <w:rFonts w:ascii="Times New Roman" w:hAnsi="Times New Roman" w:cs="Times New Roman"/>
          <w:color w:val="000000" w:themeColor="text1"/>
        </w:rPr>
      </w:pPr>
      <w:r w:rsidRPr="00AF0CC3">
        <w:rPr>
          <w:rFonts w:ascii="Times New Roman" w:hAnsi="Times New Roman" w:cs="Times New Roman"/>
          <w:color w:val="000000" w:themeColor="text1"/>
        </w:rPr>
        <w:t>Floodwater and stormwater management infrastructure</w:t>
      </w:r>
    </w:p>
    <w:p w14:paraId="6A5311F1" w14:textId="77777777" w:rsidR="000B6A05" w:rsidRPr="00AF0CC3" w:rsidRDefault="000B6A05" w:rsidP="000B6A05">
      <w:pPr>
        <w:spacing w:line="360" w:lineRule="auto"/>
        <w:rPr>
          <w:rFonts w:ascii="Times New Roman" w:hAnsi="Times New Roman" w:cs="Times New Roman"/>
          <w:color w:val="000000" w:themeColor="text1"/>
        </w:rPr>
      </w:pPr>
    </w:p>
    <w:p w14:paraId="0FE43D92" w14:textId="77777777" w:rsidR="000B6A05" w:rsidRPr="00AF0CC3" w:rsidRDefault="000B6A05" w:rsidP="000B6A05">
      <w:pPr>
        <w:pStyle w:val="ListParagraph"/>
        <w:numPr>
          <w:ilvl w:val="0"/>
          <w:numId w:val="14"/>
        </w:numPr>
        <w:spacing w:line="360" w:lineRule="auto"/>
        <w:rPr>
          <w:rFonts w:ascii="Times New Roman" w:hAnsi="Times New Roman" w:cs="Times New Roman"/>
          <w:color w:val="000000" w:themeColor="text1"/>
        </w:rPr>
      </w:pPr>
      <w:r w:rsidRPr="00AF0CC3">
        <w:rPr>
          <w:rFonts w:ascii="Times New Roman" w:hAnsi="Times New Roman" w:cs="Times New Roman"/>
          <w:color w:val="000000" w:themeColor="text1"/>
        </w:rPr>
        <w:t>Irrigation infrastructure</w:t>
      </w:r>
    </w:p>
    <w:p w14:paraId="421AB68C" w14:textId="77777777" w:rsidR="000B6A05" w:rsidRPr="00AF0CC3" w:rsidRDefault="000B6A05" w:rsidP="000B6A05">
      <w:pPr>
        <w:spacing w:line="360" w:lineRule="auto"/>
        <w:rPr>
          <w:rFonts w:ascii="Times New Roman" w:hAnsi="Times New Roman" w:cs="Times New Roman"/>
          <w:color w:val="000000" w:themeColor="text1"/>
        </w:rPr>
      </w:pPr>
    </w:p>
    <w:p w14:paraId="15D9EEA8" w14:textId="77777777" w:rsidR="000B6A05" w:rsidRPr="00AF0CC3" w:rsidRDefault="000B6A05" w:rsidP="000B6A05">
      <w:pPr>
        <w:pStyle w:val="ListParagraph"/>
        <w:numPr>
          <w:ilvl w:val="0"/>
          <w:numId w:val="14"/>
        </w:numPr>
        <w:spacing w:line="360" w:lineRule="auto"/>
        <w:rPr>
          <w:rFonts w:ascii="Times New Roman" w:hAnsi="Times New Roman" w:cs="Times New Roman"/>
          <w:color w:val="000000" w:themeColor="text1"/>
        </w:rPr>
      </w:pPr>
      <w:r w:rsidRPr="00AF0CC3">
        <w:rPr>
          <w:rFonts w:ascii="Times New Roman" w:hAnsi="Times New Roman" w:cs="Times New Roman"/>
          <w:color w:val="000000" w:themeColor="text1"/>
        </w:rPr>
        <w:t>Water storage and dam infrastructure</w:t>
      </w:r>
    </w:p>
    <w:p w14:paraId="64A555AE" w14:textId="77777777" w:rsidR="000B6A05" w:rsidRPr="00AF0CC3" w:rsidRDefault="000B6A05" w:rsidP="000B6A05">
      <w:pPr>
        <w:spacing w:line="360" w:lineRule="auto"/>
        <w:rPr>
          <w:rFonts w:ascii="Times New Roman" w:hAnsi="Times New Roman" w:cs="Times New Roman"/>
          <w:color w:val="000000" w:themeColor="text1"/>
        </w:rPr>
      </w:pPr>
    </w:p>
    <w:p w14:paraId="35D4EC52" w14:textId="77777777" w:rsidR="000B6A05" w:rsidRPr="00AF0CC3" w:rsidRDefault="000B6A05" w:rsidP="000B6A05">
      <w:pPr>
        <w:spacing w:line="360" w:lineRule="auto"/>
        <w:rPr>
          <w:rFonts w:ascii="Times New Roman" w:hAnsi="Times New Roman" w:cs="Times New Roman"/>
          <w:color w:val="000000" w:themeColor="text1"/>
        </w:rPr>
      </w:pPr>
      <w:r w:rsidRPr="00AF0CC3">
        <w:rPr>
          <w:rFonts w:ascii="Times New Roman" w:hAnsi="Times New Roman" w:cs="Times New Roman"/>
          <w:color w:val="000000" w:themeColor="text1"/>
        </w:rPr>
        <w:lastRenderedPageBreak/>
        <w:t>These categories represent the primary components of water infrastructure investment in Kenya and collectively highlight the sector's institutional diversity.</w:t>
      </w:r>
    </w:p>
    <w:p w14:paraId="447AE626" w14:textId="77777777" w:rsidR="000B6A05" w:rsidRPr="00AF0CC3" w:rsidRDefault="000B6A05" w:rsidP="000B6A05">
      <w:pPr>
        <w:spacing w:line="360" w:lineRule="auto"/>
        <w:rPr>
          <w:rFonts w:ascii="Times New Roman" w:hAnsi="Times New Roman" w:cs="Times New Roman"/>
          <w:color w:val="000000" w:themeColor="text1"/>
        </w:rPr>
      </w:pPr>
    </w:p>
    <w:p w14:paraId="39DC09E9" w14:textId="77777777" w:rsidR="000B6A05" w:rsidRPr="00AF0CC3" w:rsidRDefault="000B6A05" w:rsidP="000B6A05">
      <w:pPr>
        <w:spacing w:line="360" w:lineRule="auto"/>
        <w:rPr>
          <w:rFonts w:ascii="Times New Roman" w:hAnsi="Times New Roman" w:cs="Times New Roman"/>
          <w:color w:val="000000" w:themeColor="text1"/>
        </w:rPr>
      </w:pPr>
      <w:r w:rsidRPr="00AF0CC3">
        <w:rPr>
          <w:rFonts w:ascii="Times New Roman" w:hAnsi="Times New Roman" w:cs="Times New Roman"/>
          <w:color w:val="000000" w:themeColor="text1"/>
        </w:rPr>
        <w:t>Urban water infrastructure projects usually involve large-scale treatment plants and distribution networks managed by city utilities. Rural water projects often rely on decentralized governance, including county governments and local organizations. Wastewater treatment infrastructure is subject to regulatory oversight related to environmental laws. Floodwater management systems typically require collaboration between water agencies, urban planning offices, and disaster response organizations.</w:t>
      </w:r>
    </w:p>
    <w:p w14:paraId="4974FBC5" w14:textId="77777777" w:rsidR="000B6A05" w:rsidRPr="00AF0CC3" w:rsidRDefault="000B6A05" w:rsidP="000B6A05">
      <w:pPr>
        <w:spacing w:line="360" w:lineRule="auto"/>
        <w:rPr>
          <w:rFonts w:ascii="Times New Roman" w:hAnsi="Times New Roman" w:cs="Times New Roman"/>
          <w:color w:val="000000" w:themeColor="text1"/>
        </w:rPr>
      </w:pPr>
      <w:r w:rsidRPr="00AF0CC3">
        <w:rPr>
          <w:rFonts w:ascii="Times New Roman" w:hAnsi="Times New Roman" w:cs="Times New Roman"/>
          <w:color w:val="000000" w:themeColor="text1"/>
        </w:rPr>
        <w:t>Including these diverse project types enables the study to capture variation in governance practices while maintaining a consistent focus on infrastructure delivery outcomes.</w:t>
      </w:r>
    </w:p>
    <w:p w14:paraId="27EBA363" w14:textId="5A56550A" w:rsidR="000B6A05" w:rsidRPr="00AF0CC3" w:rsidRDefault="000B6A05" w:rsidP="008A5815">
      <w:pPr>
        <w:pStyle w:val="Heading2"/>
        <w:rPr>
          <w:rFonts w:cs="Times New Roman"/>
          <w:color w:val="000000" w:themeColor="text1"/>
          <w:szCs w:val="24"/>
        </w:rPr>
      </w:pPr>
      <w:bookmarkStart w:id="265" w:name="_Toc230209541"/>
      <w:bookmarkStart w:id="266" w:name="_Toc234344819"/>
      <w:bookmarkStart w:id="267" w:name="_Toc234489051"/>
      <w:r w:rsidRPr="00AF0CC3">
        <w:rPr>
          <w:rFonts w:cs="Times New Roman"/>
          <w:color w:val="000000" w:themeColor="text1"/>
          <w:szCs w:val="24"/>
        </w:rPr>
        <w:t>Sampling Strategy</w:t>
      </w:r>
      <w:bookmarkEnd w:id="265"/>
      <w:bookmarkEnd w:id="266"/>
      <w:bookmarkEnd w:id="267"/>
    </w:p>
    <w:p w14:paraId="15E7D93F" w14:textId="77777777" w:rsidR="000B6A05" w:rsidRPr="00AF0CC3" w:rsidRDefault="000B6A05" w:rsidP="000B6A05">
      <w:pPr>
        <w:spacing w:line="360" w:lineRule="auto"/>
        <w:rPr>
          <w:rFonts w:ascii="Times New Roman" w:hAnsi="Times New Roman" w:cs="Times New Roman"/>
          <w:color w:val="000000" w:themeColor="text1"/>
        </w:rPr>
      </w:pPr>
      <w:r w:rsidRPr="00AF0CC3">
        <w:rPr>
          <w:rFonts w:ascii="Times New Roman" w:hAnsi="Times New Roman" w:cs="Times New Roman"/>
          <w:color w:val="000000" w:themeColor="text1"/>
        </w:rPr>
        <w:t>The study employs purposive sampling to construct a project-level dataset of water infrastructure investments suitable for lifecycle governance analysis. The sampling process followed a two-stage approach. First, projects were identified based on their relevance to Kenya’s water infrastructure sector, implementation period, project scale, and alignment with the study objectives. Second, documentary sufficiency screening was conducted to assess whether adequate procurement records, feasibility studies, implementation reports, audit documentation, expenditure reports, and monitoring records were available to support standardized Governance Quality Index (GQI) coding and comparative analysis.</w:t>
      </w:r>
    </w:p>
    <w:p w14:paraId="7A85F5EA" w14:textId="77777777" w:rsidR="000B6A05" w:rsidRPr="00AF0CC3" w:rsidRDefault="000B6A05" w:rsidP="000B6A05">
      <w:pPr>
        <w:spacing w:line="360" w:lineRule="auto"/>
        <w:rPr>
          <w:rFonts w:ascii="Times New Roman" w:hAnsi="Times New Roman" w:cs="Times New Roman"/>
          <w:color w:val="000000" w:themeColor="text1"/>
        </w:rPr>
      </w:pPr>
      <w:r w:rsidRPr="00AF0CC3">
        <w:rPr>
          <w:rFonts w:ascii="Times New Roman" w:hAnsi="Times New Roman" w:cs="Times New Roman"/>
          <w:color w:val="000000" w:themeColor="text1"/>
        </w:rPr>
        <w:t>Purposive sampling was necessary because the construction of the Governance Quality Index relied on consistent documentary evidence across multiple stages of the project lifecycle. Projects lacking sufficiently verifiable documentation could not be reliably assessed using the standardized governance framework and were therefore excluded from the final analytical sample.</w:t>
      </w:r>
    </w:p>
    <w:p w14:paraId="0037FC69" w14:textId="77777777" w:rsidR="000B6A05" w:rsidRPr="00AF0CC3" w:rsidRDefault="000B6A05" w:rsidP="000B6A05">
      <w:pPr>
        <w:spacing w:line="360" w:lineRule="auto"/>
        <w:rPr>
          <w:rFonts w:ascii="Times New Roman" w:hAnsi="Times New Roman" w:cs="Times New Roman"/>
          <w:color w:val="000000" w:themeColor="text1"/>
        </w:rPr>
      </w:pPr>
      <w:r w:rsidRPr="00AF0CC3">
        <w:rPr>
          <w:rFonts w:ascii="Times New Roman" w:hAnsi="Times New Roman" w:cs="Times New Roman"/>
          <w:color w:val="000000" w:themeColor="text1"/>
        </w:rPr>
        <w:t xml:space="preserve">An initial pool of 51 infrastructure projects was identified for potential analysis. During documentary review and governance coding, projects were assessed for the availability and consistency of records necessary for governance measurement. Consequently, 19 projects implemented by county governments following devolution reforms were excluded because the </w:t>
      </w:r>
      <w:r w:rsidRPr="00AF0CC3">
        <w:rPr>
          <w:rFonts w:ascii="Times New Roman" w:hAnsi="Times New Roman" w:cs="Times New Roman"/>
          <w:color w:val="000000" w:themeColor="text1"/>
        </w:rPr>
        <w:lastRenderedPageBreak/>
        <w:t>required documentary evidence was unavailable or inaccessible through reliable public sources. The final analytical sample, therefore, consisted of 32 projects with sufficiently verifiable documentation to support consistent governance assessment.</w:t>
      </w:r>
    </w:p>
    <w:p w14:paraId="7EDAF8EB" w14:textId="77777777" w:rsidR="000B6A05" w:rsidRPr="00AF0CC3" w:rsidRDefault="000B6A05" w:rsidP="000B6A05">
      <w:pPr>
        <w:spacing w:line="360" w:lineRule="auto"/>
        <w:rPr>
          <w:rFonts w:ascii="Times New Roman" w:hAnsi="Times New Roman" w:cs="Times New Roman"/>
          <w:color w:val="000000" w:themeColor="text1"/>
        </w:rPr>
      </w:pPr>
      <w:r w:rsidRPr="00AF0CC3">
        <w:rPr>
          <w:rFonts w:ascii="Times New Roman" w:hAnsi="Times New Roman" w:cs="Times New Roman"/>
          <w:color w:val="000000" w:themeColor="text1"/>
        </w:rPr>
        <w:t>Projects were selected according to the following criteria:</w:t>
      </w:r>
    </w:p>
    <w:p w14:paraId="318C5918" w14:textId="77777777" w:rsidR="000B6A05" w:rsidRPr="00AF0CC3" w:rsidRDefault="000B6A05" w:rsidP="000B6A05">
      <w:pPr>
        <w:pStyle w:val="ListParagraph"/>
        <w:numPr>
          <w:ilvl w:val="0"/>
          <w:numId w:val="19"/>
        </w:numPr>
        <w:spacing w:line="360" w:lineRule="auto"/>
        <w:rPr>
          <w:rFonts w:ascii="Times New Roman" w:hAnsi="Times New Roman" w:cs="Times New Roman"/>
          <w:color w:val="000000" w:themeColor="text1"/>
        </w:rPr>
      </w:pPr>
      <w:r w:rsidRPr="00AF0CC3">
        <w:rPr>
          <w:rFonts w:ascii="Times New Roman" w:hAnsi="Times New Roman" w:cs="Times New Roman"/>
          <w:color w:val="000000" w:themeColor="text1"/>
        </w:rPr>
        <w:t xml:space="preserve">Implementation within the study period. </w:t>
      </w:r>
    </w:p>
    <w:p w14:paraId="7042AA09" w14:textId="77777777" w:rsidR="000B6A05" w:rsidRPr="00AF0CC3" w:rsidRDefault="000B6A05" w:rsidP="000B6A05">
      <w:pPr>
        <w:pStyle w:val="ListParagraph"/>
        <w:numPr>
          <w:ilvl w:val="0"/>
          <w:numId w:val="19"/>
        </w:numPr>
        <w:spacing w:line="360" w:lineRule="auto"/>
        <w:rPr>
          <w:rFonts w:ascii="Times New Roman" w:hAnsi="Times New Roman" w:cs="Times New Roman"/>
          <w:color w:val="000000" w:themeColor="text1"/>
        </w:rPr>
      </w:pPr>
      <w:r w:rsidRPr="00AF0CC3">
        <w:rPr>
          <w:rFonts w:ascii="Times New Roman" w:hAnsi="Times New Roman" w:cs="Times New Roman"/>
          <w:color w:val="000000" w:themeColor="text1"/>
        </w:rPr>
        <w:t>Implementation by either the national or county governments.</w:t>
      </w:r>
    </w:p>
    <w:p w14:paraId="4881FD93" w14:textId="77777777" w:rsidR="000B6A05" w:rsidRPr="00AF0CC3" w:rsidRDefault="000B6A05" w:rsidP="000B6A05">
      <w:pPr>
        <w:pStyle w:val="ListParagraph"/>
        <w:numPr>
          <w:ilvl w:val="0"/>
          <w:numId w:val="19"/>
        </w:numPr>
        <w:spacing w:line="360" w:lineRule="auto"/>
        <w:rPr>
          <w:rFonts w:ascii="Times New Roman" w:hAnsi="Times New Roman" w:cs="Times New Roman"/>
          <w:color w:val="000000" w:themeColor="text1"/>
        </w:rPr>
      </w:pPr>
      <w:r w:rsidRPr="00AF0CC3">
        <w:rPr>
          <w:rFonts w:ascii="Times New Roman" w:hAnsi="Times New Roman" w:cs="Times New Roman"/>
          <w:color w:val="000000" w:themeColor="text1"/>
        </w:rPr>
        <w:t xml:space="preserve">Representation across major water infrastructure categories. </w:t>
      </w:r>
    </w:p>
    <w:p w14:paraId="3DE9D63B" w14:textId="77777777" w:rsidR="000B6A05" w:rsidRPr="00AF0CC3" w:rsidRDefault="000B6A05" w:rsidP="000B6A05">
      <w:pPr>
        <w:spacing w:line="360" w:lineRule="auto"/>
        <w:rPr>
          <w:rFonts w:ascii="Times New Roman" w:hAnsi="Times New Roman" w:cs="Times New Roman"/>
          <w:color w:val="000000" w:themeColor="text1"/>
        </w:rPr>
      </w:pPr>
      <w:r w:rsidRPr="00AF0CC3">
        <w:rPr>
          <w:rFonts w:ascii="Times New Roman" w:hAnsi="Times New Roman" w:cs="Times New Roman"/>
          <w:color w:val="000000" w:themeColor="text1"/>
        </w:rPr>
        <w:t xml:space="preserve">Availability of sufficiently verifiable documentation for Governance Quality Index measurement. </w:t>
      </w:r>
    </w:p>
    <w:p w14:paraId="4ECC6981" w14:textId="77777777" w:rsidR="000B6A05" w:rsidRPr="00AF0CC3" w:rsidRDefault="000B6A05" w:rsidP="000B6A05">
      <w:pPr>
        <w:spacing w:line="360" w:lineRule="auto"/>
        <w:rPr>
          <w:rFonts w:ascii="Times New Roman" w:hAnsi="Times New Roman" w:cs="Times New Roman"/>
          <w:color w:val="000000" w:themeColor="text1"/>
        </w:rPr>
      </w:pPr>
      <w:r w:rsidRPr="00AF0CC3">
        <w:rPr>
          <w:rFonts w:ascii="Times New Roman" w:hAnsi="Times New Roman" w:cs="Times New Roman"/>
          <w:color w:val="000000" w:themeColor="text1"/>
        </w:rPr>
        <w:t>The purposive sampling strategy ensured that the dataset contained sufficient variation in governance arrangements and infrastructure delivery outcomes to support comparative and econometric analysis.</w:t>
      </w:r>
    </w:p>
    <w:p w14:paraId="12F84C10" w14:textId="77777777" w:rsidR="000B6A05" w:rsidRPr="00AF0CC3" w:rsidRDefault="000B6A05" w:rsidP="000B6A05">
      <w:pPr>
        <w:spacing w:line="360" w:lineRule="auto"/>
        <w:rPr>
          <w:rFonts w:ascii="Times New Roman" w:hAnsi="Times New Roman" w:cs="Times New Roman"/>
          <w:color w:val="000000" w:themeColor="text1"/>
        </w:rPr>
      </w:pPr>
      <w:r w:rsidRPr="00AF0CC3">
        <w:rPr>
          <w:rFonts w:ascii="Times New Roman" w:hAnsi="Times New Roman" w:cs="Times New Roman"/>
          <w:color w:val="000000" w:themeColor="text1"/>
        </w:rPr>
        <w:t>The use of purposive sampling limits external validity. Since final analytical inclusion depended partly on documentary sufficiency, the sample should not be interpreted as statistically representative of all water infrastructure projects in Kenya. Projects with more accessible and comprehensive documentation may systematically differ from those with less documentation in ways related to governance quality, administrative capacity, donor oversight, or institutional transparency. This creates a potential risk of sample selection bias if governance quality is associated with the extent of documentation availability.</w:t>
      </w:r>
    </w:p>
    <w:p w14:paraId="5A8ABF41" w14:textId="77777777" w:rsidR="000B6A05" w:rsidRPr="00AF0CC3" w:rsidRDefault="000B6A05" w:rsidP="000B6A05">
      <w:pPr>
        <w:spacing w:line="360" w:lineRule="auto"/>
        <w:rPr>
          <w:rFonts w:ascii="Times New Roman" w:hAnsi="Times New Roman" w:cs="Times New Roman"/>
          <w:color w:val="000000" w:themeColor="text1"/>
        </w:rPr>
      </w:pPr>
      <w:r w:rsidRPr="00AF0CC3">
        <w:rPr>
          <w:rFonts w:ascii="Times New Roman" w:hAnsi="Times New Roman" w:cs="Times New Roman"/>
          <w:color w:val="000000" w:themeColor="text1"/>
        </w:rPr>
        <w:t>While the final analytical sample size (n = 32) limits statistical power and constrains broad statistical generalization, the study prioritizes measurement precision, documentary consistency, and theoretical coherence, aligning with project-level governance research that uses observational and documentary datasets.</w:t>
      </w:r>
    </w:p>
    <w:p w14:paraId="17D7F85B" w14:textId="77777777" w:rsidR="000B6A05" w:rsidRPr="00AF0CC3" w:rsidRDefault="000B6A05" w:rsidP="000B6A05">
      <w:pPr>
        <w:spacing w:line="360" w:lineRule="auto"/>
        <w:rPr>
          <w:rFonts w:ascii="Times New Roman" w:hAnsi="Times New Roman" w:cs="Times New Roman"/>
          <w:color w:val="000000" w:themeColor="text1"/>
        </w:rPr>
      </w:pPr>
      <w:r w:rsidRPr="00AF0CC3">
        <w:rPr>
          <w:rFonts w:ascii="Times New Roman" w:hAnsi="Times New Roman" w:cs="Times New Roman"/>
          <w:color w:val="000000" w:themeColor="text1"/>
        </w:rPr>
        <w:t xml:space="preserve">Accordingly, the study's findings are interpreted as analytically generalized to documented public water infrastructure projects, rather than as statistically representative estimates for the entire population of projects. Nevertheless, purposive sampling remains appropriate for observational governance research where measurement quality, theoretical relevance, and coding consistency are prioritized. As emphasized by King, Keohane, and Verba (1994), valid inference depends substantially on reliable and consistent measurement, while Shadish, Cook, and Campbell (2002) </w:t>
      </w:r>
      <w:r w:rsidRPr="00AF0CC3">
        <w:rPr>
          <w:rFonts w:ascii="Times New Roman" w:hAnsi="Times New Roman" w:cs="Times New Roman"/>
          <w:color w:val="000000" w:themeColor="text1"/>
        </w:rPr>
        <w:lastRenderedPageBreak/>
        <w:t>argue that credible causal inference in non-experimental settings can be strengthened through transparent treatment of validity limitations and careful research design.</w:t>
      </w:r>
    </w:p>
    <w:p w14:paraId="2B6EF53D" w14:textId="24DC5DDF" w:rsidR="00034460" w:rsidRPr="00AF0CC3" w:rsidRDefault="00034460" w:rsidP="00034460">
      <w:pPr>
        <w:pStyle w:val="Caption"/>
        <w:keepNext/>
        <w:rPr>
          <w:rFonts w:ascii="Times New Roman" w:hAnsi="Times New Roman" w:cs="Times New Roman"/>
          <w:sz w:val="24"/>
          <w:szCs w:val="24"/>
        </w:rPr>
      </w:pPr>
      <w:bookmarkStart w:id="268" w:name="_Toc234437367"/>
      <w:r w:rsidRPr="00AF0CC3">
        <w:rPr>
          <w:rFonts w:ascii="Times New Roman" w:hAnsi="Times New Roman" w:cs="Times New Roman"/>
          <w:sz w:val="24"/>
          <w:szCs w:val="24"/>
        </w:rPr>
        <w:t xml:space="preserve">Table </w:t>
      </w:r>
      <w:r w:rsidR="007F4206" w:rsidRPr="00AF0CC3">
        <w:rPr>
          <w:rFonts w:ascii="Times New Roman" w:hAnsi="Times New Roman" w:cs="Times New Roman"/>
          <w:sz w:val="24"/>
          <w:szCs w:val="24"/>
        </w:rPr>
        <w:fldChar w:fldCharType="begin"/>
      </w:r>
      <w:r w:rsidR="007F4206" w:rsidRPr="00AF0CC3">
        <w:rPr>
          <w:rFonts w:ascii="Times New Roman" w:hAnsi="Times New Roman" w:cs="Times New Roman"/>
          <w:sz w:val="24"/>
          <w:szCs w:val="24"/>
        </w:rPr>
        <w:instrText xml:space="preserve"> STYLEREF 1 \s </w:instrText>
      </w:r>
      <w:r w:rsidR="007F4206" w:rsidRPr="00AF0CC3">
        <w:rPr>
          <w:rFonts w:ascii="Times New Roman" w:hAnsi="Times New Roman" w:cs="Times New Roman"/>
          <w:sz w:val="24"/>
          <w:szCs w:val="24"/>
        </w:rPr>
        <w:fldChar w:fldCharType="separate"/>
      </w:r>
      <w:r w:rsidR="007F4206" w:rsidRPr="00AF0CC3">
        <w:rPr>
          <w:rFonts w:ascii="Times New Roman" w:hAnsi="Times New Roman" w:cs="Times New Roman"/>
          <w:noProof/>
          <w:sz w:val="24"/>
          <w:szCs w:val="24"/>
        </w:rPr>
        <w:t>3</w:t>
      </w:r>
      <w:r w:rsidR="007F4206" w:rsidRPr="00AF0CC3">
        <w:rPr>
          <w:rFonts w:ascii="Times New Roman" w:hAnsi="Times New Roman" w:cs="Times New Roman"/>
          <w:noProof/>
          <w:sz w:val="24"/>
          <w:szCs w:val="24"/>
        </w:rPr>
        <w:fldChar w:fldCharType="end"/>
      </w:r>
      <w:r w:rsidR="007F4206" w:rsidRPr="00AF0CC3">
        <w:rPr>
          <w:rFonts w:ascii="Times New Roman" w:hAnsi="Times New Roman" w:cs="Times New Roman"/>
          <w:sz w:val="24"/>
          <w:szCs w:val="24"/>
        </w:rPr>
        <w:noBreakHyphen/>
      </w:r>
      <w:r w:rsidR="007F4206" w:rsidRPr="00AF0CC3">
        <w:rPr>
          <w:rFonts w:ascii="Times New Roman" w:hAnsi="Times New Roman" w:cs="Times New Roman"/>
          <w:sz w:val="24"/>
          <w:szCs w:val="24"/>
        </w:rPr>
        <w:fldChar w:fldCharType="begin"/>
      </w:r>
      <w:r w:rsidR="007F4206" w:rsidRPr="00AF0CC3">
        <w:rPr>
          <w:rFonts w:ascii="Times New Roman" w:hAnsi="Times New Roman" w:cs="Times New Roman"/>
          <w:sz w:val="24"/>
          <w:szCs w:val="24"/>
        </w:rPr>
        <w:instrText xml:space="preserve"> SEQ Table \* ARABIC \s 1 </w:instrText>
      </w:r>
      <w:r w:rsidR="007F4206" w:rsidRPr="00AF0CC3">
        <w:rPr>
          <w:rFonts w:ascii="Times New Roman" w:hAnsi="Times New Roman" w:cs="Times New Roman"/>
          <w:sz w:val="24"/>
          <w:szCs w:val="24"/>
        </w:rPr>
        <w:fldChar w:fldCharType="separate"/>
      </w:r>
      <w:r w:rsidR="007F4206" w:rsidRPr="00AF0CC3">
        <w:rPr>
          <w:rFonts w:ascii="Times New Roman" w:hAnsi="Times New Roman" w:cs="Times New Roman"/>
          <w:noProof/>
          <w:sz w:val="24"/>
          <w:szCs w:val="24"/>
        </w:rPr>
        <w:t>4</w:t>
      </w:r>
      <w:r w:rsidR="007F4206" w:rsidRPr="00AF0CC3">
        <w:rPr>
          <w:rFonts w:ascii="Times New Roman" w:hAnsi="Times New Roman" w:cs="Times New Roman"/>
          <w:noProof/>
          <w:sz w:val="24"/>
          <w:szCs w:val="24"/>
        </w:rPr>
        <w:fldChar w:fldCharType="end"/>
      </w:r>
      <w:r w:rsidRPr="00AF0CC3">
        <w:rPr>
          <w:rFonts w:ascii="Times New Roman" w:hAnsi="Times New Roman" w:cs="Times New Roman"/>
          <w:sz w:val="24"/>
          <w:szCs w:val="24"/>
        </w:rPr>
        <w:t xml:space="preserve"> Project Sampling Criteria</w:t>
      </w:r>
      <w:bookmarkEnd w:id="268"/>
    </w:p>
    <w:tbl>
      <w:tblPr>
        <w:tblW w:w="0" w:type="auto"/>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2288"/>
        <w:gridCol w:w="6551"/>
      </w:tblGrid>
      <w:tr w:rsidR="000B6A05" w:rsidRPr="00AF0CC3" w14:paraId="2C54E512" w14:textId="77777777" w:rsidTr="00E73C98">
        <w:trPr>
          <w:tblHeader/>
          <w:tblCellSpacing w:w="15" w:type="dxa"/>
        </w:trPr>
        <w:tc>
          <w:tcPr>
            <w:tcW w:w="0" w:type="auto"/>
            <w:vAlign w:val="center"/>
            <w:hideMark/>
          </w:tcPr>
          <w:p w14:paraId="13284104" w14:textId="77777777" w:rsidR="000B6A05" w:rsidRPr="00AF0CC3" w:rsidRDefault="000B6A05" w:rsidP="00E73C98">
            <w:pPr>
              <w:spacing w:line="360" w:lineRule="auto"/>
              <w:rPr>
                <w:rFonts w:ascii="Times New Roman" w:hAnsi="Times New Roman" w:cs="Times New Roman"/>
                <w:b/>
                <w:bCs/>
                <w:color w:val="000000" w:themeColor="text1"/>
              </w:rPr>
            </w:pPr>
            <w:r w:rsidRPr="00AF0CC3">
              <w:rPr>
                <w:rFonts w:ascii="Times New Roman" w:hAnsi="Times New Roman" w:cs="Times New Roman"/>
                <w:b/>
                <w:bCs/>
                <w:color w:val="000000" w:themeColor="text1"/>
              </w:rPr>
              <w:t>Criterion</w:t>
            </w:r>
          </w:p>
        </w:tc>
        <w:tc>
          <w:tcPr>
            <w:tcW w:w="0" w:type="auto"/>
            <w:vAlign w:val="center"/>
            <w:hideMark/>
          </w:tcPr>
          <w:p w14:paraId="0A52FA31" w14:textId="77777777" w:rsidR="000B6A05" w:rsidRPr="00AF0CC3" w:rsidRDefault="000B6A05" w:rsidP="00E73C98">
            <w:pPr>
              <w:spacing w:line="360" w:lineRule="auto"/>
              <w:rPr>
                <w:rFonts w:ascii="Times New Roman" w:hAnsi="Times New Roman" w:cs="Times New Roman"/>
                <w:b/>
                <w:bCs/>
                <w:color w:val="000000" w:themeColor="text1"/>
              </w:rPr>
            </w:pPr>
            <w:r w:rsidRPr="00AF0CC3">
              <w:rPr>
                <w:rFonts w:ascii="Times New Roman" w:hAnsi="Times New Roman" w:cs="Times New Roman"/>
                <w:b/>
                <w:bCs/>
                <w:color w:val="000000" w:themeColor="text1"/>
              </w:rPr>
              <w:t>Description</w:t>
            </w:r>
          </w:p>
        </w:tc>
      </w:tr>
      <w:tr w:rsidR="000B6A05" w:rsidRPr="00AF0CC3" w14:paraId="0D3A9B14" w14:textId="77777777" w:rsidTr="00E73C98">
        <w:trPr>
          <w:tblCellSpacing w:w="15" w:type="dxa"/>
        </w:trPr>
        <w:tc>
          <w:tcPr>
            <w:tcW w:w="0" w:type="auto"/>
            <w:vAlign w:val="center"/>
            <w:hideMark/>
          </w:tcPr>
          <w:p w14:paraId="4FE4B104" w14:textId="77777777" w:rsidR="000B6A05" w:rsidRPr="00AF0CC3" w:rsidRDefault="000B6A05" w:rsidP="00E73C98">
            <w:pPr>
              <w:spacing w:line="360" w:lineRule="auto"/>
              <w:rPr>
                <w:rFonts w:ascii="Times New Roman" w:hAnsi="Times New Roman" w:cs="Times New Roman"/>
                <w:color w:val="000000" w:themeColor="text1"/>
              </w:rPr>
            </w:pPr>
            <w:r w:rsidRPr="00AF0CC3">
              <w:rPr>
                <w:rFonts w:ascii="Times New Roman" w:hAnsi="Times New Roman" w:cs="Times New Roman"/>
                <w:color w:val="000000" w:themeColor="text1"/>
              </w:rPr>
              <w:t>Implementation period</w:t>
            </w:r>
          </w:p>
        </w:tc>
        <w:tc>
          <w:tcPr>
            <w:tcW w:w="0" w:type="auto"/>
            <w:vAlign w:val="center"/>
            <w:hideMark/>
          </w:tcPr>
          <w:p w14:paraId="1367B940" w14:textId="77777777" w:rsidR="000B6A05" w:rsidRPr="00AF0CC3" w:rsidRDefault="000B6A05" w:rsidP="00E73C98">
            <w:pPr>
              <w:spacing w:line="360" w:lineRule="auto"/>
              <w:rPr>
                <w:rFonts w:ascii="Times New Roman" w:hAnsi="Times New Roman" w:cs="Times New Roman"/>
                <w:color w:val="000000" w:themeColor="text1"/>
              </w:rPr>
            </w:pPr>
            <w:r w:rsidRPr="00AF0CC3">
              <w:rPr>
                <w:rFonts w:ascii="Times New Roman" w:hAnsi="Times New Roman" w:cs="Times New Roman"/>
                <w:color w:val="000000" w:themeColor="text1"/>
              </w:rPr>
              <w:t>Projects implemented between 2005 and 2023</w:t>
            </w:r>
          </w:p>
        </w:tc>
      </w:tr>
      <w:tr w:rsidR="000B6A05" w:rsidRPr="00AF0CC3" w14:paraId="7E37643D" w14:textId="77777777" w:rsidTr="00E73C98">
        <w:trPr>
          <w:tblCellSpacing w:w="15" w:type="dxa"/>
        </w:trPr>
        <w:tc>
          <w:tcPr>
            <w:tcW w:w="0" w:type="auto"/>
            <w:vAlign w:val="center"/>
            <w:hideMark/>
          </w:tcPr>
          <w:p w14:paraId="1C5C050A" w14:textId="77777777" w:rsidR="000B6A05" w:rsidRPr="00AF0CC3" w:rsidRDefault="000B6A05" w:rsidP="00E73C98">
            <w:pPr>
              <w:spacing w:line="360" w:lineRule="auto"/>
              <w:rPr>
                <w:rFonts w:ascii="Times New Roman" w:hAnsi="Times New Roman" w:cs="Times New Roman"/>
                <w:color w:val="000000" w:themeColor="text1"/>
              </w:rPr>
            </w:pPr>
            <w:r w:rsidRPr="00AF0CC3">
              <w:rPr>
                <w:rFonts w:ascii="Times New Roman" w:hAnsi="Times New Roman" w:cs="Times New Roman"/>
                <w:color w:val="000000" w:themeColor="text1"/>
              </w:rPr>
              <w:t>Sector coverage</w:t>
            </w:r>
          </w:p>
        </w:tc>
        <w:tc>
          <w:tcPr>
            <w:tcW w:w="0" w:type="auto"/>
            <w:vAlign w:val="center"/>
            <w:hideMark/>
          </w:tcPr>
          <w:p w14:paraId="113A2202" w14:textId="77777777" w:rsidR="000B6A05" w:rsidRPr="00AF0CC3" w:rsidRDefault="000B6A05" w:rsidP="00E73C98">
            <w:pPr>
              <w:spacing w:line="360" w:lineRule="auto"/>
              <w:rPr>
                <w:rFonts w:ascii="Times New Roman" w:hAnsi="Times New Roman" w:cs="Times New Roman"/>
                <w:color w:val="000000" w:themeColor="text1"/>
              </w:rPr>
            </w:pPr>
            <w:r w:rsidRPr="00AF0CC3">
              <w:rPr>
                <w:rFonts w:ascii="Times New Roman" w:hAnsi="Times New Roman" w:cs="Times New Roman"/>
                <w:color w:val="000000" w:themeColor="text1"/>
              </w:rPr>
              <w:t>Urban water, rural water, wastewater, irrigation, flood management</w:t>
            </w:r>
          </w:p>
        </w:tc>
      </w:tr>
      <w:tr w:rsidR="000B6A05" w:rsidRPr="00AF0CC3" w14:paraId="0E8899CA" w14:textId="77777777" w:rsidTr="00E73C98">
        <w:trPr>
          <w:tblCellSpacing w:w="15" w:type="dxa"/>
        </w:trPr>
        <w:tc>
          <w:tcPr>
            <w:tcW w:w="0" w:type="auto"/>
            <w:vAlign w:val="center"/>
            <w:hideMark/>
          </w:tcPr>
          <w:p w14:paraId="2E0D7D3C" w14:textId="77777777" w:rsidR="000B6A05" w:rsidRPr="00AF0CC3" w:rsidRDefault="000B6A05" w:rsidP="00E73C98">
            <w:pPr>
              <w:spacing w:line="360" w:lineRule="auto"/>
              <w:rPr>
                <w:rFonts w:ascii="Times New Roman" w:hAnsi="Times New Roman" w:cs="Times New Roman"/>
                <w:color w:val="000000" w:themeColor="text1"/>
              </w:rPr>
            </w:pPr>
            <w:r w:rsidRPr="00AF0CC3">
              <w:rPr>
                <w:rFonts w:ascii="Times New Roman" w:hAnsi="Times New Roman" w:cs="Times New Roman"/>
                <w:color w:val="000000" w:themeColor="text1"/>
              </w:rPr>
              <w:t>Project status</w:t>
            </w:r>
          </w:p>
        </w:tc>
        <w:tc>
          <w:tcPr>
            <w:tcW w:w="0" w:type="auto"/>
            <w:vAlign w:val="center"/>
            <w:hideMark/>
          </w:tcPr>
          <w:p w14:paraId="568A310D" w14:textId="77777777" w:rsidR="000B6A05" w:rsidRPr="00AF0CC3" w:rsidRDefault="000B6A05" w:rsidP="00E73C98">
            <w:pPr>
              <w:spacing w:line="360" w:lineRule="auto"/>
              <w:rPr>
                <w:rFonts w:ascii="Times New Roman" w:hAnsi="Times New Roman" w:cs="Times New Roman"/>
                <w:color w:val="000000" w:themeColor="text1"/>
              </w:rPr>
            </w:pPr>
            <w:r w:rsidRPr="00AF0CC3">
              <w:rPr>
                <w:rFonts w:ascii="Times New Roman" w:hAnsi="Times New Roman" w:cs="Times New Roman"/>
                <w:color w:val="000000" w:themeColor="text1"/>
              </w:rPr>
              <w:t>Completed, ongoing, delayed, or stalled projects included</w:t>
            </w:r>
          </w:p>
        </w:tc>
      </w:tr>
    </w:tbl>
    <w:p w14:paraId="29809A99" w14:textId="77777777" w:rsidR="000B6A05" w:rsidRPr="00AF0CC3" w:rsidRDefault="000B6A05" w:rsidP="000B6A05">
      <w:pPr>
        <w:spacing w:line="360" w:lineRule="auto"/>
        <w:rPr>
          <w:rFonts w:ascii="Times New Roman" w:hAnsi="Times New Roman" w:cs="Times New Roman"/>
          <w:color w:val="000000" w:themeColor="text1"/>
        </w:rPr>
      </w:pPr>
    </w:p>
    <w:p w14:paraId="45B7AC9C" w14:textId="77777777" w:rsidR="000B6A05" w:rsidRPr="00AF0CC3" w:rsidRDefault="000B6A05" w:rsidP="000B6A05">
      <w:pPr>
        <w:spacing w:line="360" w:lineRule="auto"/>
        <w:rPr>
          <w:rFonts w:ascii="Times New Roman" w:hAnsi="Times New Roman" w:cs="Times New Roman"/>
          <w:color w:val="000000" w:themeColor="text1"/>
        </w:rPr>
      </w:pPr>
      <w:r w:rsidRPr="00AF0CC3">
        <w:rPr>
          <w:rFonts w:ascii="Times New Roman" w:hAnsi="Times New Roman" w:cs="Times New Roman"/>
          <w:color w:val="000000" w:themeColor="text1"/>
        </w:rPr>
        <w:t>Although the study focuses on Kenya’s water infrastructure sector, the findings may have broader analytical relevance for infrastructure governance in other low- and middle-income countries (LMICs) with similar institutional conditions, including large public infrastructure programs, procurement complexity, administrative fragmentation, and climate-related implementation vulnerabilities. Generalization should therefore be understood as analytical rather than statistical and is most applicable under comparable governance and institutional contexts.</w:t>
      </w:r>
    </w:p>
    <w:p w14:paraId="3265AC06" w14:textId="77777777" w:rsidR="000B6A05" w:rsidRPr="00AF0CC3" w:rsidRDefault="000B6A05" w:rsidP="000B6A05">
      <w:pPr>
        <w:spacing w:line="360" w:lineRule="auto"/>
        <w:rPr>
          <w:rFonts w:ascii="Times New Roman" w:hAnsi="Times New Roman" w:cs="Times New Roman"/>
          <w:color w:val="000000" w:themeColor="text1"/>
        </w:rPr>
      </w:pPr>
      <w:r w:rsidRPr="00AF0CC3">
        <w:rPr>
          <w:rFonts w:ascii="Times New Roman" w:hAnsi="Times New Roman" w:cs="Times New Roman"/>
          <w:color w:val="000000" w:themeColor="text1"/>
        </w:rPr>
        <w:t>The study therefore prioritizes theoretical and institutional explanations over statistical representativeness, consistent with comparative governance and infrastructure research that uses purposive, project-level case selection.</w:t>
      </w:r>
    </w:p>
    <w:p w14:paraId="46EA0050" w14:textId="77777777" w:rsidR="00163AC3" w:rsidRPr="00AF0CC3" w:rsidRDefault="00163AC3" w:rsidP="000B6A05">
      <w:pPr>
        <w:spacing w:line="360" w:lineRule="auto"/>
        <w:rPr>
          <w:rFonts w:ascii="Times New Roman" w:hAnsi="Times New Roman" w:cs="Times New Roman"/>
          <w:color w:val="000000" w:themeColor="text1"/>
        </w:rPr>
      </w:pPr>
    </w:p>
    <w:p w14:paraId="69402FDA" w14:textId="77777777" w:rsidR="00163AC3" w:rsidRPr="00AF0CC3" w:rsidRDefault="00163AC3" w:rsidP="000B6A05">
      <w:pPr>
        <w:spacing w:line="360" w:lineRule="auto"/>
        <w:rPr>
          <w:rFonts w:ascii="Times New Roman" w:hAnsi="Times New Roman" w:cs="Times New Roman"/>
          <w:color w:val="000000" w:themeColor="text1"/>
        </w:rPr>
      </w:pPr>
    </w:p>
    <w:p w14:paraId="308D5740" w14:textId="7586CC7F" w:rsidR="0084237A" w:rsidRPr="00AF0CC3" w:rsidRDefault="0084237A" w:rsidP="008A5815">
      <w:pPr>
        <w:pStyle w:val="Heading2"/>
        <w:rPr>
          <w:rFonts w:cs="Times New Roman"/>
          <w:color w:val="000000" w:themeColor="text1"/>
          <w:szCs w:val="24"/>
        </w:rPr>
      </w:pPr>
      <w:bookmarkStart w:id="269" w:name="_Toc234344820"/>
      <w:bookmarkStart w:id="270" w:name="_Toc234489052"/>
      <w:r w:rsidRPr="00AF0CC3">
        <w:rPr>
          <w:rFonts w:cs="Times New Roman"/>
          <w:color w:val="000000" w:themeColor="text1"/>
          <w:szCs w:val="24"/>
        </w:rPr>
        <w:t>Justification for Documentary Research</w:t>
      </w:r>
      <w:bookmarkEnd w:id="269"/>
      <w:bookmarkEnd w:id="270"/>
    </w:p>
    <w:p w14:paraId="395902C3" w14:textId="77777777" w:rsidR="0084237A" w:rsidRPr="00AF0CC3" w:rsidRDefault="0084237A" w:rsidP="0084237A">
      <w:pPr>
        <w:spacing w:line="360" w:lineRule="auto"/>
        <w:rPr>
          <w:rFonts w:ascii="Times New Roman" w:hAnsi="Times New Roman" w:cs="Times New Roman"/>
          <w:color w:val="000000" w:themeColor="text1"/>
        </w:rPr>
      </w:pPr>
    </w:p>
    <w:p w14:paraId="26CBC021" w14:textId="77777777" w:rsidR="0084237A" w:rsidRPr="00AF0CC3" w:rsidRDefault="0084237A" w:rsidP="0084237A">
      <w:pPr>
        <w:spacing w:line="360" w:lineRule="auto"/>
        <w:rPr>
          <w:rFonts w:ascii="Times New Roman" w:hAnsi="Times New Roman" w:cs="Times New Roman"/>
          <w:color w:val="000000" w:themeColor="text1"/>
        </w:rPr>
      </w:pPr>
      <w:r w:rsidRPr="00AF0CC3">
        <w:rPr>
          <w:rFonts w:ascii="Times New Roman" w:hAnsi="Times New Roman" w:cs="Times New Roman"/>
          <w:color w:val="000000" w:themeColor="text1"/>
        </w:rPr>
        <w:t xml:space="preserve">The choice of documentary analysis as the principal data collection strategy reflects both the nature of the research problem and the characteristics of infrastructure governance. Governance processes are primarily institutional in nature and are expressed through formal records generated during project planning, procurement, implementation, monitoring, auditing, and </w:t>
      </w:r>
      <w:r w:rsidRPr="00AF0CC3">
        <w:rPr>
          <w:rFonts w:ascii="Times New Roman" w:hAnsi="Times New Roman" w:cs="Times New Roman"/>
          <w:color w:val="000000" w:themeColor="text1"/>
        </w:rPr>
        <w:lastRenderedPageBreak/>
        <w:t>evaluation. Consequently, documentary evidence provides direct insight into how governance arrangements operate throughout the infrastructure lifecycle.</w:t>
      </w:r>
    </w:p>
    <w:p w14:paraId="71968681" w14:textId="77777777" w:rsidR="0084237A" w:rsidRPr="00AF0CC3" w:rsidRDefault="0084237A" w:rsidP="0084237A">
      <w:pPr>
        <w:spacing w:line="360" w:lineRule="auto"/>
        <w:rPr>
          <w:rFonts w:ascii="Times New Roman" w:hAnsi="Times New Roman" w:cs="Times New Roman"/>
          <w:color w:val="000000" w:themeColor="text1"/>
        </w:rPr>
      </w:pPr>
    </w:p>
    <w:p w14:paraId="36B2FEDF" w14:textId="4AEC6035" w:rsidR="0084237A" w:rsidRPr="00AF0CC3" w:rsidRDefault="0084237A" w:rsidP="0084237A">
      <w:pPr>
        <w:spacing w:line="360" w:lineRule="auto"/>
        <w:rPr>
          <w:rFonts w:ascii="Times New Roman" w:hAnsi="Times New Roman" w:cs="Times New Roman"/>
          <w:color w:val="000000" w:themeColor="text1"/>
        </w:rPr>
      </w:pPr>
      <w:r w:rsidRPr="00AF0CC3">
        <w:rPr>
          <w:rFonts w:ascii="Times New Roman" w:hAnsi="Times New Roman" w:cs="Times New Roman"/>
          <w:color w:val="000000" w:themeColor="text1"/>
        </w:rPr>
        <w:t xml:space="preserve">Unlike interview-based studies, documentary analysis enables researchers to examine governance decisions that have already been formally recorded rather than relying solely on participants' retrospective accounts or perceptions. Infrastructure projects typically generate extensive documentary evidence, including feasibility studies, procurement records, environmental and social impact assessments, project progress reports, audit reports, parliamentary committee reports, financial statements, completion reports, and official policy documents. Collectively, these records provide a comprehensive institutional history of project implementation and </w:t>
      </w:r>
      <w:r w:rsidR="00965570" w:rsidRPr="00AF0CC3">
        <w:rPr>
          <w:rFonts w:ascii="Times New Roman" w:hAnsi="Times New Roman" w:cs="Times New Roman"/>
          <w:color w:val="000000" w:themeColor="text1"/>
        </w:rPr>
        <w:t>enable consistent examination of governance processes</w:t>
      </w:r>
      <w:r w:rsidRPr="00AF0CC3">
        <w:rPr>
          <w:rFonts w:ascii="Times New Roman" w:hAnsi="Times New Roman" w:cs="Times New Roman"/>
          <w:color w:val="000000" w:themeColor="text1"/>
        </w:rPr>
        <w:t xml:space="preserve"> across multiple projects.</w:t>
      </w:r>
    </w:p>
    <w:p w14:paraId="0BE87C2B" w14:textId="77777777" w:rsidR="0084237A" w:rsidRPr="00AF0CC3" w:rsidRDefault="0084237A" w:rsidP="0084237A">
      <w:pPr>
        <w:spacing w:line="360" w:lineRule="auto"/>
        <w:rPr>
          <w:rFonts w:ascii="Times New Roman" w:hAnsi="Times New Roman" w:cs="Times New Roman"/>
          <w:color w:val="000000" w:themeColor="text1"/>
        </w:rPr>
      </w:pPr>
    </w:p>
    <w:p w14:paraId="70F03836" w14:textId="77777777" w:rsidR="0084237A" w:rsidRPr="00AF0CC3" w:rsidRDefault="0084237A" w:rsidP="0084237A">
      <w:pPr>
        <w:spacing w:line="360" w:lineRule="auto"/>
        <w:rPr>
          <w:rFonts w:ascii="Times New Roman" w:hAnsi="Times New Roman" w:cs="Times New Roman"/>
          <w:color w:val="000000" w:themeColor="text1"/>
        </w:rPr>
      </w:pPr>
      <w:r w:rsidRPr="00AF0CC3">
        <w:rPr>
          <w:rFonts w:ascii="Times New Roman" w:hAnsi="Times New Roman" w:cs="Times New Roman"/>
          <w:color w:val="000000" w:themeColor="text1"/>
        </w:rPr>
        <w:t>Documentary analysis also offers important methodological advantages for comparative governance research. Because all projects are assessed using the same documentary criteria, the approach promotes consistency in governance measurement while reducing the potential influence of interviewer bias or respondent recall bias. Furthermore, documentary evidence reflects governance decisions made during actual implementation rather than post hoc interpretations of those decisions.</w:t>
      </w:r>
    </w:p>
    <w:p w14:paraId="4AA97178" w14:textId="77777777" w:rsidR="0084237A" w:rsidRPr="00AF0CC3" w:rsidRDefault="0084237A" w:rsidP="0084237A">
      <w:pPr>
        <w:spacing w:line="360" w:lineRule="auto"/>
        <w:rPr>
          <w:rFonts w:ascii="Times New Roman" w:hAnsi="Times New Roman" w:cs="Times New Roman"/>
          <w:color w:val="000000" w:themeColor="text1"/>
        </w:rPr>
      </w:pPr>
    </w:p>
    <w:p w14:paraId="6172DA30" w14:textId="77777777" w:rsidR="0084237A" w:rsidRPr="00AF0CC3" w:rsidRDefault="0084237A" w:rsidP="0084237A">
      <w:pPr>
        <w:spacing w:line="360" w:lineRule="auto"/>
        <w:rPr>
          <w:rFonts w:ascii="Times New Roman" w:hAnsi="Times New Roman" w:cs="Times New Roman"/>
          <w:color w:val="000000" w:themeColor="text1"/>
        </w:rPr>
      </w:pPr>
      <w:r w:rsidRPr="00AF0CC3">
        <w:rPr>
          <w:rFonts w:ascii="Times New Roman" w:hAnsi="Times New Roman" w:cs="Times New Roman"/>
          <w:color w:val="000000" w:themeColor="text1"/>
        </w:rPr>
        <w:t>Nevertheless, documentary analysis also presents important limitations. Publicly available records may be incomplete, selectively reported, or vary in quality across institutions. Some governance processes may not be formally documented, while differences in documentation practices may reflect institutional capacity as much as governance performance itself. To reduce these limitations, the study employed documentary triangulation by drawing evidence from multiple independent sources wherever possible. Governance assessments were based on the convergence of documentary evidence rather than individual documents, thereby strengthening the credibility of governance scores assigned through the Governance Quality Index.</w:t>
      </w:r>
    </w:p>
    <w:p w14:paraId="0E295C3A" w14:textId="77777777" w:rsidR="0084237A" w:rsidRPr="00AF0CC3" w:rsidRDefault="0084237A" w:rsidP="0084237A">
      <w:pPr>
        <w:spacing w:line="360" w:lineRule="auto"/>
        <w:rPr>
          <w:rFonts w:ascii="Times New Roman" w:hAnsi="Times New Roman" w:cs="Times New Roman"/>
          <w:color w:val="000000" w:themeColor="text1"/>
        </w:rPr>
      </w:pPr>
    </w:p>
    <w:p w14:paraId="70CC6D95" w14:textId="63C3C90D" w:rsidR="00163AC3" w:rsidRPr="00AF0CC3" w:rsidRDefault="0084237A" w:rsidP="0084237A">
      <w:pPr>
        <w:spacing w:line="360" w:lineRule="auto"/>
        <w:rPr>
          <w:rFonts w:ascii="Times New Roman" w:hAnsi="Times New Roman" w:cs="Times New Roman"/>
          <w:color w:val="000000" w:themeColor="text1"/>
        </w:rPr>
      </w:pPr>
      <w:r w:rsidRPr="00AF0CC3">
        <w:rPr>
          <w:rFonts w:ascii="Times New Roman" w:hAnsi="Times New Roman" w:cs="Times New Roman"/>
          <w:color w:val="000000" w:themeColor="text1"/>
        </w:rPr>
        <w:t>The use of documentary analysis is therefore considered appropriate because it provides a systematic, transparent, and replicable approach to assessing governance quality while remaining closely aligned with the institutional nature of infrastructure governance.</w:t>
      </w:r>
    </w:p>
    <w:p w14:paraId="0185235F" w14:textId="77777777" w:rsidR="000B6A05" w:rsidRPr="00AF0CC3" w:rsidRDefault="000B6A05" w:rsidP="000B6A05">
      <w:pPr>
        <w:spacing w:line="360" w:lineRule="auto"/>
        <w:rPr>
          <w:rFonts w:ascii="Times New Roman" w:hAnsi="Times New Roman" w:cs="Times New Roman"/>
          <w:color w:val="000000" w:themeColor="text1"/>
        </w:rPr>
      </w:pPr>
    </w:p>
    <w:p w14:paraId="6BAAA809" w14:textId="5B360A3B" w:rsidR="000B6A05" w:rsidRPr="00AF0CC3" w:rsidRDefault="000B6A05" w:rsidP="008A5815">
      <w:pPr>
        <w:pStyle w:val="Heading2"/>
        <w:rPr>
          <w:rFonts w:cs="Times New Roman"/>
          <w:color w:val="000000" w:themeColor="text1"/>
          <w:szCs w:val="24"/>
        </w:rPr>
      </w:pPr>
      <w:bookmarkStart w:id="271" w:name="_Toc230209542"/>
      <w:bookmarkStart w:id="272" w:name="_Toc234344821"/>
      <w:bookmarkStart w:id="273" w:name="_Toc234489053"/>
      <w:r w:rsidRPr="00AF0CC3">
        <w:rPr>
          <w:rFonts w:cs="Times New Roman"/>
          <w:color w:val="000000" w:themeColor="text1"/>
          <w:szCs w:val="24"/>
        </w:rPr>
        <w:t>Data Sources</w:t>
      </w:r>
      <w:bookmarkEnd w:id="271"/>
      <w:bookmarkEnd w:id="272"/>
      <w:bookmarkEnd w:id="273"/>
    </w:p>
    <w:p w14:paraId="0CFD47C7" w14:textId="77777777" w:rsidR="000B6A05" w:rsidRPr="00AF0CC3" w:rsidRDefault="000B6A05" w:rsidP="000B6A05">
      <w:pPr>
        <w:spacing w:line="360" w:lineRule="auto"/>
        <w:rPr>
          <w:rFonts w:ascii="Times New Roman" w:hAnsi="Times New Roman" w:cs="Times New Roman"/>
          <w:color w:val="000000" w:themeColor="text1"/>
        </w:rPr>
      </w:pPr>
      <w:r w:rsidRPr="00AF0CC3">
        <w:rPr>
          <w:rFonts w:ascii="Times New Roman" w:hAnsi="Times New Roman" w:cs="Times New Roman"/>
          <w:color w:val="000000" w:themeColor="text1"/>
        </w:rPr>
        <w:t>This section explains the data sources and coding procedures used to create a consistent and comparable project-level dataset.</w:t>
      </w:r>
    </w:p>
    <w:p w14:paraId="6BB74886" w14:textId="77777777" w:rsidR="000B6A05" w:rsidRPr="00AF0CC3" w:rsidRDefault="000B6A05" w:rsidP="000B6A05">
      <w:pPr>
        <w:spacing w:line="360" w:lineRule="auto"/>
        <w:rPr>
          <w:rFonts w:ascii="Times New Roman" w:hAnsi="Times New Roman" w:cs="Times New Roman"/>
          <w:color w:val="000000" w:themeColor="text1"/>
        </w:rPr>
      </w:pPr>
      <w:r w:rsidRPr="00AF0CC3">
        <w:rPr>
          <w:rFonts w:ascii="Times New Roman" w:hAnsi="Times New Roman" w:cs="Times New Roman"/>
          <w:color w:val="000000" w:themeColor="text1"/>
        </w:rPr>
        <w:t>The study relies primarily on documentary data sources. These include:</w:t>
      </w:r>
    </w:p>
    <w:p w14:paraId="71663576" w14:textId="77777777" w:rsidR="000B6A05" w:rsidRPr="00AF0CC3" w:rsidRDefault="000B6A05" w:rsidP="000B6A05">
      <w:pPr>
        <w:pStyle w:val="ListParagraph"/>
        <w:numPr>
          <w:ilvl w:val="0"/>
          <w:numId w:val="7"/>
        </w:numPr>
        <w:spacing w:line="360" w:lineRule="auto"/>
        <w:rPr>
          <w:rFonts w:ascii="Times New Roman" w:hAnsi="Times New Roman" w:cs="Times New Roman"/>
          <w:color w:val="000000" w:themeColor="text1"/>
        </w:rPr>
      </w:pPr>
      <w:r w:rsidRPr="00AF0CC3">
        <w:rPr>
          <w:rFonts w:ascii="Times New Roman" w:hAnsi="Times New Roman" w:cs="Times New Roman"/>
          <w:color w:val="000000" w:themeColor="text1"/>
        </w:rPr>
        <w:t>Government project databases</w:t>
      </w:r>
    </w:p>
    <w:p w14:paraId="791DE893" w14:textId="77777777" w:rsidR="000B6A05" w:rsidRPr="00AF0CC3" w:rsidRDefault="000B6A05" w:rsidP="000B6A05">
      <w:pPr>
        <w:spacing w:line="360" w:lineRule="auto"/>
        <w:rPr>
          <w:rFonts w:ascii="Times New Roman" w:hAnsi="Times New Roman" w:cs="Times New Roman"/>
          <w:color w:val="000000" w:themeColor="text1"/>
        </w:rPr>
      </w:pPr>
    </w:p>
    <w:p w14:paraId="0B704139" w14:textId="77777777" w:rsidR="000B6A05" w:rsidRPr="00AF0CC3" w:rsidRDefault="000B6A05" w:rsidP="000B6A05">
      <w:pPr>
        <w:pStyle w:val="ListParagraph"/>
        <w:numPr>
          <w:ilvl w:val="0"/>
          <w:numId w:val="7"/>
        </w:numPr>
        <w:spacing w:line="360" w:lineRule="auto"/>
        <w:rPr>
          <w:rFonts w:ascii="Times New Roman" w:hAnsi="Times New Roman" w:cs="Times New Roman"/>
          <w:color w:val="000000" w:themeColor="text1"/>
        </w:rPr>
      </w:pPr>
      <w:r w:rsidRPr="00AF0CC3">
        <w:rPr>
          <w:rFonts w:ascii="Times New Roman" w:hAnsi="Times New Roman" w:cs="Times New Roman"/>
          <w:color w:val="000000" w:themeColor="text1"/>
        </w:rPr>
        <w:t>Auditor-General reports</w:t>
      </w:r>
    </w:p>
    <w:p w14:paraId="6C82D7E2" w14:textId="77777777" w:rsidR="000B6A05" w:rsidRPr="00AF0CC3" w:rsidRDefault="000B6A05" w:rsidP="000B6A05">
      <w:pPr>
        <w:spacing w:line="360" w:lineRule="auto"/>
        <w:rPr>
          <w:rFonts w:ascii="Times New Roman" w:hAnsi="Times New Roman" w:cs="Times New Roman"/>
          <w:color w:val="000000" w:themeColor="text1"/>
        </w:rPr>
      </w:pPr>
    </w:p>
    <w:p w14:paraId="72A0F16F" w14:textId="77777777" w:rsidR="000B6A05" w:rsidRPr="00AF0CC3" w:rsidRDefault="000B6A05" w:rsidP="000B6A05">
      <w:pPr>
        <w:pStyle w:val="ListParagraph"/>
        <w:numPr>
          <w:ilvl w:val="0"/>
          <w:numId w:val="7"/>
        </w:numPr>
        <w:spacing w:line="360" w:lineRule="auto"/>
        <w:rPr>
          <w:rFonts w:ascii="Times New Roman" w:hAnsi="Times New Roman" w:cs="Times New Roman"/>
          <w:color w:val="000000" w:themeColor="text1"/>
        </w:rPr>
      </w:pPr>
      <w:r w:rsidRPr="00AF0CC3">
        <w:rPr>
          <w:rFonts w:ascii="Times New Roman" w:hAnsi="Times New Roman" w:cs="Times New Roman"/>
          <w:color w:val="000000" w:themeColor="text1"/>
        </w:rPr>
        <w:t>Development partner project appraisal documents</w:t>
      </w:r>
    </w:p>
    <w:p w14:paraId="235B24BD" w14:textId="77777777" w:rsidR="000B6A05" w:rsidRPr="00AF0CC3" w:rsidRDefault="000B6A05" w:rsidP="000B6A05">
      <w:pPr>
        <w:spacing w:line="360" w:lineRule="auto"/>
        <w:rPr>
          <w:rFonts w:ascii="Times New Roman" w:hAnsi="Times New Roman" w:cs="Times New Roman"/>
          <w:color w:val="000000" w:themeColor="text1"/>
        </w:rPr>
      </w:pPr>
    </w:p>
    <w:p w14:paraId="7A9D3269" w14:textId="77777777" w:rsidR="000B6A05" w:rsidRPr="00AF0CC3" w:rsidRDefault="000B6A05" w:rsidP="000B6A05">
      <w:pPr>
        <w:pStyle w:val="ListParagraph"/>
        <w:numPr>
          <w:ilvl w:val="0"/>
          <w:numId w:val="7"/>
        </w:numPr>
        <w:spacing w:line="360" w:lineRule="auto"/>
        <w:rPr>
          <w:rFonts w:ascii="Times New Roman" w:hAnsi="Times New Roman" w:cs="Times New Roman"/>
          <w:color w:val="000000" w:themeColor="text1"/>
        </w:rPr>
      </w:pPr>
      <w:r w:rsidRPr="00AF0CC3">
        <w:rPr>
          <w:rFonts w:ascii="Times New Roman" w:hAnsi="Times New Roman" w:cs="Times New Roman"/>
          <w:color w:val="000000" w:themeColor="text1"/>
        </w:rPr>
        <w:t>Infrastructure supervision reports</w:t>
      </w:r>
    </w:p>
    <w:p w14:paraId="7BA3D87B" w14:textId="77777777" w:rsidR="000B6A05" w:rsidRPr="00AF0CC3" w:rsidRDefault="000B6A05" w:rsidP="000B6A05">
      <w:pPr>
        <w:spacing w:line="360" w:lineRule="auto"/>
        <w:rPr>
          <w:rFonts w:ascii="Times New Roman" w:hAnsi="Times New Roman" w:cs="Times New Roman"/>
          <w:color w:val="000000" w:themeColor="text1"/>
        </w:rPr>
      </w:pPr>
    </w:p>
    <w:p w14:paraId="57B4EE14" w14:textId="77777777" w:rsidR="000B6A05" w:rsidRPr="00AF0CC3" w:rsidRDefault="000B6A05" w:rsidP="000B6A05">
      <w:pPr>
        <w:pStyle w:val="ListParagraph"/>
        <w:numPr>
          <w:ilvl w:val="0"/>
          <w:numId w:val="7"/>
        </w:numPr>
        <w:spacing w:line="360" w:lineRule="auto"/>
        <w:rPr>
          <w:rFonts w:ascii="Times New Roman" w:hAnsi="Times New Roman" w:cs="Times New Roman"/>
          <w:color w:val="000000" w:themeColor="text1"/>
        </w:rPr>
      </w:pPr>
      <w:r w:rsidRPr="00AF0CC3">
        <w:rPr>
          <w:rFonts w:ascii="Times New Roman" w:hAnsi="Times New Roman" w:cs="Times New Roman"/>
          <w:color w:val="000000" w:themeColor="text1"/>
        </w:rPr>
        <w:t>Ministry of Water project implementation records</w:t>
      </w:r>
    </w:p>
    <w:p w14:paraId="531E57CC" w14:textId="77777777" w:rsidR="000B6A05" w:rsidRPr="00AF0CC3" w:rsidRDefault="000B6A05" w:rsidP="000B6A05">
      <w:pPr>
        <w:spacing w:line="360" w:lineRule="auto"/>
        <w:rPr>
          <w:rFonts w:ascii="Times New Roman" w:hAnsi="Times New Roman" w:cs="Times New Roman"/>
          <w:color w:val="000000" w:themeColor="text1"/>
        </w:rPr>
      </w:pPr>
    </w:p>
    <w:p w14:paraId="4E1B017A" w14:textId="77777777" w:rsidR="000B6A05" w:rsidRPr="00AF0CC3" w:rsidRDefault="000B6A05" w:rsidP="000B6A05">
      <w:pPr>
        <w:spacing w:line="360" w:lineRule="auto"/>
        <w:rPr>
          <w:rFonts w:ascii="Times New Roman" w:hAnsi="Times New Roman" w:cs="Times New Roman"/>
          <w:color w:val="000000" w:themeColor="text1"/>
        </w:rPr>
      </w:pPr>
      <w:r w:rsidRPr="00AF0CC3">
        <w:rPr>
          <w:rFonts w:ascii="Times New Roman" w:hAnsi="Times New Roman" w:cs="Times New Roman"/>
          <w:color w:val="000000" w:themeColor="text1"/>
        </w:rPr>
        <w:t>These sources provide detailed information on project governance practices and their implementation. Using multiple documentary sources helps the study cross-check governance indicators and minimizes measurement bias.</w:t>
      </w:r>
    </w:p>
    <w:p w14:paraId="7D149363" w14:textId="77777777" w:rsidR="000B6A05" w:rsidRPr="00AF0CC3" w:rsidRDefault="000B6A05" w:rsidP="000B6A05">
      <w:pPr>
        <w:spacing w:line="360" w:lineRule="auto"/>
        <w:rPr>
          <w:rFonts w:ascii="Times New Roman" w:hAnsi="Times New Roman" w:cs="Times New Roman"/>
          <w:color w:val="000000" w:themeColor="text1"/>
        </w:rPr>
      </w:pPr>
      <w:r w:rsidRPr="00AF0CC3">
        <w:rPr>
          <w:rFonts w:ascii="Times New Roman" w:hAnsi="Times New Roman" w:cs="Times New Roman"/>
          <w:color w:val="000000" w:themeColor="text1"/>
        </w:rPr>
        <w:t>Projects like the Thwake Dam and the Northern Collector Tunnel provide detailed documentation to support governance coding.</w:t>
      </w:r>
    </w:p>
    <w:p w14:paraId="196736A7" w14:textId="26248BF3" w:rsidR="000B6A05" w:rsidRPr="00AF0CC3" w:rsidRDefault="000B6A05" w:rsidP="000B6A05">
      <w:pPr>
        <w:spacing w:line="360" w:lineRule="auto"/>
        <w:rPr>
          <w:rFonts w:ascii="Times New Roman" w:hAnsi="Times New Roman" w:cs="Times New Roman"/>
          <w:color w:val="000000" w:themeColor="text1"/>
        </w:rPr>
      </w:pPr>
      <w:r w:rsidRPr="00AF0CC3">
        <w:rPr>
          <w:rFonts w:ascii="Times New Roman" w:hAnsi="Times New Roman" w:cs="Times New Roman"/>
          <w:color w:val="000000" w:themeColor="text1"/>
        </w:rPr>
        <w:lastRenderedPageBreak/>
        <w:t>The sources for the project dataset are summarized in Table 3</w:t>
      </w:r>
      <w:r w:rsidR="004A2D6B" w:rsidRPr="00AF0CC3">
        <w:rPr>
          <w:rFonts w:ascii="Times New Roman" w:hAnsi="Times New Roman" w:cs="Times New Roman"/>
          <w:color w:val="000000" w:themeColor="text1"/>
        </w:rPr>
        <w:t>-</w:t>
      </w:r>
      <w:r w:rsidRPr="00AF0CC3">
        <w:rPr>
          <w:rFonts w:ascii="Times New Roman" w:hAnsi="Times New Roman" w:cs="Times New Roman"/>
          <w:color w:val="000000" w:themeColor="text1"/>
        </w:rPr>
        <w:t>5. The table highlights key institutional reports and documentation used to collect project details, financial data, and implementation results for each infrastructure project included in the study.</w:t>
      </w:r>
    </w:p>
    <w:p w14:paraId="084B7C27" w14:textId="603F9F8E" w:rsidR="004A2D6B" w:rsidRPr="00AF0CC3" w:rsidRDefault="004A2D6B" w:rsidP="004A2D6B">
      <w:pPr>
        <w:pStyle w:val="Caption"/>
        <w:keepNext/>
        <w:rPr>
          <w:rFonts w:ascii="Times New Roman" w:hAnsi="Times New Roman" w:cs="Times New Roman"/>
          <w:sz w:val="24"/>
          <w:szCs w:val="24"/>
        </w:rPr>
      </w:pPr>
      <w:bookmarkStart w:id="274" w:name="_Toc234437368"/>
      <w:r w:rsidRPr="00AF0CC3">
        <w:rPr>
          <w:rFonts w:ascii="Times New Roman" w:hAnsi="Times New Roman" w:cs="Times New Roman"/>
          <w:sz w:val="24"/>
          <w:szCs w:val="24"/>
        </w:rPr>
        <w:t xml:space="preserve">Table </w:t>
      </w:r>
      <w:r w:rsidR="007F4206" w:rsidRPr="00AF0CC3">
        <w:rPr>
          <w:rFonts w:ascii="Times New Roman" w:hAnsi="Times New Roman" w:cs="Times New Roman"/>
          <w:sz w:val="24"/>
          <w:szCs w:val="24"/>
        </w:rPr>
        <w:fldChar w:fldCharType="begin"/>
      </w:r>
      <w:r w:rsidR="007F4206" w:rsidRPr="00AF0CC3">
        <w:rPr>
          <w:rFonts w:ascii="Times New Roman" w:hAnsi="Times New Roman" w:cs="Times New Roman"/>
          <w:sz w:val="24"/>
          <w:szCs w:val="24"/>
        </w:rPr>
        <w:instrText xml:space="preserve"> STYLEREF 1 \s </w:instrText>
      </w:r>
      <w:r w:rsidR="007F4206" w:rsidRPr="00AF0CC3">
        <w:rPr>
          <w:rFonts w:ascii="Times New Roman" w:hAnsi="Times New Roman" w:cs="Times New Roman"/>
          <w:sz w:val="24"/>
          <w:szCs w:val="24"/>
        </w:rPr>
        <w:fldChar w:fldCharType="separate"/>
      </w:r>
      <w:r w:rsidR="007F4206" w:rsidRPr="00AF0CC3">
        <w:rPr>
          <w:rFonts w:ascii="Times New Roman" w:hAnsi="Times New Roman" w:cs="Times New Roman"/>
          <w:noProof/>
          <w:sz w:val="24"/>
          <w:szCs w:val="24"/>
        </w:rPr>
        <w:t>3</w:t>
      </w:r>
      <w:r w:rsidR="007F4206" w:rsidRPr="00AF0CC3">
        <w:rPr>
          <w:rFonts w:ascii="Times New Roman" w:hAnsi="Times New Roman" w:cs="Times New Roman"/>
          <w:noProof/>
          <w:sz w:val="24"/>
          <w:szCs w:val="24"/>
        </w:rPr>
        <w:fldChar w:fldCharType="end"/>
      </w:r>
      <w:r w:rsidR="007F4206" w:rsidRPr="00AF0CC3">
        <w:rPr>
          <w:rFonts w:ascii="Times New Roman" w:hAnsi="Times New Roman" w:cs="Times New Roman"/>
          <w:sz w:val="24"/>
          <w:szCs w:val="24"/>
        </w:rPr>
        <w:noBreakHyphen/>
      </w:r>
      <w:r w:rsidR="007F4206" w:rsidRPr="00AF0CC3">
        <w:rPr>
          <w:rFonts w:ascii="Times New Roman" w:hAnsi="Times New Roman" w:cs="Times New Roman"/>
          <w:sz w:val="24"/>
          <w:szCs w:val="24"/>
        </w:rPr>
        <w:fldChar w:fldCharType="begin"/>
      </w:r>
      <w:r w:rsidR="007F4206" w:rsidRPr="00AF0CC3">
        <w:rPr>
          <w:rFonts w:ascii="Times New Roman" w:hAnsi="Times New Roman" w:cs="Times New Roman"/>
          <w:sz w:val="24"/>
          <w:szCs w:val="24"/>
        </w:rPr>
        <w:instrText xml:space="preserve"> SEQ Table \* ARABIC \s 1 </w:instrText>
      </w:r>
      <w:r w:rsidR="007F4206" w:rsidRPr="00AF0CC3">
        <w:rPr>
          <w:rFonts w:ascii="Times New Roman" w:hAnsi="Times New Roman" w:cs="Times New Roman"/>
          <w:sz w:val="24"/>
          <w:szCs w:val="24"/>
        </w:rPr>
        <w:fldChar w:fldCharType="separate"/>
      </w:r>
      <w:r w:rsidR="007F4206" w:rsidRPr="00AF0CC3">
        <w:rPr>
          <w:rFonts w:ascii="Times New Roman" w:hAnsi="Times New Roman" w:cs="Times New Roman"/>
          <w:noProof/>
          <w:sz w:val="24"/>
          <w:szCs w:val="24"/>
        </w:rPr>
        <w:t>5</w:t>
      </w:r>
      <w:r w:rsidR="007F4206" w:rsidRPr="00AF0CC3">
        <w:rPr>
          <w:rFonts w:ascii="Times New Roman" w:hAnsi="Times New Roman" w:cs="Times New Roman"/>
          <w:noProof/>
          <w:sz w:val="24"/>
          <w:szCs w:val="24"/>
        </w:rPr>
        <w:fldChar w:fldCharType="end"/>
      </w:r>
      <w:r w:rsidRPr="00AF0CC3">
        <w:rPr>
          <w:rFonts w:ascii="Times New Roman" w:hAnsi="Times New Roman" w:cs="Times New Roman"/>
          <w:sz w:val="24"/>
          <w:szCs w:val="24"/>
        </w:rPr>
        <w:t xml:space="preserve"> Project Data Collection Sources</w:t>
      </w:r>
      <w:bookmarkEnd w:id="274"/>
    </w:p>
    <w:tbl>
      <w:tblPr>
        <w:tblW w:w="0" w:type="auto"/>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2805"/>
        <w:gridCol w:w="1925"/>
        <w:gridCol w:w="4620"/>
      </w:tblGrid>
      <w:tr w:rsidR="000B6A05" w:rsidRPr="00AF0CC3" w14:paraId="16547B58" w14:textId="77777777" w:rsidTr="00E73C98">
        <w:trPr>
          <w:tblHeader/>
          <w:tblCellSpacing w:w="15" w:type="dxa"/>
        </w:trPr>
        <w:tc>
          <w:tcPr>
            <w:tcW w:w="0" w:type="auto"/>
            <w:vAlign w:val="center"/>
            <w:hideMark/>
          </w:tcPr>
          <w:p w14:paraId="00335627" w14:textId="77777777" w:rsidR="000B6A05" w:rsidRPr="00AF0CC3" w:rsidRDefault="000B6A05" w:rsidP="00E73C98">
            <w:pPr>
              <w:spacing w:after="0" w:line="360" w:lineRule="auto"/>
              <w:jc w:val="center"/>
              <w:rPr>
                <w:rFonts w:ascii="Times New Roman" w:eastAsia="Times New Roman" w:hAnsi="Times New Roman" w:cs="Times New Roman"/>
                <w:b/>
                <w:bCs/>
                <w:color w:val="000000" w:themeColor="text1"/>
                <w:kern w:val="0"/>
                <w14:ligatures w14:val="none"/>
              </w:rPr>
            </w:pPr>
            <w:r w:rsidRPr="00AF0CC3">
              <w:rPr>
                <w:rFonts w:ascii="Times New Roman" w:eastAsia="Times New Roman" w:hAnsi="Times New Roman" w:cs="Times New Roman"/>
                <w:b/>
                <w:bCs/>
                <w:color w:val="000000" w:themeColor="text1"/>
                <w:kern w:val="0"/>
                <w14:ligatures w14:val="none"/>
              </w:rPr>
              <w:t>Project</w:t>
            </w:r>
          </w:p>
        </w:tc>
        <w:tc>
          <w:tcPr>
            <w:tcW w:w="0" w:type="auto"/>
            <w:vAlign w:val="center"/>
            <w:hideMark/>
          </w:tcPr>
          <w:p w14:paraId="4C7CC3CD" w14:textId="77777777" w:rsidR="000B6A05" w:rsidRPr="00AF0CC3" w:rsidRDefault="000B6A05" w:rsidP="00E73C98">
            <w:pPr>
              <w:spacing w:after="0" w:line="360" w:lineRule="auto"/>
              <w:jc w:val="center"/>
              <w:rPr>
                <w:rFonts w:ascii="Times New Roman" w:eastAsia="Times New Roman" w:hAnsi="Times New Roman" w:cs="Times New Roman"/>
                <w:b/>
                <w:bCs/>
                <w:color w:val="000000" w:themeColor="text1"/>
                <w:kern w:val="0"/>
                <w14:ligatures w14:val="none"/>
              </w:rPr>
            </w:pPr>
            <w:r w:rsidRPr="00AF0CC3">
              <w:rPr>
                <w:rFonts w:ascii="Times New Roman" w:eastAsia="Times New Roman" w:hAnsi="Times New Roman" w:cs="Times New Roman"/>
                <w:b/>
                <w:bCs/>
                <w:color w:val="000000" w:themeColor="text1"/>
                <w:kern w:val="0"/>
                <w14:ligatures w14:val="none"/>
              </w:rPr>
              <w:t>Sector</w:t>
            </w:r>
          </w:p>
        </w:tc>
        <w:tc>
          <w:tcPr>
            <w:tcW w:w="0" w:type="auto"/>
            <w:vAlign w:val="center"/>
            <w:hideMark/>
          </w:tcPr>
          <w:p w14:paraId="69705AB3" w14:textId="77777777" w:rsidR="000B6A05" w:rsidRPr="00AF0CC3" w:rsidRDefault="000B6A05" w:rsidP="00E73C98">
            <w:pPr>
              <w:spacing w:after="0" w:line="360" w:lineRule="auto"/>
              <w:jc w:val="center"/>
              <w:rPr>
                <w:rFonts w:ascii="Times New Roman" w:eastAsia="Times New Roman" w:hAnsi="Times New Roman" w:cs="Times New Roman"/>
                <w:b/>
                <w:bCs/>
                <w:color w:val="000000" w:themeColor="text1"/>
                <w:kern w:val="0"/>
                <w14:ligatures w14:val="none"/>
              </w:rPr>
            </w:pPr>
            <w:r w:rsidRPr="00AF0CC3">
              <w:rPr>
                <w:rFonts w:ascii="Times New Roman" w:eastAsia="Times New Roman" w:hAnsi="Times New Roman" w:cs="Times New Roman"/>
                <w:b/>
                <w:bCs/>
                <w:color w:val="000000" w:themeColor="text1"/>
                <w:kern w:val="0"/>
                <w14:ligatures w14:val="none"/>
              </w:rPr>
              <w:t>Key Data Sources</w:t>
            </w:r>
          </w:p>
        </w:tc>
      </w:tr>
      <w:tr w:rsidR="000B6A05" w:rsidRPr="00AF0CC3" w14:paraId="3EE0C429" w14:textId="77777777" w:rsidTr="00E73C98">
        <w:trPr>
          <w:tblCellSpacing w:w="15" w:type="dxa"/>
        </w:trPr>
        <w:tc>
          <w:tcPr>
            <w:tcW w:w="0" w:type="auto"/>
            <w:vAlign w:val="center"/>
            <w:hideMark/>
          </w:tcPr>
          <w:p w14:paraId="420C8B2D" w14:textId="77777777" w:rsidR="000B6A05" w:rsidRPr="00AF0CC3" w:rsidRDefault="000B6A05" w:rsidP="00E73C98">
            <w:pPr>
              <w:spacing w:after="0" w:line="360" w:lineRule="auto"/>
              <w:rPr>
                <w:rFonts w:ascii="Times New Roman" w:eastAsia="Times New Roman" w:hAnsi="Times New Roman" w:cs="Times New Roman"/>
                <w:color w:val="000000" w:themeColor="text1"/>
                <w:kern w:val="0"/>
                <w14:ligatures w14:val="none"/>
              </w:rPr>
            </w:pPr>
            <w:r w:rsidRPr="00AF0CC3">
              <w:rPr>
                <w:rFonts w:ascii="Times New Roman" w:eastAsia="Times New Roman" w:hAnsi="Times New Roman" w:cs="Times New Roman"/>
                <w:color w:val="000000" w:themeColor="text1"/>
                <w:kern w:val="0"/>
                <w14:ligatures w14:val="none"/>
              </w:rPr>
              <w:t>Thwake Multipurpose Dam</w:t>
            </w:r>
          </w:p>
        </w:tc>
        <w:tc>
          <w:tcPr>
            <w:tcW w:w="0" w:type="auto"/>
            <w:vAlign w:val="center"/>
            <w:hideMark/>
          </w:tcPr>
          <w:p w14:paraId="76441DA1" w14:textId="77777777" w:rsidR="000B6A05" w:rsidRPr="00AF0CC3" w:rsidRDefault="000B6A05" w:rsidP="00E73C98">
            <w:pPr>
              <w:spacing w:after="0" w:line="360" w:lineRule="auto"/>
              <w:rPr>
                <w:rFonts w:ascii="Times New Roman" w:eastAsia="Times New Roman" w:hAnsi="Times New Roman" w:cs="Times New Roman"/>
                <w:color w:val="000000" w:themeColor="text1"/>
                <w:kern w:val="0"/>
                <w14:ligatures w14:val="none"/>
              </w:rPr>
            </w:pPr>
            <w:r w:rsidRPr="00AF0CC3">
              <w:rPr>
                <w:rFonts w:ascii="Times New Roman" w:eastAsia="Times New Roman" w:hAnsi="Times New Roman" w:cs="Times New Roman"/>
                <w:color w:val="000000" w:themeColor="text1"/>
                <w:kern w:val="0"/>
                <w14:ligatures w14:val="none"/>
              </w:rPr>
              <w:t>Dam</w:t>
            </w:r>
          </w:p>
        </w:tc>
        <w:tc>
          <w:tcPr>
            <w:tcW w:w="0" w:type="auto"/>
            <w:vAlign w:val="center"/>
            <w:hideMark/>
          </w:tcPr>
          <w:p w14:paraId="2E3192FD" w14:textId="77777777" w:rsidR="000B6A05" w:rsidRPr="00AF0CC3" w:rsidRDefault="000B6A05" w:rsidP="00E73C98">
            <w:pPr>
              <w:spacing w:after="0" w:line="360" w:lineRule="auto"/>
              <w:rPr>
                <w:rFonts w:ascii="Times New Roman" w:eastAsia="Times New Roman" w:hAnsi="Times New Roman" w:cs="Times New Roman"/>
                <w:color w:val="000000" w:themeColor="text1"/>
                <w:kern w:val="0"/>
                <w14:ligatures w14:val="none"/>
              </w:rPr>
            </w:pPr>
            <w:r w:rsidRPr="00AF0CC3">
              <w:rPr>
                <w:rFonts w:ascii="Times New Roman" w:eastAsia="Times New Roman" w:hAnsi="Times New Roman" w:cs="Times New Roman"/>
                <w:color w:val="000000" w:themeColor="text1"/>
                <w:kern w:val="0"/>
                <w14:ligatures w14:val="none"/>
              </w:rPr>
              <w:t>Ministry of Water reports, African Development Bank project reports, and the Auditor General</w:t>
            </w:r>
          </w:p>
        </w:tc>
      </w:tr>
      <w:tr w:rsidR="000B6A05" w:rsidRPr="00AF0CC3" w14:paraId="3038D938" w14:textId="77777777" w:rsidTr="00E73C98">
        <w:trPr>
          <w:tblCellSpacing w:w="15" w:type="dxa"/>
        </w:trPr>
        <w:tc>
          <w:tcPr>
            <w:tcW w:w="0" w:type="auto"/>
            <w:vAlign w:val="center"/>
            <w:hideMark/>
          </w:tcPr>
          <w:p w14:paraId="4FD220FA" w14:textId="77777777" w:rsidR="000B6A05" w:rsidRPr="00AF0CC3" w:rsidRDefault="000B6A05" w:rsidP="00E73C98">
            <w:pPr>
              <w:spacing w:after="0" w:line="360" w:lineRule="auto"/>
              <w:rPr>
                <w:rFonts w:ascii="Times New Roman" w:eastAsia="Times New Roman" w:hAnsi="Times New Roman" w:cs="Times New Roman"/>
                <w:color w:val="000000" w:themeColor="text1"/>
                <w:kern w:val="0"/>
                <w14:ligatures w14:val="none"/>
              </w:rPr>
            </w:pPr>
            <w:r w:rsidRPr="00AF0CC3">
              <w:rPr>
                <w:rFonts w:ascii="Times New Roman" w:eastAsia="Times New Roman" w:hAnsi="Times New Roman" w:cs="Times New Roman"/>
                <w:color w:val="000000" w:themeColor="text1"/>
                <w:kern w:val="0"/>
                <w14:ligatures w14:val="none"/>
              </w:rPr>
              <w:t>Karimenu II Dam</w:t>
            </w:r>
          </w:p>
        </w:tc>
        <w:tc>
          <w:tcPr>
            <w:tcW w:w="0" w:type="auto"/>
            <w:vAlign w:val="center"/>
            <w:hideMark/>
          </w:tcPr>
          <w:p w14:paraId="4B47E69E" w14:textId="77777777" w:rsidR="000B6A05" w:rsidRPr="00AF0CC3" w:rsidRDefault="000B6A05" w:rsidP="00E73C98">
            <w:pPr>
              <w:spacing w:after="0" w:line="360" w:lineRule="auto"/>
              <w:rPr>
                <w:rFonts w:ascii="Times New Roman" w:eastAsia="Times New Roman" w:hAnsi="Times New Roman" w:cs="Times New Roman"/>
                <w:color w:val="000000" w:themeColor="text1"/>
                <w:kern w:val="0"/>
                <w14:ligatures w14:val="none"/>
              </w:rPr>
            </w:pPr>
            <w:r w:rsidRPr="00AF0CC3">
              <w:rPr>
                <w:rFonts w:ascii="Times New Roman" w:eastAsia="Times New Roman" w:hAnsi="Times New Roman" w:cs="Times New Roman"/>
                <w:color w:val="000000" w:themeColor="text1"/>
                <w:kern w:val="0"/>
                <w14:ligatures w14:val="none"/>
              </w:rPr>
              <w:t>Dam</w:t>
            </w:r>
          </w:p>
        </w:tc>
        <w:tc>
          <w:tcPr>
            <w:tcW w:w="0" w:type="auto"/>
            <w:vAlign w:val="center"/>
            <w:hideMark/>
          </w:tcPr>
          <w:p w14:paraId="20672666" w14:textId="77777777" w:rsidR="000B6A05" w:rsidRPr="00AF0CC3" w:rsidRDefault="000B6A05" w:rsidP="00E73C98">
            <w:pPr>
              <w:spacing w:after="0" w:line="360" w:lineRule="auto"/>
              <w:rPr>
                <w:rFonts w:ascii="Times New Roman" w:eastAsia="Times New Roman" w:hAnsi="Times New Roman" w:cs="Times New Roman"/>
                <w:color w:val="000000" w:themeColor="text1"/>
                <w:kern w:val="0"/>
                <w14:ligatures w14:val="none"/>
              </w:rPr>
            </w:pPr>
            <w:r w:rsidRPr="00AF0CC3">
              <w:rPr>
                <w:rFonts w:ascii="Times New Roman" w:eastAsia="Times New Roman" w:hAnsi="Times New Roman" w:cs="Times New Roman"/>
                <w:color w:val="000000" w:themeColor="text1"/>
                <w:kern w:val="0"/>
                <w14:ligatures w14:val="none"/>
              </w:rPr>
              <w:t>Ministry of Water project reports; Northern Collector Tunnel documentation</w:t>
            </w:r>
          </w:p>
        </w:tc>
      </w:tr>
      <w:tr w:rsidR="000B6A05" w:rsidRPr="00AF0CC3" w14:paraId="4053440D" w14:textId="77777777" w:rsidTr="00E73C98">
        <w:trPr>
          <w:tblCellSpacing w:w="15" w:type="dxa"/>
        </w:trPr>
        <w:tc>
          <w:tcPr>
            <w:tcW w:w="0" w:type="auto"/>
            <w:vAlign w:val="center"/>
            <w:hideMark/>
          </w:tcPr>
          <w:p w14:paraId="0FF1FBBC" w14:textId="77777777" w:rsidR="000B6A05" w:rsidRPr="00AF0CC3" w:rsidRDefault="000B6A05" w:rsidP="00E73C98">
            <w:pPr>
              <w:spacing w:after="0" w:line="360" w:lineRule="auto"/>
              <w:rPr>
                <w:rFonts w:ascii="Times New Roman" w:eastAsia="Times New Roman" w:hAnsi="Times New Roman" w:cs="Times New Roman"/>
                <w:color w:val="000000" w:themeColor="text1"/>
                <w:kern w:val="0"/>
                <w14:ligatures w14:val="none"/>
              </w:rPr>
            </w:pPr>
            <w:r w:rsidRPr="00AF0CC3">
              <w:rPr>
                <w:rFonts w:ascii="Times New Roman" w:eastAsia="Times New Roman" w:hAnsi="Times New Roman" w:cs="Times New Roman"/>
                <w:color w:val="000000" w:themeColor="text1"/>
                <w:kern w:val="0"/>
                <w14:ligatures w14:val="none"/>
              </w:rPr>
              <w:t>Mwache Dam</w:t>
            </w:r>
          </w:p>
        </w:tc>
        <w:tc>
          <w:tcPr>
            <w:tcW w:w="0" w:type="auto"/>
            <w:vAlign w:val="center"/>
            <w:hideMark/>
          </w:tcPr>
          <w:p w14:paraId="51530C39" w14:textId="77777777" w:rsidR="000B6A05" w:rsidRPr="00AF0CC3" w:rsidRDefault="000B6A05" w:rsidP="00E73C98">
            <w:pPr>
              <w:spacing w:after="0" w:line="360" w:lineRule="auto"/>
              <w:rPr>
                <w:rFonts w:ascii="Times New Roman" w:eastAsia="Times New Roman" w:hAnsi="Times New Roman" w:cs="Times New Roman"/>
                <w:color w:val="000000" w:themeColor="text1"/>
                <w:kern w:val="0"/>
                <w14:ligatures w14:val="none"/>
              </w:rPr>
            </w:pPr>
            <w:r w:rsidRPr="00AF0CC3">
              <w:rPr>
                <w:rFonts w:ascii="Times New Roman" w:eastAsia="Times New Roman" w:hAnsi="Times New Roman" w:cs="Times New Roman"/>
                <w:color w:val="000000" w:themeColor="text1"/>
                <w:kern w:val="0"/>
                <w14:ligatures w14:val="none"/>
              </w:rPr>
              <w:t>Dam</w:t>
            </w:r>
          </w:p>
        </w:tc>
        <w:tc>
          <w:tcPr>
            <w:tcW w:w="0" w:type="auto"/>
            <w:vAlign w:val="center"/>
            <w:hideMark/>
          </w:tcPr>
          <w:p w14:paraId="7A08D7FF" w14:textId="77777777" w:rsidR="000B6A05" w:rsidRPr="00AF0CC3" w:rsidRDefault="000B6A05" w:rsidP="00E73C98">
            <w:pPr>
              <w:spacing w:after="0" w:line="360" w:lineRule="auto"/>
              <w:rPr>
                <w:rFonts w:ascii="Times New Roman" w:eastAsia="Times New Roman" w:hAnsi="Times New Roman" w:cs="Times New Roman"/>
                <w:color w:val="000000" w:themeColor="text1"/>
                <w:kern w:val="0"/>
                <w14:ligatures w14:val="none"/>
              </w:rPr>
            </w:pPr>
            <w:r w:rsidRPr="00AF0CC3">
              <w:rPr>
                <w:rFonts w:ascii="Times New Roman" w:eastAsia="Times New Roman" w:hAnsi="Times New Roman" w:cs="Times New Roman"/>
                <w:color w:val="000000" w:themeColor="text1"/>
                <w:kern w:val="0"/>
                <w14:ligatures w14:val="none"/>
              </w:rPr>
              <w:t>World Bank documentation; Coast Water Works Development Agency</w:t>
            </w:r>
          </w:p>
        </w:tc>
      </w:tr>
      <w:tr w:rsidR="000B6A05" w:rsidRPr="00AF0CC3" w14:paraId="38592489" w14:textId="77777777" w:rsidTr="00E73C98">
        <w:trPr>
          <w:tblCellSpacing w:w="15" w:type="dxa"/>
        </w:trPr>
        <w:tc>
          <w:tcPr>
            <w:tcW w:w="0" w:type="auto"/>
            <w:vAlign w:val="center"/>
            <w:hideMark/>
          </w:tcPr>
          <w:p w14:paraId="55668EA6" w14:textId="77777777" w:rsidR="000B6A05" w:rsidRPr="00AF0CC3" w:rsidRDefault="000B6A05" w:rsidP="00E73C98">
            <w:pPr>
              <w:spacing w:after="0" w:line="360" w:lineRule="auto"/>
              <w:rPr>
                <w:rFonts w:ascii="Times New Roman" w:eastAsia="Times New Roman" w:hAnsi="Times New Roman" w:cs="Times New Roman"/>
                <w:color w:val="000000" w:themeColor="text1"/>
                <w:kern w:val="0"/>
                <w14:ligatures w14:val="none"/>
              </w:rPr>
            </w:pPr>
            <w:r w:rsidRPr="00AF0CC3">
              <w:rPr>
                <w:rFonts w:ascii="Times New Roman" w:eastAsia="Times New Roman" w:hAnsi="Times New Roman" w:cs="Times New Roman"/>
                <w:color w:val="000000" w:themeColor="text1"/>
                <w:kern w:val="0"/>
                <w14:ligatures w14:val="none"/>
              </w:rPr>
              <w:t>Northern Collector Tunnel Phase I</w:t>
            </w:r>
          </w:p>
        </w:tc>
        <w:tc>
          <w:tcPr>
            <w:tcW w:w="0" w:type="auto"/>
            <w:vAlign w:val="center"/>
            <w:hideMark/>
          </w:tcPr>
          <w:p w14:paraId="5A7B4DAB" w14:textId="77777777" w:rsidR="000B6A05" w:rsidRPr="00AF0CC3" w:rsidRDefault="000B6A05" w:rsidP="00E73C98">
            <w:pPr>
              <w:spacing w:after="0" w:line="360" w:lineRule="auto"/>
              <w:rPr>
                <w:rFonts w:ascii="Times New Roman" w:eastAsia="Times New Roman" w:hAnsi="Times New Roman" w:cs="Times New Roman"/>
                <w:color w:val="000000" w:themeColor="text1"/>
                <w:kern w:val="0"/>
                <w14:ligatures w14:val="none"/>
              </w:rPr>
            </w:pPr>
            <w:r w:rsidRPr="00AF0CC3">
              <w:rPr>
                <w:rFonts w:ascii="Times New Roman" w:eastAsia="Times New Roman" w:hAnsi="Times New Roman" w:cs="Times New Roman"/>
                <w:color w:val="000000" w:themeColor="text1"/>
                <w:kern w:val="0"/>
                <w14:ligatures w14:val="none"/>
              </w:rPr>
              <w:t>Water supply</w:t>
            </w:r>
          </w:p>
        </w:tc>
        <w:tc>
          <w:tcPr>
            <w:tcW w:w="0" w:type="auto"/>
            <w:vAlign w:val="center"/>
            <w:hideMark/>
          </w:tcPr>
          <w:p w14:paraId="475F9162" w14:textId="77777777" w:rsidR="000B6A05" w:rsidRPr="00AF0CC3" w:rsidRDefault="000B6A05" w:rsidP="00E73C98">
            <w:pPr>
              <w:spacing w:after="0" w:line="360" w:lineRule="auto"/>
              <w:rPr>
                <w:rFonts w:ascii="Times New Roman" w:eastAsia="Times New Roman" w:hAnsi="Times New Roman" w:cs="Times New Roman"/>
                <w:color w:val="000000" w:themeColor="text1"/>
                <w:kern w:val="0"/>
                <w14:ligatures w14:val="none"/>
              </w:rPr>
            </w:pPr>
            <w:r w:rsidRPr="00AF0CC3">
              <w:rPr>
                <w:rFonts w:ascii="Times New Roman" w:eastAsia="Times New Roman" w:hAnsi="Times New Roman" w:cs="Times New Roman"/>
                <w:color w:val="000000" w:themeColor="text1"/>
                <w:kern w:val="0"/>
                <w14:ligatures w14:val="none"/>
              </w:rPr>
              <w:t>World Bank project documents; Nairobi City Water reports</w:t>
            </w:r>
          </w:p>
        </w:tc>
      </w:tr>
      <w:tr w:rsidR="000B6A05" w:rsidRPr="00AF0CC3" w14:paraId="748826C2" w14:textId="77777777" w:rsidTr="00E73C98">
        <w:trPr>
          <w:tblCellSpacing w:w="15" w:type="dxa"/>
        </w:trPr>
        <w:tc>
          <w:tcPr>
            <w:tcW w:w="0" w:type="auto"/>
            <w:vAlign w:val="center"/>
            <w:hideMark/>
          </w:tcPr>
          <w:p w14:paraId="4EDB5DA2" w14:textId="77777777" w:rsidR="000B6A05" w:rsidRPr="00AF0CC3" w:rsidRDefault="000B6A05" w:rsidP="00E73C98">
            <w:pPr>
              <w:spacing w:after="0" w:line="360" w:lineRule="auto"/>
              <w:rPr>
                <w:rFonts w:ascii="Times New Roman" w:eastAsia="Times New Roman" w:hAnsi="Times New Roman" w:cs="Times New Roman"/>
                <w:color w:val="000000" w:themeColor="text1"/>
                <w:kern w:val="0"/>
                <w14:ligatures w14:val="none"/>
              </w:rPr>
            </w:pPr>
            <w:r w:rsidRPr="00AF0CC3">
              <w:rPr>
                <w:rFonts w:ascii="Times New Roman" w:eastAsia="Times New Roman" w:hAnsi="Times New Roman" w:cs="Times New Roman"/>
                <w:color w:val="000000" w:themeColor="text1"/>
                <w:kern w:val="0"/>
                <w14:ligatures w14:val="none"/>
              </w:rPr>
              <w:t>Northern Collector Tunnel Phase II</w:t>
            </w:r>
          </w:p>
        </w:tc>
        <w:tc>
          <w:tcPr>
            <w:tcW w:w="0" w:type="auto"/>
            <w:vAlign w:val="center"/>
            <w:hideMark/>
          </w:tcPr>
          <w:p w14:paraId="50A3DCBA" w14:textId="77777777" w:rsidR="000B6A05" w:rsidRPr="00AF0CC3" w:rsidRDefault="000B6A05" w:rsidP="00E73C98">
            <w:pPr>
              <w:spacing w:after="0" w:line="360" w:lineRule="auto"/>
              <w:rPr>
                <w:rFonts w:ascii="Times New Roman" w:eastAsia="Times New Roman" w:hAnsi="Times New Roman" w:cs="Times New Roman"/>
                <w:color w:val="000000" w:themeColor="text1"/>
                <w:kern w:val="0"/>
                <w14:ligatures w14:val="none"/>
              </w:rPr>
            </w:pPr>
            <w:r w:rsidRPr="00AF0CC3">
              <w:rPr>
                <w:rFonts w:ascii="Times New Roman" w:eastAsia="Times New Roman" w:hAnsi="Times New Roman" w:cs="Times New Roman"/>
                <w:color w:val="000000" w:themeColor="text1"/>
                <w:kern w:val="0"/>
                <w14:ligatures w14:val="none"/>
              </w:rPr>
              <w:t>Water supply</w:t>
            </w:r>
          </w:p>
        </w:tc>
        <w:tc>
          <w:tcPr>
            <w:tcW w:w="0" w:type="auto"/>
            <w:vAlign w:val="center"/>
            <w:hideMark/>
          </w:tcPr>
          <w:p w14:paraId="3957B359" w14:textId="77777777" w:rsidR="000B6A05" w:rsidRPr="00AF0CC3" w:rsidRDefault="000B6A05" w:rsidP="00E73C98">
            <w:pPr>
              <w:spacing w:after="0" w:line="360" w:lineRule="auto"/>
              <w:rPr>
                <w:rFonts w:ascii="Times New Roman" w:eastAsia="Times New Roman" w:hAnsi="Times New Roman" w:cs="Times New Roman"/>
                <w:color w:val="000000" w:themeColor="text1"/>
                <w:kern w:val="0"/>
                <w14:ligatures w14:val="none"/>
              </w:rPr>
            </w:pPr>
            <w:r w:rsidRPr="00AF0CC3">
              <w:rPr>
                <w:rFonts w:ascii="Times New Roman" w:eastAsia="Times New Roman" w:hAnsi="Times New Roman" w:cs="Times New Roman"/>
                <w:color w:val="000000" w:themeColor="text1"/>
                <w:kern w:val="0"/>
                <w14:ligatures w14:val="none"/>
              </w:rPr>
              <w:t>Ministry of Water project updates; Parliamentary reports</w:t>
            </w:r>
          </w:p>
        </w:tc>
      </w:tr>
      <w:tr w:rsidR="000B6A05" w:rsidRPr="00AF0CC3" w14:paraId="6FEA39B3" w14:textId="77777777" w:rsidTr="00E73C98">
        <w:trPr>
          <w:tblCellSpacing w:w="15" w:type="dxa"/>
        </w:trPr>
        <w:tc>
          <w:tcPr>
            <w:tcW w:w="0" w:type="auto"/>
            <w:vAlign w:val="center"/>
            <w:hideMark/>
          </w:tcPr>
          <w:p w14:paraId="2643E0FB" w14:textId="77777777" w:rsidR="000B6A05" w:rsidRPr="00AF0CC3" w:rsidRDefault="000B6A05" w:rsidP="00E73C98">
            <w:pPr>
              <w:spacing w:after="0" w:line="360" w:lineRule="auto"/>
              <w:rPr>
                <w:rFonts w:ascii="Times New Roman" w:eastAsia="Times New Roman" w:hAnsi="Times New Roman" w:cs="Times New Roman"/>
                <w:color w:val="000000" w:themeColor="text1"/>
                <w:kern w:val="0"/>
                <w14:ligatures w14:val="none"/>
              </w:rPr>
            </w:pPr>
            <w:r w:rsidRPr="00AF0CC3">
              <w:rPr>
                <w:rFonts w:ascii="Times New Roman" w:eastAsia="Times New Roman" w:hAnsi="Times New Roman" w:cs="Times New Roman"/>
                <w:color w:val="000000" w:themeColor="text1"/>
                <w:kern w:val="0"/>
                <w14:ligatures w14:val="none"/>
              </w:rPr>
              <w:t>Itare Dam</w:t>
            </w:r>
          </w:p>
        </w:tc>
        <w:tc>
          <w:tcPr>
            <w:tcW w:w="0" w:type="auto"/>
            <w:vAlign w:val="center"/>
            <w:hideMark/>
          </w:tcPr>
          <w:p w14:paraId="151AC471" w14:textId="77777777" w:rsidR="000B6A05" w:rsidRPr="00AF0CC3" w:rsidRDefault="000B6A05" w:rsidP="00E73C98">
            <w:pPr>
              <w:spacing w:after="0" w:line="360" w:lineRule="auto"/>
              <w:rPr>
                <w:rFonts w:ascii="Times New Roman" w:eastAsia="Times New Roman" w:hAnsi="Times New Roman" w:cs="Times New Roman"/>
                <w:color w:val="000000" w:themeColor="text1"/>
                <w:kern w:val="0"/>
                <w14:ligatures w14:val="none"/>
              </w:rPr>
            </w:pPr>
            <w:r w:rsidRPr="00AF0CC3">
              <w:rPr>
                <w:rFonts w:ascii="Times New Roman" w:eastAsia="Times New Roman" w:hAnsi="Times New Roman" w:cs="Times New Roman"/>
                <w:color w:val="000000" w:themeColor="text1"/>
                <w:kern w:val="0"/>
                <w14:ligatures w14:val="none"/>
              </w:rPr>
              <w:t>Dam</w:t>
            </w:r>
          </w:p>
        </w:tc>
        <w:tc>
          <w:tcPr>
            <w:tcW w:w="0" w:type="auto"/>
            <w:vAlign w:val="center"/>
            <w:hideMark/>
          </w:tcPr>
          <w:p w14:paraId="3EEEF2ED" w14:textId="77777777" w:rsidR="000B6A05" w:rsidRPr="00AF0CC3" w:rsidRDefault="000B6A05" w:rsidP="00E73C98">
            <w:pPr>
              <w:spacing w:after="0" w:line="360" w:lineRule="auto"/>
              <w:rPr>
                <w:rFonts w:ascii="Times New Roman" w:eastAsia="Times New Roman" w:hAnsi="Times New Roman" w:cs="Times New Roman"/>
                <w:color w:val="000000" w:themeColor="text1"/>
                <w:kern w:val="0"/>
                <w14:ligatures w14:val="none"/>
              </w:rPr>
            </w:pPr>
            <w:r w:rsidRPr="00AF0CC3">
              <w:rPr>
                <w:rFonts w:ascii="Times New Roman" w:eastAsia="Times New Roman" w:hAnsi="Times New Roman" w:cs="Times New Roman"/>
                <w:color w:val="000000" w:themeColor="text1"/>
                <w:kern w:val="0"/>
                <w14:ligatures w14:val="none"/>
              </w:rPr>
              <w:t>Ministry of Water; Auditor General reports</w:t>
            </w:r>
          </w:p>
        </w:tc>
      </w:tr>
      <w:tr w:rsidR="000B6A05" w:rsidRPr="00AF0CC3" w14:paraId="4C2AC187" w14:textId="77777777" w:rsidTr="00E73C98">
        <w:trPr>
          <w:tblCellSpacing w:w="15" w:type="dxa"/>
        </w:trPr>
        <w:tc>
          <w:tcPr>
            <w:tcW w:w="0" w:type="auto"/>
            <w:vAlign w:val="center"/>
            <w:hideMark/>
          </w:tcPr>
          <w:p w14:paraId="07B46C6F" w14:textId="77777777" w:rsidR="000B6A05" w:rsidRPr="00AF0CC3" w:rsidRDefault="000B6A05" w:rsidP="00E73C98">
            <w:pPr>
              <w:spacing w:after="0" w:line="360" w:lineRule="auto"/>
              <w:rPr>
                <w:rFonts w:ascii="Times New Roman" w:eastAsia="Times New Roman" w:hAnsi="Times New Roman" w:cs="Times New Roman"/>
                <w:color w:val="000000" w:themeColor="text1"/>
                <w:kern w:val="0"/>
                <w14:ligatures w14:val="none"/>
              </w:rPr>
            </w:pPr>
            <w:r w:rsidRPr="00AF0CC3">
              <w:rPr>
                <w:rFonts w:ascii="Times New Roman" w:eastAsia="Times New Roman" w:hAnsi="Times New Roman" w:cs="Times New Roman"/>
                <w:color w:val="000000" w:themeColor="text1"/>
                <w:kern w:val="0"/>
                <w14:ligatures w14:val="none"/>
              </w:rPr>
              <w:t>Arror Dam</w:t>
            </w:r>
          </w:p>
        </w:tc>
        <w:tc>
          <w:tcPr>
            <w:tcW w:w="0" w:type="auto"/>
            <w:vAlign w:val="center"/>
            <w:hideMark/>
          </w:tcPr>
          <w:p w14:paraId="2FB0A116" w14:textId="77777777" w:rsidR="000B6A05" w:rsidRPr="00AF0CC3" w:rsidRDefault="000B6A05" w:rsidP="00E73C98">
            <w:pPr>
              <w:spacing w:after="0" w:line="360" w:lineRule="auto"/>
              <w:rPr>
                <w:rFonts w:ascii="Times New Roman" w:eastAsia="Times New Roman" w:hAnsi="Times New Roman" w:cs="Times New Roman"/>
                <w:color w:val="000000" w:themeColor="text1"/>
                <w:kern w:val="0"/>
                <w14:ligatures w14:val="none"/>
              </w:rPr>
            </w:pPr>
            <w:r w:rsidRPr="00AF0CC3">
              <w:rPr>
                <w:rFonts w:ascii="Times New Roman" w:eastAsia="Times New Roman" w:hAnsi="Times New Roman" w:cs="Times New Roman"/>
                <w:color w:val="000000" w:themeColor="text1"/>
                <w:kern w:val="0"/>
                <w14:ligatures w14:val="none"/>
              </w:rPr>
              <w:t>Dam</w:t>
            </w:r>
          </w:p>
        </w:tc>
        <w:tc>
          <w:tcPr>
            <w:tcW w:w="0" w:type="auto"/>
            <w:vAlign w:val="center"/>
            <w:hideMark/>
          </w:tcPr>
          <w:p w14:paraId="26209CC4" w14:textId="77777777" w:rsidR="000B6A05" w:rsidRPr="00AF0CC3" w:rsidRDefault="000B6A05" w:rsidP="00E73C98">
            <w:pPr>
              <w:spacing w:after="0" w:line="360" w:lineRule="auto"/>
              <w:rPr>
                <w:rFonts w:ascii="Times New Roman" w:eastAsia="Times New Roman" w:hAnsi="Times New Roman" w:cs="Times New Roman"/>
                <w:color w:val="000000" w:themeColor="text1"/>
                <w:kern w:val="0"/>
                <w14:ligatures w14:val="none"/>
              </w:rPr>
            </w:pPr>
            <w:r w:rsidRPr="00AF0CC3">
              <w:rPr>
                <w:rFonts w:ascii="Times New Roman" w:eastAsia="Times New Roman" w:hAnsi="Times New Roman" w:cs="Times New Roman"/>
                <w:color w:val="000000" w:themeColor="text1"/>
                <w:kern w:val="0"/>
                <w14:ligatures w14:val="none"/>
              </w:rPr>
              <w:t>Parliamentary investigations; Auditor General</w:t>
            </w:r>
          </w:p>
        </w:tc>
      </w:tr>
      <w:tr w:rsidR="000B6A05" w:rsidRPr="00AF0CC3" w14:paraId="7A91F4C5" w14:textId="77777777" w:rsidTr="00E73C98">
        <w:trPr>
          <w:tblCellSpacing w:w="15" w:type="dxa"/>
        </w:trPr>
        <w:tc>
          <w:tcPr>
            <w:tcW w:w="0" w:type="auto"/>
            <w:vAlign w:val="center"/>
            <w:hideMark/>
          </w:tcPr>
          <w:p w14:paraId="1F4F25F9" w14:textId="77777777" w:rsidR="000B6A05" w:rsidRPr="00AF0CC3" w:rsidRDefault="000B6A05" w:rsidP="00E73C98">
            <w:pPr>
              <w:spacing w:after="0" w:line="360" w:lineRule="auto"/>
              <w:rPr>
                <w:rFonts w:ascii="Times New Roman" w:eastAsia="Times New Roman" w:hAnsi="Times New Roman" w:cs="Times New Roman"/>
                <w:color w:val="000000" w:themeColor="text1"/>
                <w:kern w:val="0"/>
                <w14:ligatures w14:val="none"/>
              </w:rPr>
            </w:pPr>
            <w:r w:rsidRPr="00AF0CC3">
              <w:rPr>
                <w:rFonts w:ascii="Times New Roman" w:eastAsia="Times New Roman" w:hAnsi="Times New Roman" w:cs="Times New Roman"/>
                <w:color w:val="000000" w:themeColor="text1"/>
                <w:kern w:val="0"/>
                <w14:ligatures w14:val="none"/>
              </w:rPr>
              <w:t>Kimwarer Dam</w:t>
            </w:r>
          </w:p>
        </w:tc>
        <w:tc>
          <w:tcPr>
            <w:tcW w:w="0" w:type="auto"/>
            <w:vAlign w:val="center"/>
            <w:hideMark/>
          </w:tcPr>
          <w:p w14:paraId="3A707156" w14:textId="77777777" w:rsidR="000B6A05" w:rsidRPr="00AF0CC3" w:rsidRDefault="000B6A05" w:rsidP="00E73C98">
            <w:pPr>
              <w:spacing w:after="0" w:line="360" w:lineRule="auto"/>
              <w:rPr>
                <w:rFonts w:ascii="Times New Roman" w:eastAsia="Times New Roman" w:hAnsi="Times New Roman" w:cs="Times New Roman"/>
                <w:color w:val="000000" w:themeColor="text1"/>
                <w:kern w:val="0"/>
                <w14:ligatures w14:val="none"/>
              </w:rPr>
            </w:pPr>
            <w:r w:rsidRPr="00AF0CC3">
              <w:rPr>
                <w:rFonts w:ascii="Times New Roman" w:eastAsia="Times New Roman" w:hAnsi="Times New Roman" w:cs="Times New Roman"/>
                <w:color w:val="000000" w:themeColor="text1"/>
                <w:kern w:val="0"/>
                <w14:ligatures w14:val="none"/>
              </w:rPr>
              <w:t>Dam</w:t>
            </w:r>
          </w:p>
        </w:tc>
        <w:tc>
          <w:tcPr>
            <w:tcW w:w="0" w:type="auto"/>
            <w:vAlign w:val="center"/>
            <w:hideMark/>
          </w:tcPr>
          <w:p w14:paraId="06B8CCB5" w14:textId="77777777" w:rsidR="000B6A05" w:rsidRPr="00AF0CC3" w:rsidRDefault="000B6A05" w:rsidP="00E73C98">
            <w:pPr>
              <w:spacing w:after="0" w:line="360" w:lineRule="auto"/>
              <w:rPr>
                <w:rFonts w:ascii="Times New Roman" w:eastAsia="Times New Roman" w:hAnsi="Times New Roman" w:cs="Times New Roman"/>
                <w:color w:val="000000" w:themeColor="text1"/>
                <w:kern w:val="0"/>
                <w14:ligatures w14:val="none"/>
              </w:rPr>
            </w:pPr>
            <w:r w:rsidRPr="00AF0CC3">
              <w:rPr>
                <w:rFonts w:ascii="Times New Roman" w:eastAsia="Times New Roman" w:hAnsi="Times New Roman" w:cs="Times New Roman"/>
                <w:color w:val="000000" w:themeColor="text1"/>
                <w:kern w:val="0"/>
                <w14:ligatures w14:val="none"/>
              </w:rPr>
              <w:t>Senate oversight reports; Auditor General</w:t>
            </w:r>
          </w:p>
        </w:tc>
      </w:tr>
      <w:tr w:rsidR="000B6A05" w:rsidRPr="00AF0CC3" w14:paraId="60179C2B" w14:textId="77777777" w:rsidTr="00E73C98">
        <w:trPr>
          <w:tblCellSpacing w:w="15" w:type="dxa"/>
        </w:trPr>
        <w:tc>
          <w:tcPr>
            <w:tcW w:w="0" w:type="auto"/>
            <w:vAlign w:val="center"/>
            <w:hideMark/>
          </w:tcPr>
          <w:p w14:paraId="4C683289" w14:textId="77777777" w:rsidR="000B6A05" w:rsidRPr="00AF0CC3" w:rsidRDefault="000B6A05" w:rsidP="00E73C98">
            <w:pPr>
              <w:spacing w:after="0" w:line="360" w:lineRule="auto"/>
              <w:rPr>
                <w:rFonts w:ascii="Times New Roman" w:eastAsia="Times New Roman" w:hAnsi="Times New Roman" w:cs="Times New Roman"/>
                <w:color w:val="000000" w:themeColor="text1"/>
                <w:kern w:val="0"/>
                <w14:ligatures w14:val="none"/>
              </w:rPr>
            </w:pPr>
            <w:r w:rsidRPr="00AF0CC3">
              <w:rPr>
                <w:rFonts w:ascii="Times New Roman" w:eastAsia="Times New Roman" w:hAnsi="Times New Roman" w:cs="Times New Roman"/>
                <w:color w:val="000000" w:themeColor="text1"/>
                <w:kern w:val="0"/>
                <w14:ligatures w14:val="none"/>
              </w:rPr>
              <w:t>Thiba Dam</w:t>
            </w:r>
          </w:p>
        </w:tc>
        <w:tc>
          <w:tcPr>
            <w:tcW w:w="0" w:type="auto"/>
            <w:vAlign w:val="center"/>
            <w:hideMark/>
          </w:tcPr>
          <w:p w14:paraId="54678D1B" w14:textId="77777777" w:rsidR="000B6A05" w:rsidRPr="00AF0CC3" w:rsidRDefault="000B6A05" w:rsidP="00E73C98">
            <w:pPr>
              <w:spacing w:after="0" w:line="360" w:lineRule="auto"/>
              <w:rPr>
                <w:rFonts w:ascii="Times New Roman" w:eastAsia="Times New Roman" w:hAnsi="Times New Roman" w:cs="Times New Roman"/>
                <w:color w:val="000000" w:themeColor="text1"/>
                <w:kern w:val="0"/>
                <w14:ligatures w14:val="none"/>
              </w:rPr>
            </w:pPr>
            <w:r w:rsidRPr="00AF0CC3">
              <w:rPr>
                <w:rFonts w:ascii="Times New Roman" w:eastAsia="Times New Roman" w:hAnsi="Times New Roman" w:cs="Times New Roman"/>
                <w:color w:val="000000" w:themeColor="text1"/>
                <w:kern w:val="0"/>
                <w14:ligatures w14:val="none"/>
              </w:rPr>
              <w:t>Irrigation dam</w:t>
            </w:r>
          </w:p>
        </w:tc>
        <w:tc>
          <w:tcPr>
            <w:tcW w:w="0" w:type="auto"/>
            <w:vAlign w:val="center"/>
            <w:hideMark/>
          </w:tcPr>
          <w:p w14:paraId="239D2EC2" w14:textId="77777777" w:rsidR="000B6A05" w:rsidRPr="00AF0CC3" w:rsidRDefault="000B6A05" w:rsidP="00E73C98">
            <w:pPr>
              <w:spacing w:after="0" w:line="360" w:lineRule="auto"/>
              <w:rPr>
                <w:rFonts w:ascii="Times New Roman" w:eastAsia="Times New Roman" w:hAnsi="Times New Roman" w:cs="Times New Roman"/>
                <w:color w:val="000000" w:themeColor="text1"/>
                <w:kern w:val="0"/>
                <w14:ligatures w14:val="none"/>
              </w:rPr>
            </w:pPr>
            <w:r w:rsidRPr="00AF0CC3">
              <w:rPr>
                <w:rFonts w:ascii="Times New Roman" w:eastAsia="Times New Roman" w:hAnsi="Times New Roman" w:cs="Times New Roman"/>
                <w:color w:val="000000" w:themeColor="text1"/>
                <w:kern w:val="0"/>
                <w14:ligatures w14:val="none"/>
              </w:rPr>
              <w:t>National Irrigation Authority reports</w:t>
            </w:r>
          </w:p>
        </w:tc>
      </w:tr>
      <w:tr w:rsidR="000B6A05" w:rsidRPr="00AF0CC3" w14:paraId="01096D93" w14:textId="77777777" w:rsidTr="00E73C98">
        <w:trPr>
          <w:tblCellSpacing w:w="15" w:type="dxa"/>
        </w:trPr>
        <w:tc>
          <w:tcPr>
            <w:tcW w:w="0" w:type="auto"/>
            <w:vAlign w:val="center"/>
            <w:hideMark/>
          </w:tcPr>
          <w:p w14:paraId="04CF19B5" w14:textId="77777777" w:rsidR="000B6A05" w:rsidRPr="00AF0CC3" w:rsidRDefault="000B6A05" w:rsidP="00E73C98">
            <w:pPr>
              <w:spacing w:after="0" w:line="360" w:lineRule="auto"/>
              <w:rPr>
                <w:rFonts w:ascii="Times New Roman" w:eastAsia="Times New Roman" w:hAnsi="Times New Roman" w:cs="Times New Roman"/>
                <w:color w:val="000000" w:themeColor="text1"/>
                <w:kern w:val="0"/>
                <w14:ligatures w14:val="none"/>
              </w:rPr>
            </w:pPr>
            <w:r w:rsidRPr="00AF0CC3">
              <w:rPr>
                <w:rFonts w:ascii="Times New Roman" w:eastAsia="Times New Roman" w:hAnsi="Times New Roman" w:cs="Times New Roman"/>
                <w:color w:val="000000" w:themeColor="text1"/>
                <w:kern w:val="0"/>
                <w14:ligatures w14:val="none"/>
              </w:rPr>
              <w:t>Maruba Dam Rehabilitation</w:t>
            </w:r>
          </w:p>
        </w:tc>
        <w:tc>
          <w:tcPr>
            <w:tcW w:w="0" w:type="auto"/>
            <w:vAlign w:val="center"/>
            <w:hideMark/>
          </w:tcPr>
          <w:p w14:paraId="1819E071" w14:textId="77777777" w:rsidR="000B6A05" w:rsidRPr="00AF0CC3" w:rsidRDefault="000B6A05" w:rsidP="00E73C98">
            <w:pPr>
              <w:spacing w:after="0" w:line="360" w:lineRule="auto"/>
              <w:rPr>
                <w:rFonts w:ascii="Times New Roman" w:eastAsia="Times New Roman" w:hAnsi="Times New Roman" w:cs="Times New Roman"/>
                <w:color w:val="000000" w:themeColor="text1"/>
                <w:kern w:val="0"/>
                <w14:ligatures w14:val="none"/>
              </w:rPr>
            </w:pPr>
            <w:r w:rsidRPr="00AF0CC3">
              <w:rPr>
                <w:rFonts w:ascii="Times New Roman" w:eastAsia="Times New Roman" w:hAnsi="Times New Roman" w:cs="Times New Roman"/>
                <w:color w:val="000000" w:themeColor="text1"/>
                <w:kern w:val="0"/>
                <w14:ligatures w14:val="none"/>
              </w:rPr>
              <w:t>Dam rehabilitation</w:t>
            </w:r>
          </w:p>
        </w:tc>
        <w:tc>
          <w:tcPr>
            <w:tcW w:w="0" w:type="auto"/>
            <w:vAlign w:val="center"/>
            <w:hideMark/>
          </w:tcPr>
          <w:p w14:paraId="33C3FE8E" w14:textId="77777777" w:rsidR="000B6A05" w:rsidRPr="00AF0CC3" w:rsidRDefault="000B6A05" w:rsidP="00E73C98">
            <w:pPr>
              <w:spacing w:after="0" w:line="360" w:lineRule="auto"/>
              <w:rPr>
                <w:rFonts w:ascii="Times New Roman" w:eastAsia="Times New Roman" w:hAnsi="Times New Roman" w:cs="Times New Roman"/>
                <w:color w:val="000000" w:themeColor="text1"/>
                <w:kern w:val="0"/>
                <w14:ligatures w14:val="none"/>
              </w:rPr>
            </w:pPr>
            <w:r w:rsidRPr="00AF0CC3">
              <w:rPr>
                <w:rFonts w:ascii="Times New Roman" w:eastAsia="Times New Roman" w:hAnsi="Times New Roman" w:cs="Times New Roman"/>
                <w:color w:val="000000" w:themeColor="text1"/>
                <w:kern w:val="0"/>
                <w14:ligatures w14:val="none"/>
              </w:rPr>
              <w:t>Water Works Development Agency</w:t>
            </w:r>
          </w:p>
        </w:tc>
      </w:tr>
      <w:tr w:rsidR="000B6A05" w:rsidRPr="00AF0CC3" w14:paraId="3EFB6228" w14:textId="77777777" w:rsidTr="00E73C98">
        <w:trPr>
          <w:tblCellSpacing w:w="15" w:type="dxa"/>
        </w:trPr>
        <w:tc>
          <w:tcPr>
            <w:tcW w:w="0" w:type="auto"/>
            <w:vAlign w:val="center"/>
            <w:hideMark/>
          </w:tcPr>
          <w:p w14:paraId="61BD47AA" w14:textId="77777777" w:rsidR="000B6A05" w:rsidRPr="00AF0CC3" w:rsidRDefault="000B6A05" w:rsidP="00E73C98">
            <w:pPr>
              <w:spacing w:after="0" w:line="360" w:lineRule="auto"/>
              <w:rPr>
                <w:rFonts w:ascii="Times New Roman" w:eastAsia="Times New Roman" w:hAnsi="Times New Roman" w:cs="Times New Roman"/>
                <w:color w:val="000000" w:themeColor="text1"/>
                <w:kern w:val="0"/>
                <w14:ligatures w14:val="none"/>
              </w:rPr>
            </w:pPr>
            <w:r w:rsidRPr="00AF0CC3">
              <w:rPr>
                <w:rFonts w:ascii="Times New Roman" w:eastAsia="Times New Roman" w:hAnsi="Times New Roman" w:cs="Times New Roman"/>
                <w:color w:val="000000" w:themeColor="text1"/>
                <w:kern w:val="0"/>
                <w14:ligatures w14:val="none"/>
              </w:rPr>
              <w:t>Siyoi–Muruny Dam</w:t>
            </w:r>
          </w:p>
        </w:tc>
        <w:tc>
          <w:tcPr>
            <w:tcW w:w="0" w:type="auto"/>
            <w:vAlign w:val="center"/>
            <w:hideMark/>
          </w:tcPr>
          <w:p w14:paraId="3573257E" w14:textId="77777777" w:rsidR="000B6A05" w:rsidRPr="00AF0CC3" w:rsidRDefault="000B6A05" w:rsidP="00E73C98">
            <w:pPr>
              <w:spacing w:after="0" w:line="360" w:lineRule="auto"/>
              <w:rPr>
                <w:rFonts w:ascii="Times New Roman" w:eastAsia="Times New Roman" w:hAnsi="Times New Roman" w:cs="Times New Roman"/>
                <w:color w:val="000000" w:themeColor="text1"/>
                <w:kern w:val="0"/>
                <w14:ligatures w14:val="none"/>
              </w:rPr>
            </w:pPr>
            <w:r w:rsidRPr="00AF0CC3">
              <w:rPr>
                <w:rFonts w:ascii="Times New Roman" w:eastAsia="Times New Roman" w:hAnsi="Times New Roman" w:cs="Times New Roman"/>
                <w:color w:val="000000" w:themeColor="text1"/>
                <w:kern w:val="0"/>
                <w14:ligatures w14:val="none"/>
              </w:rPr>
              <w:t>Dam</w:t>
            </w:r>
          </w:p>
        </w:tc>
        <w:tc>
          <w:tcPr>
            <w:tcW w:w="0" w:type="auto"/>
            <w:vAlign w:val="center"/>
            <w:hideMark/>
          </w:tcPr>
          <w:p w14:paraId="1D7224D3" w14:textId="77777777" w:rsidR="000B6A05" w:rsidRPr="00AF0CC3" w:rsidRDefault="000B6A05" w:rsidP="00E73C98">
            <w:pPr>
              <w:spacing w:after="0" w:line="360" w:lineRule="auto"/>
              <w:rPr>
                <w:rFonts w:ascii="Times New Roman" w:eastAsia="Times New Roman" w:hAnsi="Times New Roman" w:cs="Times New Roman"/>
                <w:color w:val="000000" w:themeColor="text1"/>
                <w:kern w:val="0"/>
                <w14:ligatures w14:val="none"/>
              </w:rPr>
            </w:pPr>
            <w:r w:rsidRPr="00AF0CC3">
              <w:rPr>
                <w:rFonts w:ascii="Times New Roman" w:eastAsia="Times New Roman" w:hAnsi="Times New Roman" w:cs="Times New Roman"/>
                <w:color w:val="000000" w:themeColor="text1"/>
                <w:kern w:val="0"/>
                <w14:ligatures w14:val="none"/>
              </w:rPr>
              <w:t>Ministry of Water Planning documents</w:t>
            </w:r>
          </w:p>
        </w:tc>
      </w:tr>
      <w:tr w:rsidR="000B6A05" w:rsidRPr="00AF0CC3" w14:paraId="3EFD6015" w14:textId="77777777" w:rsidTr="00E73C98">
        <w:trPr>
          <w:tblCellSpacing w:w="15" w:type="dxa"/>
        </w:trPr>
        <w:tc>
          <w:tcPr>
            <w:tcW w:w="0" w:type="auto"/>
            <w:vAlign w:val="center"/>
            <w:hideMark/>
          </w:tcPr>
          <w:p w14:paraId="4CF17884" w14:textId="77777777" w:rsidR="000B6A05" w:rsidRPr="00AF0CC3" w:rsidRDefault="000B6A05" w:rsidP="00E73C98">
            <w:pPr>
              <w:spacing w:after="0" w:line="360" w:lineRule="auto"/>
              <w:rPr>
                <w:rFonts w:ascii="Times New Roman" w:eastAsia="Times New Roman" w:hAnsi="Times New Roman" w:cs="Times New Roman"/>
                <w:color w:val="000000" w:themeColor="text1"/>
                <w:kern w:val="0"/>
                <w14:ligatures w14:val="none"/>
              </w:rPr>
            </w:pPr>
            <w:r w:rsidRPr="00AF0CC3">
              <w:rPr>
                <w:rFonts w:ascii="Times New Roman" w:eastAsia="Times New Roman" w:hAnsi="Times New Roman" w:cs="Times New Roman"/>
                <w:color w:val="000000" w:themeColor="text1"/>
                <w:kern w:val="0"/>
                <w14:ligatures w14:val="none"/>
              </w:rPr>
              <w:t>High Grand Falls Dam</w:t>
            </w:r>
          </w:p>
        </w:tc>
        <w:tc>
          <w:tcPr>
            <w:tcW w:w="0" w:type="auto"/>
            <w:vAlign w:val="center"/>
            <w:hideMark/>
          </w:tcPr>
          <w:p w14:paraId="66A92D94" w14:textId="77777777" w:rsidR="000B6A05" w:rsidRPr="00AF0CC3" w:rsidRDefault="000B6A05" w:rsidP="00E73C98">
            <w:pPr>
              <w:spacing w:after="0" w:line="360" w:lineRule="auto"/>
              <w:rPr>
                <w:rFonts w:ascii="Times New Roman" w:eastAsia="Times New Roman" w:hAnsi="Times New Roman" w:cs="Times New Roman"/>
                <w:color w:val="000000" w:themeColor="text1"/>
                <w:kern w:val="0"/>
                <w14:ligatures w14:val="none"/>
              </w:rPr>
            </w:pPr>
            <w:r w:rsidRPr="00AF0CC3">
              <w:rPr>
                <w:rFonts w:ascii="Times New Roman" w:eastAsia="Times New Roman" w:hAnsi="Times New Roman" w:cs="Times New Roman"/>
                <w:color w:val="000000" w:themeColor="text1"/>
                <w:kern w:val="0"/>
                <w14:ligatures w14:val="none"/>
              </w:rPr>
              <w:t>Multipurpose dam</w:t>
            </w:r>
          </w:p>
        </w:tc>
        <w:tc>
          <w:tcPr>
            <w:tcW w:w="0" w:type="auto"/>
            <w:vAlign w:val="center"/>
            <w:hideMark/>
          </w:tcPr>
          <w:p w14:paraId="03466781" w14:textId="77777777" w:rsidR="000B6A05" w:rsidRPr="00AF0CC3" w:rsidRDefault="000B6A05" w:rsidP="00E73C98">
            <w:pPr>
              <w:spacing w:after="0" w:line="360" w:lineRule="auto"/>
              <w:rPr>
                <w:rFonts w:ascii="Times New Roman" w:eastAsia="Times New Roman" w:hAnsi="Times New Roman" w:cs="Times New Roman"/>
                <w:color w:val="000000" w:themeColor="text1"/>
                <w:kern w:val="0"/>
                <w14:ligatures w14:val="none"/>
              </w:rPr>
            </w:pPr>
            <w:r w:rsidRPr="00AF0CC3">
              <w:rPr>
                <w:rFonts w:ascii="Times New Roman" w:eastAsia="Times New Roman" w:hAnsi="Times New Roman" w:cs="Times New Roman"/>
                <w:color w:val="000000" w:themeColor="text1"/>
                <w:kern w:val="0"/>
                <w14:ligatures w14:val="none"/>
              </w:rPr>
              <w:t>Vision 2030 infrastructure reports</w:t>
            </w:r>
          </w:p>
        </w:tc>
      </w:tr>
      <w:tr w:rsidR="000B6A05" w:rsidRPr="00AF0CC3" w14:paraId="5C00407A" w14:textId="77777777" w:rsidTr="00E73C98">
        <w:trPr>
          <w:tblCellSpacing w:w="15" w:type="dxa"/>
        </w:trPr>
        <w:tc>
          <w:tcPr>
            <w:tcW w:w="0" w:type="auto"/>
            <w:vAlign w:val="center"/>
            <w:hideMark/>
          </w:tcPr>
          <w:p w14:paraId="195BE385" w14:textId="77777777" w:rsidR="000B6A05" w:rsidRPr="00AF0CC3" w:rsidRDefault="000B6A05" w:rsidP="00E73C98">
            <w:pPr>
              <w:spacing w:after="0" w:line="360" w:lineRule="auto"/>
              <w:rPr>
                <w:rFonts w:ascii="Times New Roman" w:eastAsia="Times New Roman" w:hAnsi="Times New Roman" w:cs="Times New Roman"/>
                <w:color w:val="000000" w:themeColor="text1"/>
                <w:kern w:val="0"/>
                <w14:ligatures w14:val="none"/>
              </w:rPr>
            </w:pPr>
            <w:r w:rsidRPr="00AF0CC3">
              <w:rPr>
                <w:rFonts w:ascii="Times New Roman" w:eastAsia="Times New Roman" w:hAnsi="Times New Roman" w:cs="Times New Roman"/>
                <w:color w:val="000000" w:themeColor="text1"/>
                <w:kern w:val="0"/>
                <w14:ligatures w14:val="none"/>
              </w:rPr>
              <w:t>Badasa Dam</w:t>
            </w:r>
          </w:p>
        </w:tc>
        <w:tc>
          <w:tcPr>
            <w:tcW w:w="0" w:type="auto"/>
            <w:vAlign w:val="center"/>
            <w:hideMark/>
          </w:tcPr>
          <w:p w14:paraId="75342048" w14:textId="77777777" w:rsidR="000B6A05" w:rsidRPr="00AF0CC3" w:rsidRDefault="000B6A05" w:rsidP="00E73C98">
            <w:pPr>
              <w:spacing w:after="0" w:line="360" w:lineRule="auto"/>
              <w:rPr>
                <w:rFonts w:ascii="Times New Roman" w:eastAsia="Times New Roman" w:hAnsi="Times New Roman" w:cs="Times New Roman"/>
                <w:color w:val="000000" w:themeColor="text1"/>
                <w:kern w:val="0"/>
                <w14:ligatures w14:val="none"/>
              </w:rPr>
            </w:pPr>
            <w:r w:rsidRPr="00AF0CC3">
              <w:rPr>
                <w:rFonts w:ascii="Times New Roman" w:eastAsia="Times New Roman" w:hAnsi="Times New Roman" w:cs="Times New Roman"/>
                <w:color w:val="000000" w:themeColor="text1"/>
                <w:kern w:val="0"/>
                <w14:ligatures w14:val="none"/>
              </w:rPr>
              <w:t>Water supply</w:t>
            </w:r>
          </w:p>
        </w:tc>
        <w:tc>
          <w:tcPr>
            <w:tcW w:w="0" w:type="auto"/>
            <w:vAlign w:val="center"/>
            <w:hideMark/>
          </w:tcPr>
          <w:p w14:paraId="6BC7687C" w14:textId="77777777" w:rsidR="000B6A05" w:rsidRPr="00AF0CC3" w:rsidRDefault="000B6A05" w:rsidP="00E73C98">
            <w:pPr>
              <w:spacing w:after="0" w:line="360" w:lineRule="auto"/>
              <w:rPr>
                <w:rFonts w:ascii="Times New Roman" w:eastAsia="Times New Roman" w:hAnsi="Times New Roman" w:cs="Times New Roman"/>
                <w:color w:val="000000" w:themeColor="text1"/>
                <w:kern w:val="0"/>
                <w14:ligatures w14:val="none"/>
              </w:rPr>
            </w:pPr>
            <w:r w:rsidRPr="00AF0CC3">
              <w:rPr>
                <w:rFonts w:ascii="Times New Roman" w:eastAsia="Times New Roman" w:hAnsi="Times New Roman" w:cs="Times New Roman"/>
                <w:color w:val="000000" w:themeColor="text1"/>
                <w:kern w:val="0"/>
                <w14:ligatures w14:val="none"/>
              </w:rPr>
              <w:t>Isiolo Water and Sewerage Company</w:t>
            </w:r>
          </w:p>
        </w:tc>
      </w:tr>
      <w:tr w:rsidR="000B6A05" w:rsidRPr="00AF0CC3" w14:paraId="3C2E7275" w14:textId="77777777" w:rsidTr="00E73C98">
        <w:trPr>
          <w:tblCellSpacing w:w="15" w:type="dxa"/>
        </w:trPr>
        <w:tc>
          <w:tcPr>
            <w:tcW w:w="0" w:type="auto"/>
            <w:vAlign w:val="center"/>
            <w:hideMark/>
          </w:tcPr>
          <w:p w14:paraId="10B663A9" w14:textId="77777777" w:rsidR="000B6A05" w:rsidRPr="00AF0CC3" w:rsidRDefault="000B6A05" w:rsidP="00E73C98">
            <w:pPr>
              <w:spacing w:after="0" w:line="360" w:lineRule="auto"/>
              <w:rPr>
                <w:rFonts w:ascii="Times New Roman" w:eastAsia="Times New Roman" w:hAnsi="Times New Roman" w:cs="Times New Roman"/>
                <w:color w:val="000000" w:themeColor="text1"/>
                <w:kern w:val="0"/>
                <w14:ligatures w14:val="none"/>
              </w:rPr>
            </w:pPr>
            <w:r w:rsidRPr="00AF0CC3">
              <w:rPr>
                <w:rFonts w:ascii="Times New Roman" w:eastAsia="Times New Roman" w:hAnsi="Times New Roman" w:cs="Times New Roman"/>
                <w:color w:val="000000" w:themeColor="text1"/>
                <w:kern w:val="0"/>
                <w14:ligatures w14:val="none"/>
              </w:rPr>
              <w:t>Umaa Dam</w:t>
            </w:r>
          </w:p>
        </w:tc>
        <w:tc>
          <w:tcPr>
            <w:tcW w:w="0" w:type="auto"/>
            <w:vAlign w:val="center"/>
            <w:hideMark/>
          </w:tcPr>
          <w:p w14:paraId="401A0DFB" w14:textId="77777777" w:rsidR="000B6A05" w:rsidRPr="00AF0CC3" w:rsidRDefault="000B6A05" w:rsidP="00E73C98">
            <w:pPr>
              <w:spacing w:after="0" w:line="360" w:lineRule="auto"/>
              <w:rPr>
                <w:rFonts w:ascii="Times New Roman" w:eastAsia="Times New Roman" w:hAnsi="Times New Roman" w:cs="Times New Roman"/>
                <w:color w:val="000000" w:themeColor="text1"/>
                <w:kern w:val="0"/>
                <w14:ligatures w14:val="none"/>
              </w:rPr>
            </w:pPr>
            <w:r w:rsidRPr="00AF0CC3">
              <w:rPr>
                <w:rFonts w:ascii="Times New Roman" w:eastAsia="Times New Roman" w:hAnsi="Times New Roman" w:cs="Times New Roman"/>
                <w:color w:val="000000" w:themeColor="text1"/>
                <w:kern w:val="0"/>
                <w14:ligatures w14:val="none"/>
              </w:rPr>
              <w:t>Water supply</w:t>
            </w:r>
          </w:p>
        </w:tc>
        <w:tc>
          <w:tcPr>
            <w:tcW w:w="0" w:type="auto"/>
            <w:vAlign w:val="center"/>
            <w:hideMark/>
          </w:tcPr>
          <w:p w14:paraId="429729E1" w14:textId="77777777" w:rsidR="000B6A05" w:rsidRPr="00AF0CC3" w:rsidRDefault="000B6A05" w:rsidP="00E73C98">
            <w:pPr>
              <w:spacing w:after="0" w:line="360" w:lineRule="auto"/>
              <w:rPr>
                <w:rFonts w:ascii="Times New Roman" w:eastAsia="Times New Roman" w:hAnsi="Times New Roman" w:cs="Times New Roman"/>
                <w:color w:val="000000" w:themeColor="text1"/>
                <w:kern w:val="0"/>
                <w14:ligatures w14:val="none"/>
              </w:rPr>
            </w:pPr>
            <w:r w:rsidRPr="00AF0CC3">
              <w:rPr>
                <w:rFonts w:ascii="Times New Roman" w:eastAsia="Times New Roman" w:hAnsi="Times New Roman" w:cs="Times New Roman"/>
                <w:color w:val="000000" w:themeColor="text1"/>
                <w:kern w:val="0"/>
                <w14:ligatures w14:val="none"/>
              </w:rPr>
              <w:t>Kitui County infrastructure reports</w:t>
            </w:r>
          </w:p>
        </w:tc>
      </w:tr>
      <w:tr w:rsidR="000B6A05" w:rsidRPr="00AF0CC3" w14:paraId="03EA643C" w14:textId="77777777" w:rsidTr="00E73C98">
        <w:trPr>
          <w:tblCellSpacing w:w="15" w:type="dxa"/>
        </w:trPr>
        <w:tc>
          <w:tcPr>
            <w:tcW w:w="0" w:type="auto"/>
            <w:vAlign w:val="center"/>
            <w:hideMark/>
          </w:tcPr>
          <w:p w14:paraId="5CE9C48D" w14:textId="77777777" w:rsidR="000B6A05" w:rsidRPr="00AF0CC3" w:rsidRDefault="000B6A05" w:rsidP="00E73C98">
            <w:pPr>
              <w:spacing w:after="0" w:line="360" w:lineRule="auto"/>
              <w:rPr>
                <w:rFonts w:ascii="Times New Roman" w:eastAsia="Times New Roman" w:hAnsi="Times New Roman" w:cs="Times New Roman"/>
                <w:color w:val="000000" w:themeColor="text1"/>
                <w:kern w:val="0"/>
                <w14:ligatures w14:val="none"/>
              </w:rPr>
            </w:pPr>
            <w:r w:rsidRPr="00AF0CC3">
              <w:rPr>
                <w:rFonts w:ascii="Times New Roman" w:eastAsia="Times New Roman" w:hAnsi="Times New Roman" w:cs="Times New Roman"/>
                <w:color w:val="000000" w:themeColor="text1"/>
                <w:kern w:val="0"/>
                <w14:ligatures w14:val="none"/>
              </w:rPr>
              <w:t>Masinga Dam Rehabilitation</w:t>
            </w:r>
          </w:p>
        </w:tc>
        <w:tc>
          <w:tcPr>
            <w:tcW w:w="0" w:type="auto"/>
            <w:vAlign w:val="center"/>
            <w:hideMark/>
          </w:tcPr>
          <w:p w14:paraId="0F262B18" w14:textId="77777777" w:rsidR="000B6A05" w:rsidRPr="00AF0CC3" w:rsidRDefault="000B6A05" w:rsidP="00E73C98">
            <w:pPr>
              <w:spacing w:after="0" w:line="360" w:lineRule="auto"/>
              <w:rPr>
                <w:rFonts w:ascii="Times New Roman" w:eastAsia="Times New Roman" w:hAnsi="Times New Roman" w:cs="Times New Roman"/>
                <w:color w:val="000000" w:themeColor="text1"/>
                <w:kern w:val="0"/>
                <w14:ligatures w14:val="none"/>
              </w:rPr>
            </w:pPr>
            <w:r w:rsidRPr="00AF0CC3">
              <w:rPr>
                <w:rFonts w:ascii="Times New Roman" w:eastAsia="Times New Roman" w:hAnsi="Times New Roman" w:cs="Times New Roman"/>
                <w:color w:val="000000" w:themeColor="text1"/>
                <w:kern w:val="0"/>
                <w14:ligatures w14:val="none"/>
              </w:rPr>
              <w:t>Hydropower/water</w:t>
            </w:r>
          </w:p>
        </w:tc>
        <w:tc>
          <w:tcPr>
            <w:tcW w:w="0" w:type="auto"/>
            <w:vAlign w:val="center"/>
            <w:hideMark/>
          </w:tcPr>
          <w:p w14:paraId="464FF157" w14:textId="77777777" w:rsidR="000B6A05" w:rsidRPr="00AF0CC3" w:rsidRDefault="000B6A05" w:rsidP="00E73C98">
            <w:pPr>
              <w:spacing w:after="0" w:line="360" w:lineRule="auto"/>
              <w:rPr>
                <w:rFonts w:ascii="Times New Roman" w:eastAsia="Times New Roman" w:hAnsi="Times New Roman" w:cs="Times New Roman"/>
                <w:color w:val="000000" w:themeColor="text1"/>
                <w:kern w:val="0"/>
                <w14:ligatures w14:val="none"/>
              </w:rPr>
            </w:pPr>
            <w:r w:rsidRPr="00AF0CC3">
              <w:rPr>
                <w:rFonts w:ascii="Times New Roman" w:eastAsia="Times New Roman" w:hAnsi="Times New Roman" w:cs="Times New Roman"/>
                <w:color w:val="000000" w:themeColor="text1"/>
                <w:kern w:val="0"/>
                <w14:ligatures w14:val="none"/>
              </w:rPr>
              <w:t>KenGen reports</w:t>
            </w:r>
          </w:p>
        </w:tc>
      </w:tr>
      <w:tr w:rsidR="000B6A05" w:rsidRPr="00AF0CC3" w14:paraId="64CED89F" w14:textId="77777777" w:rsidTr="00E73C98">
        <w:trPr>
          <w:tblCellSpacing w:w="15" w:type="dxa"/>
        </w:trPr>
        <w:tc>
          <w:tcPr>
            <w:tcW w:w="0" w:type="auto"/>
            <w:tcBorders>
              <w:top w:val="single" w:sz="4" w:space="0" w:color="auto"/>
              <w:left w:val="single" w:sz="4" w:space="0" w:color="auto"/>
              <w:bottom w:val="single" w:sz="4" w:space="0" w:color="auto"/>
              <w:right w:val="single" w:sz="4" w:space="0" w:color="auto"/>
            </w:tcBorders>
            <w:vAlign w:val="center"/>
            <w:hideMark/>
          </w:tcPr>
          <w:p w14:paraId="52140C2A" w14:textId="77777777" w:rsidR="000B6A05" w:rsidRPr="00AF0CC3" w:rsidRDefault="000B6A05" w:rsidP="00E73C98">
            <w:pPr>
              <w:spacing w:after="0" w:line="360" w:lineRule="auto"/>
              <w:rPr>
                <w:rFonts w:ascii="Times New Roman" w:eastAsia="Times New Roman" w:hAnsi="Times New Roman" w:cs="Times New Roman"/>
                <w:color w:val="000000" w:themeColor="text1"/>
                <w:kern w:val="0"/>
                <w14:ligatures w14:val="none"/>
              </w:rPr>
            </w:pPr>
            <w:r w:rsidRPr="00AF0CC3">
              <w:rPr>
                <w:rFonts w:ascii="Times New Roman" w:eastAsia="Times New Roman" w:hAnsi="Times New Roman" w:cs="Times New Roman"/>
                <w:color w:val="000000" w:themeColor="text1"/>
                <w:kern w:val="0"/>
                <w14:ligatures w14:val="none"/>
              </w:rPr>
              <w:lastRenderedPageBreak/>
              <w:t>Nairobi Northern Collector Water Supply Project</w:t>
            </w:r>
          </w:p>
        </w:tc>
        <w:tc>
          <w:tcPr>
            <w:tcW w:w="0" w:type="auto"/>
            <w:tcBorders>
              <w:top w:val="single" w:sz="4" w:space="0" w:color="auto"/>
              <w:left w:val="single" w:sz="4" w:space="0" w:color="auto"/>
              <w:bottom w:val="single" w:sz="4" w:space="0" w:color="auto"/>
              <w:right w:val="single" w:sz="4" w:space="0" w:color="auto"/>
            </w:tcBorders>
            <w:vAlign w:val="center"/>
            <w:hideMark/>
          </w:tcPr>
          <w:p w14:paraId="66239434" w14:textId="77777777" w:rsidR="000B6A05" w:rsidRPr="00AF0CC3" w:rsidRDefault="000B6A05" w:rsidP="00E73C98">
            <w:pPr>
              <w:spacing w:after="0" w:line="360" w:lineRule="auto"/>
              <w:rPr>
                <w:rFonts w:ascii="Times New Roman" w:eastAsia="Times New Roman" w:hAnsi="Times New Roman" w:cs="Times New Roman"/>
                <w:color w:val="000000" w:themeColor="text1"/>
                <w:kern w:val="0"/>
                <w14:ligatures w14:val="none"/>
              </w:rPr>
            </w:pPr>
            <w:r w:rsidRPr="00AF0CC3">
              <w:rPr>
                <w:rFonts w:ascii="Times New Roman" w:eastAsia="Times New Roman" w:hAnsi="Times New Roman" w:cs="Times New Roman"/>
                <w:color w:val="000000" w:themeColor="text1"/>
                <w:kern w:val="0"/>
                <w14:ligatures w14:val="none"/>
              </w:rPr>
              <w:t>Urban water supply</w:t>
            </w:r>
          </w:p>
        </w:tc>
        <w:tc>
          <w:tcPr>
            <w:tcW w:w="0" w:type="auto"/>
            <w:tcBorders>
              <w:top w:val="single" w:sz="4" w:space="0" w:color="auto"/>
              <w:left w:val="single" w:sz="4" w:space="0" w:color="auto"/>
              <w:bottom w:val="single" w:sz="4" w:space="0" w:color="auto"/>
              <w:right w:val="single" w:sz="4" w:space="0" w:color="auto"/>
            </w:tcBorders>
            <w:vAlign w:val="center"/>
            <w:hideMark/>
          </w:tcPr>
          <w:p w14:paraId="7DF96CC6" w14:textId="77777777" w:rsidR="000B6A05" w:rsidRPr="00AF0CC3" w:rsidRDefault="000B6A05" w:rsidP="00E73C98">
            <w:pPr>
              <w:spacing w:after="0" w:line="360" w:lineRule="auto"/>
              <w:rPr>
                <w:rFonts w:ascii="Times New Roman" w:eastAsia="Times New Roman" w:hAnsi="Times New Roman" w:cs="Times New Roman"/>
                <w:color w:val="000000" w:themeColor="text1"/>
                <w:kern w:val="0"/>
                <w14:ligatures w14:val="none"/>
              </w:rPr>
            </w:pPr>
            <w:r w:rsidRPr="00AF0CC3">
              <w:rPr>
                <w:rFonts w:ascii="Times New Roman" w:eastAsia="Times New Roman" w:hAnsi="Times New Roman" w:cs="Times New Roman"/>
                <w:color w:val="000000" w:themeColor="text1"/>
                <w:kern w:val="0"/>
                <w14:ligatures w14:val="none"/>
              </w:rPr>
              <w:t>Nairobi City Water; World Bank</w:t>
            </w:r>
          </w:p>
        </w:tc>
      </w:tr>
      <w:tr w:rsidR="000B6A05" w:rsidRPr="00AF0CC3" w14:paraId="15DD1AE5" w14:textId="77777777" w:rsidTr="00E73C98">
        <w:trPr>
          <w:tblCellSpacing w:w="15" w:type="dxa"/>
        </w:trPr>
        <w:tc>
          <w:tcPr>
            <w:tcW w:w="0" w:type="auto"/>
            <w:tcBorders>
              <w:top w:val="single" w:sz="4" w:space="0" w:color="auto"/>
              <w:left w:val="single" w:sz="4" w:space="0" w:color="auto"/>
              <w:bottom w:val="single" w:sz="4" w:space="0" w:color="auto"/>
              <w:right w:val="single" w:sz="4" w:space="0" w:color="auto"/>
            </w:tcBorders>
            <w:vAlign w:val="center"/>
            <w:hideMark/>
          </w:tcPr>
          <w:p w14:paraId="6E592CCB" w14:textId="77777777" w:rsidR="000B6A05" w:rsidRPr="00AF0CC3" w:rsidRDefault="000B6A05" w:rsidP="00E73C98">
            <w:pPr>
              <w:spacing w:after="0" w:line="360" w:lineRule="auto"/>
              <w:rPr>
                <w:rFonts w:ascii="Times New Roman" w:eastAsia="Times New Roman" w:hAnsi="Times New Roman" w:cs="Times New Roman"/>
                <w:color w:val="000000" w:themeColor="text1"/>
                <w:kern w:val="0"/>
                <w14:ligatures w14:val="none"/>
              </w:rPr>
            </w:pPr>
            <w:r w:rsidRPr="00AF0CC3">
              <w:rPr>
                <w:rFonts w:ascii="Times New Roman" w:eastAsia="Times New Roman" w:hAnsi="Times New Roman" w:cs="Times New Roman"/>
                <w:color w:val="000000" w:themeColor="text1"/>
                <w:kern w:val="0"/>
                <w14:ligatures w14:val="none"/>
              </w:rPr>
              <w:t>Nairobi Water Distribution Improvement</w:t>
            </w:r>
          </w:p>
        </w:tc>
        <w:tc>
          <w:tcPr>
            <w:tcW w:w="0" w:type="auto"/>
            <w:tcBorders>
              <w:top w:val="single" w:sz="4" w:space="0" w:color="auto"/>
              <w:left w:val="single" w:sz="4" w:space="0" w:color="auto"/>
              <w:bottom w:val="single" w:sz="4" w:space="0" w:color="auto"/>
              <w:right w:val="single" w:sz="4" w:space="0" w:color="auto"/>
            </w:tcBorders>
            <w:vAlign w:val="center"/>
            <w:hideMark/>
          </w:tcPr>
          <w:p w14:paraId="6E184A33" w14:textId="77777777" w:rsidR="000B6A05" w:rsidRPr="00AF0CC3" w:rsidRDefault="000B6A05" w:rsidP="00E73C98">
            <w:pPr>
              <w:spacing w:after="0" w:line="360" w:lineRule="auto"/>
              <w:rPr>
                <w:rFonts w:ascii="Times New Roman" w:eastAsia="Times New Roman" w:hAnsi="Times New Roman" w:cs="Times New Roman"/>
                <w:color w:val="000000" w:themeColor="text1"/>
                <w:kern w:val="0"/>
                <w14:ligatures w14:val="none"/>
              </w:rPr>
            </w:pPr>
            <w:r w:rsidRPr="00AF0CC3">
              <w:rPr>
                <w:rFonts w:ascii="Times New Roman" w:eastAsia="Times New Roman" w:hAnsi="Times New Roman" w:cs="Times New Roman"/>
                <w:color w:val="000000" w:themeColor="text1"/>
                <w:kern w:val="0"/>
                <w14:ligatures w14:val="none"/>
              </w:rPr>
              <w:t>Urban water</w:t>
            </w:r>
          </w:p>
        </w:tc>
        <w:tc>
          <w:tcPr>
            <w:tcW w:w="0" w:type="auto"/>
            <w:tcBorders>
              <w:top w:val="single" w:sz="4" w:space="0" w:color="auto"/>
              <w:left w:val="single" w:sz="4" w:space="0" w:color="auto"/>
              <w:bottom w:val="single" w:sz="4" w:space="0" w:color="auto"/>
              <w:right w:val="single" w:sz="4" w:space="0" w:color="auto"/>
            </w:tcBorders>
            <w:vAlign w:val="center"/>
            <w:hideMark/>
          </w:tcPr>
          <w:p w14:paraId="34E37A71" w14:textId="77777777" w:rsidR="000B6A05" w:rsidRPr="00AF0CC3" w:rsidRDefault="000B6A05" w:rsidP="00E73C98">
            <w:pPr>
              <w:spacing w:after="0" w:line="360" w:lineRule="auto"/>
              <w:rPr>
                <w:rFonts w:ascii="Times New Roman" w:eastAsia="Times New Roman" w:hAnsi="Times New Roman" w:cs="Times New Roman"/>
                <w:color w:val="000000" w:themeColor="text1"/>
                <w:kern w:val="0"/>
                <w14:ligatures w14:val="none"/>
              </w:rPr>
            </w:pPr>
            <w:r w:rsidRPr="00AF0CC3">
              <w:rPr>
                <w:rFonts w:ascii="Times New Roman" w:eastAsia="Times New Roman" w:hAnsi="Times New Roman" w:cs="Times New Roman"/>
                <w:color w:val="000000" w:themeColor="text1"/>
                <w:kern w:val="0"/>
                <w14:ligatures w14:val="none"/>
              </w:rPr>
              <w:t>Nairobi Water annual reports</w:t>
            </w:r>
          </w:p>
        </w:tc>
      </w:tr>
      <w:tr w:rsidR="000B6A05" w:rsidRPr="00AF0CC3" w14:paraId="1E28FED7" w14:textId="77777777" w:rsidTr="00E73C98">
        <w:trPr>
          <w:tblCellSpacing w:w="15" w:type="dxa"/>
        </w:trPr>
        <w:tc>
          <w:tcPr>
            <w:tcW w:w="0" w:type="auto"/>
            <w:tcBorders>
              <w:top w:val="single" w:sz="4" w:space="0" w:color="auto"/>
              <w:left w:val="single" w:sz="4" w:space="0" w:color="auto"/>
              <w:bottom w:val="single" w:sz="4" w:space="0" w:color="auto"/>
              <w:right w:val="single" w:sz="4" w:space="0" w:color="auto"/>
            </w:tcBorders>
            <w:vAlign w:val="center"/>
            <w:hideMark/>
          </w:tcPr>
          <w:p w14:paraId="5E5D6E80" w14:textId="77777777" w:rsidR="000B6A05" w:rsidRPr="00AF0CC3" w:rsidRDefault="000B6A05" w:rsidP="00E73C98">
            <w:pPr>
              <w:spacing w:after="0" w:line="360" w:lineRule="auto"/>
              <w:rPr>
                <w:rFonts w:ascii="Times New Roman" w:eastAsia="Times New Roman" w:hAnsi="Times New Roman" w:cs="Times New Roman"/>
                <w:color w:val="000000" w:themeColor="text1"/>
                <w:kern w:val="0"/>
                <w14:ligatures w14:val="none"/>
              </w:rPr>
            </w:pPr>
            <w:r w:rsidRPr="00AF0CC3">
              <w:rPr>
                <w:rFonts w:ascii="Times New Roman" w:eastAsia="Times New Roman" w:hAnsi="Times New Roman" w:cs="Times New Roman"/>
                <w:color w:val="000000" w:themeColor="text1"/>
                <w:kern w:val="0"/>
                <w14:ligatures w14:val="none"/>
              </w:rPr>
              <w:t>Mombasa Water Supply Expansion</w:t>
            </w:r>
          </w:p>
        </w:tc>
        <w:tc>
          <w:tcPr>
            <w:tcW w:w="0" w:type="auto"/>
            <w:tcBorders>
              <w:top w:val="single" w:sz="4" w:space="0" w:color="auto"/>
              <w:left w:val="single" w:sz="4" w:space="0" w:color="auto"/>
              <w:bottom w:val="single" w:sz="4" w:space="0" w:color="auto"/>
              <w:right w:val="single" w:sz="4" w:space="0" w:color="auto"/>
            </w:tcBorders>
            <w:vAlign w:val="center"/>
            <w:hideMark/>
          </w:tcPr>
          <w:p w14:paraId="4164FDE4" w14:textId="77777777" w:rsidR="000B6A05" w:rsidRPr="00AF0CC3" w:rsidRDefault="000B6A05" w:rsidP="00E73C98">
            <w:pPr>
              <w:spacing w:after="0" w:line="360" w:lineRule="auto"/>
              <w:rPr>
                <w:rFonts w:ascii="Times New Roman" w:eastAsia="Times New Roman" w:hAnsi="Times New Roman" w:cs="Times New Roman"/>
                <w:color w:val="000000" w:themeColor="text1"/>
                <w:kern w:val="0"/>
                <w14:ligatures w14:val="none"/>
              </w:rPr>
            </w:pPr>
            <w:r w:rsidRPr="00AF0CC3">
              <w:rPr>
                <w:rFonts w:ascii="Times New Roman" w:eastAsia="Times New Roman" w:hAnsi="Times New Roman" w:cs="Times New Roman"/>
                <w:color w:val="000000" w:themeColor="text1"/>
                <w:kern w:val="0"/>
                <w14:ligatures w14:val="none"/>
              </w:rPr>
              <w:t>Urban water</w:t>
            </w:r>
          </w:p>
        </w:tc>
        <w:tc>
          <w:tcPr>
            <w:tcW w:w="0" w:type="auto"/>
            <w:tcBorders>
              <w:top w:val="single" w:sz="4" w:space="0" w:color="auto"/>
              <w:left w:val="single" w:sz="4" w:space="0" w:color="auto"/>
              <w:bottom w:val="single" w:sz="4" w:space="0" w:color="auto"/>
              <w:right w:val="single" w:sz="4" w:space="0" w:color="auto"/>
            </w:tcBorders>
            <w:vAlign w:val="center"/>
            <w:hideMark/>
          </w:tcPr>
          <w:p w14:paraId="5A6CE20D" w14:textId="77777777" w:rsidR="000B6A05" w:rsidRPr="00AF0CC3" w:rsidRDefault="000B6A05" w:rsidP="00E73C98">
            <w:pPr>
              <w:spacing w:after="0" w:line="360" w:lineRule="auto"/>
              <w:rPr>
                <w:rFonts w:ascii="Times New Roman" w:eastAsia="Times New Roman" w:hAnsi="Times New Roman" w:cs="Times New Roman"/>
                <w:color w:val="000000" w:themeColor="text1"/>
                <w:kern w:val="0"/>
                <w14:ligatures w14:val="none"/>
              </w:rPr>
            </w:pPr>
            <w:r w:rsidRPr="00AF0CC3">
              <w:rPr>
                <w:rFonts w:ascii="Times New Roman" w:eastAsia="Times New Roman" w:hAnsi="Times New Roman" w:cs="Times New Roman"/>
                <w:color w:val="000000" w:themeColor="text1"/>
                <w:kern w:val="0"/>
                <w14:ligatures w14:val="none"/>
              </w:rPr>
              <w:t>Coast Water Works Development Agency</w:t>
            </w:r>
          </w:p>
        </w:tc>
      </w:tr>
      <w:tr w:rsidR="000B6A05" w:rsidRPr="00AF0CC3" w14:paraId="320D0DD1" w14:textId="77777777" w:rsidTr="00E73C98">
        <w:trPr>
          <w:tblCellSpacing w:w="15" w:type="dxa"/>
        </w:trPr>
        <w:tc>
          <w:tcPr>
            <w:tcW w:w="0" w:type="auto"/>
            <w:tcBorders>
              <w:top w:val="single" w:sz="4" w:space="0" w:color="auto"/>
              <w:left w:val="single" w:sz="4" w:space="0" w:color="auto"/>
              <w:bottom w:val="single" w:sz="4" w:space="0" w:color="auto"/>
              <w:right w:val="single" w:sz="4" w:space="0" w:color="auto"/>
            </w:tcBorders>
            <w:vAlign w:val="center"/>
            <w:hideMark/>
          </w:tcPr>
          <w:p w14:paraId="25C54A16" w14:textId="77777777" w:rsidR="000B6A05" w:rsidRPr="00AF0CC3" w:rsidRDefault="000B6A05" w:rsidP="00E73C98">
            <w:pPr>
              <w:spacing w:after="0" w:line="360" w:lineRule="auto"/>
              <w:rPr>
                <w:rFonts w:ascii="Times New Roman" w:eastAsia="Times New Roman" w:hAnsi="Times New Roman" w:cs="Times New Roman"/>
                <w:color w:val="000000" w:themeColor="text1"/>
                <w:kern w:val="0"/>
                <w14:ligatures w14:val="none"/>
              </w:rPr>
            </w:pPr>
            <w:r w:rsidRPr="00AF0CC3">
              <w:rPr>
                <w:rFonts w:ascii="Times New Roman" w:eastAsia="Times New Roman" w:hAnsi="Times New Roman" w:cs="Times New Roman"/>
                <w:color w:val="000000" w:themeColor="text1"/>
                <w:kern w:val="0"/>
                <w14:ligatures w14:val="none"/>
              </w:rPr>
              <w:t>Kisumu Water Supply Project</w:t>
            </w:r>
          </w:p>
        </w:tc>
        <w:tc>
          <w:tcPr>
            <w:tcW w:w="0" w:type="auto"/>
            <w:tcBorders>
              <w:top w:val="single" w:sz="4" w:space="0" w:color="auto"/>
              <w:left w:val="single" w:sz="4" w:space="0" w:color="auto"/>
              <w:bottom w:val="single" w:sz="4" w:space="0" w:color="auto"/>
              <w:right w:val="single" w:sz="4" w:space="0" w:color="auto"/>
            </w:tcBorders>
            <w:vAlign w:val="center"/>
            <w:hideMark/>
          </w:tcPr>
          <w:p w14:paraId="1CB7E883" w14:textId="77777777" w:rsidR="000B6A05" w:rsidRPr="00AF0CC3" w:rsidRDefault="000B6A05" w:rsidP="00E73C98">
            <w:pPr>
              <w:spacing w:after="0" w:line="360" w:lineRule="auto"/>
              <w:rPr>
                <w:rFonts w:ascii="Times New Roman" w:eastAsia="Times New Roman" w:hAnsi="Times New Roman" w:cs="Times New Roman"/>
                <w:color w:val="000000" w:themeColor="text1"/>
                <w:kern w:val="0"/>
                <w14:ligatures w14:val="none"/>
              </w:rPr>
            </w:pPr>
            <w:r w:rsidRPr="00AF0CC3">
              <w:rPr>
                <w:rFonts w:ascii="Times New Roman" w:eastAsia="Times New Roman" w:hAnsi="Times New Roman" w:cs="Times New Roman"/>
                <w:color w:val="000000" w:themeColor="text1"/>
                <w:kern w:val="0"/>
                <w14:ligatures w14:val="none"/>
              </w:rPr>
              <w:t>Urban water</w:t>
            </w:r>
          </w:p>
        </w:tc>
        <w:tc>
          <w:tcPr>
            <w:tcW w:w="0" w:type="auto"/>
            <w:tcBorders>
              <w:top w:val="single" w:sz="4" w:space="0" w:color="auto"/>
              <w:left w:val="single" w:sz="4" w:space="0" w:color="auto"/>
              <w:bottom w:val="single" w:sz="4" w:space="0" w:color="auto"/>
              <w:right w:val="single" w:sz="4" w:space="0" w:color="auto"/>
            </w:tcBorders>
            <w:vAlign w:val="center"/>
            <w:hideMark/>
          </w:tcPr>
          <w:p w14:paraId="565FBE1C" w14:textId="77777777" w:rsidR="000B6A05" w:rsidRPr="00AF0CC3" w:rsidRDefault="000B6A05" w:rsidP="00E73C98">
            <w:pPr>
              <w:spacing w:after="0" w:line="360" w:lineRule="auto"/>
              <w:rPr>
                <w:rFonts w:ascii="Times New Roman" w:eastAsia="Times New Roman" w:hAnsi="Times New Roman" w:cs="Times New Roman"/>
                <w:color w:val="000000" w:themeColor="text1"/>
                <w:kern w:val="0"/>
                <w14:ligatures w14:val="none"/>
              </w:rPr>
            </w:pPr>
            <w:r w:rsidRPr="00AF0CC3">
              <w:rPr>
                <w:rFonts w:ascii="Times New Roman" w:eastAsia="Times New Roman" w:hAnsi="Times New Roman" w:cs="Times New Roman"/>
                <w:color w:val="000000" w:themeColor="text1"/>
                <w:kern w:val="0"/>
                <w14:ligatures w14:val="none"/>
              </w:rPr>
              <w:t>Lake Victoria South Water Works Development Agency</w:t>
            </w:r>
          </w:p>
        </w:tc>
      </w:tr>
      <w:tr w:rsidR="000B6A05" w:rsidRPr="00AF0CC3" w14:paraId="55F01B7B" w14:textId="77777777" w:rsidTr="00E73C98">
        <w:trPr>
          <w:tblCellSpacing w:w="15" w:type="dxa"/>
        </w:trPr>
        <w:tc>
          <w:tcPr>
            <w:tcW w:w="0" w:type="auto"/>
            <w:tcBorders>
              <w:top w:val="single" w:sz="4" w:space="0" w:color="auto"/>
              <w:left w:val="single" w:sz="4" w:space="0" w:color="auto"/>
              <w:bottom w:val="single" w:sz="4" w:space="0" w:color="auto"/>
              <w:right w:val="single" w:sz="4" w:space="0" w:color="auto"/>
            </w:tcBorders>
            <w:vAlign w:val="center"/>
            <w:hideMark/>
          </w:tcPr>
          <w:p w14:paraId="39D7D601" w14:textId="77777777" w:rsidR="000B6A05" w:rsidRPr="00AF0CC3" w:rsidRDefault="000B6A05" w:rsidP="00E73C98">
            <w:pPr>
              <w:spacing w:after="0" w:line="360" w:lineRule="auto"/>
              <w:rPr>
                <w:rFonts w:ascii="Times New Roman" w:eastAsia="Times New Roman" w:hAnsi="Times New Roman" w:cs="Times New Roman"/>
                <w:color w:val="000000" w:themeColor="text1"/>
                <w:kern w:val="0"/>
                <w14:ligatures w14:val="none"/>
              </w:rPr>
            </w:pPr>
            <w:r w:rsidRPr="00AF0CC3">
              <w:rPr>
                <w:rFonts w:ascii="Times New Roman" w:eastAsia="Times New Roman" w:hAnsi="Times New Roman" w:cs="Times New Roman"/>
                <w:color w:val="000000" w:themeColor="text1"/>
                <w:kern w:val="0"/>
                <w14:ligatures w14:val="none"/>
              </w:rPr>
              <w:t>Nakuru Water Supply Augmentation</w:t>
            </w:r>
          </w:p>
        </w:tc>
        <w:tc>
          <w:tcPr>
            <w:tcW w:w="0" w:type="auto"/>
            <w:tcBorders>
              <w:top w:val="single" w:sz="4" w:space="0" w:color="auto"/>
              <w:left w:val="single" w:sz="4" w:space="0" w:color="auto"/>
              <w:bottom w:val="single" w:sz="4" w:space="0" w:color="auto"/>
              <w:right w:val="single" w:sz="4" w:space="0" w:color="auto"/>
            </w:tcBorders>
            <w:vAlign w:val="center"/>
            <w:hideMark/>
          </w:tcPr>
          <w:p w14:paraId="2839BE5B" w14:textId="77777777" w:rsidR="000B6A05" w:rsidRPr="00AF0CC3" w:rsidRDefault="000B6A05" w:rsidP="00E73C98">
            <w:pPr>
              <w:spacing w:after="0" w:line="360" w:lineRule="auto"/>
              <w:rPr>
                <w:rFonts w:ascii="Times New Roman" w:eastAsia="Times New Roman" w:hAnsi="Times New Roman" w:cs="Times New Roman"/>
                <w:color w:val="000000" w:themeColor="text1"/>
                <w:kern w:val="0"/>
                <w14:ligatures w14:val="none"/>
              </w:rPr>
            </w:pPr>
            <w:r w:rsidRPr="00AF0CC3">
              <w:rPr>
                <w:rFonts w:ascii="Times New Roman" w:eastAsia="Times New Roman" w:hAnsi="Times New Roman" w:cs="Times New Roman"/>
                <w:color w:val="000000" w:themeColor="text1"/>
                <w:kern w:val="0"/>
                <w14:ligatures w14:val="none"/>
              </w:rPr>
              <w:t>Urban water</w:t>
            </w:r>
          </w:p>
        </w:tc>
        <w:tc>
          <w:tcPr>
            <w:tcW w:w="0" w:type="auto"/>
            <w:tcBorders>
              <w:top w:val="single" w:sz="4" w:space="0" w:color="auto"/>
              <w:left w:val="single" w:sz="4" w:space="0" w:color="auto"/>
              <w:bottom w:val="single" w:sz="4" w:space="0" w:color="auto"/>
              <w:right w:val="single" w:sz="4" w:space="0" w:color="auto"/>
            </w:tcBorders>
            <w:vAlign w:val="center"/>
            <w:hideMark/>
          </w:tcPr>
          <w:p w14:paraId="4A48624E" w14:textId="77777777" w:rsidR="000B6A05" w:rsidRPr="00AF0CC3" w:rsidRDefault="000B6A05" w:rsidP="00E73C98">
            <w:pPr>
              <w:spacing w:after="0" w:line="360" w:lineRule="auto"/>
              <w:rPr>
                <w:rFonts w:ascii="Times New Roman" w:eastAsia="Times New Roman" w:hAnsi="Times New Roman" w:cs="Times New Roman"/>
                <w:color w:val="000000" w:themeColor="text1"/>
                <w:kern w:val="0"/>
                <w14:ligatures w14:val="none"/>
              </w:rPr>
            </w:pPr>
            <w:r w:rsidRPr="00AF0CC3">
              <w:rPr>
                <w:rFonts w:ascii="Times New Roman" w:eastAsia="Times New Roman" w:hAnsi="Times New Roman" w:cs="Times New Roman"/>
                <w:color w:val="000000" w:themeColor="text1"/>
                <w:kern w:val="0"/>
                <w14:ligatures w14:val="none"/>
              </w:rPr>
              <w:t>Rift Valley Water Works Development Agency</w:t>
            </w:r>
          </w:p>
        </w:tc>
      </w:tr>
      <w:tr w:rsidR="000B6A05" w:rsidRPr="00AF0CC3" w14:paraId="3B313B81" w14:textId="77777777" w:rsidTr="00E73C98">
        <w:trPr>
          <w:tblCellSpacing w:w="15" w:type="dxa"/>
        </w:trPr>
        <w:tc>
          <w:tcPr>
            <w:tcW w:w="0" w:type="auto"/>
            <w:tcBorders>
              <w:top w:val="single" w:sz="4" w:space="0" w:color="auto"/>
              <w:left w:val="single" w:sz="4" w:space="0" w:color="auto"/>
              <w:bottom w:val="single" w:sz="4" w:space="0" w:color="auto"/>
              <w:right w:val="single" w:sz="4" w:space="0" w:color="auto"/>
            </w:tcBorders>
            <w:vAlign w:val="center"/>
            <w:hideMark/>
          </w:tcPr>
          <w:p w14:paraId="775B3305" w14:textId="77777777" w:rsidR="000B6A05" w:rsidRPr="00AF0CC3" w:rsidRDefault="000B6A05" w:rsidP="00E73C98">
            <w:pPr>
              <w:spacing w:after="0" w:line="360" w:lineRule="auto"/>
              <w:rPr>
                <w:rFonts w:ascii="Times New Roman" w:eastAsia="Times New Roman" w:hAnsi="Times New Roman" w:cs="Times New Roman"/>
                <w:color w:val="000000" w:themeColor="text1"/>
                <w:kern w:val="0"/>
                <w14:ligatures w14:val="none"/>
              </w:rPr>
            </w:pPr>
            <w:r w:rsidRPr="00AF0CC3">
              <w:rPr>
                <w:rFonts w:ascii="Times New Roman" w:eastAsia="Times New Roman" w:hAnsi="Times New Roman" w:cs="Times New Roman"/>
                <w:color w:val="000000" w:themeColor="text1"/>
                <w:kern w:val="0"/>
                <w14:ligatures w14:val="none"/>
              </w:rPr>
              <w:t>Eldoret Water Supply Improvement</w:t>
            </w:r>
          </w:p>
        </w:tc>
        <w:tc>
          <w:tcPr>
            <w:tcW w:w="0" w:type="auto"/>
            <w:tcBorders>
              <w:top w:val="single" w:sz="4" w:space="0" w:color="auto"/>
              <w:left w:val="single" w:sz="4" w:space="0" w:color="auto"/>
              <w:bottom w:val="single" w:sz="4" w:space="0" w:color="auto"/>
              <w:right w:val="single" w:sz="4" w:space="0" w:color="auto"/>
            </w:tcBorders>
            <w:vAlign w:val="center"/>
            <w:hideMark/>
          </w:tcPr>
          <w:p w14:paraId="00C131E5" w14:textId="77777777" w:rsidR="000B6A05" w:rsidRPr="00AF0CC3" w:rsidRDefault="000B6A05" w:rsidP="00E73C98">
            <w:pPr>
              <w:spacing w:after="0" w:line="360" w:lineRule="auto"/>
              <w:rPr>
                <w:rFonts w:ascii="Times New Roman" w:eastAsia="Times New Roman" w:hAnsi="Times New Roman" w:cs="Times New Roman"/>
                <w:color w:val="000000" w:themeColor="text1"/>
                <w:kern w:val="0"/>
                <w14:ligatures w14:val="none"/>
              </w:rPr>
            </w:pPr>
            <w:r w:rsidRPr="00AF0CC3">
              <w:rPr>
                <w:rFonts w:ascii="Times New Roman" w:eastAsia="Times New Roman" w:hAnsi="Times New Roman" w:cs="Times New Roman"/>
                <w:color w:val="000000" w:themeColor="text1"/>
                <w:kern w:val="0"/>
                <w14:ligatures w14:val="none"/>
              </w:rPr>
              <w:t>Urban water</w:t>
            </w:r>
          </w:p>
        </w:tc>
        <w:tc>
          <w:tcPr>
            <w:tcW w:w="0" w:type="auto"/>
            <w:tcBorders>
              <w:top w:val="single" w:sz="4" w:space="0" w:color="auto"/>
              <w:left w:val="single" w:sz="4" w:space="0" w:color="auto"/>
              <w:bottom w:val="single" w:sz="4" w:space="0" w:color="auto"/>
              <w:right w:val="single" w:sz="4" w:space="0" w:color="auto"/>
            </w:tcBorders>
            <w:vAlign w:val="center"/>
            <w:hideMark/>
          </w:tcPr>
          <w:p w14:paraId="0EA3C109" w14:textId="77777777" w:rsidR="000B6A05" w:rsidRPr="00AF0CC3" w:rsidRDefault="000B6A05" w:rsidP="00E73C98">
            <w:pPr>
              <w:spacing w:after="0" w:line="360" w:lineRule="auto"/>
              <w:rPr>
                <w:rFonts w:ascii="Times New Roman" w:eastAsia="Times New Roman" w:hAnsi="Times New Roman" w:cs="Times New Roman"/>
                <w:color w:val="000000" w:themeColor="text1"/>
                <w:kern w:val="0"/>
                <w14:ligatures w14:val="none"/>
              </w:rPr>
            </w:pPr>
            <w:r w:rsidRPr="00AF0CC3">
              <w:rPr>
                <w:rFonts w:ascii="Times New Roman" w:eastAsia="Times New Roman" w:hAnsi="Times New Roman" w:cs="Times New Roman"/>
                <w:color w:val="000000" w:themeColor="text1"/>
                <w:kern w:val="0"/>
                <w14:ligatures w14:val="none"/>
              </w:rPr>
              <w:t>Eldoret Water and Sanitation Company</w:t>
            </w:r>
          </w:p>
        </w:tc>
      </w:tr>
      <w:tr w:rsidR="000B6A05" w:rsidRPr="00AF0CC3" w14:paraId="4EEFEB27" w14:textId="77777777" w:rsidTr="00E73C98">
        <w:trPr>
          <w:tblCellSpacing w:w="15" w:type="dxa"/>
        </w:trPr>
        <w:tc>
          <w:tcPr>
            <w:tcW w:w="0" w:type="auto"/>
            <w:tcBorders>
              <w:top w:val="single" w:sz="4" w:space="0" w:color="auto"/>
              <w:left w:val="single" w:sz="4" w:space="0" w:color="auto"/>
              <w:bottom w:val="single" w:sz="4" w:space="0" w:color="auto"/>
              <w:right w:val="single" w:sz="4" w:space="0" w:color="auto"/>
            </w:tcBorders>
            <w:vAlign w:val="center"/>
            <w:hideMark/>
          </w:tcPr>
          <w:p w14:paraId="6AC4A2E8" w14:textId="77777777" w:rsidR="000B6A05" w:rsidRPr="00AF0CC3" w:rsidRDefault="000B6A05" w:rsidP="00E73C98">
            <w:pPr>
              <w:spacing w:after="0" w:line="360" w:lineRule="auto"/>
              <w:rPr>
                <w:rFonts w:ascii="Times New Roman" w:eastAsia="Times New Roman" w:hAnsi="Times New Roman" w:cs="Times New Roman"/>
                <w:color w:val="000000" w:themeColor="text1"/>
                <w:kern w:val="0"/>
                <w14:ligatures w14:val="none"/>
              </w:rPr>
            </w:pPr>
            <w:r w:rsidRPr="00AF0CC3">
              <w:rPr>
                <w:rFonts w:ascii="Times New Roman" w:eastAsia="Times New Roman" w:hAnsi="Times New Roman" w:cs="Times New Roman"/>
                <w:color w:val="000000" w:themeColor="text1"/>
                <w:kern w:val="0"/>
                <w14:ligatures w14:val="none"/>
              </w:rPr>
              <w:t>Malindi Water Supply Project</w:t>
            </w:r>
          </w:p>
        </w:tc>
        <w:tc>
          <w:tcPr>
            <w:tcW w:w="0" w:type="auto"/>
            <w:tcBorders>
              <w:top w:val="single" w:sz="4" w:space="0" w:color="auto"/>
              <w:left w:val="single" w:sz="4" w:space="0" w:color="auto"/>
              <w:bottom w:val="single" w:sz="4" w:space="0" w:color="auto"/>
              <w:right w:val="single" w:sz="4" w:space="0" w:color="auto"/>
            </w:tcBorders>
            <w:vAlign w:val="center"/>
            <w:hideMark/>
          </w:tcPr>
          <w:p w14:paraId="14AA9B1D" w14:textId="77777777" w:rsidR="000B6A05" w:rsidRPr="00AF0CC3" w:rsidRDefault="000B6A05" w:rsidP="00E73C98">
            <w:pPr>
              <w:spacing w:after="0" w:line="360" w:lineRule="auto"/>
              <w:rPr>
                <w:rFonts w:ascii="Times New Roman" w:eastAsia="Times New Roman" w:hAnsi="Times New Roman" w:cs="Times New Roman"/>
                <w:color w:val="000000" w:themeColor="text1"/>
                <w:kern w:val="0"/>
                <w14:ligatures w14:val="none"/>
              </w:rPr>
            </w:pPr>
            <w:r w:rsidRPr="00AF0CC3">
              <w:rPr>
                <w:rFonts w:ascii="Times New Roman" w:eastAsia="Times New Roman" w:hAnsi="Times New Roman" w:cs="Times New Roman"/>
                <w:color w:val="000000" w:themeColor="text1"/>
                <w:kern w:val="0"/>
                <w14:ligatures w14:val="none"/>
              </w:rPr>
              <w:t>Urban water</w:t>
            </w:r>
          </w:p>
        </w:tc>
        <w:tc>
          <w:tcPr>
            <w:tcW w:w="0" w:type="auto"/>
            <w:tcBorders>
              <w:top w:val="single" w:sz="4" w:space="0" w:color="auto"/>
              <w:left w:val="single" w:sz="4" w:space="0" w:color="auto"/>
              <w:bottom w:val="single" w:sz="4" w:space="0" w:color="auto"/>
              <w:right w:val="single" w:sz="4" w:space="0" w:color="auto"/>
            </w:tcBorders>
            <w:vAlign w:val="center"/>
            <w:hideMark/>
          </w:tcPr>
          <w:p w14:paraId="700D7289" w14:textId="77777777" w:rsidR="000B6A05" w:rsidRPr="00AF0CC3" w:rsidRDefault="000B6A05" w:rsidP="00E73C98">
            <w:pPr>
              <w:spacing w:after="0" w:line="360" w:lineRule="auto"/>
              <w:rPr>
                <w:rFonts w:ascii="Times New Roman" w:eastAsia="Times New Roman" w:hAnsi="Times New Roman" w:cs="Times New Roman"/>
                <w:color w:val="000000" w:themeColor="text1"/>
                <w:kern w:val="0"/>
                <w14:ligatures w14:val="none"/>
              </w:rPr>
            </w:pPr>
            <w:r w:rsidRPr="00AF0CC3">
              <w:rPr>
                <w:rFonts w:ascii="Times New Roman" w:eastAsia="Times New Roman" w:hAnsi="Times New Roman" w:cs="Times New Roman"/>
                <w:color w:val="000000" w:themeColor="text1"/>
                <w:kern w:val="0"/>
                <w14:ligatures w14:val="none"/>
              </w:rPr>
              <w:t>Coast Water Agency reports</w:t>
            </w:r>
          </w:p>
        </w:tc>
      </w:tr>
      <w:tr w:rsidR="000B6A05" w:rsidRPr="00AF0CC3" w14:paraId="55077B67" w14:textId="77777777" w:rsidTr="00E73C98">
        <w:trPr>
          <w:tblCellSpacing w:w="15" w:type="dxa"/>
        </w:trPr>
        <w:tc>
          <w:tcPr>
            <w:tcW w:w="0" w:type="auto"/>
            <w:tcBorders>
              <w:top w:val="single" w:sz="4" w:space="0" w:color="auto"/>
              <w:left w:val="single" w:sz="4" w:space="0" w:color="auto"/>
              <w:bottom w:val="single" w:sz="4" w:space="0" w:color="auto"/>
              <w:right w:val="single" w:sz="4" w:space="0" w:color="auto"/>
            </w:tcBorders>
            <w:vAlign w:val="center"/>
            <w:hideMark/>
          </w:tcPr>
          <w:p w14:paraId="651D1AE5" w14:textId="77777777" w:rsidR="000B6A05" w:rsidRPr="00AF0CC3" w:rsidRDefault="000B6A05" w:rsidP="00E73C98">
            <w:pPr>
              <w:spacing w:after="0" w:line="360" w:lineRule="auto"/>
              <w:rPr>
                <w:rFonts w:ascii="Times New Roman" w:eastAsia="Times New Roman" w:hAnsi="Times New Roman" w:cs="Times New Roman"/>
                <w:color w:val="000000" w:themeColor="text1"/>
                <w:kern w:val="0"/>
                <w14:ligatures w14:val="none"/>
              </w:rPr>
            </w:pPr>
            <w:r w:rsidRPr="00AF0CC3">
              <w:rPr>
                <w:rFonts w:ascii="Times New Roman" w:eastAsia="Times New Roman" w:hAnsi="Times New Roman" w:cs="Times New Roman"/>
                <w:color w:val="000000" w:themeColor="text1"/>
                <w:kern w:val="0"/>
                <w14:ligatures w14:val="none"/>
              </w:rPr>
              <w:t>Garissa Water Supply Expansion</w:t>
            </w:r>
          </w:p>
        </w:tc>
        <w:tc>
          <w:tcPr>
            <w:tcW w:w="0" w:type="auto"/>
            <w:tcBorders>
              <w:top w:val="single" w:sz="4" w:space="0" w:color="auto"/>
              <w:left w:val="single" w:sz="4" w:space="0" w:color="auto"/>
              <w:bottom w:val="single" w:sz="4" w:space="0" w:color="auto"/>
              <w:right w:val="single" w:sz="4" w:space="0" w:color="auto"/>
            </w:tcBorders>
            <w:vAlign w:val="center"/>
            <w:hideMark/>
          </w:tcPr>
          <w:p w14:paraId="289DBA54" w14:textId="77777777" w:rsidR="000B6A05" w:rsidRPr="00AF0CC3" w:rsidRDefault="000B6A05" w:rsidP="00E73C98">
            <w:pPr>
              <w:spacing w:after="0" w:line="360" w:lineRule="auto"/>
              <w:rPr>
                <w:rFonts w:ascii="Times New Roman" w:eastAsia="Times New Roman" w:hAnsi="Times New Roman" w:cs="Times New Roman"/>
                <w:color w:val="000000" w:themeColor="text1"/>
                <w:kern w:val="0"/>
                <w14:ligatures w14:val="none"/>
              </w:rPr>
            </w:pPr>
            <w:r w:rsidRPr="00AF0CC3">
              <w:rPr>
                <w:rFonts w:ascii="Times New Roman" w:eastAsia="Times New Roman" w:hAnsi="Times New Roman" w:cs="Times New Roman"/>
                <w:color w:val="000000" w:themeColor="text1"/>
                <w:kern w:val="0"/>
                <w14:ligatures w14:val="none"/>
              </w:rPr>
              <w:t>Urban water</w:t>
            </w:r>
          </w:p>
        </w:tc>
        <w:tc>
          <w:tcPr>
            <w:tcW w:w="0" w:type="auto"/>
            <w:tcBorders>
              <w:top w:val="single" w:sz="4" w:space="0" w:color="auto"/>
              <w:left w:val="single" w:sz="4" w:space="0" w:color="auto"/>
              <w:bottom w:val="single" w:sz="4" w:space="0" w:color="auto"/>
              <w:right w:val="single" w:sz="4" w:space="0" w:color="auto"/>
            </w:tcBorders>
            <w:vAlign w:val="center"/>
            <w:hideMark/>
          </w:tcPr>
          <w:p w14:paraId="4601FB03" w14:textId="77777777" w:rsidR="000B6A05" w:rsidRPr="00AF0CC3" w:rsidRDefault="000B6A05" w:rsidP="00E73C98">
            <w:pPr>
              <w:spacing w:after="0" w:line="360" w:lineRule="auto"/>
              <w:rPr>
                <w:rFonts w:ascii="Times New Roman" w:eastAsia="Times New Roman" w:hAnsi="Times New Roman" w:cs="Times New Roman"/>
                <w:color w:val="000000" w:themeColor="text1"/>
                <w:kern w:val="0"/>
                <w14:ligatures w14:val="none"/>
              </w:rPr>
            </w:pPr>
            <w:r w:rsidRPr="00AF0CC3">
              <w:rPr>
                <w:rFonts w:ascii="Times New Roman" w:eastAsia="Times New Roman" w:hAnsi="Times New Roman" w:cs="Times New Roman"/>
                <w:color w:val="000000" w:themeColor="text1"/>
                <w:kern w:val="0"/>
                <w14:ligatures w14:val="none"/>
              </w:rPr>
              <w:t>Garissa County infrastructure reports</w:t>
            </w:r>
          </w:p>
        </w:tc>
      </w:tr>
      <w:tr w:rsidR="000B6A05" w:rsidRPr="00AF0CC3" w14:paraId="24A75A6C" w14:textId="77777777" w:rsidTr="00E73C98">
        <w:trPr>
          <w:tblCellSpacing w:w="15" w:type="dxa"/>
        </w:trPr>
        <w:tc>
          <w:tcPr>
            <w:tcW w:w="0" w:type="auto"/>
            <w:tcBorders>
              <w:top w:val="single" w:sz="4" w:space="0" w:color="auto"/>
              <w:left w:val="single" w:sz="4" w:space="0" w:color="auto"/>
              <w:bottom w:val="single" w:sz="4" w:space="0" w:color="auto"/>
              <w:right w:val="single" w:sz="4" w:space="0" w:color="auto"/>
            </w:tcBorders>
            <w:vAlign w:val="center"/>
            <w:hideMark/>
          </w:tcPr>
          <w:p w14:paraId="1B160C0A" w14:textId="77777777" w:rsidR="000B6A05" w:rsidRPr="00AF0CC3" w:rsidRDefault="000B6A05" w:rsidP="00E73C98">
            <w:pPr>
              <w:spacing w:after="0" w:line="360" w:lineRule="auto"/>
              <w:rPr>
                <w:rFonts w:ascii="Times New Roman" w:eastAsia="Times New Roman" w:hAnsi="Times New Roman" w:cs="Times New Roman"/>
                <w:color w:val="000000" w:themeColor="text1"/>
                <w:kern w:val="0"/>
                <w14:ligatures w14:val="none"/>
              </w:rPr>
            </w:pPr>
            <w:r w:rsidRPr="00AF0CC3">
              <w:rPr>
                <w:rFonts w:ascii="Times New Roman" w:eastAsia="Times New Roman" w:hAnsi="Times New Roman" w:cs="Times New Roman"/>
                <w:color w:val="000000" w:themeColor="text1"/>
                <w:kern w:val="0"/>
                <w14:ligatures w14:val="none"/>
              </w:rPr>
              <w:t>Nyeri Water Supply Improvement</w:t>
            </w:r>
          </w:p>
        </w:tc>
        <w:tc>
          <w:tcPr>
            <w:tcW w:w="0" w:type="auto"/>
            <w:tcBorders>
              <w:top w:val="single" w:sz="4" w:space="0" w:color="auto"/>
              <w:left w:val="single" w:sz="4" w:space="0" w:color="auto"/>
              <w:bottom w:val="single" w:sz="4" w:space="0" w:color="auto"/>
              <w:right w:val="single" w:sz="4" w:space="0" w:color="auto"/>
            </w:tcBorders>
            <w:vAlign w:val="center"/>
            <w:hideMark/>
          </w:tcPr>
          <w:p w14:paraId="37D8AB82" w14:textId="77777777" w:rsidR="000B6A05" w:rsidRPr="00AF0CC3" w:rsidRDefault="000B6A05" w:rsidP="00E73C98">
            <w:pPr>
              <w:spacing w:after="0" w:line="360" w:lineRule="auto"/>
              <w:rPr>
                <w:rFonts w:ascii="Times New Roman" w:eastAsia="Times New Roman" w:hAnsi="Times New Roman" w:cs="Times New Roman"/>
                <w:color w:val="000000" w:themeColor="text1"/>
                <w:kern w:val="0"/>
                <w14:ligatures w14:val="none"/>
              </w:rPr>
            </w:pPr>
            <w:r w:rsidRPr="00AF0CC3">
              <w:rPr>
                <w:rFonts w:ascii="Times New Roman" w:eastAsia="Times New Roman" w:hAnsi="Times New Roman" w:cs="Times New Roman"/>
                <w:color w:val="000000" w:themeColor="text1"/>
                <w:kern w:val="0"/>
                <w14:ligatures w14:val="none"/>
              </w:rPr>
              <w:t>Urban water</w:t>
            </w:r>
          </w:p>
        </w:tc>
        <w:tc>
          <w:tcPr>
            <w:tcW w:w="0" w:type="auto"/>
            <w:tcBorders>
              <w:top w:val="single" w:sz="4" w:space="0" w:color="auto"/>
              <w:left w:val="single" w:sz="4" w:space="0" w:color="auto"/>
              <w:bottom w:val="single" w:sz="4" w:space="0" w:color="auto"/>
              <w:right w:val="single" w:sz="4" w:space="0" w:color="auto"/>
            </w:tcBorders>
            <w:vAlign w:val="center"/>
            <w:hideMark/>
          </w:tcPr>
          <w:p w14:paraId="0E3865D5" w14:textId="77777777" w:rsidR="000B6A05" w:rsidRPr="00AF0CC3" w:rsidRDefault="000B6A05" w:rsidP="00E73C98">
            <w:pPr>
              <w:spacing w:after="0" w:line="360" w:lineRule="auto"/>
              <w:rPr>
                <w:rFonts w:ascii="Times New Roman" w:eastAsia="Times New Roman" w:hAnsi="Times New Roman" w:cs="Times New Roman"/>
                <w:color w:val="000000" w:themeColor="text1"/>
                <w:kern w:val="0"/>
                <w14:ligatures w14:val="none"/>
              </w:rPr>
            </w:pPr>
            <w:r w:rsidRPr="00AF0CC3">
              <w:rPr>
                <w:rFonts w:ascii="Times New Roman" w:eastAsia="Times New Roman" w:hAnsi="Times New Roman" w:cs="Times New Roman"/>
                <w:color w:val="000000" w:themeColor="text1"/>
                <w:kern w:val="0"/>
                <w14:ligatures w14:val="none"/>
              </w:rPr>
              <w:t>Tana Water Works Development Agency</w:t>
            </w:r>
          </w:p>
        </w:tc>
      </w:tr>
      <w:tr w:rsidR="000B6A05" w:rsidRPr="00AF0CC3" w14:paraId="75843C84" w14:textId="77777777" w:rsidTr="00E73C98">
        <w:trPr>
          <w:tblCellSpacing w:w="15" w:type="dxa"/>
        </w:trPr>
        <w:tc>
          <w:tcPr>
            <w:tcW w:w="0" w:type="auto"/>
            <w:tcBorders>
              <w:top w:val="single" w:sz="4" w:space="0" w:color="auto"/>
              <w:left w:val="single" w:sz="4" w:space="0" w:color="auto"/>
              <w:bottom w:val="single" w:sz="4" w:space="0" w:color="auto"/>
              <w:right w:val="single" w:sz="4" w:space="0" w:color="auto"/>
            </w:tcBorders>
            <w:vAlign w:val="center"/>
            <w:hideMark/>
          </w:tcPr>
          <w:p w14:paraId="4344A3FF" w14:textId="77777777" w:rsidR="000B6A05" w:rsidRPr="00AF0CC3" w:rsidRDefault="000B6A05" w:rsidP="00E73C98">
            <w:pPr>
              <w:spacing w:after="0" w:line="360" w:lineRule="auto"/>
              <w:rPr>
                <w:rFonts w:ascii="Times New Roman" w:eastAsia="Times New Roman" w:hAnsi="Times New Roman" w:cs="Times New Roman"/>
                <w:color w:val="000000" w:themeColor="text1"/>
                <w:kern w:val="0"/>
                <w14:ligatures w14:val="none"/>
              </w:rPr>
            </w:pPr>
            <w:r w:rsidRPr="00AF0CC3">
              <w:rPr>
                <w:rFonts w:ascii="Times New Roman" w:eastAsia="Times New Roman" w:hAnsi="Times New Roman" w:cs="Times New Roman"/>
                <w:color w:val="000000" w:themeColor="text1"/>
                <w:kern w:val="0"/>
                <w14:ligatures w14:val="none"/>
              </w:rPr>
              <w:t>Meru Water Supply Expansion</w:t>
            </w:r>
          </w:p>
        </w:tc>
        <w:tc>
          <w:tcPr>
            <w:tcW w:w="0" w:type="auto"/>
            <w:tcBorders>
              <w:top w:val="single" w:sz="4" w:space="0" w:color="auto"/>
              <w:left w:val="single" w:sz="4" w:space="0" w:color="auto"/>
              <w:bottom w:val="single" w:sz="4" w:space="0" w:color="auto"/>
              <w:right w:val="single" w:sz="4" w:space="0" w:color="auto"/>
            </w:tcBorders>
            <w:vAlign w:val="center"/>
            <w:hideMark/>
          </w:tcPr>
          <w:p w14:paraId="3B544168" w14:textId="77777777" w:rsidR="000B6A05" w:rsidRPr="00AF0CC3" w:rsidRDefault="000B6A05" w:rsidP="00E73C98">
            <w:pPr>
              <w:spacing w:after="0" w:line="360" w:lineRule="auto"/>
              <w:rPr>
                <w:rFonts w:ascii="Times New Roman" w:eastAsia="Times New Roman" w:hAnsi="Times New Roman" w:cs="Times New Roman"/>
                <w:color w:val="000000" w:themeColor="text1"/>
                <w:kern w:val="0"/>
                <w14:ligatures w14:val="none"/>
              </w:rPr>
            </w:pPr>
            <w:r w:rsidRPr="00AF0CC3">
              <w:rPr>
                <w:rFonts w:ascii="Times New Roman" w:eastAsia="Times New Roman" w:hAnsi="Times New Roman" w:cs="Times New Roman"/>
                <w:color w:val="000000" w:themeColor="text1"/>
                <w:kern w:val="0"/>
                <w14:ligatures w14:val="none"/>
              </w:rPr>
              <w:t>Urban water</w:t>
            </w:r>
          </w:p>
        </w:tc>
        <w:tc>
          <w:tcPr>
            <w:tcW w:w="0" w:type="auto"/>
            <w:tcBorders>
              <w:top w:val="single" w:sz="4" w:space="0" w:color="auto"/>
              <w:left w:val="single" w:sz="4" w:space="0" w:color="auto"/>
              <w:bottom w:val="single" w:sz="4" w:space="0" w:color="auto"/>
              <w:right w:val="single" w:sz="4" w:space="0" w:color="auto"/>
            </w:tcBorders>
            <w:vAlign w:val="center"/>
            <w:hideMark/>
          </w:tcPr>
          <w:p w14:paraId="2A5E0F78" w14:textId="77777777" w:rsidR="000B6A05" w:rsidRPr="00AF0CC3" w:rsidRDefault="000B6A05" w:rsidP="00E73C98">
            <w:pPr>
              <w:spacing w:after="0" w:line="360" w:lineRule="auto"/>
              <w:rPr>
                <w:rFonts w:ascii="Times New Roman" w:eastAsia="Times New Roman" w:hAnsi="Times New Roman" w:cs="Times New Roman"/>
                <w:color w:val="000000" w:themeColor="text1"/>
                <w:kern w:val="0"/>
                <w14:ligatures w14:val="none"/>
              </w:rPr>
            </w:pPr>
            <w:r w:rsidRPr="00AF0CC3">
              <w:rPr>
                <w:rFonts w:ascii="Times New Roman" w:eastAsia="Times New Roman" w:hAnsi="Times New Roman" w:cs="Times New Roman"/>
                <w:color w:val="000000" w:themeColor="text1"/>
                <w:kern w:val="0"/>
                <w14:ligatures w14:val="none"/>
              </w:rPr>
              <w:t>Meru Water and Sewerage Services</w:t>
            </w:r>
          </w:p>
        </w:tc>
      </w:tr>
      <w:tr w:rsidR="000B6A05" w:rsidRPr="00AF0CC3" w14:paraId="483BA07C" w14:textId="77777777" w:rsidTr="00E73C98">
        <w:trPr>
          <w:tblCellSpacing w:w="15" w:type="dxa"/>
        </w:trPr>
        <w:tc>
          <w:tcPr>
            <w:tcW w:w="0" w:type="auto"/>
            <w:tcBorders>
              <w:top w:val="single" w:sz="4" w:space="0" w:color="auto"/>
              <w:left w:val="single" w:sz="4" w:space="0" w:color="auto"/>
              <w:bottom w:val="single" w:sz="4" w:space="0" w:color="auto"/>
              <w:right w:val="single" w:sz="4" w:space="0" w:color="auto"/>
            </w:tcBorders>
            <w:vAlign w:val="center"/>
            <w:hideMark/>
          </w:tcPr>
          <w:p w14:paraId="6D12908E" w14:textId="77777777" w:rsidR="000B6A05" w:rsidRPr="00AF0CC3" w:rsidRDefault="000B6A05" w:rsidP="00E73C98">
            <w:pPr>
              <w:spacing w:after="0" w:line="360" w:lineRule="auto"/>
              <w:rPr>
                <w:rFonts w:ascii="Times New Roman" w:eastAsia="Times New Roman" w:hAnsi="Times New Roman" w:cs="Times New Roman"/>
                <w:color w:val="000000" w:themeColor="text1"/>
                <w:kern w:val="0"/>
                <w14:ligatures w14:val="none"/>
              </w:rPr>
            </w:pPr>
            <w:r w:rsidRPr="00AF0CC3">
              <w:rPr>
                <w:rFonts w:ascii="Times New Roman" w:eastAsia="Times New Roman" w:hAnsi="Times New Roman" w:cs="Times New Roman"/>
                <w:color w:val="000000" w:themeColor="text1"/>
                <w:kern w:val="0"/>
                <w14:ligatures w14:val="none"/>
              </w:rPr>
              <w:t>Nairobi Sewerage Rehabilitation</w:t>
            </w:r>
          </w:p>
        </w:tc>
        <w:tc>
          <w:tcPr>
            <w:tcW w:w="0" w:type="auto"/>
            <w:tcBorders>
              <w:top w:val="single" w:sz="4" w:space="0" w:color="auto"/>
              <w:left w:val="single" w:sz="4" w:space="0" w:color="auto"/>
              <w:bottom w:val="single" w:sz="4" w:space="0" w:color="auto"/>
              <w:right w:val="single" w:sz="4" w:space="0" w:color="auto"/>
            </w:tcBorders>
            <w:vAlign w:val="center"/>
            <w:hideMark/>
          </w:tcPr>
          <w:p w14:paraId="7C409A7B" w14:textId="77777777" w:rsidR="000B6A05" w:rsidRPr="00AF0CC3" w:rsidRDefault="000B6A05" w:rsidP="00E73C98">
            <w:pPr>
              <w:spacing w:after="0" w:line="360" w:lineRule="auto"/>
              <w:rPr>
                <w:rFonts w:ascii="Times New Roman" w:eastAsia="Times New Roman" w:hAnsi="Times New Roman" w:cs="Times New Roman"/>
                <w:color w:val="000000" w:themeColor="text1"/>
                <w:kern w:val="0"/>
                <w14:ligatures w14:val="none"/>
              </w:rPr>
            </w:pPr>
            <w:r w:rsidRPr="00AF0CC3">
              <w:rPr>
                <w:rFonts w:ascii="Times New Roman" w:eastAsia="Times New Roman" w:hAnsi="Times New Roman" w:cs="Times New Roman"/>
                <w:color w:val="000000" w:themeColor="text1"/>
                <w:kern w:val="0"/>
                <w14:ligatures w14:val="none"/>
              </w:rPr>
              <w:t>Wastewater</w:t>
            </w:r>
          </w:p>
        </w:tc>
        <w:tc>
          <w:tcPr>
            <w:tcW w:w="0" w:type="auto"/>
            <w:tcBorders>
              <w:top w:val="single" w:sz="4" w:space="0" w:color="auto"/>
              <w:left w:val="single" w:sz="4" w:space="0" w:color="auto"/>
              <w:bottom w:val="single" w:sz="4" w:space="0" w:color="auto"/>
              <w:right w:val="single" w:sz="4" w:space="0" w:color="auto"/>
            </w:tcBorders>
            <w:vAlign w:val="center"/>
            <w:hideMark/>
          </w:tcPr>
          <w:p w14:paraId="55736D79" w14:textId="77777777" w:rsidR="000B6A05" w:rsidRPr="00AF0CC3" w:rsidRDefault="000B6A05" w:rsidP="00E73C98">
            <w:pPr>
              <w:spacing w:after="0" w:line="360" w:lineRule="auto"/>
              <w:rPr>
                <w:rFonts w:ascii="Times New Roman" w:eastAsia="Times New Roman" w:hAnsi="Times New Roman" w:cs="Times New Roman"/>
                <w:color w:val="000000" w:themeColor="text1"/>
                <w:kern w:val="0"/>
                <w14:ligatures w14:val="none"/>
              </w:rPr>
            </w:pPr>
            <w:r w:rsidRPr="00AF0CC3">
              <w:rPr>
                <w:rFonts w:ascii="Times New Roman" w:eastAsia="Times New Roman" w:hAnsi="Times New Roman" w:cs="Times New Roman"/>
                <w:color w:val="000000" w:themeColor="text1"/>
                <w:kern w:val="0"/>
                <w14:ligatures w14:val="none"/>
              </w:rPr>
              <w:t>Nairobi City Water; World Bank</w:t>
            </w:r>
          </w:p>
        </w:tc>
      </w:tr>
      <w:tr w:rsidR="000B6A05" w:rsidRPr="00AF0CC3" w14:paraId="3B5A1ACF" w14:textId="77777777" w:rsidTr="00E73C98">
        <w:trPr>
          <w:tblCellSpacing w:w="15" w:type="dxa"/>
        </w:trPr>
        <w:tc>
          <w:tcPr>
            <w:tcW w:w="0" w:type="auto"/>
            <w:tcBorders>
              <w:top w:val="single" w:sz="4" w:space="0" w:color="auto"/>
              <w:left w:val="single" w:sz="4" w:space="0" w:color="auto"/>
              <w:bottom w:val="single" w:sz="4" w:space="0" w:color="auto"/>
              <w:right w:val="single" w:sz="4" w:space="0" w:color="auto"/>
            </w:tcBorders>
            <w:vAlign w:val="center"/>
            <w:hideMark/>
          </w:tcPr>
          <w:p w14:paraId="3288939C" w14:textId="77777777" w:rsidR="000B6A05" w:rsidRPr="00AF0CC3" w:rsidRDefault="000B6A05" w:rsidP="00E73C98">
            <w:pPr>
              <w:spacing w:after="0" w:line="360" w:lineRule="auto"/>
              <w:rPr>
                <w:rFonts w:ascii="Times New Roman" w:eastAsia="Times New Roman" w:hAnsi="Times New Roman" w:cs="Times New Roman"/>
                <w:color w:val="000000" w:themeColor="text1"/>
                <w:kern w:val="0"/>
                <w14:ligatures w14:val="none"/>
              </w:rPr>
            </w:pPr>
            <w:r w:rsidRPr="00AF0CC3">
              <w:rPr>
                <w:rFonts w:ascii="Times New Roman" w:eastAsia="Times New Roman" w:hAnsi="Times New Roman" w:cs="Times New Roman"/>
                <w:color w:val="000000" w:themeColor="text1"/>
                <w:kern w:val="0"/>
                <w14:ligatures w14:val="none"/>
              </w:rPr>
              <w:t>Dandora Wastewater Treatment Upgrade</w:t>
            </w:r>
          </w:p>
        </w:tc>
        <w:tc>
          <w:tcPr>
            <w:tcW w:w="0" w:type="auto"/>
            <w:tcBorders>
              <w:top w:val="single" w:sz="4" w:space="0" w:color="auto"/>
              <w:left w:val="single" w:sz="4" w:space="0" w:color="auto"/>
              <w:bottom w:val="single" w:sz="4" w:space="0" w:color="auto"/>
              <w:right w:val="single" w:sz="4" w:space="0" w:color="auto"/>
            </w:tcBorders>
            <w:vAlign w:val="center"/>
            <w:hideMark/>
          </w:tcPr>
          <w:p w14:paraId="3C9383FD" w14:textId="77777777" w:rsidR="000B6A05" w:rsidRPr="00AF0CC3" w:rsidRDefault="000B6A05" w:rsidP="00E73C98">
            <w:pPr>
              <w:spacing w:after="0" w:line="360" w:lineRule="auto"/>
              <w:rPr>
                <w:rFonts w:ascii="Times New Roman" w:eastAsia="Times New Roman" w:hAnsi="Times New Roman" w:cs="Times New Roman"/>
                <w:color w:val="000000" w:themeColor="text1"/>
                <w:kern w:val="0"/>
                <w14:ligatures w14:val="none"/>
              </w:rPr>
            </w:pPr>
            <w:r w:rsidRPr="00AF0CC3">
              <w:rPr>
                <w:rFonts w:ascii="Times New Roman" w:eastAsia="Times New Roman" w:hAnsi="Times New Roman" w:cs="Times New Roman"/>
                <w:color w:val="000000" w:themeColor="text1"/>
                <w:kern w:val="0"/>
                <w14:ligatures w14:val="none"/>
              </w:rPr>
              <w:t>Wastewater</w:t>
            </w:r>
          </w:p>
        </w:tc>
        <w:tc>
          <w:tcPr>
            <w:tcW w:w="0" w:type="auto"/>
            <w:tcBorders>
              <w:top w:val="single" w:sz="4" w:space="0" w:color="auto"/>
              <w:left w:val="single" w:sz="4" w:space="0" w:color="auto"/>
              <w:bottom w:val="single" w:sz="4" w:space="0" w:color="auto"/>
              <w:right w:val="single" w:sz="4" w:space="0" w:color="auto"/>
            </w:tcBorders>
            <w:vAlign w:val="center"/>
            <w:hideMark/>
          </w:tcPr>
          <w:p w14:paraId="023B6338" w14:textId="77777777" w:rsidR="000B6A05" w:rsidRPr="00AF0CC3" w:rsidRDefault="000B6A05" w:rsidP="00E73C98">
            <w:pPr>
              <w:spacing w:after="0" w:line="360" w:lineRule="auto"/>
              <w:rPr>
                <w:rFonts w:ascii="Times New Roman" w:eastAsia="Times New Roman" w:hAnsi="Times New Roman" w:cs="Times New Roman"/>
                <w:color w:val="000000" w:themeColor="text1"/>
                <w:kern w:val="0"/>
                <w14:ligatures w14:val="none"/>
              </w:rPr>
            </w:pPr>
            <w:r w:rsidRPr="00AF0CC3">
              <w:rPr>
                <w:rFonts w:ascii="Times New Roman" w:eastAsia="Times New Roman" w:hAnsi="Times New Roman" w:cs="Times New Roman"/>
                <w:color w:val="000000" w:themeColor="text1"/>
                <w:kern w:val="0"/>
                <w14:ligatures w14:val="none"/>
              </w:rPr>
              <w:t>Nairobi Water reports</w:t>
            </w:r>
          </w:p>
        </w:tc>
      </w:tr>
      <w:tr w:rsidR="000B6A05" w:rsidRPr="00AF0CC3" w14:paraId="27087D9E" w14:textId="77777777" w:rsidTr="00E73C98">
        <w:trPr>
          <w:tblCellSpacing w:w="15" w:type="dxa"/>
        </w:trPr>
        <w:tc>
          <w:tcPr>
            <w:tcW w:w="0" w:type="auto"/>
            <w:tcBorders>
              <w:top w:val="single" w:sz="4" w:space="0" w:color="auto"/>
              <w:left w:val="single" w:sz="4" w:space="0" w:color="auto"/>
              <w:bottom w:val="single" w:sz="4" w:space="0" w:color="auto"/>
              <w:right w:val="single" w:sz="4" w:space="0" w:color="auto"/>
            </w:tcBorders>
            <w:vAlign w:val="center"/>
            <w:hideMark/>
          </w:tcPr>
          <w:p w14:paraId="0AC34B46" w14:textId="77777777" w:rsidR="000B6A05" w:rsidRPr="00AF0CC3" w:rsidRDefault="000B6A05" w:rsidP="00E73C98">
            <w:pPr>
              <w:spacing w:after="0" w:line="360" w:lineRule="auto"/>
              <w:rPr>
                <w:rFonts w:ascii="Times New Roman" w:eastAsia="Times New Roman" w:hAnsi="Times New Roman" w:cs="Times New Roman"/>
                <w:color w:val="000000" w:themeColor="text1"/>
                <w:kern w:val="0"/>
                <w14:ligatures w14:val="none"/>
              </w:rPr>
            </w:pPr>
            <w:r w:rsidRPr="00AF0CC3">
              <w:rPr>
                <w:rFonts w:ascii="Times New Roman" w:eastAsia="Times New Roman" w:hAnsi="Times New Roman" w:cs="Times New Roman"/>
                <w:color w:val="000000" w:themeColor="text1"/>
                <w:kern w:val="0"/>
                <w14:ligatures w14:val="none"/>
              </w:rPr>
              <w:t>Kisumu Wastewater Treatment Plant</w:t>
            </w:r>
          </w:p>
        </w:tc>
        <w:tc>
          <w:tcPr>
            <w:tcW w:w="0" w:type="auto"/>
            <w:tcBorders>
              <w:top w:val="single" w:sz="4" w:space="0" w:color="auto"/>
              <w:left w:val="single" w:sz="4" w:space="0" w:color="auto"/>
              <w:bottom w:val="single" w:sz="4" w:space="0" w:color="auto"/>
              <w:right w:val="single" w:sz="4" w:space="0" w:color="auto"/>
            </w:tcBorders>
            <w:vAlign w:val="center"/>
            <w:hideMark/>
          </w:tcPr>
          <w:p w14:paraId="012B7F45" w14:textId="77777777" w:rsidR="000B6A05" w:rsidRPr="00AF0CC3" w:rsidRDefault="000B6A05" w:rsidP="00E73C98">
            <w:pPr>
              <w:spacing w:after="0" w:line="360" w:lineRule="auto"/>
              <w:rPr>
                <w:rFonts w:ascii="Times New Roman" w:eastAsia="Times New Roman" w:hAnsi="Times New Roman" w:cs="Times New Roman"/>
                <w:color w:val="000000" w:themeColor="text1"/>
                <w:kern w:val="0"/>
                <w14:ligatures w14:val="none"/>
              </w:rPr>
            </w:pPr>
            <w:r w:rsidRPr="00AF0CC3">
              <w:rPr>
                <w:rFonts w:ascii="Times New Roman" w:eastAsia="Times New Roman" w:hAnsi="Times New Roman" w:cs="Times New Roman"/>
                <w:color w:val="000000" w:themeColor="text1"/>
                <w:kern w:val="0"/>
                <w14:ligatures w14:val="none"/>
              </w:rPr>
              <w:t>Wastewater</w:t>
            </w:r>
          </w:p>
        </w:tc>
        <w:tc>
          <w:tcPr>
            <w:tcW w:w="0" w:type="auto"/>
            <w:tcBorders>
              <w:top w:val="single" w:sz="4" w:space="0" w:color="auto"/>
              <w:left w:val="single" w:sz="4" w:space="0" w:color="auto"/>
              <w:bottom w:val="single" w:sz="4" w:space="0" w:color="auto"/>
              <w:right w:val="single" w:sz="4" w:space="0" w:color="auto"/>
            </w:tcBorders>
            <w:vAlign w:val="center"/>
            <w:hideMark/>
          </w:tcPr>
          <w:p w14:paraId="7CBE2E70" w14:textId="77777777" w:rsidR="000B6A05" w:rsidRPr="00AF0CC3" w:rsidRDefault="000B6A05" w:rsidP="00E73C98">
            <w:pPr>
              <w:spacing w:after="0" w:line="360" w:lineRule="auto"/>
              <w:rPr>
                <w:rFonts w:ascii="Times New Roman" w:eastAsia="Times New Roman" w:hAnsi="Times New Roman" w:cs="Times New Roman"/>
                <w:color w:val="000000" w:themeColor="text1"/>
                <w:kern w:val="0"/>
                <w14:ligatures w14:val="none"/>
              </w:rPr>
            </w:pPr>
            <w:r w:rsidRPr="00AF0CC3">
              <w:rPr>
                <w:rFonts w:ascii="Times New Roman" w:eastAsia="Times New Roman" w:hAnsi="Times New Roman" w:cs="Times New Roman"/>
                <w:color w:val="000000" w:themeColor="text1"/>
                <w:kern w:val="0"/>
                <w14:ligatures w14:val="none"/>
              </w:rPr>
              <w:t>Lake Victoria South Water Agency</w:t>
            </w:r>
          </w:p>
        </w:tc>
      </w:tr>
      <w:tr w:rsidR="000B6A05" w:rsidRPr="00AF0CC3" w14:paraId="230B94CB" w14:textId="77777777" w:rsidTr="00E73C98">
        <w:trPr>
          <w:tblCellSpacing w:w="15" w:type="dxa"/>
        </w:trPr>
        <w:tc>
          <w:tcPr>
            <w:tcW w:w="0" w:type="auto"/>
            <w:tcBorders>
              <w:top w:val="single" w:sz="4" w:space="0" w:color="auto"/>
              <w:left w:val="single" w:sz="4" w:space="0" w:color="auto"/>
              <w:bottom w:val="single" w:sz="4" w:space="0" w:color="auto"/>
              <w:right w:val="single" w:sz="4" w:space="0" w:color="auto"/>
            </w:tcBorders>
            <w:vAlign w:val="center"/>
            <w:hideMark/>
          </w:tcPr>
          <w:p w14:paraId="0BC7F03E" w14:textId="77777777" w:rsidR="000B6A05" w:rsidRPr="00AF0CC3" w:rsidRDefault="000B6A05" w:rsidP="00E73C98">
            <w:pPr>
              <w:spacing w:after="0" w:line="360" w:lineRule="auto"/>
              <w:rPr>
                <w:rFonts w:ascii="Times New Roman" w:eastAsia="Times New Roman" w:hAnsi="Times New Roman" w:cs="Times New Roman"/>
                <w:color w:val="000000" w:themeColor="text1"/>
                <w:kern w:val="0"/>
                <w14:ligatures w14:val="none"/>
              </w:rPr>
            </w:pPr>
            <w:r w:rsidRPr="00AF0CC3">
              <w:rPr>
                <w:rFonts w:ascii="Times New Roman" w:eastAsia="Times New Roman" w:hAnsi="Times New Roman" w:cs="Times New Roman"/>
                <w:color w:val="000000" w:themeColor="text1"/>
                <w:kern w:val="0"/>
                <w14:ligatures w14:val="none"/>
              </w:rPr>
              <w:lastRenderedPageBreak/>
              <w:t>Nakuru Sewerage Expansion</w:t>
            </w:r>
          </w:p>
        </w:tc>
        <w:tc>
          <w:tcPr>
            <w:tcW w:w="0" w:type="auto"/>
            <w:tcBorders>
              <w:top w:val="single" w:sz="4" w:space="0" w:color="auto"/>
              <w:left w:val="single" w:sz="4" w:space="0" w:color="auto"/>
              <w:bottom w:val="single" w:sz="4" w:space="0" w:color="auto"/>
              <w:right w:val="single" w:sz="4" w:space="0" w:color="auto"/>
            </w:tcBorders>
            <w:vAlign w:val="center"/>
            <w:hideMark/>
          </w:tcPr>
          <w:p w14:paraId="105825D6" w14:textId="77777777" w:rsidR="000B6A05" w:rsidRPr="00AF0CC3" w:rsidRDefault="000B6A05" w:rsidP="00E73C98">
            <w:pPr>
              <w:spacing w:after="0" w:line="360" w:lineRule="auto"/>
              <w:rPr>
                <w:rFonts w:ascii="Times New Roman" w:eastAsia="Times New Roman" w:hAnsi="Times New Roman" w:cs="Times New Roman"/>
                <w:color w:val="000000" w:themeColor="text1"/>
                <w:kern w:val="0"/>
                <w14:ligatures w14:val="none"/>
              </w:rPr>
            </w:pPr>
            <w:r w:rsidRPr="00AF0CC3">
              <w:rPr>
                <w:rFonts w:ascii="Times New Roman" w:eastAsia="Times New Roman" w:hAnsi="Times New Roman" w:cs="Times New Roman"/>
                <w:color w:val="000000" w:themeColor="text1"/>
                <w:kern w:val="0"/>
                <w14:ligatures w14:val="none"/>
              </w:rPr>
              <w:t>Wastewater</w:t>
            </w:r>
          </w:p>
        </w:tc>
        <w:tc>
          <w:tcPr>
            <w:tcW w:w="0" w:type="auto"/>
            <w:tcBorders>
              <w:top w:val="single" w:sz="4" w:space="0" w:color="auto"/>
              <w:left w:val="single" w:sz="4" w:space="0" w:color="auto"/>
              <w:bottom w:val="single" w:sz="4" w:space="0" w:color="auto"/>
              <w:right w:val="single" w:sz="4" w:space="0" w:color="auto"/>
            </w:tcBorders>
            <w:vAlign w:val="center"/>
            <w:hideMark/>
          </w:tcPr>
          <w:p w14:paraId="20B035C5" w14:textId="77777777" w:rsidR="000B6A05" w:rsidRPr="00AF0CC3" w:rsidRDefault="000B6A05" w:rsidP="00E73C98">
            <w:pPr>
              <w:spacing w:after="0" w:line="360" w:lineRule="auto"/>
              <w:rPr>
                <w:rFonts w:ascii="Times New Roman" w:eastAsia="Times New Roman" w:hAnsi="Times New Roman" w:cs="Times New Roman"/>
                <w:color w:val="000000" w:themeColor="text1"/>
                <w:kern w:val="0"/>
                <w14:ligatures w14:val="none"/>
              </w:rPr>
            </w:pPr>
            <w:r w:rsidRPr="00AF0CC3">
              <w:rPr>
                <w:rFonts w:ascii="Times New Roman" w:eastAsia="Times New Roman" w:hAnsi="Times New Roman" w:cs="Times New Roman"/>
                <w:color w:val="000000" w:themeColor="text1"/>
                <w:kern w:val="0"/>
                <w14:ligatures w14:val="none"/>
              </w:rPr>
              <w:t>Rift Valley Water Works Agency</w:t>
            </w:r>
          </w:p>
        </w:tc>
      </w:tr>
      <w:tr w:rsidR="000B6A05" w:rsidRPr="00AF0CC3" w14:paraId="67F9B568" w14:textId="77777777" w:rsidTr="00E73C98">
        <w:trPr>
          <w:tblCellSpacing w:w="15" w:type="dxa"/>
        </w:trPr>
        <w:tc>
          <w:tcPr>
            <w:tcW w:w="0" w:type="auto"/>
            <w:tcBorders>
              <w:top w:val="single" w:sz="4" w:space="0" w:color="auto"/>
              <w:left w:val="single" w:sz="4" w:space="0" w:color="auto"/>
              <w:bottom w:val="single" w:sz="4" w:space="0" w:color="auto"/>
              <w:right w:val="single" w:sz="4" w:space="0" w:color="auto"/>
            </w:tcBorders>
            <w:vAlign w:val="center"/>
            <w:hideMark/>
          </w:tcPr>
          <w:p w14:paraId="0E57FB81" w14:textId="77777777" w:rsidR="000B6A05" w:rsidRPr="00AF0CC3" w:rsidRDefault="000B6A05" w:rsidP="00E73C98">
            <w:pPr>
              <w:spacing w:after="0" w:line="360" w:lineRule="auto"/>
              <w:rPr>
                <w:rFonts w:ascii="Times New Roman" w:eastAsia="Times New Roman" w:hAnsi="Times New Roman" w:cs="Times New Roman"/>
                <w:color w:val="000000" w:themeColor="text1"/>
                <w:kern w:val="0"/>
                <w14:ligatures w14:val="none"/>
              </w:rPr>
            </w:pPr>
            <w:r w:rsidRPr="00AF0CC3">
              <w:rPr>
                <w:rFonts w:ascii="Times New Roman" w:eastAsia="Times New Roman" w:hAnsi="Times New Roman" w:cs="Times New Roman"/>
                <w:color w:val="000000" w:themeColor="text1"/>
                <w:kern w:val="0"/>
                <w14:ligatures w14:val="none"/>
              </w:rPr>
              <w:t>Eldoret Sewerage Infrastructure</w:t>
            </w:r>
          </w:p>
        </w:tc>
        <w:tc>
          <w:tcPr>
            <w:tcW w:w="0" w:type="auto"/>
            <w:tcBorders>
              <w:top w:val="single" w:sz="4" w:space="0" w:color="auto"/>
              <w:left w:val="single" w:sz="4" w:space="0" w:color="auto"/>
              <w:bottom w:val="single" w:sz="4" w:space="0" w:color="auto"/>
              <w:right w:val="single" w:sz="4" w:space="0" w:color="auto"/>
            </w:tcBorders>
            <w:vAlign w:val="center"/>
            <w:hideMark/>
          </w:tcPr>
          <w:p w14:paraId="6058297A" w14:textId="77777777" w:rsidR="000B6A05" w:rsidRPr="00AF0CC3" w:rsidRDefault="000B6A05" w:rsidP="00E73C98">
            <w:pPr>
              <w:spacing w:after="0" w:line="360" w:lineRule="auto"/>
              <w:rPr>
                <w:rFonts w:ascii="Times New Roman" w:eastAsia="Times New Roman" w:hAnsi="Times New Roman" w:cs="Times New Roman"/>
                <w:color w:val="000000" w:themeColor="text1"/>
                <w:kern w:val="0"/>
                <w14:ligatures w14:val="none"/>
              </w:rPr>
            </w:pPr>
            <w:r w:rsidRPr="00AF0CC3">
              <w:rPr>
                <w:rFonts w:ascii="Times New Roman" w:eastAsia="Times New Roman" w:hAnsi="Times New Roman" w:cs="Times New Roman"/>
                <w:color w:val="000000" w:themeColor="text1"/>
                <w:kern w:val="0"/>
                <w14:ligatures w14:val="none"/>
              </w:rPr>
              <w:t>Wastewater</w:t>
            </w:r>
          </w:p>
        </w:tc>
        <w:tc>
          <w:tcPr>
            <w:tcW w:w="0" w:type="auto"/>
            <w:tcBorders>
              <w:top w:val="single" w:sz="4" w:space="0" w:color="auto"/>
              <w:left w:val="single" w:sz="4" w:space="0" w:color="auto"/>
              <w:bottom w:val="single" w:sz="4" w:space="0" w:color="auto"/>
              <w:right w:val="single" w:sz="4" w:space="0" w:color="auto"/>
            </w:tcBorders>
            <w:vAlign w:val="center"/>
            <w:hideMark/>
          </w:tcPr>
          <w:p w14:paraId="313C0E34" w14:textId="77777777" w:rsidR="000B6A05" w:rsidRPr="00AF0CC3" w:rsidRDefault="000B6A05" w:rsidP="00E73C98">
            <w:pPr>
              <w:spacing w:after="0" w:line="360" w:lineRule="auto"/>
              <w:rPr>
                <w:rFonts w:ascii="Times New Roman" w:eastAsia="Times New Roman" w:hAnsi="Times New Roman" w:cs="Times New Roman"/>
                <w:color w:val="000000" w:themeColor="text1"/>
                <w:kern w:val="0"/>
                <w14:ligatures w14:val="none"/>
              </w:rPr>
            </w:pPr>
            <w:r w:rsidRPr="00AF0CC3">
              <w:rPr>
                <w:rFonts w:ascii="Times New Roman" w:eastAsia="Times New Roman" w:hAnsi="Times New Roman" w:cs="Times New Roman"/>
                <w:color w:val="000000" w:themeColor="text1"/>
                <w:kern w:val="0"/>
                <w14:ligatures w14:val="none"/>
              </w:rPr>
              <w:t>Eldoret Water and Sewerage Company</w:t>
            </w:r>
          </w:p>
        </w:tc>
      </w:tr>
      <w:tr w:rsidR="000B6A05" w:rsidRPr="00AF0CC3" w14:paraId="63A102E8" w14:textId="77777777" w:rsidTr="00E73C98">
        <w:trPr>
          <w:tblCellSpacing w:w="15" w:type="dxa"/>
        </w:trPr>
        <w:tc>
          <w:tcPr>
            <w:tcW w:w="0" w:type="auto"/>
            <w:tcBorders>
              <w:top w:val="single" w:sz="4" w:space="0" w:color="auto"/>
              <w:left w:val="single" w:sz="4" w:space="0" w:color="auto"/>
              <w:bottom w:val="single" w:sz="4" w:space="0" w:color="auto"/>
              <w:right w:val="single" w:sz="4" w:space="0" w:color="auto"/>
            </w:tcBorders>
            <w:vAlign w:val="center"/>
            <w:hideMark/>
          </w:tcPr>
          <w:p w14:paraId="71B152C9" w14:textId="77777777" w:rsidR="000B6A05" w:rsidRPr="00AF0CC3" w:rsidRDefault="000B6A05" w:rsidP="00E73C98">
            <w:pPr>
              <w:spacing w:after="0" w:line="360" w:lineRule="auto"/>
              <w:rPr>
                <w:rFonts w:ascii="Times New Roman" w:eastAsia="Times New Roman" w:hAnsi="Times New Roman" w:cs="Times New Roman"/>
                <w:color w:val="000000" w:themeColor="text1"/>
                <w:kern w:val="0"/>
                <w14:ligatures w14:val="none"/>
              </w:rPr>
            </w:pPr>
            <w:r w:rsidRPr="00AF0CC3">
              <w:rPr>
                <w:rFonts w:ascii="Times New Roman" w:eastAsia="Times New Roman" w:hAnsi="Times New Roman" w:cs="Times New Roman"/>
                <w:color w:val="000000" w:themeColor="text1"/>
                <w:kern w:val="0"/>
                <w14:ligatures w14:val="none"/>
              </w:rPr>
              <w:t>Mombasa Wastewater Rehabilitation</w:t>
            </w:r>
          </w:p>
        </w:tc>
        <w:tc>
          <w:tcPr>
            <w:tcW w:w="0" w:type="auto"/>
            <w:tcBorders>
              <w:top w:val="single" w:sz="4" w:space="0" w:color="auto"/>
              <w:left w:val="single" w:sz="4" w:space="0" w:color="auto"/>
              <w:bottom w:val="single" w:sz="4" w:space="0" w:color="auto"/>
              <w:right w:val="single" w:sz="4" w:space="0" w:color="auto"/>
            </w:tcBorders>
            <w:vAlign w:val="center"/>
            <w:hideMark/>
          </w:tcPr>
          <w:p w14:paraId="3AC1DA76" w14:textId="77777777" w:rsidR="000B6A05" w:rsidRPr="00AF0CC3" w:rsidRDefault="000B6A05" w:rsidP="00E73C98">
            <w:pPr>
              <w:spacing w:after="0" w:line="360" w:lineRule="auto"/>
              <w:rPr>
                <w:rFonts w:ascii="Times New Roman" w:eastAsia="Times New Roman" w:hAnsi="Times New Roman" w:cs="Times New Roman"/>
                <w:color w:val="000000" w:themeColor="text1"/>
                <w:kern w:val="0"/>
                <w14:ligatures w14:val="none"/>
              </w:rPr>
            </w:pPr>
            <w:r w:rsidRPr="00AF0CC3">
              <w:rPr>
                <w:rFonts w:ascii="Times New Roman" w:eastAsia="Times New Roman" w:hAnsi="Times New Roman" w:cs="Times New Roman"/>
                <w:color w:val="000000" w:themeColor="text1"/>
                <w:kern w:val="0"/>
                <w14:ligatures w14:val="none"/>
              </w:rPr>
              <w:t>Wastewater</w:t>
            </w:r>
          </w:p>
        </w:tc>
        <w:tc>
          <w:tcPr>
            <w:tcW w:w="0" w:type="auto"/>
            <w:tcBorders>
              <w:top w:val="single" w:sz="4" w:space="0" w:color="auto"/>
              <w:left w:val="single" w:sz="4" w:space="0" w:color="auto"/>
              <w:bottom w:val="single" w:sz="4" w:space="0" w:color="auto"/>
              <w:right w:val="single" w:sz="4" w:space="0" w:color="auto"/>
            </w:tcBorders>
            <w:vAlign w:val="center"/>
            <w:hideMark/>
          </w:tcPr>
          <w:p w14:paraId="39E6BB02" w14:textId="77777777" w:rsidR="000B6A05" w:rsidRPr="00AF0CC3" w:rsidRDefault="000B6A05" w:rsidP="00E73C98">
            <w:pPr>
              <w:spacing w:after="0" w:line="360" w:lineRule="auto"/>
              <w:rPr>
                <w:rFonts w:ascii="Times New Roman" w:eastAsia="Times New Roman" w:hAnsi="Times New Roman" w:cs="Times New Roman"/>
                <w:color w:val="000000" w:themeColor="text1"/>
                <w:kern w:val="0"/>
                <w14:ligatures w14:val="none"/>
              </w:rPr>
            </w:pPr>
            <w:r w:rsidRPr="00AF0CC3">
              <w:rPr>
                <w:rFonts w:ascii="Times New Roman" w:eastAsia="Times New Roman" w:hAnsi="Times New Roman" w:cs="Times New Roman"/>
                <w:color w:val="000000" w:themeColor="text1"/>
                <w:kern w:val="0"/>
                <w14:ligatures w14:val="none"/>
              </w:rPr>
              <w:t>Coast Water Agency</w:t>
            </w:r>
          </w:p>
        </w:tc>
      </w:tr>
      <w:tr w:rsidR="000B6A05" w:rsidRPr="00AF0CC3" w14:paraId="66B2C632" w14:textId="77777777" w:rsidTr="00E73C98">
        <w:trPr>
          <w:tblCellSpacing w:w="15" w:type="dxa"/>
        </w:trPr>
        <w:tc>
          <w:tcPr>
            <w:tcW w:w="0" w:type="auto"/>
            <w:tcBorders>
              <w:top w:val="single" w:sz="4" w:space="0" w:color="auto"/>
              <w:left w:val="single" w:sz="4" w:space="0" w:color="auto"/>
              <w:bottom w:val="single" w:sz="4" w:space="0" w:color="auto"/>
              <w:right w:val="single" w:sz="4" w:space="0" w:color="auto"/>
            </w:tcBorders>
            <w:vAlign w:val="center"/>
            <w:hideMark/>
          </w:tcPr>
          <w:p w14:paraId="32F96D8D" w14:textId="77777777" w:rsidR="000B6A05" w:rsidRPr="00AF0CC3" w:rsidRDefault="000B6A05" w:rsidP="00E73C98">
            <w:pPr>
              <w:spacing w:after="0" w:line="360" w:lineRule="auto"/>
              <w:rPr>
                <w:rFonts w:ascii="Times New Roman" w:eastAsia="Times New Roman" w:hAnsi="Times New Roman" w:cs="Times New Roman"/>
                <w:color w:val="000000" w:themeColor="text1"/>
                <w:kern w:val="0"/>
                <w14:ligatures w14:val="none"/>
              </w:rPr>
            </w:pPr>
            <w:r w:rsidRPr="00AF0CC3">
              <w:rPr>
                <w:rFonts w:ascii="Times New Roman" w:eastAsia="Times New Roman" w:hAnsi="Times New Roman" w:cs="Times New Roman"/>
                <w:color w:val="000000" w:themeColor="text1"/>
                <w:kern w:val="0"/>
                <w14:ligatures w14:val="none"/>
              </w:rPr>
              <w:t>Naivasha Sewerage Development</w:t>
            </w:r>
          </w:p>
        </w:tc>
        <w:tc>
          <w:tcPr>
            <w:tcW w:w="0" w:type="auto"/>
            <w:tcBorders>
              <w:top w:val="single" w:sz="4" w:space="0" w:color="auto"/>
              <w:left w:val="single" w:sz="4" w:space="0" w:color="auto"/>
              <w:bottom w:val="single" w:sz="4" w:space="0" w:color="auto"/>
              <w:right w:val="single" w:sz="4" w:space="0" w:color="auto"/>
            </w:tcBorders>
            <w:vAlign w:val="center"/>
            <w:hideMark/>
          </w:tcPr>
          <w:p w14:paraId="25EC89F3" w14:textId="77777777" w:rsidR="000B6A05" w:rsidRPr="00AF0CC3" w:rsidRDefault="000B6A05" w:rsidP="00E73C98">
            <w:pPr>
              <w:spacing w:after="0" w:line="360" w:lineRule="auto"/>
              <w:rPr>
                <w:rFonts w:ascii="Times New Roman" w:eastAsia="Times New Roman" w:hAnsi="Times New Roman" w:cs="Times New Roman"/>
                <w:color w:val="000000" w:themeColor="text1"/>
                <w:kern w:val="0"/>
                <w14:ligatures w14:val="none"/>
              </w:rPr>
            </w:pPr>
            <w:r w:rsidRPr="00AF0CC3">
              <w:rPr>
                <w:rFonts w:ascii="Times New Roman" w:eastAsia="Times New Roman" w:hAnsi="Times New Roman" w:cs="Times New Roman"/>
                <w:color w:val="000000" w:themeColor="text1"/>
                <w:kern w:val="0"/>
                <w14:ligatures w14:val="none"/>
              </w:rPr>
              <w:t>Wastewater</w:t>
            </w:r>
          </w:p>
        </w:tc>
        <w:tc>
          <w:tcPr>
            <w:tcW w:w="0" w:type="auto"/>
            <w:tcBorders>
              <w:top w:val="single" w:sz="4" w:space="0" w:color="auto"/>
              <w:left w:val="single" w:sz="4" w:space="0" w:color="auto"/>
              <w:bottom w:val="single" w:sz="4" w:space="0" w:color="auto"/>
              <w:right w:val="single" w:sz="4" w:space="0" w:color="auto"/>
            </w:tcBorders>
            <w:vAlign w:val="center"/>
            <w:hideMark/>
          </w:tcPr>
          <w:p w14:paraId="7E74ECF1" w14:textId="77777777" w:rsidR="000B6A05" w:rsidRPr="00AF0CC3" w:rsidRDefault="000B6A05" w:rsidP="00E73C98">
            <w:pPr>
              <w:spacing w:after="0" w:line="360" w:lineRule="auto"/>
              <w:rPr>
                <w:rFonts w:ascii="Times New Roman" w:eastAsia="Times New Roman" w:hAnsi="Times New Roman" w:cs="Times New Roman"/>
                <w:color w:val="000000" w:themeColor="text1"/>
                <w:kern w:val="0"/>
                <w14:ligatures w14:val="none"/>
              </w:rPr>
            </w:pPr>
            <w:r w:rsidRPr="00AF0CC3">
              <w:rPr>
                <w:rFonts w:ascii="Times New Roman" w:eastAsia="Times New Roman" w:hAnsi="Times New Roman" w:cs="Times New Roman"/>
                <w:color w:val="000000" w:themeColor="text1"/>
                <w:kern w:val="0"/>
                <w14:ligatures w14:val="none"/>
              </w:rPr>
              <w:t>Rift Valley Water Works Agency</w:t>
            </w:r>
          </w:p>
        </w:tc>
      </w:tr>
      <w:tr w:rsidR="000B6A05" w:rsidRPr="00AF0CC3" w14:paraId="6337891A" w14:textId="77777777" w:rsidTr="00E73C98">
        <w:trPr>
          <w:tblCellSpacing w:w="15" w:type="dxa"/>
        </w:trPr>
        <w:tc>
          <w:tcPr>
            <w:tcW w:w="0" w:type="auto"/>
            <w:tcBorders>
              <w:top w:val="single" w:sz="4" w:space="0" w:color="auto"/>
              <w:left w:val="single" w:sz="4" w:space="0" w:color="auto"/>
              <w:bottom w:val="single" w:sz="4" w:space="0" w:color="auto"/>
              <w:right w:val="single" w:sz="4" w:space="0" w:color="auto"/>
            </w:tcBorders>
            <w:vAlign w:val="center"/>
            <w:hideMark/>
          </w:tcPr>
          <w:p w14:paraId="736A54B0" w14:textId="77777777" w:rsidR="000B6A05" w:rsidRPr="00AF0CC3" w:rsidRDefault="000B6A05" w:rsidP="00E73C98">
            <w:pPr>
              <w:spacing w:after="0" w:line="360" w:lineRule="auto"/>
              <w:rPr>
                <w:rFonts w:ascii="Times New Roman" w:eastAsia="Times New Roman" w:hAnsi="Times New Roman" w:cs="Times New Roman"/>
                <w:color w:val="000000" w:themeColor="text1"/>
                <w:kern w:val="0"/>
                <w14:ligatures w14:val="none"/>
              </w:rPr>
            </w:pPr>
            <w:r w:rsidRPr="00AF0CC3">
              <w:rPr>
                <w:rFonts w:ascii="Times New Roman" w:eastAsia="Times New Roman" w:hAnsi="Times New Roman" w:cs="Times New Roman"/>
                <w:color w:val="000000" w:themeColor="text1"/>
                <w:kern w:val="0"/>
                <w14:ligatures w14:val="none"/>
              </w:rPr>
              <w:t>Thika Sewerage Upgrade</w:t>
            </w:r>
          </w:p>
        </w:tc>
        <w:tc>
          <w:tcPr>
            <w:tcW w:w="0" w:type="auto"/>
            <w:tcBorders>
              <w:top w:val="single" w:sz="4" w:space="0" w:color="auto"/>
              <w:left w:val="single" w:sz="4" w:space="0" w:color="auto"/>
              <w:bottom w:val="single" w:sz="4" w:space="0" w:color="auto"/>
              <w:right w:val="single" w:sz="4" w:space="0" w:color="auto"/>
            </w:tcBorders>
            <w:vAlign w:val="center"/>
            <w:hideMark/>
          </w:tcPr>
          <w:p w14:paraId="513FCCB0" w14:textId="77777777" w:rsidR="000B6A05" w:rsidRPr="00AF0CC3" w:rsidRDefault="000B6A05" w:rsidP="00E73C98">
            <w:pPr>
              <w:spacing w:after="0" w:line="360" w:lineRule="auto"/>
              <w:rPr>
                <w:rFonts w:ascii="Times New Roman" w:eastAsia="Times New Roman" w:hAnsi="Times New Roman" w:cs="Times New Roman"/>
                <w:color w:val="000000" w:themeColor="text1"/>
                <w:kern w:val="0"/>
                <w14:ligatures w14:val="none"/>
              </w:rPr>
            </w:pPr>
            <w:r w:rsidRPr="00AF0CC3">
              <w:rPr>
                <w:rFonts w:ascii="Times New Roman" w:eastAsia="Times New Roman" w:hAnsi="Times New Roman" w:cs="Times New Roman"/>
                <w:color w:val="000000" w:themeColor="text1"/>
                <w:kern w:val="0"/>
                <w14:ligatures w14:val="none"/>
              </w:rPr>
              <w:t>Wastewater</w:t>
            </w:r>
          </w:p>
        </w:tc>
        <w:tc>
          <w:tcPr>
            <w:tcW w:w="0" w:type="auto"/>
            <w:tcBorders>
              <w:top w:val="single" w:sz="4" w:space="0" w:color="auto"/>
              <w:left w:val="single" w:sz="4" w:space="0" w:color="auto"/>
              <w:bottom w:val="single" w:sz="4" w:space="0" w:color="auto"/>
              <w:right w:val="single" w:sz="4" w:space="0" w:color="auto"/>
            </w:tcBorders>
            <w:vAlign w:val="center"/>
            <w:hideMark/>
          </w:tcPr>
          <w:p w14:paraId="179C5362" w14:textId="77777777" w:rsidR="000B6A05" w:rsidRPr="00AF0CC3" w:rsidRDefault="000B6A05" w:rsidP="00E73C98">
            <w:pPr>
              <w:spacing w:after="0" w:line="360" w:lineRule="auto"/>
              <w:rPr>
                <w:rFonts w:ascii="Times New Roman" w:eastAsia="Times New Roman" w:hAnsi="Times New Roman" w:cs="Times New Roman"/>
                <w:color w:val="000000" w:themeColor="text1"/>
                <w:kern w:val="0"/>
                <w14:ligatures w14:val="none"/>
              </w:rPr>
            </w:pPr>
            <w:r w:rsidRPr="00AF0CC3">
              <w:rPr>
                <w:rFonts w:ascii="Times New Roman" w:eastAsia="Times New Roman" w:hAnsi="Times New Roman" w:cs="Times New Roman"/>
                <w:color w:val="000000" w:themeColor="text1"/>
                <w:kern w:val="0"/>
                <w14:ligatures w14:val="none"/>
              </w:rPr>
              <w:t>Nairobi Water Services</w:t>
            </w:r>
          </w:p>
        </w:tc>
      </w:tr>
      <w:tr w:rsidR="000B6A05" w:rsidRPr="00AF0CC3" w14:paraId="4F8F253A" w14:textId="77777777" w:rsidTr="00E73C98">
        <w:trPr>
          <w:tblCellSpacing w:w="15" w:type="dxa"/>
        </w:trPr>
        <w:tc>
          <w:tcPr>
            <w:tcW w:w="0" w:type="auto"/>
            <w:tcBorders>
              <w:top w:val="single" w:sz="4" w:space="0" w:color="auto"/>
              <w:left w:val="single" w:sz="4" w:space="0" w:color="auto"/>
              <w:bottom w:val="single" w:sz="4" w:space="0" w:color="auto"/>
              <w:right w:val="single" w:sz="4" w:space="0" w:color="auto"/>
            </w:tcBorders>
            <w:vAlign w:val="center"/>
            <w:hideMark/>
          </w:tcPr>
          <w:p w14:paraId="6493949E" w14:textId="77777777" w:rsidR="000B6A05" w:rsidRPr="00AF0CC3" w:rsidRDefault="000B6A05" w:rsidP="00E73C98">
            <w:pPr>
              <w:spacing w:after="0" w:line="360" w:lineRule="auto"/>
              <w:rPr>
                <w:rFonts w:ascii="Times New Roman" w:eastAsia="Times New Roman" w:hAnsi="Times New Roman" w:cs="Times New Roman"/>
                <w:color w:val="000000" w:themeColor="text1"/>
                <w:kern w:val="0"/>
                <w14:ligatures w14:val="none"/>
              </w:rPr>
            </w:pPr>
            <w:r w:rsidRPr="00AF0CC3">
              <w:rPr>
                <w:rFonts w:ascii="Times New Roman" w:eastAsia="Times New Roman" w:hAnsi="Times New Roman" w:cs="Times New Roman"/>
                <w:color w:val="000000" w:themeColor="text1"/>
                <w:kern w:val="0"/>
                <w14:ligatures w14:val="none"/>
              </w:rPr>
              <w:t>Galana-Kulalu Irrigation Project</w:t>
            </w:r>
          </w:p>
        </w:tc>
        <w:tc>
          <w:tcPr>
            <w:tcW w:w="0" w:type="auto"/>
            <w:tcBorders>
              <w:top w:val="single" w:sz="4" w:space="0" w:color="auto"/>
              <w:left w:val="single" w:sz="4" w:space="0" w:color="auto"/>
              <w:bottom w:val="single" w:sz="4" w:space="0" w:color="auto"/>
              <w:right w:val="single" w:sz="4" w:space="0" w:color="auto"/>
            </w:tcBorders>
            <w:vAlign w:val="center"/>
            <w:hideMark/>
          </w:tcPr>
          <w:p w14:paraId="0CB95A00" w14:textId="77777777" w:rsidR="000B6A05" w:rsidRPr="00AF0CC3" w:rsidRDefault="000B6A05" w:rsidP="00E73C98">
            <w:pPr>
              <w:spacing w:after="0" w:line="360" w:lineRule="auto"/>
              <w:rPr>
                <w:rFonts w:ascii="Times New Roman" w:eastAsia="Times New Roman" w:hAnsi="Times New Roman" w:cs="Times New Roman"/>
                <w:color w:val="000000" w:themeColor="text1"/>
                <w:kern w:val="0"/>
                <w14:ligatures w14:val="none"/>
              </w:rPr>
            </w:pPr>
            <w:r w:rsidRPr="00AF0CC3">
              <w:rPr>
                <w:rFonts w:ascii="Times New Roman" w:eastAsia="Times New Roman" w:hAnsi="Times New Roman" w:cs="Times New Roman"/>
                <w:color w:val="000000" w:themeColor="text1"/>
                <w:kern w:val="0"/>
                <w14:ligatures w14:val="none"/>
              </w:rPr>
              <w:t>Irrigation</w:t>
            </w:r>
          </w:p>
        </w:tc>
        <w:tc>
          <w:tcPr>
            <w:tcW w:w="0" w:type="auto"/>
            <w:tcBorders>
              <w:top w:val="single" w:sz="4" w:space="0" w:color="auto"/>
              <w:left w:val="single" w:sz="4" w:space="0" w:color="auto"/>
              <w:bottom w:val="single" w:sz="4" w:space="0" w:color="auto"/>
              <w:right w:val="single" w:sz="4" w:space="0" w:color="auto"/>
            </w:tcBorders>
            <w:vAlign w:val="center"/>
            <w:hideMark/>
          </w:tcPr>
          <w:p w14:paraId="3DBE7B5B" w14:textId="77777777" w:rsidR="000B6A05" w:rsidRPr="00AF0CC3" w:rsidRDefault="000B6A05" w:rsidP="00E73C98">
            <w:pPr>
              <w:spacing w:after="0" w:line="360" w:lineRule="auto"/>
              <w:rPr>
                <w:rFonts w:ascii="Times New Roman" w:eastAsia="Times New Roman" w:hAnsi="Times New Roman" w:cs="Times New Roman"/>
                <w:color w:val="000000" w:themeColor="text1"/>
                <w:kern w:val="0"/>
                <w14:ligatures w14:val="none"/>
              </w:rPr>
            </w:pPr>
            <w:r w:rsidRPr="00AF0CC3">
              <w:rPr>
                <w:rFonts w:ascii="Times New Roman" w:eastAsia="Times New Roman" w:hAnsi="Times New Roman" w:cs="Times New Roman"/>
                <w:color w:val="000000" w:themeColor="text1"/>
                <w:kern w:val="0"/>
                <w14:ligatures w14:val="none"/>
              </w:rPr>
              <w:t>National Irrigation Authority; Parliamentary reports</w:t>
            </w:r>
          </w:p>
        </w:tc>
      </w:tr>
      <w:tr w:rsidR="000B6A05" w:rsidRPr="00AF0CC3" w14:paraId="60B5CFA1" w14:textId="77777777" w:rsidTr="00E73C98">
        <w:trPr>
          <w:tblCellSpacing w:w="15" w:type="dxa"/>
        </w:trPr>
        <w:tc>
          <w:tcPr>
            <w:tcW w:w="0" w:type="auto"/>
            <w:tcBorders>
              <w:top w:val="single" w:sz="4" w:space="0" w:color="auto"/>
              <w:left w:val="single" w:sz="4" w:space="0" w:color="auto"/>
              <w:bottom w:val="single" w:sz="4" w:space="0" w:color="auto"/>
              <w:right w:val="single" w:sz="4" w:space="0" w:color="auto"/>
            </w:tcBorders>
            <w:vAlign w:val="center"/>
            <w:hideMark/>
          </w:tcPr>
          <w:p w14:paraId="419413BD" w14:textId="77777777" w:rsidR="000B6A05" w:rsidRPr="00AF0CC3" w:rsidRDefault="000B6A05" w:rsidP="00E73C98">
            <w:pPr>
              <w:spacing w:after="0" w:line="360" w:lineRule="auto"/>
              <w:rPr>
                <w:rFonts w:ascii="Times New Roman" w:eastAsia="Times New Roman" w:hAnsi="Times New Roman" w:cs="Times New Roman"/>
                <w:color w:val="000000" w:themeColor="text1"/>
                <w:kern w:val="0"/>
                <w14:ligatures w14:val="none"/>
              </w:rPr>
            </w:pPr>
            <w:r w:rsidRPr="00AF0CC3">
              <w:rPr>
                <w:rFonts w:ascii="Times New Roman" w:eastAsia="Times New Roman" w:hAnsi="Times New Roman" w:cs="Times New Roman"/>
                <w:color w:val="000000" w:themeColor="text1"/>
                <w:kern w:val="0"/>
                <w14:ligatures w14:val="none"/>
              </w:rPr>
              <w:t>Bura Irrigation Scheme Rehabilitation</w:t>
            </w:r>
          </w:p>
        </w:tc>
        <w:tc>
          <w:tcPr>
            <w:tcW w:w="0" w:type="auto"/>
            <w:tcBorders>
              <w:top w:val="single" w:sz="4" w:space="0" w:color="auto"/>
              <w:left w:val="single" w:sz="4" w:space="0" w:color="auto"/>
              <w:bottom w:val="single" w:sz="4" w:space="0" w:color="auto"/>
              <w:right w:val="single" w:sz="4" w:space="0" w:color="auto"/>
            </w:tcBorders>
            <w:vAlign w:val="center"/>
            <w:hideMark/>
          </w:tcPr>
          <w:p w14:paraId="68C60230" w14:textId="77777777" w:rsidR="000B6A05" w:rsidRPr="00AF0CC3" w:rsidRDefault="000B6A05" w:rsidP="00E73C98">
            <w:pPr>
              <w:spacing w:after="0" w:line="360" w:lineRule="auto"/>
              <w:rPr>
                <w:rFonts w:ascii="Times New Roman" w:eastAsia="Times New Roman" w:hAnsi="Times New Roman" w:cs="Times New Roman"/>
                <w:color w:val="000000" w:themeColor="text1"/>
                <w:kern w:val="0"/>
                <w14:ligatures w14:val="none"/>
              </w:rPr>
            </w:pPr>
            <w:r w:rsidRPr="00AF0CC3">
              <w:rPr>
                <w:rFonts w:ascii="Times New Roman" w:eastAsia="Times New Roman" w:hAnsi="Times New Roman" w:cs="Times New Roman"/>
                <w:color w:val="000000" w:themeColor="text1"/>
                <w:kern w:val="0"/>
                <w14:ligatures w14:val="none"/>
              </w:rPr>
              <w:t>Irrigation</w:t>
            </w:r>
          </w:p>
        </w:tc>
        <w:tc>
          <w:tcPr>
            <w:tcW w:w="0" w:type="auto"/>
            <w:tcBorders>
              <w:top w:val="single" w:sz="4" w:space="0" w:color="auto"/>
              <w:left w:val="single" w:sz="4" w:space="0" w:color="auto"/>
              <w:bottom w:val="single" w:sz="4" w:space="0" w:color="auto"/>
              <w:right w:val="single" w:sz="4" w:space="0" w:color="auto"/>
            </w:tcBorders>
            <w:vAlign w:val="center"/>
            <w:hideMark/>
          </w:tcPr>
          <w:p w14:paraId="0F4EE50D" w14:textId="77777777" w:rsidR="000B6A05" w:rsidRPr="00AF0CC3" w:rsidRDefault="000B6A05" w:rsidP="00E73C98">
            <w:pPr>
              <w:spacing w:after="0" w:line="360" w:lineRule="auto"/>
              <w:rPr>
                <w:rFonts w:ascii="Times New Roman" w:eastAsia="Times New Roman" w:hAnsi="Times New Roman" w:cs="Times New Roman"/>
                <w:color w:val="000000" w:themeColor="text1"/>
                <w:kern w:val="0"/>
                <w14:ligatures w14:val="none"/>
              </w:rPr>
            </w:pPr>
            <w:r w:rsidRPr="00AF0CC3">
              <w:rPr>
                <w:rFonts w:ascii="Times New Roman" w:eastAsia="Times New Roman" w:hAnsi="Times New Roman" w:cs="Times New Roman"/>
                <w:color w:val="000000" w:themeColor="text1"/>
                <w:kern w:val="0"/>
                <w14:ligatures w14:val="none"/>
              </w:rPr>
              <w:t>National Irrigation Authority</w:t>
            </w:r>
          </w:p>
        </w:tc>
      </w:tr>
      <w:tr w:rsidR="000B6A05" w:rsidRPr="00AF0CC3" w14:paraId="68C98C10" w14:textId="77777777" w:rsidTr="00E73C98">
        <w:trPr>
          <w:tblCellSpacing w:w="15" w:type="dxa"/>
        </w:trPr>
        <w:tc>
          <w:tcPr>
            <w:tcW w:w="0" w:type="auto"/>
            <w:tcBorders>
              <w:top w:val="single" w:sz="4" w:space="0" w:color="auto"/>
              <w:left w:val="single" w:sz="4" w:space="0" w:color="auto"/>
              <w:bottom w:val="single" w:sz="4" w:space="0" w:color="auto"/>
              <w:right w:val="single" w:sz="4" w:space="0" w:color="auto"/>
            </w:tcBorders>
            <w:vAlign w:val="center"/>
            <w:hideMark/>
          </w:tcPr>
          <w:p w14:paraId="39EB3E43" w14:textId="77777777" w:rsidR="000B6A05" w:rsidRPr="00AF0CC3" w:rsidRDefault="000B6A05" w:rsidP="00E73C98">
            <w:pPr>
              <w:spacing w:after="0" w:line="360" w:lineRule="auto"/>
              <w:rPr>
                <w:rFonts w:ascii="Times New Roman" w:eastAsia="Times New Roman" w:hAnsi="Times New Roman" w:cs="Times New Roman"/>
                <w:color w:val="000000" w:themeColor="text1"/>
                <w:kern w:val="0"/>
                <w14:ligatures w14:val="none"/>
              </w:rPr>
            </w:pPr>
            <w:r w:rsidRPr="00AF0CC3">
              <w:rPr>
                <w:rFonts w:ascii="Times New Roman" w:eastAsia="Times New Roman" w:hAnsi="Times New Roman" w:cs="Times New Roman"/>
                <w:color w:val="000000" w:themeColor="text1"/>
                <w:kern w:val="0"/>
                <w14:ligatures w14:val="none"/>
              </w:rPr>
              <w:t>Mwea Irrigation Development</w:t>
            </w:r>
          </w:p>
        </w:tc>
        <w:tc>
          <w:tcPr>
            <w:tcW w:w="0" w:type="auto"/>
            <w:tcBorders>
              <w:top w:val="single" w:sz="4" w:space="0" w:color="auto"/>
              <w:left w:val="single" w:sz="4" w:space="0" w:color="auto"/>
              <w:bottom w:val="single" w:sz="4" w:space="0" w:color="auto"/>
              <w:right w:val="single" w:sz="4" w:space="0" w:color="auto"/>
            </w:tcBorders>
            <w:vAlign w:val="center"/>
            <w:hideMark/>
          </w:tcPr>
          <w:p w14:paraId="10C063F7" w14:textId="77777777" w:rsidR="000B6A05" w:rsidRPr="00AF0CC3" w:rsidRDefault="000B6A05" w:rsidP="00E73C98">
            <w:pPr>
              <w:spacing w:after="0" w:line="360" w:lineRule="auto"/>
              <w:rPr>
                <w:rFonts w:ascii="Times New Roman" w:eastAsia="Times New Roman" w:hAnsi="Times New Roman" w:cs="Times New Roman"/>
                <w:color w:val="000000" w:themeColor="text1"/>
                <w:kern w:val="0"/>
                <w14:ligatures w14:val="none"/>
              </w:rPr>
            </w:pPr>
            <w:r w:rsidRPr="00AF0CC3">
              <w:rPr>
                <w:rFonts w:ascii="Times New Roman" w:eastAsia="Times New Roman" w:hAnsi="Times New Roman" w:cs="Times New Roman"/>
                <w:color w:val="000000" w:themeColor="text1"/>
                <w:kern w:val="0"/>
                <w14:ligatures w14:val="none"/>
              </w:rPr>
              <w:t>Irrigation</w:t>
            </w:r>
          </w:p>
        </w:tc>
        <w:tc>
          <w:tcPr>
            <w:tcW w:w="0" w:type="auto"/>
            <w:tcBorders>
              <w:top w:val="single" w:sz="4" w:space="0" w:color="auto"/>
              <w:left w:val="single" w:sz="4" w:space="0" w:color="auto"/>
              <w:bottom w:val="single" w:sz="4" w:space="0" w:color="auto"/>
              <w:right w:val="single" w:sz="4" w:space="0" w:color="auto"/>
            </w:tcBorders>
            <w:vAlign w:val="center"/>
            <w:hideMark/>
          </w:tcPr>
          <w:p w14:paraId="3FC7A31E" w14:textId="77777777" w:rsidR="000B6A05" w:rsidRPr="00AF0CC3" w:rsidRDefault="000B6A05" w:rsidP="00E73C98">
            <w:pPr>
              <w:spacing w:after="0" w:line="360" w:lineRule="auto"/>
              <w:rPr>
                <w:rFonts w:ascii="Times New Roman" w:eastAsia="Times New Roman" w:hAnsi="Times New Roman" w:cs="Times New Roman"/>
                <w:color w:val="000000" w:themeColor="text1"/>
                <w:kern w:val="0"/>
                <w14:ligatures w14:val="none"/>
              </w:rPr>
            </w:pPr>
            <w:r w:rsidRPr="00AF0CC3">
              <w:rPr>
                <w:rFonts w:ascii="Times New Roman" w:eastAsia="Times New Roman" w:hAnsi="Times New Roman" w:cs="Times New Roman"/>
                <w:color w:val="000000" w:themeColor="text1"/>
                <w:kern w:val="0"/>
                <w14:ligatures w14:val="none"/>
              </w:rPr>
              <w:t>National Irrigation Authority</w:t>
            </w:r>
          </w:p>
        </w:tc>
      </w:tr>
      <w:tr w:rsidR="000B6A05" w:rsidRPr="00AF0CC3" w14:paraId="0F0E79EC" w14:textId="77777777" w:rsidTr="00E73C98">
        <w:trPr>
          <w:tblCellSpacing w:w="15" w:type="dxa"/>
        </w:trPr>
        <w:tc>
          <w:tcPr>
            <w:tcW w:w="0" w:type="auto"/>
            <w:tcBorders>
              <w:top w:val="single" w:sz="4" w:space="0" w:color="auto"/>
              <w:left w:val="single" w:sz="4" w:space="0" w:color="auto"/>
              <w:bottom w:val="single" w:sz="4" w:space="0" w:color="auto"/>
              <w:right w:val="single" w:sz="4" w:space="0" w:color="auto"/>
            </w:tcBorders>
            <w:vAlign w:val="center"/>
            <w:hideMark/>
          </w:tcPr>
          <w:p w14:paraId="170F3DAC" w14:textId="77777777" w:rsidR="000B6A05" w:rsidRPr="00AF0CC3" w:rsidRDefault="000B6A05" w:rsidP="00E73C98">
            <w:pPr>
              <w:spacing w:after="0" w:line="360" w:lineRule="auto"/>
              <w:rPr>
                <w:rFonts w:ascii="Times New Roman" w:eastAsia="Times New Roman" w:hAnsi="Times New Roman" w:cs="Times New Roman"/>
                <w:color w:val="000000" w:themeColor="text1"/>
                <w:kern w:val="0"/>
                <w14:ligatures w14:val="none"/>
              </w:rPr>
            </w:pPr>
            <w:r w:rsidRPr="00AF0CC3">
              <w:rPr>
                <w:rFonts w:ascii="Times New Roman" w:eastAsia="Times New Roman" w:hAnsi="Times New Roman" w:cs="Times New Roman"/>
                <w:color w:val="000000" w:themeColor="text1"/>
                <w:kern w:val="0"/>
                <w14:ligatures w14:val="none"/>
              </w:rPr>
              <w:t>Ahero Irrigation Scheme Expansion</w:t>
            </w:r>
          </w:p>
        </w:tc>
        <w:tc>
          <w:tcPr>
            <w:tcW w:w="0" w:type="auto"/>
            <w:tcBorders>
              <w:top w:val="single" w:sz="4" w:space="0" w:color="auto"/>
              <w:left w:val="single" w:sz="4" w:space="0" w:color="auto"/>
              <w:bottom w:val="single" w:sz="4" w:space="0" w:color="auto"/>
              <w:right w:val="single" w:sz="4" w:space="0" w:color="auto"/>
            </w:tcBorders>
            <w:vAlign w:val="center"/>
            <w:hideMark/>
          </w:tcPr>
          <w:p w14:paraId="3EBDACA0" w14:textId="77777777" w:rsidR="000B6A05" w:rsidRPr="00AF0CC3" w:rsidRDefault="000B6A05" w:rsidP="00E73C98">
            <w:pPr>
              <w:spacing w:after="0" w:line="360" w:lineRule="auto"/>
              <w:rPr>
                <w:rFonts w:ascii="Times New Roman" w:eastAsia="Times New Roman" w:hAnsi="Times New Roman" w:cs="Times New Roman"/>
                <w:color w:val="000000" w:themeColor="text1"/>
                <w:kern w:val="0"/>
                <w14:ligatures w14:val="none"/>
              </w:rPr>
            </w:pPr>
            <w:r w:rsidRPr="00AF0CC3">
              <w:rPr>
                <w:rFonts w:ascii="Times New Roman" w:eastAsia="Times New Roman" w:hAnsi="Times New Roman" w:cs="Times New Roman"/>
                <w:color w:val="000000" w:themeColor="text1"/>
                <w:kern w:val="0"/>
                <w14:ligatures w14:val="none"/>
              </w:rPr>
              <w:t>Irrigation</w:t>
            </w:r>
          </w:p>
        </w:tc>
        <w:tc>
          <w:tcPr>
            <w:tcW w:w="0" w:type="auto"/>
            <w:tcBorders>
              <w:top w:val="single" w:sz="4" w:space="0" w:color="auto"/>
              <w:left w:val="single" w:sz="4" w:space="0" w:color="auto"/>
              <w:bottom w:val="single" w:sz="4" w:space="0" w:color="auto"/>
              <w:right w:val="single" w:sz="4" w:space="0" w:color="auto"/>
            </w:tcBorders>
            <w:vAlign w:val="center"/>
            <w:hideMark/>
          </w:tcPr>
          <w:p w14:paraId="0D94585C" w14:textId="77777777" w:rsidR="000B6A05" w:rsidRPr="00AF0CC3" w:rsidRDefault="000B6A05" w:rsidP="00E73C98">
            <w:pPr>
              <w:spacing w:after="0" w:line="360" w:lineRule="auto"/>
              <w:rPr>
                <w:rFonts w:ascii="Times New Roman" w:eastAsia="Times New Roman" w:hAnsi="Times New Roman" w:cs="Times New Roman"/>
                <w:color w:val="000000" w:themeColor="text1"/>
                <w:kern w:val="0"/>
                <w14:ligatures w14:val="none"/>
              </w:rPr>
            </w:pPr>
            <w:r w:rsidRPr="00AF0CC3">
              <w:rPr>
                <w:rFonts w:ascii="Times New Roman" w:eastAsia="Times New Roman" w:hAnsi="Times New Roman" w:cs="Times New Roman"/>
                <w:color w:val="000000" w:themeColor="text1"/>
                <w:kern w:val="0"/>
                <w14:ligatures w14:val="none"/>
              </w:rPr>
              <w:t>National Irrigation Authority</w:t>
            </w:r>
          </w:p>
        </w:tc>
      </w:tr>
      <w:tr w:rsidR="000B6A05" w:rsidRPr="00AF0CC3" w14:paraId="1802A632" w14:textId="77777777" w:rsidTr="00E73C98">
        <w:trPr>
          <w:tblCellSpacing w:w="15" w:type="dxa"/>
        </w:trPr>
        <w:tc>
          <w:tcPr>
            <w:tcW w:w="0" w:type="auto"/>
            <w:tcBorders>
              <w:top w:val="single" w:sz="4" w:space="0" w:color="auto"/>
              <w:left w:val="single" w:sz="4" w:space="0" w:color="auto"/>
              <w:bottom w:val="single" w:sz="4" w:space="0" w:color="auto"/>
              <w:right w:val="single" w:sz="4" w:space="0" w:color="auto"/>
            </w:tcBorders>
            <w:vAlign w:val="center"/>
            <w:hideMark/>
          </w:tcPr>
          <w:p w14:paraId="39680490" w14:textId="77777777" w:rsidR="000B6A05" w:rsidRPr="00AF0CC3" w:rsidRDefault="000B6A05" w:rsidP="00E73C98">
            <w:pPr>
              <w:spacing w:after="0" w:line="360" w:lineRule="auto"/>
              <w:rPr>
                <w:rFonts w:ascii="Times New Roman" w:eastAsia="Times New Roman" w:hAnsi="Times New Roman" w:cs="Times New Roman"/>
                <w:color w:val="000000" w:themeColor="text1"/>
                <w:kern w:val="0"/>
                <w14:ligatures w14:val="none"/>
              </w:rPr>
            </w:pPr>
            <w:r w:rsidRPr="00AF0CC3">
              <w:rPr>
                <w:rFonts w:ascii="Times New Roman" w:eastAsia="Times New Roman" w:hAnsi="Times New Roman" w:cs="Times New Roman"/>
                <w:color w:val="000000" w:themeColor="text1"/>
                <w:kern w:val="0"/>
                <w14:ligatures w14:val="none"/>
              </w:rPr>
              <w:t>West Kano Irrigation Rehabilitation</w:t>
            </w:r>
          </w:p>
        </w:tc>
        <w:tc>
          <w:tcPr>
            <w:tcW w:w="0" w:type="auto"/>
            <w:tcBorders>
              <w:top w:val="single" w:sz="4" w:space="0" w:color="auto"/>
              <w:left w:val="single" w:sz="4" w:space="0" w:color="auto"/>
              <w:bottom w:val="single" w:sz="4" w:space="0" w:color="auto"/>
              <w:right w:val="single" w:sz="4" w:space="0" w:color="auto"/>
            </w:tcBorders>
            <w:vAlign w:val="center"/>
            <w:hideMark/>
          </w:tcPr>
          <w:p w14:paraId="6683DA22" w14:textId="77777777" w:rsidR="000B6A05" w:rsidRPr="00AF0CC3" w:rsidRDefault="000B6A05" w:rsidP="00E73C98">
            <w:pPr>
              <w:spacing w:after="0" w:line="360" w:lineRule="auto"/>
              <w:rPr>
                <w:rFonts w:ascii="Times New Roman" w:eastAsia="Times New Roman" w:hAnsi="Times New Roman" w:cs="Times New Roman"/>
                <w:color w:val="000000" w:themeColor="text1"/>
                <w:kern w:val="0"/>
                <w14:ligatures w14:val="none"/>
              </w:rPr>
            </w:pPr>
            <w:r w:rsidRPr="00AF0CC3">
              <w:rPr>
                <w:rFonts w:ascii="Times New Roman" w:eastAsia="Times New Roman" w:hAnsi="Times New Roman" w:cs="Times New Roman"/>
                <w:color w:val="000000" w:themeColor="text1"/>
                <w:kern w:val="0"/>
                <w14:ligatures w14:val="none"/>
              </w:rPr>
              <w:t>Irrigation</w:t>
            </w:r>
          </w:p>
        </w:tc>
        <w:tc>
          <w:tcPr>
            <w:tcW w:w="0" w:type="auto"/>
            <w:tcBorders>
              <w:top w:val="single" w:sz="4" w:space="0" w:color="auto"/>
              <w:left w:val="single" w:sz="4" w:space="0" w:color="auto"/>
              <w:bottom w:val="single" w:sz="4" w:space="0" w:color="auto"/>
              <w:right w:val="single" w:sz="4" w:space="0" w:color="auto"/>
            </w:tcBorders>
            <w:vAlign w:val="center"/>
            <w:hideMark/>
          </w:tcPr>
          <w:p w14:paraId="6B5431AD" w14:textId="77777777" w:rsidR="000B6A05" w:rsidRPr="00AF0CC3" w:rsidRDefault="000B6A05" w:rsidP="00E73C98">
            <w:pPr>
              <w:spacing w:after="0" w:line="360" w:lineRule="auto"/>
              <w:rPr>
                <w:rFonts w:ascii="Times New Roman" w:eastAsia="Times New Roman" w:hAnsi="Times New Roman" w:cs="Times New Roman"/>
                <w:color w:val="000000" w:themeColor="text1"/>
                <w:kern w:val="0"/>
                <w14:ligatures w14:val="none"/>
              </w:rPr>
            </w:pPr>
            <w:r w:rsidRPr="00AF0CC3">
              <w:rPr>
                <w:rFonts w:ascii="Times New Roman" w:eastAsia="Times New Roman" w:hAnsi="Times New Roman" w:cs="Times New Roman"/>
                <w:color w:val="000000" w:themeColor="text1"/>
                <w:kern w:val="0"/>
                <w14:ligatures w14:val="none"/>
              </w:rPr>
              <w:t>National Irrigation Authority</w:t>
            </w:r>
          </w:p>
        </w:tc>
      </w:tr>
      <w:tr w:rsidR="000B6A05" w:rsidRPr="00AF0CC3" w14:paraId="7DA31DEE" w14:textId="77777777" w:rsidTr="00E73C98">
        <w:trPr>
          <w:tblCellSpacing w:w="15" w:type="dxa"/>
        </w:trPr>
        <w:tc>
          <w:tcPr>
            <w:tcW w:w="0" w:type="auto"/>
            <w:tcBorders>
              <w:top w:val="single" w:sz="4" w:space="0" w:color="auto"/>
              <w:left w:val="single" w:sz="4" w:space="0" w:color="auto"/>
              <w:bottom w:val="single" w:sz="4" w:space="0" w:color="auto"/>
              <w:right w:val="single" w:sz="4" w:space="0" w:color="auto"/>
            </w:tcBorders>
            <w:vAlign w:val="center"/>
            <w:hideMark/>
          </w:tcPr>
          <w:p w14:paraId="38AE98D1" w14:textId="77777777" w:rsidR="000B6A05" w:rsidRPr="00AF0CC3" w:rsidRDefault="000B6A05" w:rsidP="00E73C98">
            <w:pPr>
              <w:spacing w:after="0" w:line="360" w:lineRule="auto"/>
              <w:rPr>
                <w:rFonts w:ascii="Times New Roman" w:eastAsia="Times New Roman" w:hAnsi="Times New Roman" w:cs="Times New Roman"/>
                <w:color w:val="000000" w:themeColor="text1"/>
                <w:kern w:val="0"/>
                <w14:ligatures w14:val="none"/>
              </w:rPr>
            </w:pPr>
            <w:r w:rsidRPr="00AF0CC3">
              <w:rPr>
                <w:rFonts w:ascii="Times New Roman" w:eastAsia="Times New Roman" w:hAnsi="Times New Roman" w:cs="Times New Roman"/>
                <w:color w:val="000000" w:themeColor="text1"/>
                <w:kern w:val="0"/>
                <w14:ligatures w14:val="none"/>
              </w:rPr>
              <w:t>Lower Nzoia Irrigation Project</w:t>
            </w:r>
          </w:p>
        </w:tc>
        <w:tc>
          <w:tcPr>
            <w:tcW w:w="0" w:type="auto"/>
            <w:tcBorders>
              <w:top w:val="single" w:sz="4" w:space="0" w:color="auto"/>
              <w:left w:val="single" w:sz="4" w:space="0" w:color="auto"/>
              <w:bottom w:val="single" w:sz="4" w:space="0" w:color="auto"/>
              <w:right w:val="single" w:sz="4" w:space="0" w:color="auto"/>
            </w:tcBorders>
            <w:vAlign w:val="center"/>
            <w:hideMark/>
          </w:tcPr>
          <w:p w14:paraId="1D295CCD" w14:textId="77777777" w:rsidR="000B6A05" w:rsidRPr="00AF0CC3" w:rsidRDefault="000B6A05" w:rsidP="00E73C98">
            <w:pPr>
              <w:spacing w:after="0" w:line="360" w:lineRule="auto"/>
              <w:rPr>
                <w:rFonts w:ascii="Times New Roman" w:eastAsia="Times New Roman" w:hAnsi="Times New Roman" w:cs="Times New Roman"/>
                <w:color w:val="000000" w:themeColor="text1"/>
                <w:kern w:val="0"/>
                <w14:ligatures w14:val="none"/>
              </w:rPr>
            </w:pPr>
            <w:r w:rsidRPr="00AF0CC3">
              <w:rPr>
                <w:rFonts w:ascii="Times New Roman" w:eastAsia="Times New Roman" w:hAnsi="Times New Roman" w:cs="Times New Roman"/>
                <w:color w:val="000000" w:themeColor="text1"/>
                <w:kern w:val="0"/>
                <w14:ligatures w14:val="none"/>
              </w:rPr>
              <w:t>Irrigation</w:t>
            </w:r>
          </w:p>
        </w:tc>
        <w:tc>
          <w:tcPr>
            <w:tcW w:w="0" w:type="auto"/>
            <w:tcBorders>
              <w:top w:val="single" w:sz="4" w:space="0" w:color="auto"/>
              <w:left w:val="single" w:sz="4" w:space="0" w:color="auto"/>
              <w:bottom w:val="single" w:sz="4" w:space="0" w:color="auto"/>
              <w:right w:val="single" w:sz="4" w:space="0" w:color="auto"/>
            </w:tcBorders>
            <w:vAlign w:val="center"/>
            <w:hideMark/>
          </w:tcPr>
          <w:p w14:paraId="56D9D3E7" w14:textId="77777777" w:rsidR="000B6A05" w:rsidRPr="00AF0CC3" w:rsidRDefault="000B6A05" w:rsidP="00E73C98">
            <w:pPr>
              <w:spacing w:after="0" w:line="360" w:lineRule="auto"/>
              <w:rPr>
                <w:rFonts w:ascii="Times New Roman" w:eastAsia="Times New Roman" w:hAnsi="Times New Roman" w:cs="Times New Roman"/>
                <w:color w:val="000000" w:themeColor="text1"/>
                <w:kern w:val="0"/>
                <w14:ligatures w14:val="none"/>
              </w:rPr>
            </w:pPr>
            <w:r w:rsidRPr="00AF0CC3">
              <w:rPr>
                <w:rFonts w:ascii="Times New Roman" w:eastAsia="Times New Roman" w:hAnsi="Times New Roman" w:cs="Times New Roman"/>
                <w:color w:val="000000" w:themeColor="text1"/>
                <w:kern w:val="0"/>
                <w14:ligatures w14:val="none"/>
              </w:rPr>
              <w:t>Ministry of Agriculture</w:t>
            </w:r>
          </w:p>
        </w:tc>
      </w:tr>
      <w:tr w:rsidR="000B6A05" w:rsidRPr="00AF0CC3" w14:paraId="628081C8" w14:textId="77777777" w:rsidTr="00E73C98">
        <w:trPr>
          <w:tblCellSpacing w:w="15" w:type="dxa"/>
        </w:trPr>
        <w:tc>
          <w:tcPr>
            <w:tcW w:w="0" w:type="auto"/>
            <w:tcBorders>
              <w:top w:val="single" w:sz="4" w:space="0" w:color="auto"/>
              <w:left w:val="single" w:sz="4" w:space="0" w:color="auto"/>
              <w:bottom w:val="single" w:sz="4" w:space="0" w:color="auto"/>
              <w:right w:val="single" w:sz="4" w:space="0" w:color="auto"/>
            </w:tcBorders>
            <w:vAlign w:val="center"/>
            <w:hideMark/>
          </w:tcPr>
          <w:p w14:paraId="75C02B91" w14:textId="77777777" w:rsidR="000B6A05" w:rsidRPr="00AF0CC3" w:rsidRDefault="000B6A05" w:rsidP="00E73C98">
            <w:pPr>
              <w:spacing w:after="0" w:line="360" w:lineRule="auto"/>
              <w:rPr>
                <w:rFonts w:ascii="Times New Roman" w:eastAsia="Times New Roman" w:hAnsi="Times New Roman" w:cs="Times New Roman"/>
                <w:color w:val="000000" w:themeColor="text1"/>
                <w:kern w:val="0"/>
                <w14:ligatures w14:val="none"/>
              </w:rPr>
            </w:pPr>
            <w:r w:rsidRPr="00AF0CC3">
              <w:rPr>
                <w:rFonts w:ascii="Times New Roman" w:eastAsia="Times New Roman" w:hAnsi="Times New Roman" w:cs="Times New Roman"/>
                <w:color w:val="000000" w:themeColor="text1"/>
                <w:kern w:val="0"/>
                <w14:ligatures w14:val="none"/>
              </w:rPr>
              <w:t>Tana Delta Irrigation Development</w:t>
            </w:r>
          </w:p>
        </w:tc>
        <w:tc>
          <w:tcPr>
            <w:tcW w:w="0" w:type="auto"/>
            <w:tcBorders>
              <w:top w:val="single" w:sz="4" w:space="0" w:color="auto"/>
              <w:left w:val="single" w:sz="4" w:space="0" w:color="auto"/>
              <w:bottom w:val="single" w:sz="4" w:space="0" w:color="auto"/>
              <w:right w:val="single" w:sz="4" w:space="0" w:color="auto"/>
            </w:tcBorders>
            <w:vAlign w:val="center"/>
            <w:hideMark/>
          </w:tcPr>
          <w:p w14:paraId="68546078" w14:textId="77777777" w:rsidR="000B6A05" w:rsidRPr="00AF0CC3" w:rsidRDefault="000B6A05" w:rsidP="00E73C98">
            <w:pPr>
              <w:spacing w:after="0" w:line="360" w:lineRule="auto"/>
              <w:rPr>
                <w:rFonts w:ascii="Times New Roman" w:eastAsia="Times New Roman" w:hAnsi="Times New Roman" w:cs="Times New Roman"/>
                <w:color w:val="000000" w:themeColor="text1"/>
                <w:kern w:val="0"/>
                <w14:ligatures w14:val="none"/>
              </w:rPr>
            </w:pPr>
            <w:r w:rsidRPr="00AF0CC3">
              <w:rPr>
                <w:rFonts w:ascii="Times New Roman" w:eastAsia="Times New Roman" w:hAnsi="Times New Roman" w:cs="Times New Roman"/>
                <w:color w:val="000000" w:themeColor="text1"/>
                <w:kern w:val="0"/>
                <w14:ligatures w14:val="none"/>
              </w:rPr>
              <w:t>Irrigation</w:t>
            </w:r>
          </w:p>
        </w:tc>
        <w:tc>
          <w:tcPr>
            <w:tcW w:w="0" w:type="auto"/>
            <w:tcBorders>
              <w:top w:val="single" w:sz="4" w:space="0" w:color="auto"/>
              <w:left w:val="single" w:sz="4" w:space="0" w:color="auto"/>
              <w:bottom w:val="single" w:sz="4" w:space="0" w:color="auto"/>
              <w:right w:val="single" w:sz="4" w:space="0" w:color="auto"/>
            </w:tcBorders>
            <w:vAlign w:val="center"/>
            <w:hideMark/>
          </w:tcPr>
          <w:p w14:paraId="0805D31C" w14:textId="77777777" w:rsidR="000B6A05" w:rsidRPr="00AF0CC3" w:rsidRDefault="000B6A05" w:rsidP="00E73C98">
            <w:pPr>
              <w:spacing w:after="0" w:line="360" w:lineRule="auto"/>
              <w:rPr>
                <w:rFonts w:ascii="Times New Roman" w:eastAsia="Times New Roman" w:hAnsi="Times New Roman" w:cs="Times New Roman"/>
                <w:color w:val="000000" w:themeColor="text1"/>
                <w:kern w:val="0"/>
                <w14:ligatures w14:val="none"/>
              </w:rPr>
            </w:pPr>
            <w:r w:rsidRPr="00AF0CC3">
              <w:rPr>
                <w:rFonts w:ascii="Times New Roman" w:eastAsia="Times New Roman" w:hAnsi="Times New Roman" w:cs="Times New Roman"/>
                <w:color w:val="000000" w:themeColor="text1"/>
                <w:kern w:val="0"/>
                <w14:ligatures w14:val="none"/>
              </w:rPr>
              <w:t>Ministry of Agriculture</w:t>
            </w:r>
          </w:p>
        </w:tc>
      </w:tr>
      <w:tr w:rsidR="000B6A05" w:rsidRPr="00AF0CC3" w14:paraId="7A83EFB7" w14:textId="77777777" w:rsidTr="00E73C98">
        <w:trPr>
          <w:tblCellSpacing w:w="15" w:type="dxa"/>
        </w:trPr>
        <w:tc>
          <w:tcPr>
            <w:tcW w:w="0" w:type="auto"/>
            <w:tcBorders>
              <w:top w:val="single" w:sz="4" w:space="0" w:color="auto"/>
              <w:left w:val="single" w:sz="4" w:space="0" w:color="auto"/>
              <w:bottom w:val="single" w:sz="4" w:space="0" w:color="auto"/>
              <w:right w:val="single" w:sz="4" w:space="0" w:color="auto"/>
            </w:tcBorders>
            <w:vAlign w:val="center"/>
            <w:hideMark/>
          </w:tcPr>
          <w:p w14:paraId="76FFC0BA" w14:textId="77777777" w:rsidR="000B6A05" w:rsidRPr="00AF0CC3" w:rsidRDefault="000B6A05" w:rsidP="00E73C98">
            <w:pPr>
              <w:spacing w:after="0" w:line="360" w:lineRule="auto"/>
              <w:rPr>
                <w:rFonts w:ascii="Times New Roman" w:eastAsia="Times New Roman" w:hAnsi="Times New Roman" w:cs="Times New Roman"/>
                <w:color w:val="000000" w:themeColor="text1"/>
                <w:kern w:val="0"/>
                <w14:ligatures w14:val="none"/>
              </w:rPr>
            </w:pPr>
            <w:r w:rsidRPr="00AF0CC3">
              <w:rPr>
                <w:rFonts w:ascii="Times New Roman" w:eastAsia="Times New Roman" w:hAnsi="Times New Roman" w:cs="Times New Roman"/>
                <w:color w:val="000000" w:themeColor="text1"/>
                <w:kern w:val="0"/>
                <w14:ligatures w14:val="none"/>
              </w:rPr>
              <w:t>Perkerra Irrigation Scheme</w:t>
            </w:r>
          </w:p>
        </w:tc>
        <w:tc>
          <w:tcPr>
            <w:tcW w:w="0" w:type="auto"/>
            <w:tcBorders>
              <w:top w:val="single" w:sz="4" w:space="0" w:color="auto"/>
              <w:left w:val="single" w:sz="4" w:space="0" w:color="auto"/>
              <w:bottom w:val="single" w:sz="4" w:space="0" w:color="auto"/>
              <w:right w:val="single" w:sz="4" w:space="0" w:color="auto"/>
            </w:tcBorders>
            <w:vAlign w:val="center"/>
            <w:hideMark/>
          </w:tcPr>
          <w:p w14:paraId="4C918F10" w14:textId="77777777" w:rsidR="000B6A05" w:rsidRPr="00AF0CC3" w:rsidRDefault="000B6A05" w:rsidP="00E73C98">
            <w:pPr>
              <w:spacing w:after="0" w:line="360" w:lineRule="auto"/>
              <w:rPr>
                <w:rFonts w:ascii="Times New Roman" w:eastAsia="Times New Roman" w:hAnsi="Times New Roman" w:cs="Times New Roman"/>
                <w:color w:val="000000" w:themeColor="text1"/>
                <w:kern w:val="0"/>
                <w14:ligatures w14:val="none"/>
              </w:rPr>
            </w:pPr>
            <w:r w:rsidRPr="00AF0CC3">
              <w:rPr>
                <w:rFonts w:ascii="Times New Roman" w:eastAsia="Times New Roman" w:hAnsi="Times New Roman" w:cs="Times New Roman"/>
                <w:color w:val="000000" w:themeColor="text1"/>
                <w:kern w:val="0"/>
                <w14:ligatures w14:val="none"/>
              </w:rPr>
              <w:t>Irrigation</w:t>
            </w:r>
          </w:p>
        </w:tc>
        <w:tc>
          <w:tcPr>
            <w:tcW w:w="0" w:type="auto"/>
            <w:tcBorders>
              <w:top w:val="single" w:sz="4" w:space="0" w:color="auto"/>
              <w:left w:val="single" w:sz="4" w:space="0" w:color="auto"/>
              <w:bottom w:val="single" w:sz="4" w:space="0" w:color="auto"/>
              <w:right w:val="single" w:sz="4" w:space="0" w:color="auto"/>
            </w:tcBorders>
            <w:vAlign w:val="center"/>
            <w:hideMark/>
          </w:tcPr>
          <w:p w14:paraId="072A3D72" w14:textId="77777777" w:rsidR="000B6A05" w:rsidRPr="00AF0CC3" w:rsidRDefault="000B6A05" w:rsidP="00E73C98">
            <w:pPr>
              <w:spacing w:after="0" w:line="360" w:lineRule="auto"/>
              <w:rPr>
                <w:rFonts w:ascii="Times New Roman" w:eastAsia="Times New Roman" w:hAnsi="Times New Roman" w:cs="Times New Roman"/>
                <w:color w:val="000000" w:themeColor="text1"/>
                <w:kern w:val="0"/>
                <w14:ligatures w14:val="none"/>
              </w:rPr>
            </w:pPr>
            <w:r w:rsidRPr="00AF0CC3">
              <w:rPr>
                <w:rFonts w:ascii="Times New Roman" w:eastAsia="Times New Roman" w:hAnsi="Times New Roman" w:cs="Times New Roman"/>
                <w:color w:val="000000" w:themeColor="text1"/>
                <w:kern w:val="0"/>
                <w14:ligatures w14:val="none"/>
              </w:rPr>
              <w:t>National Irrigation Authority</w:t>
            </w:r>
          </w:p>
        </w:tc>
      </w:tr>
      <w:tr w:rsidR="000B6A05" w:rsidRPr="00AF0CC3" w14:paraId="78ED8A06" w14:textId="77777777" w:rsidTr="00E73C98">
        <w:trPr>
          <w:tblCellSpacing w:w="15" w:type="dxa"/>
        </w:trPr>
        <w:tc>
          <w:tcPr>
            <w:tcW w:w="0" w:type="auto"/>
            <w:tcBorders>
              <w:top w:val="single" w:sz="4" w:space="0" w:color="auto"/>
              <w:left w:val="single" w:sz="4" w:space="0" w:color="auto"/>
              <w:bottom w:val="single" w:sz="4" w:space="0" w:color="auto"/>
              <w:right w:val="single" w:sz="4" w:space="0" w:color="auto"/>
            </w:tcBorders>
            <w:vAlign w:val="center"/>
            <w:hideMark/>
          </w:tcPr>
          <w:p w14:paraId="32902D40" w14:textId="77777777" w:rsidR="000B6A05" w:rsidRPr="00AF0CC3" w:rsidRDefault="000B6A05" w:rsidP="00E73C98">
            <w:pPr>
              <w:spacing w:after="0" w:line="360" w:lineRule="auto"/>
              <w:rPr>
                <w:rFonts w:ascii="Times New Roman" w:eastAsia="Times New Roman" w:hAnsi="Times New Roman" w:cs="Times New Roman"/>
                <w:color w:val="000000" w:themeColor="text1"/>
                <w:kern w:val="0"/>
                <w14:ligatures w14:val="none"/>
              </w:rPr>
            </w:pPr>
            <w:r w:rsidRPr="00AF0CC3">
              <w:rPr>
                <w:rFonts w:ascii="Times New Roman" w:eastAsia="Times New Roman" w:hAnsi="Times New Roman" w:cs="Times New Roman"/>
                <w:color w:val="000000" w:themeColor="text1"/>
                <w:kern w:val="0"/>
                <w14:ligatures w14:val="none"/>
              </w:rPr>
              <w:t>Hola Irrigation Scheme Rehabilitation</w:t>
            </w:r>
          </w:p>
        </w:tc>
        <w:tc>
          <w:tcPr>
            <w:tcW w:w="0" w:type="auto"/>
            <w:tcBorders>
              <w:top w:val="single" w:sz="4" w:space="0" w:color="auto"/>
              <w:left w:val="single" w:sz="4" w:space="0" w:color="auto"/>
              <w:bottom w:val="single" w:sz="4" w:space="0" w:color="auto"/>
              <w:right w:val="single" w:sz="4" w:space="0" w:color="auto"/>
            </w:tcBorders>
            <w:vAlign w:val="center"/>
            <w:hideMark/>
          </w:tcPr>
          <w:p w14:paraId="6024CE22" w14:textId="77777777" w:rsidR="000B6A05" w:rsidRPr="00AF0CC3" w:rsidRDefault="000B6A05" w:rsidP="00E73C98">
            <w:pPr>
              <w:spacing w:after="0" w:line="360" w:lineRule="auto"/>
              <w:rPr>
                <w:rFonts w:ascii="Times New Roman" w:eastAsia="Times New Roman" w:hAnsi="Times New Roman" w:cs="Times New Roman"/>
                <w:color w:val="000000" w:themeColor="text1"/>
                <w:kern w:val="0"/>
                <w14:ligatures w14:val="none"/>
              </w:rPr>
            </w:pPr>
            <w:r w:rsidRPr="00AF0CC3">
              <w:rPr>
                <w:rFonts w:ascii="Times New Roman" w:eastAsia="Times New Roman" w:hAnsi="Times New Roman" w:cs="Times New Roman"/>
                <w:color w:val="000000" w:themeColor="text1"/>
                <w:kern w:val="0"/>
                <w14:ligatures w14:val="none"/>
              </w:rPr>
              <w:t>Irrigation</w:t>
            </w:r>
          </w:p>
        </w:tc>
        <w:tc>
          <w:tcPr>
            <w:tcW w:w="0" w:type="auto"/>
            <w:tcBorders>
              <w:top w:val="single" w:sz="4" w:space="0" w:color="auto"/>
              <w:left w:val="single" w:sz="4" w:space="0" w:color="auto"/>
              <w:bottom w:val="single" w:sz="4" w:space="0" w:color="auto"/>
              <w:right w:val="single" w:sz="4" w:space="0" w:color="auto"/>
            </w:tcBorders>
            <w:vAlign w:val="center"/>
            <w:hideMark/>
          </w:tcPr>
          <w:p w14:paraId="7F04DF0A" w14:textId="77777777" w:rsidR="000B6A05" w:rsidRPr="00AF0CC3" w:rsidRDefault="000B6A05" w:rsidP="00E73C98">
            <w:pPr>
              <w:spacing w:after="0" w:line="360" w:lineRule="auto"/>
              <w:rPr>
                <w:rFonts w:ascii="Times New Roman" w:eastAsia="Times New Roman" w:hAnsi="Times New Roman" w:cs="Times New Roman"/>
                <w:color w:val="000000" w:themeColor="text1"/>
                <w:kern w:val="0"/>
                <w14:ligatures w14:val="none"/>
              </w:rPr>
            </w:pPr>
            <w:r w:rsidRPr="00AF0CC3">
              <w:rPr>
                <w:rFonts w:ascii="Times New Roman" w:eastAsia="Times New Roman" w:hAnsi="Times New Roman" w:cs="Times New Roman"/>
                <w:color w:val="000000" w:themeColor="text1"/>
                <w:kern w:val="0"/>
                <w14:ligatures w14:val="none"/>
              </w:rPr>
              <w:t>National Irrigation Authority</w:t>
            </w:r>
          </w:p>
        </w:tc>
      </w:tr>
      <w:tr w:rsidR="000B6A05" w:rsidRPr="00AF0CC3" w14:paraId="2D83B6ED" w14:textId="77777777" w:rsidTr="00E73C98">
        <w:trPr>
          <w:tblCellSpacing w:w="15" w:type="dxa"/>
        </w:trPr>
        <w:tc>
          <w:tcPr>
            <w:tcW w:w="0" w:type="auto"/>
            <w:tcBorders>
              <w:top w:val="single" w:sz="4" w:space="0" w:color="auto"/>
              <w:left w:val="single" w:sz="4" w:space="0" w:color="auto"/>
              <w:bottom w:val="single" w:sz="4" w:space="0" w:color="auto"/>
              <w:right w:val="single" w:sz="4" w:space="0" w:color="auto"/>
            </w:tcBorders>
            <w:vAlign w:val="center"/>
            <w:hideMark/>
          </w:tcPr>
          <w:p w14:paraId="4BD51113" w14:textId="77777777" w:rsidR="000B6A05" w:rsidRPr="00AF0CC3" w:rsidRDefault="000B6A05" w:rsidP="00E73C98">
            <w:pPr>
              <w:spacing w:after="0" w:line="360" w:lineRule="auto"/>
              <w:rPr>
                <w:rFonts w:ascii="Times New Roman" w:eastAsia="Times New Roman" w:hAnsi="Times New Roman" w:cs="Times New Roman"/>
                <w:color w:val="000000" w:themeColor="text1"/>
                <w:kern w:val="0"/>
                <w14:ligatures w14:val="none"/>
              </w:rPr>
            </w:pPr>
            <w:r w:rsidRPr="00AF0CC3">
              <w:rPr>
                <w:rFonts w:ascii="Times New Roman" w:eastAsia="Times New Roman" w:hAnsi="Times New Roman" w:cs="Times New Roman"/>
                <w:color w:val="000000" w:themeColor="text1"/>
                <w:kern w:val="0"/>
                <w14:ligatures w14:val="none"/>
              </w:rPr>
              <w:lastRenderedPageBreak/>
              <w:t>Turkana Irrigation Development</w:t>
            </w:r>
          </w:p>
        </w:tc>
        <w:tc>
          <w:tcPr>
            <w:tcW w:w="0" w:type="auto"/>
            <w:tcBorders>
              <w:top w:val="single" w:sz="4" w:space="0" w:color="auto"/>
              <w:left w:val="single" w:sz="4" w:space="0" w:color="auto"/>
              <w:bottom w:val="single" w:sz="4" w:space="0" w:color="auto"/>
              <w:right w:val="single" w:sz="4" w:space="0" w:color="auto"/>
            </w:tcBorders>
            <w:vAlign w:val="center"/>
            <w:hideMark/>
          </w:tcPr>
          <w:p w14:paraId="47FCDA59" w14:textId="77777777" w:rsidR="000B6A05" w:rsidRPr="00AF0CC3" w:rsidRDefault="000B6A05" w:rsidP="00E73C98">
            <w:pPr>
              <w:spacing w:after="0" w:line="360" w:lineRule="auto"/>
              <w:rPr>
                <w:rFonts w:ascii="Times New Roman" w:eastAsia="Times New Roman" w:hAnsi="Times New Roman" w:cs="Times New Roman"/>
                <w:color w:val="000000" w:themeColor="text1"/>
                <w:kern w:val="0"/>
                <w14:ligatures w14:val="none"/>
              </w:rPr>
            </w:pPr>
            <w:r w:rsidRPr="00AF0CC3">
              <w:rPr>
                <w:rFonts w:ascii="Times New Roman" w:eastAsia="Times New Roman" w:hAnsi="Times New Roman" w:cs="Times New Roman"/>
                <w:color w:val="000000" w:themeColor="text1"/>
                <w:kern w:val="0"/>
                <w14:ligatures w14:val="none"/>
              </w:rPr>
              <w:t>Irrigation</w:t>
            </w:r>
          </w:p>
        </w:tc>
        <w:tc>
          <w:tcPr>
            <w:tcW w:w="0" w:type="auto"/>
            <w:tcBorders>
              <w:top w:val="single" w:sz="4" w:space="0" w:color="auto"/>
              <w:left w:val="single" w:sz="4" w:space="0" w:color="auto"/>
              <w:bottom w:val="single" w:sz="4" w:space="0" w:color="auto"/>
              <w:right w:val="single" w:sz="4" w:space="0" w:color="auto"/>
            </w:tcBorders>
            <w:vAlign w:val="center"/>
            <w:hideMark/>
          </w:tcPr>
          <w:p w14:paraId="4A515702" w14:textId="77777777" w:rsidR="000B6A05" w:rsidRPr="00AF0CC3" w:rsidRDefault="000B6A05" w:rsidP="00E73C98">
            <w:pPr>
              <w:spacing w:after="0" w:line="360" w:lineRule="auto"/>
              <w:rPr>
                <w:rFonts w:ascii="Times New Roman" w:eastAsia="Times New Roman" w:hAnsi="Times New Roman" w:cs="Times New Roman"/>
                <w:color w:val="000000" w:themeColor="text1"/>
                <w:kern w:val="0"/>
                <w14:ligatures w14:val="none"/>
              </w:rPr>
            </w:pPr>
            <w:r w:rsidRPr="00AF0CC3">
              <w:rPr>
                <w:rFonts w:ascii="Times New Roman" w:eastAsia="Times New Roman" w:hAnsi="Times New Roman" w:cs="Times New Roman"/>
                <w:color w:val="000000" w:themeColor="text1"/>
                <w:kern w:val="0"/>
                <w14:ligatures w14:val="none"/>
              </w:rPr>
              <w:t>County government reports</w:t>
            </w:r>
          </w:p>
        </w:tc>
      </w:tr>
      <w:tr w:rsidR="000B6A05" w:rsidRPr="00AF0CC3" w14:paraId="312F36D5" w14:textId="77777777" w:rsidTr="00E73C98">
        <w:trPr>
          <w:tblCellSpacing w:w="15" w:type="dxa"/>
        </w:trPr>
        <w:tc>
          <w:tcPr>
            <w:tcW w:w="0" w:type="auto"/>
            <w:tcBorders>
              <w:top w:val="single" w:sz="4" w:space="0" w:color="auto"/>
              <w:left w:val="single" w:sz="4" w:space="0" w:color="auto"/>
              <w:bottom w:val="single" w:sz="4" w:space="0" w:color="auto"/>
              <w:right w:val="single" w:sz="4" w:space="0" w:color="auto"/>
            </w:tcBorders>
            <w:vAlign w:val="center"/>
            <w:hideMark/>
          </w:tcPr>
          <w:p w14:paraId="310D7BB7" w14:textId="77777777" w:rsidR="000B6A05" w:rsidRPr="00AF0CC3" w:rsidRDefault="000B6A05" w:rsidP="00E73C98">
            <w:pPr>
              <w:spacing w:after="0" w:line="360" w:lineRule="auto"/>
              <w:rPr>
                <w:rFonts w:ascii="Times New Roman" w:eastAsia="Times New Roman" w:hAnsi="Times New Roman" w:cs="Times New Roman"/>
                <w:color w:val="000000" w:themeColor="text1"/>
                <w:kern w:val="0"/>
                <w14:ligatures w14:val="none"/>
              </w:rPr>
            </w:pPr>
            <w:r w:rsidRPr="00AF0CC3">
              <w:rPr>
                <w:rFonts w:ascii="Times New Roman" w:eastAsia="Times New Roman" w:hAnsi="Times New Roman" w:cs="Times New Roman"/>
                <w:color w:val="000000" w:themeColor="text1"/>
                <w:kern w:val="0"/>
                <w14:ligatures w14:val="none"/>
              </w:rPr>
              <w:t>Yala Irrigation Project</w:t>
            </w:r>
          </w:p>
        </w:tc>
        <w:tc>
          <w:tcPr>
            <w:tcW w:w="0" w:type="auto"/>
            <w:tcBorders>
              <w:top w:val="single" w:sz="4" w:space="0" w:color="auto"/>
              <w:left w:val="single" w:sz="4" w:space="0" w:color="auto"/>
              <w:bottom w:val="single" w:sz="4" w:space="0" w:color="auto"/>
              <w:right w:val="single" w:sz="4" w:space="0" w:color="auto"/>
            </w:tcBorders>
            <w:vAlign w:val="center"/>
            <w:hideMark/>
          </w:tcPr>
          <w:p w14:paraId="6D4FD83F" w14:textId="77777777" w:rsidR="000B6A05" w:rsidRPr="00AF0CC3" w:rsidRDefault="000B6A05" w:rsidP="00E73C98">
            <w:pPr>
              <w:spacing w:after="0" w:line="360" w:lineRule="auto"/>
              <w:rPr>
                <w:rFonts w:ascii="Times New Roman" w:eastAsia="Times New Roman" w:hAnsi="Times New Roman" w:cs="Times New Roman"/>
                <w:color w:val="000000" w:themeColor="text1"/>
                <w:kern w:val="0"/>
                <w14:ligatures w14:val="none"/>
              </w:rPr>
            </w:pPr>
            <w:r w:rsidRPr="00AF0CC3">
              <w:rPr>
                <w:rFonts w:ascii="Times New Roman" w:eastAsia="Times New Roman" w:hAnsi="Times New Roman" w:cs="Times New Roman"/>
                <w:color w:val="000000" w:themeColor="text1"/>
                <w:kern w:val="0"/>
                <w14:ligatures w14:val="none"/>
              </w:rPr>
              <w:t>Irrigation</w:t>
            </w:r>
          </w:p>
        </w:tc>
        <w:tc>
          <w:tcPr>
            <w:tcW w:w="0" w:type="auto"/>
            <w:tcBorders>
              <w:top w:val="single" w:sz="4" w:space="0" w:color="auto"/>
              <w:left w:val="single" w:sz="4" w:space="0" w:color="auto"/>
              <w:bottom w:val="single" w:sz="4" w:space="0" w:color="auto"/>
              <w:right w:val="single" w:sz="4" w:space="0" w:color="auto"/>
            </w:tcBorders>
            <w:vAlign w:val="center"/>
            <w:hideMark/>
          </w:tcPr>
          <w:p w14:paraId="2B27CEA4" w14:textId="77777777" w:rsidR="000B6A05" w:rsidRPr="00AF0CC3" w:rsidRDefault="000B6A05" w:rsidP="00E73C98">
            <w:pPr>
              <w:spacing w:after="0" w:line="360" w:lineRule="auto"/>
              <w:rPr>
                <w:rFonts w:ascii="Times New Roman" w:eastAsia="Times New Roman" w:hAnsi="Times New Roman" w:cs="Times New Roman"/>
                <w:color w:val="000000" w:themeColor="text1"/>
                <w:kern w:val="0"/>
                <w14:ligatures w14:val="none"/>
              </w:rPr>
            </w:pPr>
            <w:r w:rsidRPr="00AF0CC3">
              <w:rPr>
                <w:rFonts w:ascii="Times New Roman" w:eastAsia="Times New Roman" w:hAnsi="Times New Roman" w:cs="Times New Roman"/>
                <w:color w:val="000000" w:themeColor="text1"/>
                <w:kern w:val="0"/>
                <w14:ligatures w14:val="none"/>
              </w:rPr>
              <w:t>Ministry of Agriculture</w:t>
            </w:r>
          </w:p>
        </w:tc>
      </w:tr>
      <w:tr w:rsidR="000B6A05" w:rsidRPr="00AF0CC3" w14:paraId="1D5FEFEF" w14:textId="77777777" w:rsidTr="00E73C98">
        <w:trPr>
          <w:tblCellSpacing w:w="15" w:type="dxa"/>
        </w:trPr>
        <w:tc>
          <w:tcPr>
            <w:tcW w:w="0" w:type="auto"/>
            <w:tcBorders>
              <w:top w:val="single" w:sz="4" w:space="0" w:color="auto"/>
              <w:left w:val="single" w:sz="4" w:space="0" w:color="auto"/>
              <w:bottom w:val="single" w:sz="4" w:space="0" w:color="auto"/>
              <w:right w:val="single" w:sz="4" w:space="0" w:color="auto"/>
            </w:tcBorders>
            <w:vAlign w:val="center"/>
            <w:hideMark/>
          </w:tcPr>
          <w:p w14:paraId="7B574744" w14:textId="77777777" w:rsidR="000B6A05" w:rsidRPr="00AF0CC3" w:rsidRDefault="000B6A05" w:rsidP="00E73C98">
            <w:pPr>
              <w:spacing w:after="0" w:line="360" w:lineRule="auto"/>
              <w:rPr>
                <w:rFonts w:ascii="Times New Roman" w:eastAsia="Times New Roman" w:hAnsi="Times New Roman" w:cs="Times New Roman"/>
                <w:color w:val="000000" w:themeColor="text1"/>
                <w:kern w:val="0"/>
                <w14:ligatures w14:val="none"/>
              </w:rPr>
            </w:pPr>
            <w:r w:rsidRPr="00AF0CC3">
              <w:rPr>
                <w:rFonts w:ascii="Times New Roman" w:eastAsia="Times New Roman" w:hAnsi="Times New Roman" w:cs="Times New Roman"/>
                <w:color w:val="000000" w:themeColor="text1"/>
                <w:kern w:val="0"/>
                <w14:ligatures w14:val="none"/>
              </w:rPr>
              <w:t>Kimira-Oluch Irrigation Project</w:t>
            </w:r>
          </w:p>
        </w:tc>
        <w:tc>
          <w:tcPr>
            <w:tcW w:w="0" w:type="auto"/>
            <w:tcBorders>
              <w:top w:val="single" w:sz="4" w:space="0" w:color="auto"/>
              <w:left w:val="single" w:sz="4" w:space="0" w:color="auto"/>
              <w:bottom w:val="single" w:sz="4" w:space="0" w:color="auto"/>
              <w:right w:val="single" w:sz="4" w:space="0" w:color="auto"/>
            </w:tcBorders>
            <w:vAlign w:val="center"/>
            <w:hideMark/>
          </w:tcPr>
          <w:p w14:paraId="5E55FD41" w14:textId="77777777" w:rsidR="000B6A05" w:rsidRPr="00AF0CC3" w:rsidRDefault="000B6A05" w:rsidP="00E73C98">
            <w:pPr>
              <w:spacing w:after="0" w:line="360" w:lineRule="auto"/>
              <w:rPr>
                <w:rFonts w:ascii="Times New Roman" w:eastAsia="Times New Roman" w:hAnsi="Times New Roman" w:cs="Times New Roman"/>
                <w:color w:val="000000" w:themeColor="text1"/>
                <w:kern w:val="0"/>
                <w14:ligatures w14:val="none"/>
              </w:rPr>
            </w:pPr>
            <w:r w:rsidRPr="00AF0CC3">
              <w:rPr>
                <w:rFonts w:ascii="Times New Roman" w:eastAsia="Times New Roman" w:hAnsi="Times New Roman" w:cs="Times New Roman"/>
                <w:color w:val="000000" w:themeColor="text1"/>
                <w:kern w:val="0"/>
                <w14:ligatures w14:val="none"/>
              </w:rPr>
              <w:t>Irrigation</w:t>
            </w:r>
          </w:p>
        </w:tc>
        <w:tc>
          <w:tcPr>
            <w:tcW w:w="0" w:type="auto"/>
            <w:tcBorders>
              <w:top w:val="single" w:sz="4" w:space="0" w:color="auto"/>
              <w:left w:val="single" w:sz="4" w:space="0" w:color="auto"/>
              <w:bottom w:val="single" w:sz="4" w:space="0" w:color="auto"/>
              <w:right w:val="single" w:sz="4" w:space="0" w:color="auto"/>
            </w:tcBorders>
            <w:vAlign w:val="center"/>
            <w:hideMark/>
          </w:tcPr>
          <w:p w14:paraId="23E182B4" w14:textId="77777777" w:rsidR="000B6A05" w:rsidRPr="00AF0CC3" w:rsidRDefault="000B6A05" w:rsidP="00E73C98">
            <w:pPr>
              <w:spacing w:after="0" w:line="360" w:lineRule="auto"/>
              <w:rPr>
                <w:rFonts w:ascii="Times New Roman" w:eastAsia="Times New Roman" w:hAnsi="Times New Roman" w:cs="Times New Roman"/>
                <w:color w:val="000000" w:themeColor="text1"/>
                <w:kern w:val="0"/>
                <w14:ligatures w14:val="none"/>
              </w:rPr>
            </w:pPr>
            <w:r w:rsidRPr="00AF0CC3">
              <w:rPr>
                <w:rFonts w:ascii="Times New Roman" w:eastAsia="Times New Roman" w:hAnsi="Times New Roman" w:cs="Times New Roman"/>
                <w:color w:val="000000" w:themeColor="text1"/>
                <w:kern w:val="0"/>
                <w14:ligatures w14:val="none"/>
              </w:rPr>
              <w:t>National Irrigation Authority</w:t>
            </w:r>
          </w:p>
        </w:tc>
      </w:tr>
      <w:tr w:rsidR="000B6A05" w:rsidRPr="00AF0CC3" w14:paraId="6E48E796" w14:textId="77777777" w:rsidTr="00E73C98">
        <w:trPr>
          <w:tblCellSpacing w:w="15" w:type="dxa"/>
        </w:trPr>
        <w:tc>
          <w:tcPr>
            <w:tcW w:w="0" w:type="auto"/>
            <w:tcBorders>
              <w:top w:val="single" w:sz="4" w:space="0" w:color="auto"/>
              <w:left w:val="single" w:sz="4" w:space="0" w:color="auto"/>
              <w:bottom w:val="single" w:sz="4" w:space="0" w:color="auto"/>
              <w:right w:val="single" w:sz="4" w:space="0" w:color="auto"/>
            </w:tcBorders>
            <w:vAlign w:val="center"/>
            <w:hideMark/>
          </w:tcPr>
          <w:p w14:paraId="048474AD" w14:textId="77777777" w:rsidR="000B6A05" w:rsidRPr="00AF0CC3" w:rsidRDefault="000B6A05" w:rsidP="00E73C98">
            <w:pPr>
              <w:spacing w:after="0" w:line="360" w:lineRule="auto"/>
              <w:rPr>
                <w:rFonts w:ascii="Times New Roman" w:eastAsia="Times New Roman" w:hAnsi="Times New Roman" w:cs="Times New Roman"/>
                <w:color w:val="000000" w:themeColor="text1"/>
                <w:kern w:val="0"/>
                <w14:ligatures w14:val="none"/>
              </w:rPr>
            </w:pPr>
            <w:r w:rsidRPr="00AF0CC3">
              <w:rPr>
                <w:rFonts w:ascii="Times New Roman" w:eastAsia="Times New Roman" w:hAnsi="Times New Roman" w:cs="Times New Roman"/>
                <w:color w:val="000000" w:themeColor="text1"/>
                <w:kern w:val="0"/>
                <w14:ligatures w14:val="none"/>
              </w:rPr>
              <w:t>Nairobi River Flood Control Program</w:t>
            </w:r>
          </w:p>
        </w:tc>
        <w:tc>
          <w:tcPr>
            <w:tcW w:w="0" w:type="auto"/>
            <w:tcBorders>
              <w:top w:val="single" w:sz="4" w:space="0" w:color="auto"/>
              <w:left w:val="single" w:sz="4" w:space="0" w:color="auto"/>
              <w:bottom w:val="single" w:sz="4" w:space="0" w:color="auto"/>
              <w:right w:val="single" w:sz="4" w:space="0" w:color="auto"/>
            </w:tcBorders>
            <w:vAlign w:val="center"/>
            <w:hideMark/>
          </w:tcPr>
          <w:p w14:paraId="687CC3F2" w14:textId="77777777" w:rsidR="000B6A05" w:rsidRPr="00AF0CC3" w:rsidRDefault="000B6A05" w:rsidP="00E73C98">
            <w:pPr>
              <w:spacing w:after="0" w:line="360" w:lineRule="auto"/>
              <w:rPr>
                <w:rFonts w:ascii="Times New Roman" w:eastAsia="Times New Roman" w:hAnsi="Times New Roman" w:cs="Times New Roman"/>
                <w:color w:val="000000" w:themeColor="text1"/>
                <w:kern w:val="0"/>
                <w14:ligatures w14:val="none"/>
              </w:rPr>
            </w:pPr>
            <w:r w:rsidRPr="00AF0CC3">
              <w:rPr>
                <w:rFonts w:ascii="Times New Roman" w:eastAsia="Times New Roman" w:hAnsi="Times New Roman" w:cs="Times New Roman"/>
                <w:color w:val="000000" w:themeColor="text1"/>
                <w:kern w:val="0"/>
                <w14:ligatures w14:val="none"/>
              </w:rPr>
              <w:t>Flood management</w:t>
            </w:r>
          </w:p>
        </w:tc>
        <w:tc>
          <w:tcPr>
            <w:tcW w:w="0" w:type="auto"/>
            <w:tcBorders>
              <w:top w:val="single" w:sz="4" w:space="0" w:color="auto"/>
              <w:left w:val="single" w:sz="4" w:space="0" w:color="auto"/>
              <w:bottom w:val="single" w:sz="4" w:space="0" w:color="auto"/>
              <w:right w:val="single" w:sz="4" w:space="0" w:color="auto"/>
            </w:tcBorders>
            <w:vAlign w:val="center"/>
            <w:hideMark/>
          </w:tcPr>
          <w:p w14:paraId="15761679" w14:textId="77777777" w:rsidR="000B6A05" w:rsidRPr="00AF0CC3" w:rsidRDefault="000B6A05" w:rsidP="00E73C98">
            <w:pPr>
              <w:spacing w:after="0" w:line="360" w:lineRule="auto"/>
              <w:rPr>
                <w:rFonts w:ascii="Times New Roman" w:eastAsia="Times New Roman" w:hAnsi="Times New Roman" w:cs="Times New Roman"/>
                <w:color w:val="000000" w:themeColor="text1"/>
                <w:kern w:val="0"/>
                <w14:ligatures w14:val="none"/>
              </w:rPr>
            </w:pPr>
            <w:r w:rsidRPr="00AF0CC3">
              <w:rPr>
                <w:rFonts w:ascii="Times New Roman" w:eastAsia="Times New Roman" w:hAnsi="Times New Roman" w:cs="Times New Roman"/>
                <w:color w:val="000000" w:themeColor="text1"/>
                <w:kern w:val="0"/>
                <w14:ligatures w14:val="none"/>
              </w:rPr>
              <w:t>Nairobi Metropolitan Services</w:t>
            </w:r>
          </w:p>
        </w:tc>
      </w:tr>
      <w:tr w:rsidR="000B6A05" w:rsidRPr="00AF0CC3" w14:paraId="69862D6A" w14:textId="77777777" w:rsidTr="00E73C98">
        <w:trPr>
          <w:tblCellSpacing w:w="15" w:type="dxa"/>
        </w:trPr>
        <w:tc>
          <w:tcPr>
            <w:tcW w:w="0" w:type="auto"/>
            <w:tcBorders>
              <w:top w:val="single" w:sz="4" w:space="0" w:color="auto"/>
              <w:left w:val="single" w:sz="4" w:space="0" w:color="auto"/>
              <w:bottom w:val="single" w:sz="4" w:space="0" w:color="auto"/>
              <w:right w:val="single" w:sz="4" w:space="0" w:color="auto"/>
            </w:tcBorders>
            <w:vAlign w:val="center"/>
            <w:hideMark/>
          </w:tcPr>
          <w:p w14:paraId="7DE95834" w14:textId="77777777" w:rsidR="000B6A05" w:rsidRPr="00AF0CC3" w:rsidRDefault="000B6A05" w:rsidP="00E73C98">
            <w:pPr>
              <w:spacing w:after="0" w:line="360" w:lineRule="auto"/>
              <w:rPr>
                <w:rFonts w:ascii="Times New Roman" w:eastAsia="Times New Roman" w:hAnsi="Times New Roman" w:cs="Times New Roman"/>
                <w:color w:val="000000" w:themeColor="text1"/>
                <w:kern w:val="0"/>
                <w14:ligatures w14:val="none"/>
              </w:rPr>
            </w:pPr>
            <w:r w:rsidRPr="00AF0CC3">
              <w:rPr>
                <w:rFonts w:ascii="Times New Roman" w:eastAsia="Times New Roman" w:hAnsi="Times New Roman" w:cs="Times New Roman"/>
                <w:color w:val="000000" w:themeColor="text1"/>
                <w:kern w:val="0"/>
                <w14:ligatures w14:val="none"/>
              </w:rPr>
              <w:t>Kisumu Flood Mitigation Project</w:t>
            </w:r>
          </w:p>
        </w:tc>
        <w:tc>
          <w:tcPr>
            <w:tcW w:w="0" w:type="auto"/>
            <w:tcBorders>
              <w:top w:val="single" w:sz="4" w:space="0" w:color="auto"/>
              <w:left w:val="single" w:sz="4" w:space="0" w:color="auto"/>
              <w:bottom w:val="single" w:sz="4" w:space="0" w:color="auto"/>
              <w:right w:val="single" w:sz="4" w:space="0" w:color="auto"/>
            </w:tcBorders>
            <w:vAlign w:val="center"/>
            <w:hideMark/>
          </w:tcPr>
          <w:p w14:paraId="7BE9C6B0" w14:textId="77777777" w:rsidR="000B6A05" w:rsidRPr="00AF0CC3" w:rsidRDefault="000B6A05" w:rsidP="00E73C98">
            <w:pPr>
              <w:spacing w:after="0" w:line="360" w:lineRule="auto"/>
              <w:rPr>
                <w:rFonts w:ascii="Times New Roman" w:eastAsia="Times New Roman" w:hAnsi="Times New Roman" w:cs="Times New Roman"/>
                <w:color w:val="000000" w:themeColor="text1"/>
                <w:kern w:val="0"/>
                <w14:ligatures w14:val="none"/>
              </w:rPr>
            </w:pPr>
            <w:r w:rsidRPr="00AF0CC3">
              <w:rPr>
                <w:rFonts w:ascii="Times New Roman" w:eastAsia="Times New Roman" w:hAnsi="Times New Roman" w:cs="Times New Roman"/>
                <w:color w:val="000000" w:themeColor="text1"/>
                <w:kern w:val="0"/>
                <w14:ligatures w14:val="none"/>
              </w:rPr>
              <w:t>Flood management</w:t>
            </w:r>
          </w:p>
        </w:tc>
        <w:tc>
          <w:tcPr>
            <w:tcW w:w="0" w:type="auto"/>
            <w:tcBorders>
              <w:top w:val="single" w:sz="4" w:space="0" w:color="auto"/>
              <w:left w:val="single" w:sz="4" w:space="0" w:color="auto"/>
              <w:bottom w:val="single" w:sz="4" w:space="0" w:color="auto"/>
              <w:right w:val="single" w:sz="4" w:space="0" w:color="auto"/>
            </w:tcBorders>
            <w:vAlign w:val="center"/>
            <w:hideMark/>
          </w:tcPr>
          <w:p w14:paraId="52783B42" w14:textId="77777777" w:rsidR="000B6A05" w:rsidRPr="00AF0CC3" w:rsidRDefault="000B6A05" w:rsidP="00E73C98">
            <w:pPr>
              <w:spacing w:after="0" w:line="360" w:lineRule="auto"/>
              <w:rPr>
                <w:rFonts w:ascii="Times New Roman" w:eastAsia="Times New Roman" w:hAnsi="Times New Roman" w:cs="Times New Roman"/>
                <w:color w:val="000000" w:themeColor="text1"/>
                <w:kern w:val="0"/>
                <w14:ligatures w14:val="none"/>
              </w:rPr>
            </w:pPr>
            <w:r w:rsidRPr="00AF0CC3">
              <w:rPr>
                <w:rFonts w:ascii="Times New Roman" w:eastAsia="Times New Roman" w:hAnsi="Times New Roman" w:cs="Times New Roman"/>
                <w:color w:val="000000" w:themeColor="text1"/>
                <w:kern w:val="0"/>
                <w14:ligatures w14:val="none"/>
              </w:rPr>
              <w:t>Lake Victoria Basin Commission</w:t>
            </w:r>
          </w:p>
        </w:tc>
      </w:tr>
      <w:tr w:rsidR="000B6A05" w:rsidRPr="00AF0CC3" w14:paraId="128DB748" w14:textId="77777777" w:rsidTr="00E73C98">
        <w:trPr>
          <w:tblCellSpacing w:w="15" w:type="dxa"/>
        </w:trPr>
        <w:tc>
          <w:tcPr>
            <w:tcW w:w="0" w:type="auto"/>
            <w:tcBorders>
              <w:top w:val="single" w:sz="4" w:space="0" w:color="auto"/>
              <w:left w:val="single" w:sz="4" w:space="0" w:color="auto"/>
              <w:bottom w:val="single" w:sz="4" w:space="0" w:color="auto"/>
              <w:right w:val="single" w:sz="4" w:space="0" w:color="auto"/>
            </w:tcBorders>
            <w:vAlign w:val="center"/>
            <w:hideMark/>
          </w:tcPr>
          <w:p w14:paraId="5B891E90" w14:textId="77777777" w:rsidR="000B6A05" w:rsidRPr="00AF0CC3" w:rsidRDefault="000B6A05" w:rsidP="00E73C98">
            <w:pPr>
              <w:spacing w:after="0" w:line="360" w:lineRule="auto"/>
              <w:rPr>
                <w:rFonts w:ascii="Times New Roman" w:eastAsia="Times New Roman" w:hAnsi="Times New Roman" w:cs="Times New Roman"/>
                <w:color w:val="000000" w:themeColor="text1"/>
                <w:kern w:val="0"/>
                <w14:ligatures w14:val="none"/>
              </w:rPr>
            </w:pPr>
            <w:r w:rsidRPr="00AF0CC3">
              <w:rPr>
                <w:rFonts w:ascii="Times New Roman" w:eastAsia="Times New Roman" w:hAnsi="Times New Roman" w:cs="Times New Roman"/>
                <w:color w:val="000000" w:themeColor="text1"/>
                <w:kern w:val="0"/>
                <w14:ligatures w14:val="none"/>
              </w:rPr>
              <w:t>Budalangi Flood Control Project</w:t>
            </w:r>
          </w:p>
        </w:tc>
        <w:tc>
          <w:tcPr>
            <w:tcW w:w="0" w:type="auto"/>
            <w:tcBorders>
              <w:top w:val="single" w:sz="4" w:space="0" w:color="auto"/>
              <w:left w:val="single" w:sz="4" w:space="0" w:color="auto"/>
              <w:bottom w:val="single" w:sz="4" w:space="0" w:color="auto"/>
              <w:right w:val="single" w:sz="4" w:space="0" w:color="auto"/>
            </w:tcBorders>
            <w:vAlign w:val="center"/>
            <w:hideMark/>
          </w:tcPr>
          <w:p w14:paraId="36665919" w14:textId="77777777" w:rsidR="000B6A05" w:rsidRPr="00AF0CC3" w:rsidRDefault="000B6A05" w:rsidP="00E73C98">
            <w:pPr>
              <w:spacing w:after="0" w:line="360" w:lineRule="auto"/>
              <w:rPr>
                <w:rFonts w:ascii="Times New Roman" w:eastAsia="Times New Roman" w:hAnsi="Times New Roman" w:cs="Times New Roman"/>
                <w:color w:val="000000" w:themeColor="text1"/>
                <w:kern w:val="0"/>
                <w14:ligatures w14:val="none"/>
              </w:rPr>
            </w:pPr>
            <w:r w:rsidRPr="00AF0CC3">
              <w:rPr>
                <w:rFonts w:ascii="Times New Roman" w:eastAsia="Times New Roman" w:hAnsi="Times New Roman" w:cs="Times New Roman"/>
                <w:color w:val="000000" w:themeColor="text1"/>
                <w:kern w:val="0"/>
                <w14:ligatures w14:val="none"/>
              </w:rPr>
              <w:t>Flood management</w:t>
            </w:r>
          </w:p>
        </w:tc>
        <w:tc>
          <w:tcPr>
            <w:tcW w:w="0" w:type="auto"/>
            <w:tcBorders>
              <w:top w:val="single" w:sz="4" w:space="0" w:color="auto"/>
              <w:left w:val="single" w:sz="4" w:space="0" w:color="auto"/>
              <w:bottom w:val="single" w:sz="4" w:space="0" w:color="auto"/>
              <w:right w:val="single" w:sz="4" w:space="0" w:color="auto"/>
            </w:tcBorders>
            <w:vAlign w:val="center"/>
            <w:hideMark/>
          </w:tcPr>
          <w:p w14:paraId="0F74E54F" w14:textId="77777777" w:rsidR="000B6A05" w:rsidRPr="00AF0CC3" w:rsidRDefault="000B6A05" w:rsidP="00E73C98">
            <w:pPr>
              <w:spacing w:after="0" w:line="360" w:lineRule="auto"/>
              <w:rPr>
                <w:rFonts w:ascii="Times New Roman" w:eastAsia="Times New Roman" w:hAnsi="Times New Roman" w:cs="Times New Roman"/>
                <w:color w:val="000000" w:themeColor="text1"/>
                <w:kern w:val="0"/>
                <w14:ligatures w14:val="none"/>
              </w:rPr>
            </w:pPr>
            <w:r w:rsidRPr="00AF0CC3">
              <w:rPr>
                <w:rFonts w:ascii="Times New Roman" w:eastAsia="Times New Roman" w:hAnsi="Times New Roman" w:cs="Times New Roman"/>
                <w:color w:val="000000" w:themeColor="text1"/>
                <w:kern w:val="0"/>
                <w14:ligatures w14:val="none"/>
              </w:rPr>
              <w:t>Ministry of Water</w:t>
            </w:r>
          </w:p>
        </w:tc>
      </w:tr>
      <w:tr w:rsidR="000B6A05" w:rsidRPr="00AF0CC3" w14:paraId="27CD7A40" w14:textId="77777777" w:rsidTr="00E73C98">
        <w:trPr>
          <w:tblCellSpacing w:w="15" w:type="dxa"/>
        </w:trPr>
        <w:tc>
          <w:tcPr>
            <w:tcW w:w="0" w:type="auto"/>
            <w:tcBorders>
              <w:top w:val="single" w:sz="4" w:space="0" w:color="auto"/>
              <w:left w:val="single" w:sz="4" w:space="0" w:color="auto"/>
              <w:bottom w:val="single" w:sz="4" w:space="0" w:color="auto"/>
              <w:right w:val="single" w:sz="4" w:space="0" w:color="auto"/>
            </w:tcBorders>
            <w:vAlign w:val="center"/>
            <w:hideMark/>
          </w:tcPr>
          <w:p w14:paraId="61BD05BE" w14:textId="77777777" w:rsidR="000B6A05" w:rsidRPr="00AF0CC3" w:rsidRDefault="000B6A05" w:rsidP="00E73C98">
            <w:pPr>
              <w:spacing w:after="0" w:line="360" w:lineRule="auto"/>
              <w:rPr>
                <w:rFonts w:ascii="Times New Roman" w:eastAsia="Times New Roman" w:hAnsi="Times New Roman" w:cs="Times New Roman"/>
                <w:color w:val="000000" w:themeColor="text1"/>
                <w:kern w:val="0"/>
                <w14:ligatures w14:val="none"/>
              </w:rPr>
            </w:pPr>
            <w:r w:rsidRPr="00AF0CC3">
              <w:rPr>
                <w:rFonts w:ascii="Times New Roman" w:eastAsia="Times New Roman" w:hAnsi="Times New Roman" w:cs="Times New Roman"/>
                <w:color w:val="000000" w:themeColor="text1"/>
                <w:kern w:val="0"/>
                <w14:ligatures w14:val="none"/>
              </w:rPr>
              <w:t>Mombasa Stormwater Drainage Project</w:t>
            </w:r>
          </w:p>
        </w:tc>
        <w:tc>
          <w:tcPr>
            <w:tcW w:w="0" w:type="auto"/>
            <w:tcBorders>
              <w:top w:val="single" w:sz="4" w:space="0" w:color="auto"/>
              <w:left w:val="single" w:sz="4" w:space="0" w:color="auto"/>
              <w:bottom w:val="single" w:sz="4" w:space="0" w:color="auto"/>
              <w:right w:val="single" w:sz="4" w:space="0" w:color="auto"/>
            </w:tcBorders>
            <w:vAlign w:val="center"/>
            <w:hideMark/>
          </w:tcPr>
          <w:p w14:paraId="2B9239E5" w14:textId="77777777" w:rsidR="000B6A05" w:rsidRPr="00AF0CC3" w:rsidRDefault="000B6A05" w:rsidP="00E73C98">
            <w:pPr>
              <w:spacing w:after="0" w:line="360" w:lineRule="auto"/>
              <w:rPr>
                <w:rFonts w:ascii="Times New Roman" w:eastAsia="Times New Roman" w:hAnsi="Times New Roman" w:cs="Times New Roman"/>
                <w:color w:val="000000" w:themeColor="text1"/>
                <w:kern w:val="0"/>
                <w14:ligatures w14:val="none"/>
              </w:rPr>
            </w:pPr>
            <w:r w:rsidRPr="00AF0CC3">
              <w:rPr>
                <w:rFonts w:ascii="Times New Roman" w:eastAsia="Times New Roman" w:hAnsi="Times New Roman" w:cs="Times New Roman"/>
                <w:color w:val="000000" w:themeColor="text1"/>
                <w:kern w:val="0"/>
                <w14:ligatures w14:val="none"/>
              </w:rPr>
              <w:t>Flood management</w:t>
            </w:r>
          </w:p>
        </w:tc>
        <w:tc>
          <w:tcPr>
            <w:tcW w:w="0" w:type="auto"/>
            <w:tcBorders>
              <w:top w:val="single" w:sz="4" w:space="0" w:color="auto"/>
              <w:left w:val="single" w:sz="4" w:space="0" w:color="auto"/>
              <w:bottom w:val="single" w:sz="4" w:space="0" w:color="auto"/>
              <w:right w:val="single" w:sz="4" w:space="0" w:color="auto"/>
            </w:tcBorders>
            <w:vAlign w:val="center"/>
            <w:hideMark/>
          </w:tcPr>
          <w:p w14:paraId="23C3C0F0" w14:textId="77777777" w:rsidR="000B6A05" w:rsidRPr="00AF0CC3" w:rsidRDefault="000B6A05" w:rsidP="00E73C98">
            <w:pPr>
              <w:spacing w:after="0" w:line="360" w:lineRule="auto"/>
              <w:rPr>
                <w:rFonts w:ascii="Times New Roman" w:eastAsia="Times New Roman" w:hAnsi="Times New Roman" w:cs="Times New Roman"/>
                <w:color w:val="000000" w:themeColor="text1"/>
                <w:kern w:val="0"/>
                <w14:ligatures w14:val="none"/>
              </w:rPr>
            </w:pPr>
            <w:r w:rsidRPr="00AF0CC3">
              <w:rPr>
                <w:rFonts w:ascii="Times New Roman" w:eastAsia="Times New Roman" w:hAnsi="Times New Roman" w:cs="Times New Roman"/>
                <w:color w:val="000000" w:themeColor="text1"/>
                <w:kern w:val="0"/>
                <w14:ligatures w14:val="none"/>
              </w:rPr>
              <w:t>Coast Water Agency</w:t>
            </w:r>
          </w:p>
        </w:tc>
      </w:tr>
      <w:tr w:rsidR="000B6A05" w:rsidRPr="00AF0CC3" w14:paraId="41E1C63D" w14:textId="77777777" w:rsidTr="00E73C98">
        <w:trPr>
          <w:tblCellSpacing w:w="15" w:type="dxa"/>
        </w:trPr>
        <w:tc>
          <w:tcPr>
            <w:tcW w:w="0" w:type="auto"/>
            <w:tcBorders>
              <w:top w:val="single" w:sz="4" w:space="0" w:color="auto"/>
              <w:left w:val="single" w:sz="4" w:space="0" w:color="auto"/>
              <w:bottom w:val="single" w:sz="4" w:space="0" w:color="auto"/>
              <w:right w:val="single" w:sz="4" w:space="0" w:color="auto"/>
            </w:tcBorders>
            <w:vAlign w:val="center"/>
            <w:hideMark/>
          </w:tcPr>
          <w:p w14:paraId="10D7B288" w14:textId="77777777" w:rsidR="000B6A05" w:rsidRPr="00AF0CC3" w:rsidRDefault="000B6A05" w:rsidP="00E73C98">
            <w:pPr>
              <w:spacing w:after="0" w:line="360" w:lineRule="auto"/>
              <w:rPr>
                <w:rFonts w:ascii="Times New Roman" w:eastAsia="Times New Roman" w:hAnsi="Times New Roman" w:cs="Times New Roman"/>
                <w:color w:val="000000" w:themeColor="text1"/>
                <w:kern w:val="0"/>
                <w14:ligatures w14:val="none"/>
              </w:rPr>
            </w:pPr>
            <w:r w:rsidRPr="00AF0CC3">
              <w:rPr>
                <w:rFonts w:ascii="Times New Roman" w:eastAsia="Times New Roman" w:hAnsi="Times New Roman" w:cs="Times New Roman"/>
                <w:color w:val="000000" w:themeColor="text1"/>
                <w:kern w:val="0"/>
                <w14:ligatures w14:val="none"/>
              </w:rPr>
              <w:t>Nairobi Metropolitan Drainage Improvement</w:t>
            </w:r>
          </w:p>
        </w:tc>
        <w:tc>
          <w:tcPr>
            <w:tcW w:w="0" w:type="auto"/>
            <w:tcBorders>
              <w:top w:val="single" w:sz="4" w:space="0" w:color="auto"/>
              <w:left w:val="single" w:sz="4" w:space="0" w:color="auto"/>
              <w:bottom w:val="single" w:sz="4" w:space="0" w:color="auto"/>
              <w:right w:val="single" w:sz="4" w:space="0" w:color="auto"/>
            </w:tcBorders>
            <w:vAlign w:val="center"/>
            <w:hideMark/>
          </w:tcPr>
          <w:p w14:paraId="3DE8D79C" w14:textId="77777777" w:rsidR="000B6A05" w:rsidRPr="00AF0CC3" w:rsidRDefault="000B6A05" w:rsidP="00E73C98">
            <w:pPr>
              <w:spacing w:after="0" w:line="360" w:lineRule="auto"/>
              <w:rPr>
                <w:rFonts w:ascii="Times New Roman" w:eastAsia="Times New Roman" w:hAnsi="Times New Roman" w:cs="Times New Roman"/>
                <w:color w:val="000000" w:themeColor="text1"/>
                <w:kern w:val="0"/>
                <w14:ligatures w14:val="none"/>
              </w:rPr>
            </w:pPr>
            <w:r w:rsidRPr="00AF0CC3">
              <w:rPr>
                <w:rFonts w:ascii="Times New Roman" w:eastAsia="Times New Roman" w:hAnsi="Times New Roman" w:cs="Times New Roman"/>
                <w:color w:val="000000" w:themeColor="text1"/>
                <w:kern w:val="0"/>
                <w14:ligatures w14:val="none"/>
              </w:rPr>
              <w:t>Flood management</w:t>
            </w:r>
          </w:p>
        </w:tc>
        <w:tc>
          <w:tcPr>
            <w:tcW w:w="0" w:type="auto"/>
            <w:tcBorders>
              <w:top w:val="single" w:sz="4" w:space="0" w:color="auto"/>
              <w:left w:val="single" w:sz="4" w:space="0" w:color="auto"/>
              <w:bottom w:val="single" w:sz="4" w:space="0" w:color="auto"/>
              <w:right w:val="single" w:sz="4" w:space="0" w:color="auto"/>
            </w:tcBorders>
            <w:vAlign w:val="center"/>
            <w:hideMark/>
          </w:tcPr>
          <w:p w14:paraId="28A44B19" w14:textId="77777777" w:rsidR="000B6A05" w:rsidRPr="00AF0CC3" w:rsidRDefault="000B6A05" w:rsidP="00E73C98">
            <w:pPr>
              <w:spacing w:after="0" w:line="360" w:lineRule="auto"/>
              <w:rPr>
                <w:rFonts w:ascii="Times New Roman" w:eastAsia="Times New Roman" w:hAnsi="Times New Roman" w:cs="Times New Roman"/>
                <w:color w:val="000000" w:themeColor="text1"/>
                <w:kern w:val="0"/>
                <w14:ligatures w14:val="none"/>
              </w:rPr>
            </w:pPr>
            <w:r w:rsidRPr="00AF0CC3">
              <w:rPr>
                <w:rFonts w:ascii="Times New Roman" w:eastAsia="Times New Roman" w:hAnsi="Times New Roman" w:cs="Times New Roman"/>
                <w:color w:val="000000" w:themeColor="text1"/>
                <w:kern w:val="0"/>
                <w14:ligatures w14:val="none"/>
              </w:rPr>
              <w:t>Nairobi City County</w:t>
            </w:r>
          </w:p>
        </w:tc>
      </w:tr>
    </w:tbl>
    <w:p w14:paraId="0D7EE8EE" w14:textId="77777777" w:rsidR="000B6A05" w:rsidRPr="00AF0CC3" w:rsidRDefault="000B6A05" w:rsidP="000B6A05">
      <w:pPr>
        <w:spacing w:line="360" w:lineRule="auto"/>
        <w:rPr>
          <w:rFonts w:ascii="Times New Roman" w:hAnsi="Times New Roman" w:cs="Times New Roman"/>
          <w:color w:val="000000" w:themeColor="text1"/>
        </w:rPr>
      </w:pPr>
    </w:p>
    <w:p w14:paraId="58BAB2F9" w14:textId="77777777" w:rsidR="000B6A05" w:rsidRPr="00AF0CC3" w:rsidRDefault="000B6A05" w:rsidP="000B6A05">
      <w:pPr>
        <w:spacing w:line="360" w:lineRule="auto"/>
        <w:rPr>
          <w:rFonts w:ascii="Times New Roman" w:hAnsi="Times New Roman" w:cs="Times New Roman"/>
          <w:color w:val="000000" w:themeColor="text1"/>
        </w:rPr>
      </w:pPr>
      <w:r w:rsidRPr="00AF0CC3">
        <w:rPr>
          <w:rFonts w:ascii="Times New Roman" w:hAnsi="Times New Roman" w:cs="Times New Roman"/>
          <w:color w:val="000000" w:themeColor="text1"/>
        </w:rPr>
        <w:t>Drawing on multiple institutional sources enhances the dataset's completeness and boosts the robustness of the empirical analysis.</w:t>
      </w:r>
    </w:p>
    <w:p w14:paraId="0D70E35C" w14:textId="4AF48BD4" w:rsidR="000B6A05" w:rsidRPr="00AF0CC3" w:rsidRDefault="000B6A05" w:rsidP="008A5815">
      <w:pPr>
        <w:pStyle w:val="Heading3"/>
        <w:rPr>
          <w:rFonts w:cs="Times New Roman"/>
          <w:color w:val="000000" w:themeColor="text1"/>
          <w:szCs w:val="24"/>
        </w:rPr>
      </w:pPr>
      <w:bookmarkStart w:id="275" w:name="_Toc230209543"/>
      <w:bookmarkStart w:id="276" w:name="_Toc234344822"/>
      <w:bookmarkStart w:id="277" w:name="_Toc234489054"/>
      <w:r w:rsidRPr="00AF0CC3">
        <w:rPr>
          <w:rFonts w:cs="Times New Roman"/>
          <w:color w:val="000000" w:themeColor="text1"/>
          <w:szCs w:val="24"/>
        </w:rPr>
        <w:t>Data coding procedures</w:t>
      </w:r>
      <w:bookmarkEnd w:id="275"/>
      <w:bookmarkEnd w:id="276"/>
      <w:bookmarkEnd w:id="277"/>
      <w:r w:rsidRPr="00AF0CC3">
        <w:rPr>
          <w:rFonts w:cs="Times New Roman"/>
          <w:color w:val="000000" w:themeColor="text1"/>
          <w:szCs w:val="24"/>
        </w:rPr>
        <w:t xml:space="preserve"> </w:t>
      </w:r>
    </w:p>
    <w:p w14:paraId="3ECEFF4A" w14:textId="77777777" w:rsidR="000B6A05" w:rsidRPr="00AF0CC3" w:rsidRDefault="000B6A05" w:rsidP="000B6A05">
      <w:pPr>
        <w:spacing w:line="360" w:lineRule="auto"/>
        <w:rPr>
          <w:rFonts w:ascii="Times New Roman" w:hAnsi="Times New Roman" w:cs="Times New Roman"/>
          <w:color w:val="000000" w:themeColor="text1"/>
        </w:rPr>
      </w:pPr>
      <w:r w:rsidRPr="00AF0CC3">
        <w:rPr>
          <w:rFonts w:ascii="Times New Roman" w:hAnsi="Times New Roman" w:cs="Times New Roman"/>
          <w:color w:val="000000" w:themeColor="text1"/>
        </w:rPr>
        <w:t>Data was extracted from project documentation using a structured coding protocol aligned with the Governance Quality Index framework. Each project was evaluated against standardized criteria, and coding decisions were based on verifiable documentary evidence whenever possible.</w:t>
      </w:r>
    </w:p>
    <w:p w14:paraId="26247C92" w14:textId="77777777" w:rsidR="000B6A05" w:rsidRPr="00AF0CC3" w:rsidRDefault="000B6A05" w:rsidP="000B6A05">
      <w:pPr>
        <w:spacing w:line="360" w:lineRule="auto"/>
        <w:rPr>
          <w:rFonts w:ascii="Times New Roman" w:hAnsi="Times New Roman" w:cs="Times New Roman"/>
          <w:color w:val="000000" w:themeColor="text1"/>
        </w:rPr>
      </w:pPr>
    </w:p>
    <w:p w14:paraId="60CBB9D7" w14:textId="77777777" w:rsidR="000B6A05" w:rsidRPr="00AF0CC3" w:rsidRDefault="000B6A05" w:rsidP="000B6A05">
      <w:pPr>
        <w:spacing w:line="360" w:lineRule="auto"/>
        <w:rPr>
          <w:rFonts w:ascii="Times New Roman" w:hAnsi="Times New Roman" w:cs="Times New Roman"/>
          <w:color w:val="000000" w:themeColor="text1"/>
        </w:rPr>
      </w:pPr>
      <w:r w:rsidRPr="00AF0CC3">
        <w:rPr>
          <w:rFonts w:ascii="Times New Roman" w:hAnsi="Times New Roman" w:cs="Times New Roman"/>
          <w:color w:val="000000" w:themeColor="text1"/>
        </w:rPr>
        <w:t xml:space="preserve">To improve reliability, coding followed explicit decision rules documented in a coding guide. When multiple sources provided conflicting information, priority was given to the most authoritative and recent source, with audit reports, official implementation records, and financing documents used to triangulate evidence. Ambiguous cases were flagged and resolved through </w:t>
      </w:r>
      <w:r w:rsidRPr="00AF0CC3">
        <w:rPr>
          <w:rFonts w:ascii="Times New Roman" w:hAnsi="Times New Roman" w:cs="Times New Roman"/>
          <w:color w:val="000000" w:themeColor="text1"/>
        </w:rPr>
        <w:lastRenderedPageBreak/>
        <w:t>rule-based adjudication, with conservative coding applied where documentation was insufficient to support higher governance scores.</w:t>
      </w:r>
    </w:p>
    <w:p w14:paraId="02A54DEB" w14:textId="77777777" w:rsidR="000B6A05" w:rsidRPr="00AF0CC3" w:rsidRDefault="000B6A05" w:rsidP="000B6A05">
      <w:pPr>
        <w:spacing w:line="360" w:lineRule="auto"/>
        <w:rPr>
          <w:rFonts w:ascii="Times New Roman" w:hAnsi="Times New Roman" w:cs="Times New Roman"/>
          <w:color w:val="000000" w:themeColor="text1"/>
        </w:rPr>
      </w:pPr>
    </w:p>
    <w:p w14:paraId="1AAAD790" w14:textId="77777777" w:rsidR="000B6A05" w:rsidRPr="00AF0CC3" w:rsidRDefault="000B6A05" w:rsidP="000B6A05">
      <w:pPr>
        <w:spacing w:line="360" w:lineRule="auto"/>
        <w:rPr>
          <w:rFonts w:ascii="Times New Roman" w:hAnsi="Times New Roman" w:cs="Times New Roman"/>
          <w:color w:val="000000" w:themeColor="text1"/>
        </w:rPr>
      </w:pPr>
      <w:r w:rsidRPr="00AF0CC3">
        <w:rPr>
          <w:rFonts w:ascii="Times New Roman" w:hAnsi="Times New Roman" w:cs="Times New Roman"/>
          <w:color w:val="000000" w:themeColor="text1"/>
        </w:rPr>
        <w:t>A subset of projects was recorded to assess the consistency of coding decisions, and discrepancies were reviewed against the coding protocol to ensure uniform application of classification criteria. This process minimizes the risk of subjective interpretation and enhances the transparency of dataset creation.</w:t>
      </w:r>
    </w:p>
    <w:p w14:paraId="271C62B8" w14:textId="77777777" w:rsidR="000B6A05" w:rsidRPr="00AF0CC3" w:rsidRDefault="000B6A05" w:rsidP="000B6A05">
      <w:pPr>
        <w:spacing w:line="360" w:lineRule="auto"/>
        <w:rPr>
          <w:rFonts w:ascii="Times New Roman" w:hAnsi="Times New Roman" w:cs="Times New Roman"/>
          <w:color w:val="000000" w:themeColor="text1"/>
        </w:rPr>
      </w:pPr>
      <w:r w:rsidRPr="00AF0CC3">
        <w:rPr>
          <w:rFonts w:ascii="Times New Roman" w:hAnsi="Times New Roman" w:cs="Times New Roman"/>
          <w:color w:val="000000" w:themeColor="text1"/>
        </w:rPr>
        <w:t>To improve coding reliability and reduce subjective interpretation bias, a subset of projects was independently reviewed and cross-coded. Inter-coder agreement exceeded 85 percent, indicating substantial consistency in project classification and governance scoring. Coding discrepancies were resolved through discussion, documentary verification, and refinement of operational coding definitions.</w:t>
      </w:r>
    </w:p>
    <w:p w14:paraId="0703E831" w14:textId="77777777" w:rsidR="000B6A05" w:rsidRPr="00AF0CC3" w:rsidRDefault="000B6A05" w:rsidP="000B6A05">
      <w:pPr>
        <w:spacing w:line="360" w:lineRule="auto"/>
        <w:rPr>
          <w:rFonts w:ascii="Times New Roman" w:hAnsi="Times New Roman" w:cs="Times New Roman"/>
          <w:color w:val="000000" w:themeColor="text1"/>
        </w:rPr>
      </w:pPr>
      <w:r w:rsidRPr="00AF0CC3">
        <w:rPr>
          <w:rFonts w:ascii="Times New Roman" w:hAnsi="Times New Roman" w:cs="Times New Roman"/>
          <w:color w:val="000000" w:themeColor="text1"/>
        </w:rPr>
        <w:t>Missing data was managed cautiously. Where no credible documentary evidence existed, observations were treated as missing rather than mechanically imputed. For governance indicators, the absence of evidence was not automatically treated as evidence of absence unless the relevant documentation would reasonably have been expected to contain such information. Sensitivity checks were conducted to assess whether excluding observations with missing data affected the main results.</w:t>
      </w:r>
    </w:p>
    <w:p w14:paraId="3BEF4DE2" w14:textId="77777777" w:rsidR="000B6A05" w:rsidRPr="00AF0CC3" w:rsidRDefault="000B6A05" w:rsidP="000B6A05">
      <w:pPr>
        <w:spacing w:line="360" w:lineRule="auto"/>
        <w:rPr>
          <w:rFonts w:ascii="Times New Roman" w:hAnsi="Times New Roman" w:cs="Times New Roman"/>
          <w:color w:val="000000" w:themeColor="text1"/>
        </w:rPr>
      </w:pPr>
    </w:p>
    <w:p w14:paraId="668BA5C6" w14:textId="77777777" w:rsidR="000B6A05" w:rsidRPr="00AF0CC3" w:rsidRDefault="000B6A05" w:rsidP="000B6A05">
      <w:pPr>
        <w:spacing w:line="360" w:lineRule="auto"/>
        <w:rPr>
          <w:rFonts w:ascii="Times New Roman" w:hAnsi="Times New Roman" w:cs="Times New Roman"/>
          <w:color w:val="000000" w:themeColor="text1"/>
        </w:rPr>
      </w:pPr>
      <w:r w:rsidRPr="00AF0CC3">
        <w:rPr>
          <w:rFonts w:ascii="Times New Roman" w:hAnsi="Times New Roman" w:cs="Times New Roman"/>
          <w:color w:val="000000" w:themeColor="text1"/>
        </w:rPr>
        <w:t>Since the empirical analysis depends on project-level data gathered from various sources, Table 3.6 presents the main data sources and coding methods used for each variable. The table promotes transparency on how project features, governance indicators, and performance results were obtained from documentary evidence.</w:t>
      </w:r>
    </w:p>
    <w:p w14:paraId="1663927F" w14:textId="77777777" w:rsidR="000B6A05" w:rsidRPr="00AF0CC3" w:rsidRDefault="000B6A05" w:rsidP="000B6A05">
      <w:pPr>
        <w:spacing w:line="360" w:lineRule="auto"/>
        <w:rPr>
          <w:rFonts w:ascii="Times New Roman" w:hAnsi="Times New Roman" w:cs="Times New Roman"/>
          <w:i/>
          <w:iCs/>
          <w:color w:val="000000" w:themeColor="text1"/>
        </w:rPr>
      </w:pPr>
      <w:r w:rsidRPr="00AF0CC3">
        <w:rPr>
          <w:rFonts w:ascii="Times New Roman" w:hAnsi="Times New Roman" w:cs="Times New Roman"/>
          <w:i/>
          <w:iCs/>
          <w:color w:val="000000" w:themeColor="text1"/>
        </w:rPr>
        <w:t>Table 3.6 Data Sources and Variable Coding Framework</w:t>
      </w:r>
    </w:p>
    <w:tbl>
      <w:tblPr>
        <w:tblW w:w="0" w:type="auto"/>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1700"/>
        <w:gridCol w:w="3142"/>
        <w:gridCol w:w="2247"/>
        <w:gridCol w:w="2261"/>
      </w:tblGrid>
      <w:tr w:rsidR="000B6A05" w:rsidRPr="00AF0CC3" w14:paraId="055C48C5" w14:textId="77777777" w:rsidTr="00E73C98">
        <w:trPr>
          <w:tblHeader/>
          <w:tblCellSpacing w:w="15" w:type="dxa"/>
        </w:trPr>
        <w:tc>
          <w:tcPr>
            <w:tcW w:w="0" w:type="auto"/>
            <w:vAlign w:val="center"/>
            <w:hideMark/>
          </w:tcPr>
          <w:p w14:paraId="04F7C564" w14:textId="77777777" w:rsidR="000B6A05" w:rsidRPr="00AF0CC3" w:rsidRDefault="000B6A05" w:rsidP="00E73C98">
            <w:pPr>
              <w:spacing w:after="0" w:line="360" w:lineRule="auto"/>
              <w:jc w:val="center"/>
              <w:rPr>
                <w:rFonts w:ascii="Times New Roman" w:eastAsia="Times New Roman" w:hAnsi="Times New Roman" w:cs="Times New Roman"/>
                <w:b/>
                <w:bCs/>
                <w:color w:val="000000" w:themeColor="text1"/>
                <w:kern w:val="0"/>
                <w14:ligatures w14:val="none"/>
              </w:rPr>
            </w:pPr>
            <w:r w:rsidRPr="00AF0CC3">
              <w:rPr>
                <w:rFonts w:ascii="Times New Roman" w:eastAsia="Times New Roman" w:hAnsi="Times New Roman" w:cs="Times New Roman"/>
                <w:b/>
                <w:bCs/>
                <w:color w:val="000000" w:themeColor="text1"/>
                <w:kern w:val="0"/>
                <w14:ligatures w14:val="none"/>
              </w:rPr>
              <w:lastRenderedPageBreak/>
              <w:t>Variable</w:t>
            </w:r>
          </w:p>
        </w:tc>
        <w:tc>
          <w:tcPr>
            <w:tcW w:w="0" w:type="auto"/>
            <w:vAlign w:val="center"/>
            <w:hideMark/>
          </w:tcPr>
          <w:p w14:paraId="305C4A19" w14:textId="77777777" w:rsidR="000B6A05" w:rsidRPr="00AF0CC3" w:rsidRDefault="000B6A05" w:rsidP="00E73C98">
            <w:pPr>
              <w:spacing w:after="0" w:line="360" w:lineRule="auto"/>
              <w:jc w:val="center"/>
              <w:rPr>
                <w:rFonts w:ascii="Times New Roman" w:eastAsia="Times New Roman" w:hAnsi="Times New Roman" w:cs="Times New Roman"/>
                <w:b/>
                <w:bCs/>
                <w:color w:val="000000" w:themeColor="text1"/>
                <w:kern w:val="0"/>
                <w14:ligatures w14:val="none"/>
              </w:rPr>
            </w:pPr>
            <w:r w:rsidRPr="00AF0CC3">
              <w:rPr>
                <w:rFonts w:ascii="Times New Roman" w:eastAsia="Times New Roman" w:hAnsi="Times New Roman" w:cs="Times New Roman"/>
                <w:b/>
                <w:bCs/>
                <w:color w:val="000000" w:themeColor="text1"/>
                <w:kern w:val="0"/>
                <w14:ligatures w14:val="none"/>
              </w:rPr>
              <w:t>Definition</w:t>
            </w:r>
          </w:p>
        </w:tc>
        <w:tc>
          <w:tcPr>
            <w:tcW w:w="0" w:type="auto"/>
            <w:vAlign w:val="center"/>
            <w:hideMark/>
          </w:tcPr>
          <w:p w14:paraId="5F936078" w14:textId="77777777" w:rsidR="000B6A05" w:rsidRPr="00AF0CC3" w:rsidRDefault="000B6A05" w:rsidP="00E73C98">
            <w:pPr>
              <w:spacing w:after="0" w:line="360" w:lineRule="auto"/>
              <w:jc w:val="center"/>
              <w:rPr>
                <w:rFonts w:ascii="Times New Roman" w:eastAsia="Times New Roman" w:hAnsi="Times New Roman" w:cs="Times New Roman"/>
                <w:b/>
                <w:bCs/>
                <w:color w:val="000000" w:themeColor="text1"/>
                <w:kern w:val="0"/>
                <w14:ligatures w14:val="none"/>
              </w:rPr>
            </w:pPr>
            <w:r w:rsidRPr="00AF0CC3">
              <w:rPr>
                <w:rFonts w:ascii="Times New Roman" w:eastAsia="Times New Roman" w:hAnsi="Times New Roman" w:cs="Times New Roman"/>
                <w:b/>
                <w:bCs/>
                <w:color w:val="000000" w:themeColor="text1"/>
                <w:kern w:val="0"/>
                <w14:ligatures w14:val="none"/>
              </w:rPr>
              <w:t>Coding Method</w:t>
            </w:r>
          </w:p>
        </w:tc>
        <w:tc>
          <w:tcPr>
            <w:tcW w:w="0" w:type="auto"/>
            <w:vAlign w:val="center"/>
            <w:hideMark/>
          </w:tcPr>
          <w:p w14:paraId="33E8CF0F" w14:textId="77777777" w:rsidR="000B6A05" w:rsidRPr="00AF0CC3" w:rsidRDefault="000B6A05" w:rsidP="00E73C98">
            <w:pPr>
              <w:spacing w:after="0" w:line="360" w:lineRule="auto"/>
              <w:jc w:val="center"/>
              <w:rPr>
                <w:rFonts w:ascii="Times New Roman" w:eastAsia="Times New Roman" w:hAnsi="Times New Roman" w:cs="Times New Roman"/>
                <w:b/>
                <w:bCs/>
                <w:color w:val="000000" w:themeColor="text1"/>
                <w:kern w:val="0"/>
                <w14:ligatures w14:val="none"/>
              </w:rPr>
            </w:pPr>
            <w:r w:rsidRPr="00AF0CC3">
              <w:rPr>
                <w:rFonts w:ascii="Times New Roman" w:eastAsia="Times New Roman" w:hAnsi="Times New Roman" w:cs="Times New Roman"/>
                <w:b/>
                <w:bCs/>
                <w:color w:val="000000" w:themeColor="text1"/>
                <w:kern w:val="0"/>
                <w14:ligatures w14:val="none"/>
              </w:rPr>
              <w:t>Primary Data Sources</w:t>
            </w:r>
          </w:p>
        </w:tc>
      </w:tr>
      <w:tr w:rsidR="000B6A05" w:rsidRPr="00AF0CC3" w14:paraId="755AA4E8" w14:textId="77777777" w:rsidTr="00E73C98">
        <w:trPr>
          <w:tblCellSpacing w:w="15" w:type="dxa"/>
        </w:trPr>
        <w:tc>
          <w:tcPr>
            <w:tcW w:w="0" w:type="auto"/>
            <w:vAlign w:val="center"/>
            <w:hideMark/>
          </w:tcPr>
          <w:p w14:paraId="40606AA2" w14:textId="77777777" w:rsidR="000B6A05" w:rsidRPr="00AF0CC3" w:rsidRDefault="000B6A05" w:rsidP="00E73C98">
            <w:pPr>
              <w:spacing w:after="0" w:line="360" w:lineRule="auto"/>
              <w:rPr>
                <w:rFonts w:ascii="Times New Roman" w:eastAsia="Times New Roman" w:hAnsi="Times New Roman" w:cs="Times New Roman"/>
                <w:color w:val="000000" w:themeColor="text1"/>
                <w:kern w:val="0"/>
                <w14:ligatures w14:val="none"/>
              </w:rPr>
            </w:pPr>
            <w:r w:rsidRPr="00AF0CC3">
              <w:rPr>
                <w:rFonts w:ascii="Times New Roman" w:eastAsia="Times New Roman" w:hAnsi="Times New Roman" w:cs="Times New Roman"/>
                <w:color w:val="000000" w:themeColor="text1"/>
                <w:kern w:val="0"/>
                <w14:ligatures w14:val="none"/>
              </w:rPr>
              <w:t>Project name</w:t>
            </w:r>
          </w:p>
        </w:tc>
        <w:tc>
          <w:tcPr>
            <w:tcW w:w="0" w:type="auto"/>
            <w:vAlign w:val="center"/>
            <w:hideMark/>
          </w:tcPr>
          <w:p w14:paraId="4DE7A41D" w14:textId="77777777" w:rsidR="000B6A05" w:rsidRPr="00AF0CC3" w:rsidRDefault="000B6A05" w:rsidP="00E73C98">
            <w:pPr>
              <w:spacing w:after="0" w:line="360" w:lineRule="auto"/>
              <w:rPr>
                <w:rFonts w:ascii="Times New Roman" w:eastAsia="Times New Roman" w:hAnsi="Times New Roman" w:cs="Times New Roman"/>
                <w:color w:val="000000" w:themeColor="text1"/>
                <w:kern w:val="0"/>
                <w14:ligatures w14:val="none"/>
              </w:rPr>
            </w:pPr>
            <w:r w:rsidRPr="00AF0CC3">
              <w:rPr>
                <w:rFonts w:ascii="Times New Roman" w:eastAsia="Times New Roman" w:hAnsi="Times New Roman" w:cs="Times New Roman"/>
                <w:color w:val="000000" w:themeColor="text1"/>
                <w:kern w:val="0"/>
                <w14:ligatures w14:val="none"/>
              </w:rPr>
              <w:t>The infrastructure project is included in the dataset</w:t>
            </w:r>
          </w:p>
        </w:tc>
        <w:tc>
          <w:tcPr>
            <w:tcW w:w="0" w:type="auto"/>
            <w:vAlign w:val="center"/>
            <w:hideMark/>
          </w:tcPr>
          <w:p w14:paraId="4A8FCF84" w14:textId="77777777" w:rsidR="000B6A05" w:rsidRPr="00AF0CC3" w:rsidRDefault="000B6A05" w:rsidP="00E73C98">
            <w:pPr>
              <w:spacing w:after="0" w:line="360" w:lineRule="auto"/>
              <w:rPr>
                <w:rFonts w:ascii="Times New Roman" w:eastAsia="Times New Roman" w:hAnsi="Times New Roman" w:cs="Times New Roman"/>
                <w:color w:val="000000" w:themeColor="text1"/>
                <w:kern w:val="0"/>
                <w14:ligatures w14:val="none"/>
              </w:rPr>
            </w:pPr>
            <w:r w:rsidRPr="00AF0CC3">
              <w:rPr>
                <w:rFonts w:ascii="Times New Roman" w:eastAsia="Times New Roman" w:hAnsi="Times New Roman" w:cs="Times New Roman"/>
                <w:color w:val="000000" w:themeColor="text1"/>
                <w:kern w:val="0"/>
                <w14:ligatures w14:val="none"/>
              </w:rPr>
              <w:t>Nominal</w:t>
            </w:r>
          </w:p>
        </w:tc>
        <w:tc>
          <w:tcPr>
            <w:tcW w:w="0" w:type="auto"/>
            <w:vAlign w:val="center"/>
            <w:hideMark/>
          </w:tcPr>
          <w:p w14:paraId="0A18D2C6" w14:textId="77777777" w:rsidR="000B6A05" w:rsidRPr="00AF0CC3" w:rsidRDefault="000B6A05" w:rsidP="00E73C98">
            <w:pPr>
              <w:spacing w:after="0" w:line="360" w:lineRule="auto"/>
              <w:rPr>
                <w:rFonts w:ascii="Times New Roman" w:eastAsia="Times New Roman" w:hAnsi="Times New Roman" w:cs="Times New Roman"/>
                <w:color w:val="000000" w:themeColor="text1"/>
                <w:kern w:val="0"/>
                <w14:ligatures w14:val="none"/>
              </w:rPr>
            </w:pPr>
            <w:r w:rsidRPr="00AF0CC3">
              <w:rPr>
                <w:rFonts w:ascii="Times New Roman" w:eastAsia="Times New Roman" w:hAnsi="Times New Roman" w:cs="Times New Roman"/>
                <w:color w:val="000000" w:themeColor="text1"/>
                <w:kern w:val="0"/>
                <w14:ligatures w14:val="none"/>
              </w:rPr>
              <w:t>Ministry of Water project lists</w:t>
            </w:r>
          </w:p>
        </w:tc>
      </w:tr>
      <w:tr w:rsidR="000B6A05" w:rsidRPr="00AF0CC3" w14:paraId="3209DC0C" w14:textId="77777777" w:rsidTr="00E73C98">
        <w:trPr>
          <w:tblCellSpacing w:w="15" w:type="dxa"/>
        </w:trPr>
        <w:tc>
          <w:tcPr>
            <w:tcW w:w="0" w:type="auto"/>
            <w:vAlign w:val="center"/>
            <w:hideMark/>
          </w:tcPr>
          <w:p w14:paraId="31755437" w14:textId="77777777" w:rsidR="000B6A05" w:rsidRPr="00AF0CC3" w:rsidRDefault="000B6A05" w:rsidP="00E73C98">
            <w:pPr>
              <w:spacing w:after="0" w:line="360" w:lineRule="auto"/>
              <w:rPr>
                <w:rFonts w:ascii="Times New Roman" w:eastAsia="Times New Roman" w:hAnsi="Times New Roman" w:cs="Times New Roman"/>
                <w:color w:val="000000" w:themeColor="text1"/>
                <w:kern w:val="0"/>
                <w14:ligatures w14:val="none"/>
              </w:rPr>
            </w:pPr>
            <w:r w:rsidRPr="00AF0CC3">
              <w:rPr>
                <w:rFonts w:ascii="Times New Roman" w:eastAsia="Times New Roman" w:hAnsi="Times New Roman" w:cs="Times New Roman"/>
                <w:color w:val="000000" w:themeColor="text1"/>
                <w:kern w:val="0"/>
                <w14:ligatures w14:val="none"/>
              </w:rPr>
              <w:t>Sector</w:t>
            </w:r>
          </w:p>
        </w:tc>
        <w:tc>
          <w:tcPr>
            <w:tcW w:w="0" w:type="auto"/>
            <w:vAlign w:val="center"/>
            <w:hideMark/>
          </w:tcPr>
          <w:p w14:paraId="7D2C863D" w14:textId="77777777" w:rsidR="000B6A05" w:rsidRPr="00AF0CC3" w:rsidRDefault="000B6A05" w:rsidP="00E73C98">
            <w:pPr>
              <w:spacing w:after="0" w:line="360" w:lineRule="auto"/>
              <w:rPr>
                <w:rFonts w:ascii="Times New Roman" w:eastAsia="Times New Roman" w:hAnsi="Times New Roman" w:cs="Times New Roman"/>
                <w:color w:val="000000" w:themeColor="text1"/>
                <w:kern w:val="0"/>
                <w14:ligatures w14:val="none"/>
              </w:rPr>
            </w:pPr>
            <w:r w:rsidRPr="00AF0CC3">
              <w:rPr>
                <w:rFonts w:ascii="Times New Roman" w:eastAsia="Times New Roman" w:hAnsi="Times New Roman" w:cs="Times New Roman"/>
                <w:color w:val="000000" w:themeColor="text1"/>
                <w:kern w:val="0"/>
                <w14:ligatures w14:val="none"/>
              </w:rPr>
              <w:t>Type of water infrastructure</w:t>
            </w:r>
          </w:p>
        </w:tc>
        <w:tc>
          <w:tcPr>
            <w:tcW w:w="0" w:type="auto"/>
            <w:vAlign w:val="center"/>
            <w:hideMark/>
          </w:tcPr>
          <w:p w14:paraId="3026BE35" w14:textId="77777777" w:rsidR="000B6A05" w:rsidRPr="00AF0CC3" w:rsidRDefault="000B6A05" w:rsidP="00E73C98">
            <w:pPr>
              <w:spacing w:after="0" w:line="360" w:lineRule="auto"/>
              <w:rPr>
                <w:rFonts w:ascii="Times New Roman" w:eastAsia="Times New Roman" w:hAnsi="Times New Roman" w:cs="Times New Roman"/>
                <w:color w:val="000000" w:themeColor="text1"/>
                <w:kern w:val="0"/>
                <w14:ligatures w14:val="none"/>
              </w:rPr>
            </w:pPr>
            <w:r w:rsidRPr="00AF0CC3">
              <w:rPr>
                <w:rFonts w:ascii="Times New Roman" w:eastAsia="Times New Roman" w:hAnsi="Times New Roman" w:cs="Times New Roman"/>
                <w:color w:val="000000" w:themeColor="text1"/>
                <w:kern w:val="0"/>
                <w14:ligatures w14:val="none"/>
              </w:rPr>
              <w:t>Dam / Irrigation / Water Supply / Sewerage / Flood</w:t>
            </w:r>
          </w:p>
        </w:tc>
        <w:tc>
          <w:tcPr>
            <w:tcW w:w="0" w:type="auto"/>
            <w:vAlign w:val="center"/>
            <w:hideMark/>
          </w:tcPr>
          <w:p w14:paraId="595BCE65" w14:textId="77777777" w:rsidR="000B6A05" w:rsidRPr="00AF0CC3" w:rsidRDefault="000B6A05" w:rsidP="00E73C98">
            <w:pPr>
              <w:spacing w:after="0" w:line="360" w:lineRule="auto"/>
              <w:rPr>
                <w:rFonts w:ascii="Times New Roman" w:eastAsia="Times New Roman" w:hAnsi="Times New Roman" w:cs="Times New Roman"/>
                <w:color w:val="000000" w:themeColor="text1"/>
                <w:kern w:val="0"/>
                <w14:ligatures w14:val="none"/>
              </w:rPr>
            </w:pPr>
            <w:r w:rsidRPr="00AF0CC3">
              <w:rPr>
                <w:rFonts w:ascii="Times New Roman" w:eastAsia="Times New Roman" w:hAnsi="Times New Roman" w:cs="Times New Roman"/>
                <w:color w:val="000000" w:themeColor="text1"/>
                <w:kern w:val="0"/>
                <w14:ligatures w14:val="none"/>
              </w:rPr>
              <w:t>Government infrastructure reports</w:t>
            </w:r>
          </w:p>
        </w:tc>
      </w:tr>
      <w:tr w:rsidR="000B6A05" w:rsidRPr="00AF0CC3" w14:paraId="723AEE07" w14:textId="77777777" w:rsidTr="00E73C98">
        <w:trPr>
          <w:tblCellSpacing w:w="15" w:type="dxa"/>
        </w:trPr>
        <w:tc>
          <w:tcPr>
            <w:tcW w:w="0" w:type="auto"/>
            <w:vAlign w:val="center"/>
            <w:hideMark/>
          </w:tcPr>
          <w:p w14:paraId="3F4B8CA7" w14:textId="77777777" w:rsidR="000B6A05" w:rsidRPr="00AF0CC3" w:rsidRDefault="000B6A05" w:rsidP="00E73C98">
            <w:pPr>
              <w:spacing w:after="0" w:line="360" w:lineRule="auto"/>
              <w:rPr>
                <w:rFonts w:ascii="Times New Roman" w:eastAsia="Times New Roman" w:hAnsi="Times New Roman" w:cs="Times New Roman"/>
                <w:color w:val="000000" w:themeColor="text1"/>
                <w:kern w:val="0"/>
                <w14:ligatures w14:val="none"/>
              </w:rPr>
            </w:pPr>
            <w:r w:rsidRPr="00AF0CC3">
              <w:rPr>
                <w:rFonts w:ascii="Times New Roman" w:eastAsia="Times New Roman" w:hAnsi="Times New Roman" w:cs="Times New Roman"/>
                <w:color w:val="000000" w:themeColor="text1"/>
                <w:kern w:val="0"/>
                <w14:ligatures w14:val="none"/>
              </w:rPr>
              <w:t>County</w:t>
            </w:r>
          </w:p>
        </w:tc>
        <w:tc>
          <w:tcPr>
            <w:tcW w:w="0" w:type="auto"/>
            <w:vAlign w:val="center"/>
            <w:hideMark/>
          </w:tcPr>
          <w:p w14:paraId="505FC9C5" w14:textId="77777777" w:rsidR="000B6A05" w:rsidRPr="00AF0CC3" w:rsidRDefault="000B6A05" w:rsidP="00E73C98">
            <w:pPr>
              <w:spacing w:after="0" w:line="360" w:lineRule="auto"/>
              <w:rPr>
                <w:rFonts w:ascii="Times New Roman" w:eastAsia="Times New Roman" w:hAnsi="Times New Roman" w:cs="Times New Roman"/>
                <w:color w:val="000000" w:themeColor="text1"/>
                <w:kern w:val="0"/>
                <w14:ligatures w14:val="none"/>
              </w:rPr>
            </w:pPr>
            <w:r w:rsidRPr="00AF0CC3">
              <w:rPr>
                <w:rFonts w:ascii="Times New Roman" w:eastAsia="Times New Roman" w:hAnsi="Times New Roman" w:cs="Times New Roman"/>
                <w:color w:val="000000" w:themeColor="text1"/>
                <w:kern w:val="0"/>
                <w14:ligatures w14:val="none"/>
              </w:rPr>
              <w:t>Geographic location of the project</w:t>
            </w:r>
          </w:p>
        </w:tc>
        <w:tc>
          <w:tcPr>
            <w:tcW w:w="0" w:type="auto"/>
            <w:vAlign w:val="center"/>
            <w:hideMark/>
          </w:tcPr>
          <w:p w14:paraId="05CC6203" w14:textId="77777777" w:rsidR="000B6A05" w:rsidRPr="00AF0CC3" w:rsidRDefault="000B6A05" w:rsidP="00E73C98">
            <w:pPr>
              <w:spacing w:after="0" w:line="360" w:lineRule="auto"/>
              <w:rPr>
                <w:rFonts w:ascii="Times New Roman" w:eastAsia="Times New Roman" w:hAnsi="Times New Roman" w:cs="Times New Roman"/>
                <w:color w:val="000000" w:themeColor="text1"/>
                <w:kern w:val="0"/>
                <w14:ligatures w14:val="none"/>
              </w:rPr>
            </w:pPr>
            <w:r w:rsidRPr="00AF0CC3">
              <w:rPr>
                <w:rFonts w:ascii="Times New Roman" w:eastAsia="Times New Roman" w:hAnsi="Times New Roman" w:cs="Times New Roman"/>
                <w:color w:val="000000" w:themeColor="text1"/>
                <w:kern w:val="0"/>
                <w14:ligatures w14:val="none"/>
              </w:rPr>
              <w:t>Kenyan county name</w:t>
            </w:r>
          </w:p>
        </w:tc>
        <w:tc>
          <w:tcPr>
            <w:tcW w:w="0" w:type="auto"/>
            <w:vAlign w:val="center"/>
            <w:hideMark/>
          </w:tcPr>
          <w:p w14:paraId="0CD8BF98" w14:textId="77777777" w:rsidR="000B6A05" w:rsidRPr="00AF0CC3" w:rsidRDefault="000B6A05" w:rsidP="00E73C98">
            <w:pPr>
              <w:spacing w:after="0" w:line="360" w:lineRule="auto"/>
              <w:rPr>
                <w:rFonts w:ascii="Times New Roman" w:eastAsia="Times New Roman" w:hAnsi="Times New Roman" w:cs="Times New Roman"/>
                <w:color w:val="000000" w:themeColor="text1"/>
                <w:kern w:val="0"/>
                <w14:ligatures w14:val="none"/>
              </w:rPr>
            </w:pPr>
            <w:r w:rsidRPr="00AF0CC3">
              <w:rPr>
                <w:rFonts w:ascii="Times New Roman" w:eastAsia="Times New Roman" w:hAnsi="Times New Roman" w:cs="Times New Roman"/>
                <w:color w:val="000000" w:themeColor="text1"/>
                <w:kern w:val="0"/>
                <w14:ligatures w14:val="none"/>
              </w:rPr>
              <w:t>Project documentation</w:t>
            </w:r>
          </w:p>
        </w:tc>
      </w:tr>
      <w:tr w:rsidR="000B6A05" w:rsidRPr="00AF0CC3" w14:paraId="60BAE479" w14:textId="77777777" w:rsidTr="00E73C98">
        <w:trPr>
          <w:tblCellSpacing w:w="15" w:type="dxa"/>
        </w:trPr>
        <w:tc>
          <w:tcPr>
            <w:tcW w:w="0" w:type="auto"/>
            <w:vAlign w:val="center"/>
            <w:hideMark/>
          </w:tcPr>
          <w:p w14:paraId="59CA6B24" w14:textId="77777777" w:rsidR="000B6A05" w:rsidRPr="00AF0CC3" w:rsidRDefault="000B6A05" w:rsidP="00E73C98">
            <w:pPr>
              <w:spacing w:after="0" w:line="360" w:lineRule="auto"/>
              <w:rPr>
                <w:rFonts w:ascii="Times New Roman" w:eastAsia="Times New Roman" w:hAnsi="Times New Roman" w:cs="Times New Roman"/>
                <w:color w:val="000000" w:themeColor="text1"/>
                <w:kern w:val="0"/>
                <w14:ligatures w14:val="none"/>
              </w:rPr>
            </w:pPr>
            <w:r w:rsidRPr="00AF0CC3">
              <w:rPr>
                <w:rFonts w:ascii="Times New Roman" w:eastAsia="Times New Roman" w:hAnsi="Times New Roman" w:cs="Times New Roman"/>
                <w:color w:val="000000" w:themeColor="text1"/>
                <w:kern w:val="0"/>
                <w14:ligatures w14:val="none"/>
              </w:rPr>
              <w:t>Start year</w:t>
            </w:r>
          </w:p>
        </w:tc>
        <w:tc>
          <w:tcPr>
            <w:tcW w:w="0" w:type="auto"/>
            <w:vAlign w:val="center"/>
            <w:hideMark/>
          </w:tcPr>
          <w:p w14:paraId="457D33CC" w14:textId="77777777" w:rsidR="000B6A05" w:rsidRPr="00AF0CC3" w:rsidRDefault="000B6A05" w:rsidP="00E73C98">
            <w:pPr>
              <w:spacing w:after="0" w:line="360" w:lineRule="auto"/>
              <w:rPr>
                <w:rFonts w:ascii="Times New Roman" w:eastAsia="Times New Roman" w:hAnsi="Times New Roman" w:cs="Times New Roman"/>
                <w:color w:val="000000" w:themeColor="text1"/>
                <w:kern w:val="0"/>
                <w14:ligatures w14:val="none"/>
              </w:rPr>
            </w:pPr>
            <w:r w:rsidRPr="00AF0CC3">
              <w:rPr>
                <w:rFonts w:ascii="Times New Roman" w:eastAsia="Times New Roman" w:hAnsi="Times New Roman" w:cs="Times New Roman"/>
                <w:color w:val="000000" w:themeColor="text1"/>
                <w:kern w:val="0"/>
                <w14:ligatures w14:val="none"/>
              </w:rPr>
              <w:t>Year construction or project implementation began</w:t>
            </w:r>
          </w:p>
        </w:tc>
        <w:tc>
          <w:tcPr>
            <w:tcW w:w="0" w:type="auto"/>
            <w:vAlign w:val="center"/>
            <w:hideMark/>
          </w:tcPr>
          <w:p w14:paraId="6F38EC47" w14:textId="77777777" w:rsidR="000B6A05" w:rsidRPr="00AF0CC3" w:rsidRDefault="000B6A05" w:rsidP="00E73C98">
            <w:pPr>
              <w:spacing w:after="0" w:line="360" w:lineRule="auto"/>
              <w:rPr>
                <w:rFonts w:ascii="Times New Roman" w:eastAsia="Times New Roman" w:hAnsi="Times New Roman" w:cs="Times New Roman"/>
                <w:color w:val="000000" w:themeColor="text1"/>
                <w:kern w:val="0"/>
                <w14:ligatures w14:val="none"/>
              </w:rPr>
            </w:pPr>
            <w:r w:rsidRPr="00AF0CC3">
              <w:rPr>
                <w:rFonts w:ascii="Times New Roman" w:eastAsia="Times New Roman" w:hAnsi="Times New Roman" w:cs="Times New Roman"/>
                <w:color w:val="000000" w:themeColor="text1"/>
                <w:kern w:val="0"/>
                <w14:ligatures w14:val="none"/>
              </w:rPr>
              <w:t>Numeric</w:t>
            </w:r>
          </w:p>
        </w:tc>
        <w:tc>
          <w:tcPr>
            <w:tcW w:w="0" w:type="auto"/>
            <w:vAlign w:val="center"/>
            <w:hideMark/>
          </w:tcPr>
          <w:p w14:paraId="75CD5175" w14:textId="77777777" w:rsidR="000B6A05" w:rsidRPr="00AF0CC3" w:rsidRDefault="000B6A05" w:rsidP="00E73C98">
            <w:pPr>
              <w:spacing w:after="0" w:line="360" w:lineRule="auto"/>
              <w:rPr>
                <w:rFonts w:ascii="Times New Roman" w:eastAsia="Times New Roman" w:hAnsi="Times New Roman" w:cs="Times New Roman"/>
                <w:color w:val="000000" w:themeColor="text1"/>
                <w:kern w:val="0"/>
                <w14:ligatures w14:val="none"/>
              </w:rPr>
            </w:pPr>
            <w:r w:rsidRPr="00AF0CC3">
              <w:rPr>
                <w:rFonts w:ascii="Times New Roman" w:eastAsia="Times New Roman" w:hAnsi="Times New Roman" w:cs="Times New Roman"/>
                <w:color w:val="000000" w:themeColor="text1"/>
                <w:kern w:val="0"/>
                <w14:ligatures w14:val="none"/>
              </w:rPr>
              <w:t>Feasibility studies, project reports</w:t>
            </w:r>
          </w:p>
        </w:tc>
      </w:tr>
      <w:tr w:rsidR="000B6A05" w:rsidRPr="00AF0CC3" w14:paraId="27A91476" w14:textId="77777777" w:rsidTr="00E73C98">
        <w:trPr>
          <w:tblCellSpacing w:w="15" w:type="dxa"/>
        </w:trPr>
        <w:tc>
          <w:tcPr>
            <w:tcW w:w="0" w:type="auto"/>
            <w:vAlign w:val="center"/>
            <w:hideMark/>
          </w:tcPr>
          <w:p w14:paraId="7CDBD03E" w14:textId="77777777" w:rsidR="000B6A05" w:rsidRPr="00AF0CC3" w:rsidRDefault="000B6A05" w:rsidP="00E73C98">
            <w:pPr>
              <w:spacing w:after="0" w:line="360" w:lineRule="auto"/>
              <w:rPr>
                <w:rFonts w:ascii="Times New Roman" w:eastAsia="Times New Roman" w:hAnsi="Times New Roman" w:cs="Times New Roman"/>
                <w:color w:val="000000" w:themeColor="text1"/>
                <w:kern w:val="0"/>
                <w14:ligatures w14:val="none"/>
              </w:rPr>
            </w:pPr>
            <w:r w:rsidRPr="00AF0CC3">
              <w:rPr>
                <w:rFonts w:ascii="Times New Roman" w:eastAsia="Times New Roman" w:hAnsi="Times New Roman" w:cs="Times New Roman"/>
                <w:color w:val="000000" w:themeColor="text1"/>
                <w:kern w:val="0"/>
                <w14:ligatures w14:val="none"/>
              </w:rPr>
              <w:t>Planned completion year</w:t>
            </w:r>
          </w:p>
        </w:tc>
        <w:tc>
          <w:tcPr>
            <w:tcW w:w="0" w:type="auto"/>
            <w:vAlign w:val="center"/>
            <w:hideMark/>
          </w:tcPr>
          <w:p w14:paraId="17D0D602" w14:textId="77777777" w:rsidR="000B6A05" w:rsidRPr="00AF0CC3" w:rsidRDefault="000B6A05" w:rsidP="00E73C98">
            <w:pPr>
              <w:spacing w:after="0" w:line="360" w:lineRule="auto"/>
              <w:rPr>
                <w:rFonts w:ascii="Times New Roman" w:eastAsia="Times New Roman" w:hAnsi="Times New Roman" w:cs="Times New Roman"/>
                <w:color w:val="000000" w:themeColor="text1"/>
                <w:kern w:val="0"/>
                <w14:ligatures w14:val="none"/>
              </w:rPr>
            </w:pPr>
            <w:r w:rsidRPr="00AF0CC3">
              <w:rPr>
                <w:rFonts w:ascii="Times New Roman" w:eastAsia="Times New Roman" w:hAnsi="Times New Roman" w:cs="Times New Roman"/>
                <w:color w:val="000000" w:themeColor="text1"/>
                <w:kern w:val="0"/>
                <w14:ligatures w14:val="none"/>
              </w:rPr>
              <w:t>Original expected completion year</w:t>
            </w:r>
          </w:p>
        </w:tc>
        <w:tc>
          <w:tcPr>
            <w:tcW w:w="0" w:type="auto"/>
            <w:vAlign w:val="center"/>
            <w:hideMark/>
          </w:tcPr>
          <w:p w14:paraId="41AECB64" w14:textId="77777777" w:rsidR="000B6A05" w:rsidRPr="00AF0CC3" w:rsidRDefault="000B6A05" w:rsidP="00E73C98">
            <w:pPr>
              <w:spacing w:after="0" w:line="360" w:lineRule="auto"/>
              <w:rPr>
                <w:rFonts w:ascii="Times New Roman" w:eastAsia="Times New Roman" w:hAnsi="Times New Roman" w:cs="Times New Roman"/>
                <w:color w:val="000000" w:themeColor="text1"/>
                <w:kern w:val="0"/>
                <w14:ligatures w14:val="none"/>
              </w:rPr>
            </w:pPr>
            <w:r w:rsidRPr="00AF0CC3">
              <w:rPr>
                <w:rFonts w:ascii="Times New Roman" w:eastAsia="Times New Roman" w:hAnsi="Times New Roman" w:cs="Times New Roman"/>
                <w:color w:val="000000" w:themeColor="text1"/>
                <w:kern w:val="0"/>
                <w14:ligatures w14:val="none"/>
              </w:rPr>
              <w:t>Numeric</w:t>
            </w:r>
          </w:p>
        </w:tc>
        <w:tc>
          <w:tcPr>
            <w:tcW w:w="0" w:type="auto"/>
            <w:vAlign w:val="center"/>
            <w:hideMark/>
          </w:tcPr>
          <w:p w14:paraId="69BD8BCD" w14:textId="77777777" w:rsidR="000B6A05" w:rsidRPr="00AF0CC3" w:rsidRDefault="000B6A05" w:rsidP="00E73C98">
            <w:pPr>
              <w:spacing w:after="0" w:line="360" w:lineRule="auto"/>
              <w:rPr>
                <w:rFonts w:ascii="Times New Roman" w:eastAsia="Times New Roman" w:hAnsi="Times New Roman" w:cs="Times New Roman"/>
                <w:color w:val="000000" w:themeColor="text1"/>
                <w:kern w:val="0"/>
                <w14:ligatures w14:val="none"/>
              </w:rPr>
            </w:pPr>
            <w:r w:rsidRPr="00AF0CC3">
              <w:rPr>
                <w:rFonts w:ascii="Times New Roman" w:eastAsia="Times New Roman" w:hAnsi="Times New Roman" w:cs="Times New Roman"/>
                <w:color w:val="000000" w:themeColor="text1"/>
                <w:kern w:val="0"/>
                <w14:ligatures w14:val="none"/>
              </w:rPr>
              <w:t>Project feasibility studies</w:t>
            </w:r>
          </w:p>
        </w:tc>
      </w:tr>
      <w:tr w:rsidR="000B6A05" w:rsidRPr="00AF0CC3" w14:paraId="32BEB624" w14:textId="77777777" w:rsidTr="00E73C98">
        <w:trPr>
          <w:tblCellSpacing w:w="15" w:type="dxa"/>
        </w:trPr>
        <w:tc>
          <w:tcPr>
            <w:tcW w:w="0" w:type="auto"/>
            <w:vAlign w:val="center"/>
            <w:hideMark/>
          </w:tcPr>
          <w:p w14:paraId="1C82B64E" w14:textId="77777777" w:rsidR="000B6A05" w:rsidRPr="00AF0CC3" w:rsidRDefault="000B6A05" w:rsidP="00E73C98">
            <w:pPr>
              <w:spacing w:after="0" w:line="360" w:lineRule="auto"/>
              <w:rPr>
                <w:rFonts w:ascii="Times New Roman" w:eastAsia="Times New Roman" w:hAnsi="Times New Roman" w:cs="Times New Roman"/>
                <w:color w:val="000000" w:themeColor="text1"/>
                <w:kern w:val="0"/>
                <w14:ligatures w14:val="none"/>
              </w:rPr>
            </w:pPr>
            <w:r w:rsidRPr="00AF0CC3">
              <w:rPr>
                <w:rFonts w:ascii="Times New Roman" w:eastAsia="Times New Roman" w:hAnsi="Times New Roman" w:cs="Times New Roman"/>
                <w:color w:val="000000" w:themeColor="text1"/>
                <w:kern w:val="0"/>
                <w14:ligatures w14:val="none"/>
              </w:rPr>
              <w:t>Actual completion year</w:t>
            </w:r>
          </w:p>
        </w:tc>
        <w:tc>
          <w:tcPr>
            <w:tcW w:w="0" w:type="auto"/>
            <w:vAlign w:val="center"/>
            <w:hideMark/>
          </w:tcPr>
          <w:p w14:paraId="5D989418" w14:textId="77777777" w:rsidR="000B6A05" w:rsidRPr="00AF0CC3" w:rsidRDefault="000B6A05" w:rsidP="00E73C98">
            <w:pPr>
              <w:spacing w:after="0" w:line="360" w:lineRule="auto"/>
              <w:rPr>
                <w:rFonts w:ascii="Times New Roman" w:eastAsia="Times New Roman" w:hAnsi="Times New Roman" w:cs="Times New Roman"/>
                <w:color w:val="000000" w:themeColor="text1"/>
                <w:kern w:val="0"/>
                <w14:ligatures w14:val="none"/>
              </w:rPr>
            </w:pPr>
            <w:r w:rsidRPr="00AF0CC3">
              <w:rPr>
                <w:rFonts w:ascii="Times New Roman" w:eastAsia="Times New Roman" w:hAnsi="Times New Roman" w:cs="Times New Roman"/>
                <w:color w:val="000000" w:themeColor="text1"/>
                <w:kern w:val="0"/>
                <w14:ligatures w14:val="none"/>
              </w:rPr>
              <w:t>The year the project became operational</w:t>
            </w:r>
          </w:p>
        </w:tc>
        <w:tc>
          <w:tcPr>
            <w:tcW w:w="0" w:type="auto"/>
            <w:vAlign w:val="center"/>
            <w:hideMark/>
          </w:tcPr>
          <w:p w14:paraId="41763AAE" w14:textId="77777777" w:rsidR="000B6A05" w:rsidRPr="00AF0CC3" w:rsidRDefault="000B6A05" w:rsidP="00E73C98">
            <w:pPr>
              <w:spacing w:after="0" w:line="360" w:lineRule="auto"/>
              <w:rPr>
                <w:rFonts w:ascii="Times New Roman" w:eastAsia="Times New Roman" w:hAnsi="Times New Roman" w:cs="Times New Roman"/>
                <w:color w:val="000000" w:themeColor="text1"/>
                <w:kern w:val="0"/>
                <w14:ligatures w14:val="none"/>
              </w:rPr>
            </w:pPr>
            <w:r w:rsidRPr="00AF0CC3">
              <w:rPr>
                <w:rFonts w:ascii="Times New Roman" w:eastAsia="Times New Roman" w:hAnsi="Times New Roman" w:cs="Times New Roman"/>
                <w:color w:val="000000" w:themeColor="text1"/>
                <w:kern w:val="0"/>
                <w14:ligatures w14:val="none"/>
              </w:rPr>
              <w:t>Numeric</w:t>
            </w:r>
          </w:p>
        </w:tc>
        <w:tc>
          <w:tcPr>
            <w:tcW w:w="0" w:type="auto"/>
            <w:vAlign w:val="center"/>
            <w:hideMark/>
          </w:tcPr>
          <w:p w14:paraId="6FB5F681" w14:textId="77777777" w:rsidR="000B6A05" w:rsidRPr="00AF0CC3" w:rsidRDefault="000B6A05" w:rsidP="00E73C98">
            <w:pPr>
              <w:spacing w:after="0" w:line="360" w:lineRule="auto"/>
              <w:rPr>
                <w:rFonts w:ascii="Times New Roman" w:eastAsia="Times New Roman" w:hAnsi="Times New Roman" w:cs="Times New Roman"/>
                <w:color w:val="000000" w:themeColor="text1"/>
                <w:kern w:val="0"/>
                <w14:ligatures w14:val="none"/>
              </w:rPr>
            </w:pPr>
            <w:r w:rsidRPr="00AF0CC3">
              <w:rPr>
                <w:rFonts w:ascii="Times New Roman" w:eastAsia="Times New Roman" w:hAnsi="Times New Roman" w:cs="Times New Roman"/>
                <w:color w:val="000000" w:themeColor="text1"/>
                <w:kern w:val="0"/>
                <w14:ligatures w14:val="none"/>
              </w:rPr>
              <w:t>Ministry completion reports</w:t>
            </w:r>
          </w:p>
        </w:tc>
      </w:tr>
      <w:tr w:rsidR="000B6A05" w:rsidRPr="00AF0CC3" w14:paraId="0256EEE9" w14:textId="77777777" w:rsidTr="00E73C98">
        <w:trPr>
          <w:tblCellSpacing w:w="15" w:type="dxa"/>
        </w:trPr>
        <w:tc>
          <w:tcPr>
            <w:tcW w:w="0" w:type="auto"/>
            <w:vAlign w:val="center"/>
            <w:hideMark/>
          </w:tcPr>
          <w:p w14:paraId="595E3F8B" w14:textId="77777777" w:rsidR="000B6A05" w:rsidRPr="00AF0CC3" w:rsidRDefault="000B6A05" w:rsidP="00E73C98">
            <w:pPr>
              <w:spacing w:after="0" w:line="360" w:lineRule="auto"/>
              <w:rPr>
                <w:rFonts w:ascii="Times New Roman" w:eastAsia="Times New Roman" w:hAnsi="Times New Roman" w:cs="Times New Roman"/>
                <w:color w:val="000000" w:themeColor="text1"/>
                <w:kern w:val="0"/>
                <w14:ligatures w14:val="none"/>
              </w:rPr>
            </w:pPr>
            <w:r w:rsidRPr="00AF0CC3">
              <w:rPr>
                <w:rFonts w:ascii="Times New Roman" w:eastAsia="Times New Roman" w:hAnsi="Times New Roman" w:cs="Times New Roman"/>
                <w:color w:val="000000" w:themeColor="text1"/>
                <w:kern w:val="0"/>
                <w14:ligatures w14:val="none"/>
              </w:rPr>
              <w:t>Planned cost</w:t>
            </w:r>
          </w:p>
        </w:tc>
        <w:tc>
          <w:tcPr>
            <w:tcW w:w="0" w:type="auto"/>
            <w:vAlign w:val="center"/>
            <w:hideMark/>
          </w:tcPr>
          <w:p w14:paraId="0FB8A7BE" w14:textId="77777777" w:rsidR="000B6A05" w:rsidRPr="00AF0CC3" w:rsidRDefault="000B6A05" w:rsidP="00E73C98">
            <w:pPr>
              <w:spacing w:after="0" w:line="360" w:lineRule="auto"/>
              <w:rPr>
                <w:rFonts w:ascii="Times New Roman" w:eastAsia="Times New Roman" w:hAnsi="Times New Roman" w:cs="Times New Roman"/>
                <w:color w:val="000000" w:themeColor="text1"/>
                <w:kern w:val="0"/>
                <w14:ligatures w14:val="none"/>
              </w:rPr>
            </w:pPr>
            <w:r w:rsidRPr="00AF0CC3">
              <w:rPr>
                <w:rFonts w:ascii="Times New Roman" w:eastAsia="Times New Roman" w:hAnsi="Times New Roman" w:cs="Times New Roman"/>
                <w:color w:val="000000" w:themeColor="text1"/>
                <w:kern w:val="0"/>
                <w14:ligatures w14:val="none"/>
              </w:rPr>
              <w:t>Initial approved project budget</w:t>
            </w:r>
          </w:p>
        </w:tc>
        <w:tc>
          <w:tcPr>
            <w:tcW w:w="0" w:type="auto"/>
            <w:vAlign w:val="center"/>
            <w:hideMark/>
          </w:tcPr>
          <w:p w14:paraId="3A07DB3F" w14:textId="77777777" w:rsidR="000B6A05" w:rsidRPr="00AF0CC3" w:rsidRDefault="000B6A05" w:rsidP="00E73C98">
            <w:pPr>
              <w:spacing w:after="0" w:line="360" w:lineRule="auto"/>
              <w:rPr>
                <w:rFonts w:ascii="Times New Roman" w:eastAsia="Times New Roman" w:hAnsi="Times New Roman" w:cs="Times New Roman"/>
                <w:color w:val="000000" w:themeColor="text1"/>
                <w:kern w:val="0"/>
                <w14:ligatures w14:val="none"/>
              </w:rPr>
            </w:pPr>
            <w:r w:rsidRPr="00AF0CC3">
              <w:rPr>
                <w:rFonts w:ascii="Times New Roman" w:eastAsia="Times New Roman" w:hAnsi="Times New Roman" w:cs="Times New Roman"/>
                <w:color w:val="000000" w:themeColor="text1"/>
                <w:kern w:val="0"/>
                <w14:ligatures w14:val="none"/>
              </w:rPr>
              <w:t>Kenyan Shillings (KES)</w:t>
            </w:r>
          </w:p>
        </w:tc>
        <w:tc>
          <w:tcPr>
            <w:tcW w:w="0" w:type="auto"/>
            <w:vAlign w:val="center"/>
            <w:hideMark/>
          </w:tcPr>
          <w:p w14:paraId="5A72D4B4" w14:textId="77777777" w:rsidR="000B6A05" w:rsidRPr="00AF0CC3" w:rsidRDefault="000B6A05" w:rsidP="00E73C98">
            <w:pPr>
              <w:spacing w:after="0" w:line="360" w:lineRule="auto"/>
              <w:rPr>
                <w:rFonts w:ascii="Times New Roman" w:eastAsia="Times New Roman" w:hAnsi="Times New Roman" w:cs="Times New Roman"/>
                <w:color w:val="000000" w:themeColor="text1"/>
                <w:kern w:val="0"/>
                <w14:ligatures w14:val="none"/>
              </w:rPr>
            </w:pPr>
            <w:r w:rsidRPr="00AF0CC3">
              <w:rPr>
                <w:rFonts w:ascii="Times New Roman" w:eastAsia="Times New Roman" w:hAnsi="Times New Roman" w:cs="Times New Roman"/>
                <w:color w:val="000000" w:themeColor="text1"/>
                <w:kern w:val="0"/>
                <w14:ligatures w14:val="none"/>
              </w:rPr>
              <w:t>Budget reports, financing agreements</w:t>
            </w:r>
          </w:p>
        </w:tc>
      </w:tr>
      <w:tr w:rsidR="000B6A05" w:rsidRPr="00AF0CC3" w14:paraId="2F961DA5" w14:textId="77777777" w:rsidTr="00E73C98">
        <w:trPr>
          <w:tblCellSpacing w:w="15" w:type="dxa"/>
        </w:trPr>
        <w:tc>
          <w:tcPr>
            <w:tcW w:w="0" w:type="auto"/>
            <w:vAlign w:val="center"/>
            <w:hideMark/>
          </w:tcPr>
          <w:p w14:paraId="5C181B3D" w14:textId="77777777" w:rsidR="000B6A05" w:rsidRPr="00AF0CC3" w:rsidRDefault="000B6A05" w:rsidP="00E73C98">
            <w:pPr>
              <w:spacing w:after="0" w:line="360" w:lineRule="auto"/>
              <w:rPr>
                <w:rFonts w:ascii="Times New Roman" w:eastAsia="Times New Roman" w:hAnsi="Times New Roman" w:cs="Times New Roman"/>
                <w:color w:val="000000" w:themeColor="text1"/>
                <w:kern w:val="0"/>
                <w14:ligatures w14:val="none"/>
              </w:rPr>
            </w:pPr>
            <w:r w:rsidRPr="00AF0CC3">
              <w:rPr>
                <w:rFonts w:ascii="Times New Roman" w:eastAsia="Times New Roman" w:hAnsi="Times New Roman" w:cs="Times New Roman"/>
                <w:color w:val="000000" w:themeColor="text1"/>
                <w:kern w:val="0"/>
                <w14:ligatures w14:val="none"/>
              </w:rPr>
              <w:t>Final cost</w:t>
            </w:r>
          </w:p>
        </w:tc>
        <w:tc>
          <w:tcPr>
            <w:tcW w:w="0" w:type="auto"/>
            <w:vAlign w:val="center"/>
            <w:hideMark/>
          </w:tcPr>
          <w:p w14:paraId="23D9CEA7" w14:textId="77777777" w:rsidR="000B6A05" w:rsidRPr="00AF0CC3" w:rsidRDefault="000B6A05" w:rsidP="00E73C98">
            <w:pPr>
              <w:spacing w:after="0" w:line="360" w:lineRule="auto"/>
              <w:rPr>
                <w:rFonts w:ascii="Times New Roman" w:eastAsia="Times New Roman" w:hAnsi="Times New Roman" w:cs="Times New Roman"/>
                <w:color w:val="000000" w:themeColor="text1"/>
                <w:kern w:val="0"/>
                <w14:ligatures w14:val="none"/>
              </w:rPr>
            </w:pPr>
            <w:r w:rsidRPr="00AF0CC3">
              <w:rPr>
                <w:rFonts w:ascii="Times New Roman" w:eastAsia="Times New Roman" w:hAnsi="Times New Roman" w:cs="Times New Roman"/>
                <w:color w:val="000000" w:themeColor="text1"/>
                <w:kern w:val="0"/>
                <w14:ligatures w14:val="none"/>
              </w:rPr>
              <w:t>Final expenditure recorded</w:t>
            </w:r>
          </w:p>
        </w:tc>
        <w:tc>
          <w:tcPr>
            <w:tcW w:w="0" w:type="auto"/>
            <w:vAlign w:val="center"/>
            <w:hideMark/>
          </w:tcPr>
          <w:p w14:paraId="75D99ED4" w14:textId="77777777" w:rsidR="000B6A05" w:rsidRPr="00AF0CC3" w:rsidRDefault="000B6A05" w:rsidP="00E73C98">
            <w:pPr>
              <w:spacing w:after="0" w:line="360" w:lineRule="auto"/>
              <w:rPr>
                <w:rFonts w:ascii="Times New Roman" w:eastAsia="Times New Roman" w:hAnsi="Times New Roman" w:cs="Times New Roman"/>
                <w:color w:val="000000" w:themeColor="text1"/>
                <w:kern w:val="0"/>
                <w14:ligatures w14:val="none"/>
              </w:rPr>
            </w:pPr>
            <w:r w:rsidRPr="00AF0CC3">
              <w:rPr>
                <w:rFonts w:ascii="Times New Roman" w:eastAsia="Times New Roman" w:hAnsi="Times New Roman" w:cs="Times New Roman"/>
                <w:color w:val="000000" w:themeColor="text1"/>
                <w:kern w:val="0"/>
                <w14:ligatures w14:val="none"/>
              </w:rPr>
              <w:t>Kenyan Shillings (KES)</w:t>
            </w:r>
          </w:p>
        </w:tc>
        <w:tc>
          <w:tcPr>
            <w:tcW w:w="0" w:type="auto"/>
            <w:vAlign w:val="center"/>
            <w:hideMark/>
          </w:tcPr>
          <w:p w14:paraId="38AF13C4" w14:textId="77777777" w:rsidR="000B6A05" w:rsidRPr="00AF0CC3" w:rsidRDefault="000B6A05" w:rsidP="00E73C98">
            <w:pPr>
              <w:spacing w:after="0" w:line="360" w:lineRule="auto"/>
              <w:rPr>
                <w:rFonts w:ascii="Times New Roman" w:eastAsia="Times New Roman" w:hAnsi="Times New Roman" w:cs="Times New Roman"/>
                <w:color w:val="000000" w:themeColor="text1"/>
                <w:kern w:val="0"/>
                <w14:ligatures w14:val="none"/>
              </w:rPr>
            </w:pPr>
            <w:r w:rsidRPr="00AF0CC3">
              <w:rPr>
                <w:rFonts w:ascii="Times New Roman" w:eastAsia="Times New Roman" w:hAnsi="Times New Roman" w:cs="Times New Roman"/>
                <w:color w:val="000000" w:themeColor="text1"/>
                <w:kern w:val="0"/>
                <w14:ligatures w14:val="none"/>
              </w:rPr>
              <w:t>Auditor General reports</w:t>
            </w:r>
          </w:p>
        </w:tc>
      </w:tr>
      <w:tr w:rsidR="000B6A05" w:rsidRPr="00AF0CC3" w14:paraId="3091562F" w14:textId="77777777" w:rsidTr="00E73C98">
        <w:trPr>
          <w:tblCellSpacing w:w="15" w:type="dxa"/>
        </w:trPr>
        <w:tc>
          <w:tcPr>
            <w:tcW w:w="0" w:type="auto"/>
            <w:vAlign w:val="center"/>
            <w:hideMark/>
          </w:tcPr>
          <w:p w14:paraId="2CFC1BCF" w14:textId="77777777" w:rsidR="000B6A05" w:rsidRPr="00AF0CC3" w:rsidRDefault="000B6A05" w:rsidP="00E73C98">
            <w:pPr>
              <w:spacing w:after="0" w:line="360" w:lineRule="auto"/>
              <w:rPr>
                <w:rFonts w:ascii="Times New Roman" w:eastAsia="Times New Roman" w:hAnsi="Times New Roman" w:cs="Times New Roman"/>
                <w:color w:val="000000" w:themeColor="text1"/>
                <w:kern w:val="0"/>
                <w14:ligatures w14:val="none"/>
              </w:rPr>
            </w:pPr>
            <w:r w:rsidRPr="00AF0CC3">
              <w:rPr>
                <w:rFonts w:ascii="Times New Roman" w:eastAsia="Times New Roman" w:hAnsi="Times New Roman" w:cs="Times New Roman"/>
                <w:color w:val="000000" w:themeColor="text1"/>
                <w:kern w:val="0"/>
                <w14:ligatures w14:val="none"/>
              </w:rPr>
              <w:t>Procurement model</w:t>
            </w:r>
          </w:p>
        </w:tc>
        <w:tc>
          <w:tcPr>
            <w:tcW w:w="0" w:type="auto"/>
            <w:vAlign w:val="center"/>
            <w:hideMark/>
          </w:tcPr>
          <w:p w14:paraId="5EC39802" w14:textId="77777777" w:rsidR="000B6A05" w:rsidRPr="00AF0CC3" w:rsidRDefault="000B6A05" w:rsidP="00E73C98">
            <w:pPr>
              <w:spacing w:after="0" w:line="360" w:lineRule="auto"/>
              <w:rPr>
                <w:rFonts w:ascii="Times New Roman" w:eastAsia="Times New Roman" w:hAnsi="Times New Roman" w:cs="Times New Roman"/>
                <w:color w:val="000000" w:themeColor="text1"/>
                <w:kern w:val="0"/>
                <w14:ligatures w14:val="none"/>
              </w:rPr>
            </w:pPr>
            <w:r w:rsidRPr="00AF0CC3">
              <w:rPr>
                <w:rFonts w:ascii="Times New Roman" w:eastAsia="Times New Roman" w:hAnsi="Times New Roman" w:cs="Times New Roman"/>
                <w:color w:val="000000" w:themeColor="text1"/>
                <w:kern w:val="0"/>
                <w14:ligatures w14:val="none"/>
              </w:rPr>
              <w:t>Infrastructure financing arrangement</w:t>
            </w:r>
          </w:p>
        </w:tc>
        <w:tc>
          <w:tcPr>
            <w:tcW w:w="0" w:type="auto"/>
            <w:vAlign w:val="center"/>
            <w:hideMark/>
          </w:tcPr>
          <w:p w14:paraId="10AB6D54" w14:textId="77777777" w:rsidR="000B6A05" w:rsidRPr="00AF0CC3" w:rsidRDefault="000B6A05" w:rsidP="00E73C98">
            <w:pPr>
              <w:spacing w:after="0" w:line="360" w:lineRule="auto"/>
              <w:rPr>
                <w:rFonts w:ascii="Times New Roman" w:eastAsia="Times New Roman" w:hAnsi="Times New Roman" w:cs="Times New Roman"/>
                <w:color w:val="000000" w:themeColor="text1"/>
                <w:kern w:val="0"/>
                <w14:ligatures w14:val="none"/>
              </w:rPr>
            </w:pPr>
            <w:r w:rsidRPr="00AF0CC3">
              <w:rPr>
                <w:rFonts w:ascii="Times New Roman" w:eastAsia="Times New Roman" w:hAnsi="Times New Roman" w:cs="Times New Roman"/>
                <w:color w:val="000000" w:themeColor="text1"/>
                <w:kern w:val="0"/>
                <w14:ligatures w14:val="none"/>
              </w:rPr>
              <w:t>Public / PPP / Donor-funded</w:t>
            </w:r>
          </w:p>
        </w:tc>
        <w:tc>
          <w:tcPr>
            <w:tcW w:w="0" w:type="auto"/>
            <w:vAlign w:val="center"/>
            <w:hideMark/>
          </w:tcPr>
          <w:p w14:paraId="1B8DF8DF" w14:textId="77777777" w:rsidR="000B6A05" w:rsidRPr="00AF0CC3" w:rsidRDefault="000B6A05" w:rsidP="00E73C98">
            <w:pPr>
              <w:spacing w:after="0" w:line="360" w:lineRule="auto"/>
              <w:rPr>
                <w:rFonts w:ascii="Times New Roman" w:eastAsia="Times New Roman" w:hAnsi="Times New Roman" w:cs="Times New Roman"/>
                <w:color w:val="000000" w:themeColor="text1"/>
                <w:kern w:val="0"/>
                <w14:ligatures w14:val="none"/>
              </w:rPr>
            </w:pPr>
            <w:r w:rsidRPr="00AF0CC3">
              <w:rPr>
                <w:rFonts w:ascii="Times New Roman" w:eastAsia="Times New Roman" w:hAnsi="Times New Roman" w:cs="Times New Roman"/>
                <w:color w:val="000000" w:themeColor="text1"/>
                <w:kern w:val="0"/>
                <w14:ligatures w14:val="none"/>
              </w:rPr>
              <w:t>Procurement documentation</w:t>
            </w:r>
          </w:p>
        </w:tc>
      </w:tr>
      <w:tr w:rsidR="000B6A05" w:rsidRPr="00AF0CC3" w14:paraId="5EC0A019" w14:textId="77777777" w:rsidTr="00E73C98">
        <w:trPr>
          <w:tblCellSpacing w:w="15" w:type="dxa"/>
        </w:trPr>
        <w:tc>
          <w:tcPr>
            <w:tcW w:w="0" w:type="auto"/>
            <w:vAlign w:val="center"/>
            <w:hideMark/>
          </w:tcPr>
          <w:p w14:paraId="52A41460" w14:textId="77777777" w:rsidR="000B6A05" w:rsidRPr="00AF0CC3" w:rsidRDefault="000B6A05" w:rsidP="00E73C98">
            <w:pPr>
              <w:spacing w:after="0" w:line="360" w:lineRule="auto"/>
              <w:rPr>
                <w:rFonts w:ascii="Times New Roman" w:eastAsia="Times New Roman" w:hAnsi="Times New Roman" w:cs="Times New Roman"/>
                <w:color w:val="000000" w:themeColor="text1"/>
                <w:kern w:val="0"/>
                <w14:ligatures w14:val="none"/>
              </w:rPr>
            </w:pPr>
            <w:r w:rsidRPr="00AF0CC3">
              <w:rPr>
                <w:rFonts w:ascii="Times New Roman" w:eastAsia="Times New Roman" w:hAnsi="Times New Roman" w:cs="Times New Roman"/>
                <w:color w:val="000000" w:themeColor="text1"/>
                <w:kern w:val="0"/>
                <w14:ligatures w14:val="none"/>
              </w:rPr>
              <w:t>Governance Quality Index</w:t>
            </w:r>
          </w:p>
        </w:tc>
        <w:tc>
          <w:tcPr>
            <w:tcW w:w="0" w:type="auto"/>
            <w:vAlign w:val="center"/>
            <w:hideMark/>
          </w:tcPr>
          <w:p w14:paraId="7BAE95C4" w14:textId="77777777" w:rsidR="000B6A05" w:rsidRPr="00AF0CC3" w:rsidRDefault="000B6A05" w:rsidP="00E73C98">
            <w:pPr>
              <w:spacing w:after="0" w:line="360" w:lineRule="auto"/>
              <w:rPr>
                <w:rFonts w:ascii="Times New Roman" w:eastAsia="Times New Roman" w:hAnsi="Times New Roman" w:cs="Times New Roman"/>
                <w:color w:val="000000" w:themeColor="text1"/>
                <w:kern w:val="0"/>
                <w14:ligatures w14:val="none"/>
              </w:rPr>
            </w:pPr>
            <w:r w:rsidRPr="00AF0CC3">
              <w:rPr>
                <w:rFonts w:ascii="Times New Roman" w:eastAsia="Times New Roman" w:hAnsi="Times New Roman" w:cs="Times New Roman"/>
                <w:color w:val="000000" w:themeColor="text1"/>
                <w:kern w:val="0"/>
                <w14:ligatures w14:val="none"/>
              </w:rPr>
              <w:t>Composite score of governance practices across the project lifecycle</w:t>
            </w:r>
          </w:p>
        </w:tc>
        <w:tc>
          <w:tcPr>
            <w:tcW w:w="0" w:type="auto"/>
            <w:vAlign w:val="center"/>
            <w:hideMark/>
          </w:tcPr>
          <w:p w14:paraId="73B479CF" w14:textId="77777777" w:rsidR="000B6A05" w:rsidRPr="00AF0CC3" w:rsidRDefault="000B6A05" w:rsidP="00E73C98">
            <w:pPr>
              <w:spacing w:after="0" w:line="360" w:lineRule="auto"/>
              <w:rPr>
                <w:rFonts w:ascii="Times New Roman" w:eastAsia="Times New Roman" w:hAnsi="Times New Roman" w:cs="Times New Roman"/>
                <w:color w:val="000000" w:themeColor="text1"/>
                <w:kern w:val="0"/>
                <w14:ligatures w14:val="none"/>
              </w:rPr>
            </w:pPr>
            <w:r w:rsidRPr="00AF0CC3">
              <w:rPr>
                <w:rFonts w:ascii="Times New Roman" w:eastAsia="Times New Roman" w:hAnsi="Times New Roman" w:cs="Times New Roman"/>
                <w:color w:val="000000" w:themeColor="text1"/>
                <w:kern w:val="0"/>
                <w14:ligatures w14:val="none"/>
              </w:rPr>
              <w:t>Sum of indicator scores (0–18)</w:t>
            </w:r>
          </w:p>
        </w:tc>
        <w:tc>
          <w:tcPr>
            <w:tcW w:w="0" w:type="auto"/>
            <w:vAlign w:val="center"/>
            <w:hideMark/>
          </w:tcPr>
          <w:p w14:paraId="6DB1F2E8" w14:textId="77777777" w:rsidR="000B6A05" w:rsidRPr="00AF0CC3" w:rsidRDefault="000B6A05" w:rsidP="00E73C98">
            <w:pPr>
              <w:spacing w:after="0" w:line="360" w:lineRule="auto"/>
              <w:rPr>
                <w:rFonts w:ascii="Times New Roman" w:eastAsia="Times New Roman" w:hAnsi="Times New Roman" w:cs="Times New Roman"/>
                <w:color w:val="000000" w:themeColor="text1"/>
                <w:kern w:val="0"/>
                <w14:ligatures w14:val="none"/>
              </w:rPr>
            </w:pPr>
            <w:r w:rsidRPr="00AF0CC3">
              <w:rPr>
                <w:rFonts w:ascii="Times New Roman" w:eastAsia="Times New Roman" w:hAnsi="Times New Roman" w:cs="Times New Roman"/>
                <w:color w:val="000000" w:themeColor="text1"/>
                <w:kern w:val="0"/>
                <w14:ligatures w14:val="none"/>
              </w:rPr>
              <w:t>Project documents, audit reports</w:t>
            </w:r>
          </w:p>
        </w:tc>
      </w:tr>
      <w:tr w:rsidR="000B6A05" w:rsidRPr="00AF0CC3" w14:paraId="64173722" w14:textId="77777777" w:rsidTr="00E73C98">
        <w:trPr>
          <w:tblCellSpacing w:w="15" w:type="dxa"/>
        </w:trPr>
        <w:tc>
          <w:tcPr>
            <w:tcW w:w="0" w:type="auto"/>
            <w:vAlign w:val="center"/>
            <w:hideMark/>
          </w:tcPr>
          <w:p w14:paraId="1ECAB5A0" w14:textId="77777777" w:rsidR="000B6A05" w:rsidRPr="00AF0CC3" w:rsidRDefault="000B6A05" w:rsidP="00E73C98">
            <w:pPr>
              <w:spacing w:after="0" w:line="360" w:lineRule="auto"/>
              <w:rPr>
                <w:rFonts w:ascii="Times New Roman" w:eastAsia="Times New Roman" w:hAnsi="Times New Roman" w:cs="Times New Roman"/>
                <w:color w:val="000000" w:themeColor="text1"/>
                <w:kern w:val="0"/>
                <w14:ligatures w14:val="none"/>
              </w:rPr>
            </w:pPr>
            <w:r w:rsidRPr="00AF0CC3">
              <w:rPr>
                <w:rFonts w:ascii="Times New Roman" w:eastAsia="Times New Roman" w:hAnsi="Times New Roman" w:cs="Times New Roman"/>
                <w:color w:val="000000" w:themeColor="text1"/>
                <w:kern w:val="0"/>
                <w14:ligatures w14:val="none"/>
              </w:rPr>
              <w:t>Political transition</w:t>
            </w:r>
          </w:p>
        </w:tc>
        <w:tc>
          <w:tcPr>
            <w:tcW w:w="0" w:type="auto"/>
            <w:vAlign w:val="center"/>
            <w:hideMark/>
          </w:tcPr>
          <w:p w14:paraId="61A68D18" w14:textId="77777777" w:rsidR="000B6A05" w:rsidRPr="00AF0CC3" w:rsidRDefault="000B6A05" w:rsidP="00E73C98">
            <w:pPr>
              <w:spacing w:after="0" w:line="360" w:lineRule="auto"/>
              <w:rPr>
                <w:rFonts w:ascii="Times New Roman" w:eastAsia="Times New Roman" w:hAnsi="Times New Roman" w:cs="Times New Roman"/>
                <w:color w:val="000000" w:themeColor="text1"/>
                <w:kern w:val="0"/>
                <w14:ligatures w14:val="none"/>
              </w:rPr>
            </w:pPr>
            <w:r w:rsidRPr="00AF0CC3">
              <w:rPr>
                <w:rFonts w:ascii="Times New Roman" w:eastAsia="Times New Roman" w:hAnsi="Times New Roman" w:cs="Times New Roman"/>
                <w:color w:val="000000" w:themeColor="text1"/>
                <w:kern w:val="0"/>
                <w14:ligatures w14:val="none"/>
              </w:rPr>
              <w:t>Whether the implementation overlapped with the national election cycle</w:t>
            </w:r>
          </w:p>
        </w:tc>
        <w:tc>
          <w:tcPr>
            <w:tcW w:w="0" w:type="auto"/>
            <w:vAlign w:val="center"/>
            <w:hideMark/>
          </w:tcPr>
          <w:p w14:paraId="4D7FC6FB" w14:textId="77777777" w:rsidR="000B6A05" w:rsidRPr="00AF0CC3" w:rsidRDefault="000B6A05" w:rsidP="00E73C98">
            <w:pPr>
              <w:spacing w:after="0" w:line="360" w:lineRule="auto"/>
              <w:rPr>
                <w:rFonts w:ascii="Times New Roman" w:eastAsia="Times New Roman" w:hAnsi="Times New Roman" w:cs="Times New Roman"/>
                <w:color w:val="000000" w:themeColor="text1"/>
                <w:kern w:val="0"/>
                <w14:ligatures w14:val="none"/>
              </w:rPr>
            </w:pPr>
            <w:r w:rsidRPr="00AF0CC3">
              <w:rPr>
                <w:rFonts w:ascii="Times New Roman" w:eastAsia="Times New Roman" w:hAnsi="Times New Roman" w:cs="Times New Roman"/>
                <w:color w:val="000000" w:themeColor="text1"/>
                <w:kern w:val="0"/>
                <w14:ligatures w14:val="none"/>
              </w:rPr>
              <w:t>Binary (1 = election period overlap, 0 = none)</w:t>
            </w:r>
          </w:p>
        </w:tc>
        <w:tc>
          <w:tcPr>
            <w:tcW w:w="0" w:type="auto"/>
            <w:vAlign w:val="center"/>
            <w:hideMark/>
          </w:tcPr>
          <w:p w14:paraId="3A016F4A" w14:textId="77777777" w:rsidR="000B6A05" w:rsidRPr="00AF0CC3" w:rsidRDefault="000B6A05" w:rsidP="00E73C98">
            <w:pPr>
              <w:spacing w:after="0" w:line="360" w:lineRule="auto"/>
              <w:rPr>
                <w:rFonts w:ascii="Times New Roman" w:eastAsia="Times New Roman" w:hAnsi="Times New Roman" w:cs="Times New Roman"/>
                <w:color w:val="000000" w:themeColor="text1"/>
                <w:kern w:val="0"/>
                <w14:ligatures w14:val="none"/>
              </w:rPr>
            </w:pPr>
            <w:r w:rsidRPr="00AF0CC3">
              <w:rPr>
                <w:rFonts w:ascii="Times New Roman" w:eastAsia="Times New Roman" w:hAnsi="Times New Roman" w:cs="Times New Roman"/>
                <w:color w:val="000000" w:themeColor="text1"/>
                <w:kern w:val="0"/>
                <w14:ligatures w14:val="none"/>
              </w:rPr>
              <w:t>Kenya electoral calendar</w:t>
            </w:r>
          </w:p>
        </w:tc>
      </w:tr>
      <w:tr w:rsidR="000B6A05" w:rsidRPr="00AF0CC3" w14:paraId="1A439AFF" w14:textId="77777777" w:rsidTr="00E73C98">
        <w:trPr>
          <w:tblCellSpacing w:w="15" w:type="dxa"/>
        </w:trPr>
        <w:tc>
          <w:tcPr>
            <w:tcW w:w="0" w:type="auto"/>
            <w:vAlign w:val="center"/>
            <w:hideMark/>
          </w:tcPr>
          <w:p w14:paraId="69AAF79A" w14:textId="77777777" w:rsidR="000B6A05" w:rsidRPr="00AF0CC3" w:rsidRDefault="000B6A05" w:rsidP="00E73C98">
            <w:pPr>
              <w:spacing w:after="0" w:line="360" w:lineRule="auto"/>
              <w:rPr>
                <w:rFonts w:ascii="Times New Roman" w:eastAsia="Times New Roman" w:hAnsi="Times New Roman" w:cs="Times New Roman"/>
                <w:color w:val="000000" w:themeColor="text1"/>
                <w:kern w:val="0"/>
                <w14:ligatures w14:val="none"/>
              </w:rPr>
            </w:pPr>
            <w:r w:rsidRPr="00AF0CC3">
              <w:rPr>
                <w:rFonts w:ascii="Times New Roman" w:eastAsia="Times New Roman" w:hAnsi="Times New Roman" w:cs="Times New Roman"/>
                <w:color w:val="000000" w:themeColor="text1"/>
                <w:kern w:val="0"/>
                <w14:ligatures w14:val="none"/>
              </w:rPr>
              <w:lastRenderedPageBreak/>
              <w:t>Climate exposure</w:t>
            </w:r>
          </w:p>
        </w:tc>
        <w:tc>
          <w:tcPr>
            <w:tcW w:w="0" w:type="auto"/>
            <w:vAlign w:val="center"/>
            <w:hideMark/>
          </w:tcPr>
          <w:p w14:paraId="5EE9D07F" w14:textId="77777777" w:rsidR="000B6A05" w:rsidRPr="00AF0CC3" w:rsidRDefault="000B6A05" w:rsidP="00E73C98">
            <w:pPr>
              <w:spacing w:after="0" w:line="360" w:lineRule="auto"/>
              <w:rPr>
                <w:rFonts w:ascii="Times New Roman" w:eastAsia="Times New Roman" w:hAnsi="Times New Roman" w:cs="Times New Roman"/>
                <w:color w:val="000000" w:themeColor="text1"/>
                <w:kern w:val="0"/>
                <w14:ligatures w14:val="none"/>
              </w:rPr>
            </w:pPr>
            <w:r w:rsidRPr="00AF0CC3">
              <w:rPr>
                <w:rFonts w:ascii="Times New Roman" w:eastAsia="Times New Roman" w:hAnsi="Times New Roman" w:cs="Times New Roman"/>
                <w:color w:val="000000" w:themeColor="text1"/>
                <w:kern w:val="0"/>
                <w14:ligatures w14:val="none"/>
              </w:rPr>
              <w:t>Exposure of the project area to climate shocks</w:t>
            </w:r>
          </w:p>
        </w:tc>
        <w:tc>
          <w:tcPr>
            <w:tcW w:w="0" w:type="auto"/>
            <w:vAlign w:val="center"/>
            <w:hideMark/>
          </w:tcPr>
          <w:p w14:paraId="4AF07426" w14:textId="77777777" w:rsidR="000B6A05" w:rsidRPr="00AF0CC3" w:rsidRDefault="000B6A05" w:rsidP="00E73C98">
            <w:pPr>
              <w:spacing w:after="0" w:line="360" w:lineRule="auto"/>
              <w:rPr>
                <w:rFonts w:ascii="Times New Roman" w:eastAsia="Times New Roman" w:hAnsi="Times New Roman" w:cs="Times New Roman"/>
                <w:color w:val="000000" w:themeColor="text1"/>
                <w:kern w:val="0"/>
                <w14:ligatures w14:val="none"/>
              </w:rPr>
            </w:pPr>
            <w:r w:rsidRPr="00AF0CC3">
              <w:rPr>
                <w:rFonts w:ascii="Times New Roman" w:eastAsia="Times New Roman" w:hAnsi="Times New Roman" w:cs="Times New Roman"/>
                <w:color w:val="000000" w:themeColor="text1"/>
                <w:kern w:val="0"/>
                <w14:ligatures w14:val="none"/>
              </w:rPr>
              <w:t>Low / Medium / High</w:t>
            </w:r>
          </w:p>
        </w:tc>
        <w:tc>
          <w:tcPr>
            <w:tcW w:w="0" w:type="auto"/>
            <w:vAlign w:val="center"/>
            <w:hideMark/>
          </w:tcPr>
          <w:p w14:paraId="05A4B1BF" w14:textId="77777777" w:rsidR="000B6A05" w:rsidRPr="00AF0CC3" w:rsidRDefault="000B6A05" w:rsidP="00E73C98">
            <w:pPr>
              <w:spacing w:after="0" w:line="360" w:lineRule="auto"/>
              <w:rPr>
                <w:rFonts w:ascii="Times New Roman" w:eastAsia="Times New Roman" w:hAnsi="Times New Roman" w:cs="Times New Roman"/>
                <w:color w:val="000000" w:themeColor="text1"/>
                <w:kern w:val="0"/>
                <w14:ligatures w14:val="none"/>
              </w:rPr>
            </w:pPr>
            <w:r w:rsidRPr="00AF0CC3">
              <w:rPr>
                <w:rFonts w:ascii="Times New Roman" w:eastAsia="Times New Roman" w:hAnsi="Times New Roman" w:cs="Times New Roman"/>
                <w:color w:val="000000" w:themeColor="text1"/>
                <w:kern w:val="0"/>
                <w14:ligatures w14:val="none"/>
              </w:rPr>
              <w:t>Kenya Meteorological Department data</w:t>
            </w:r>
          </w:p>
        </w:tc>
      </w:tr>
      <w:tr w:rsidR="000B6A05" w:rsidRPr="00AF0CC3" w14:paraId="3A9F23A1" w14:textId="77777777" w:rsidTr="00E73C98">
        <w:trPr>
          <w:tblCellSpacing w:w="15" w:type="dxa"/>
        </w:trPr>
        <w:tc>
          <w:tcPr>
            <w:tcW w:w="0" w:type="auto"/>
            <w:vAlign w:val="center"/>
            <w:hideMark/>
          </w:tcPr>
          <w:p w14:paraId="2E9DDB5D" w14:textId="77777777" w:rsidR="000B6A05" w:rsidRPr="00AF0CC3" w:rsidRDefault="000B6A05" w:rsidP="00E73C98">
            <w:pPr>
              <w:spacing w:after="0" w:line="360" w:lineRule="auto"/>
              <w:rPr>
                <w:rFonts w:ascii="Times New Roman" w:eastAsia="Times New Roman" w:hAnsi="Times New Roman" w:cs="Times New Roman"/>
                <w:color w:val="000000" w:themeColor="text1"/>
                <w:kern w:val="0"/>
                <w14:ligatures w14:val="none"/>
              </w:rPr>
            </w:pPr>
            <w:r w:rsidRPr="00AF0CC3">
              <w:rPr>
                <w:rFonts w:ascii="Times New Roman" w:eastAsia="Times New Roman" w:hAnsi="Times New Roman" w:cs="Times New Roman"/>
                <w:color w:val="000000" w:themeColor="text1"/>
                <w:kern w:val="0"/>
                <w14:ligatures w14:val="none"/>
              </w:rPr>
              <w:t>Time overrun</w:t>
            </w:r>
          </w:p>
        </w:tc>
        <w:tc>
          <w:tcPr>
            <w:tcW w:w="0" w:type="auto"/>
            <w:vAlign w:val="center"/>
            <w:hideMark/>
          </w:tcPr>
          <w:p w14:paraId="78F5577F" w14:textId="77777777" w:rsidR="000B6A05" w:rsidRPr="00AF0CC3" w:rsidRDefault="000B6A05" w:rsidP="00E73C98">
            <w:pPr>
              <w:spacing w:after="0" w:line="360" w:lineRule="auto"/>
              <w:rPr>
                <w:rFonts w:ascii="Times New Roman" w:eastAsia="Times New Roman" w:hAnsi="Times New Roman" w:cs="Times New Roman"/>
                <w:color w:val="000000" w:themeColor="text1"/>
                <w:kern w:val="0"/>
                <w14:ligatures w14:val="none"/>
              </w:rPr>
            </w:pPr>
            <w:r w:rsidRPr="00AF0CC3">
              <w:rPr>
                <w:rFonts w:ascii="Times New Roman" w:eastAsia="Times New Roman" w:hAnsi="Times New Roman" w:cs="Times New Roman"/>
                <w:color w:val="000000" w:themeColor="text1"/>
                <w:kern w:val="0"/>
                <w14:ligatures w14:val="none"/>
              </w:rPr>
              <w:t>Difference between planned and actual completion time</w:t>
            </w:r>
          </w:p>
        </w:tc>
        <w:tc>
          <w:tcPr>
            <w:tcW w:w="0" w:type="auto"/>
            <w:vAlign w:val="center"/>
            <w:hideMark/>
          </w:tcPr>
          <w:p w14:paraId="772AA5BC" w14:textId="77777777" w:rsidR="000B6A05" w:rsidRPr="00AF0CC3" w:rsidRDefault="000B6A05" w:rsidP="00E73C98">
            <w:pPr>
              <w:spacing w:after="0" w:line="360" w:lineRule="auto"/>
              <w:rPr>
                <w:rFonts w:ascii="Times New Roman" w:eastAsia="Times New Roman" w:hAnsi="Times New Roman" w:cs="Times New Roman"/>
                <w:color w:val="000000" w:themeColor="text1"/>
                <w:kern w:val="0"/>
                <w14:ligatures w14:val="none"/>
              </w:rPr>
            </w:pPr>
            <w:r w:rsidRPr="00AF0CC3">
              <w:rPr>
                <w:rFonts w:ascii="Times New Roman" w:eastAsia="Times New Roman" w:hAnsi="Times New Roman" w:cs="Times New Roman"/>
                <w:color w:val="000000" w:themeColor="text1"/>
                <w:kern w:val="0"/>
                <w14:ligatures w14:val="none"/>
              </w:rPr>
              <w:t>Percentage delay</w:t>
            </w:r>
          </w:p>
        </w:tc>
        <w:tc>
          <w:tcPr>
            <w:tcW w:w="0" w:type="auto"/>
            <w:vAlign w:val="center"/>
            <w:hideMark/>
          </w:tcPr>
          <w:p w14:paraId="3A250E37" w14:textId="77777777" w:rsidR="000B6A05" w:rsidRPr="00AF0CC3" w:rsidRDefault="000B6A05" w:rsidP="00E73C98">
            <w:pPr>
              <w:spacing w:after="0" w:line="360" w:lineRule="auto"/>
              <w:rPr>
                <w:rFonts w:ascii="Times New Roman" w:eastAsia="Times New Roman" w:hAnsi="Times New Roman" w:cs="Times New Roman"/>
                <w:color w:val="000000" w:themeColor="text1"/>
                <w:kern w:val="0"/>
                <w14:ligatures w14:val="none"/>
              </w:rPr>
            </w:pPr>
            <w:r w:rsidRPr="00AF0CC3">
              <w:rPr>
                <w:rFonts w:ascii="Times New Roman" w:eastAsia="Times New Roman" w:hAnsi="Times New Roman" w:cs="Times New Roman"/>
                <w:color w:val="000000" w:themeColor="text1"/>
                <w:kern w:val="0"/>
                <w14:ligatures w14:val="none"/>
              </w:rPr>
              <w:t>Project reports</w:t>
            </w:r>
          </w:p>
        </w:tc>
      </w:tr>
      <w:tr w:rsidR="000B6A05" w:rsidRPr="00AF0CC3" w14:paraId="08C80D25" w14:textId="77777777" w:rsidTr="00E73C98">
        <w:trPr>
          <w:tblCellSpacing w:w="15" w:type="dxa"/>
        </w:trPr>
        <w:tc>
          <w:tcPr>
            <w:tcW w:w="0" w:type="auto"/>
            <w:vAlign w:val="center"/>
            <w:hideMark/>
          </w:tcPr>
          <w:p w14:paraId="0626B48E" w14:textId="77777777" w:rsidR="000B6A05" w:rsidRPr="00AF0CC3" w:rsidRDefault="000B6A05" w:rsidP="00E73C98">
            <w:pPr>
              <w:spacing w:after="0" w:line="360" w:lineRule="auto"/>
              <w:rPr>
                <w:rFonts w:ascii="Times New Roman" w:eastAsia="Times New Roman" w:hAnsi="Times New Roman" w:cs="Times New Roman"/>
                <w:color w:val="000000" w:themeColor="text1"/>
                <w:kern w:val="0"/>
                <w14:ligatures w14:val="none"/>
              </w:rPr>
            </w:pPr>
            <w:r w:rsidRPr="00AF0CC3">
              <w:rPr>
                <w:rFonts w:ascii="Times New Roman" w:eastAsia="Times New Roman" w:hAnsi="Times New Roman" w:cs="Times New Roman"/>
                <w:color w:val="000000" w:themeColor="text1"/>
                <w:kern w:val="0"/>
                <w14:ligatures w14:val="none"/>
              </w:rPr>
              <w:t>Cost overrun</w:t>
            </w:r>
          </w:p>
        </w:tc>
        <w:tc>
          <w:tcPr>
            <w:tcW w:w="0" w:type="auto"/>
            <w:vAlign w:val="center"/>
            <w:hideMark/>
          </w:tcPr>
          <w:p w14:paraId="15E94FA1" w14:textId="77777777" w:rsidR="000B6A05" w:rsidRPr="00AF0CC3" w:rsidRDefault="000B6A05" w:rsidP="00E73C98">
            <w:pPr>
              <w:spacing w:after="0" w:line="360" w:lineRule="auto"/>
              <w:rPr>
                <w:rFonts w:ascii="Times New Roman" w:eastAsia="Times New Roman" w:hAnsi="Times New Roman" w:cs="Times New Roman"/>
                <w:color w:val="000000" w:themeColor="text1"/>
                <w:kern w:val="0"/>
                <w14:ligatures w14:val="none"/>
              </w:rPr>
            </w:pPr>
            <w:r w:rsidRPr="00AF0CC3">
              <w:rPr>
                <w:rFonts w:ascii="Times New Roman" w:eastAsia="Times New Roman" w:hAnsi="Times New Roman" w:cs="Times New Roman"/>
                <w:color w:val="000000" w:themeColor="text1"/>
                <w:kern w:val="0"/>
                <w14:ligatures w14:val="none"/>
              </w:rPr>
              <w:t>Difference between planned and final costs</w:t>
            </w:r>
          </w:p>
        </w:tc>
        <w:tc>
          <w:tcPr>
            <w:tcW w:w="0" w:type="auto"/>
            <w:vAlign w:val="center"/>
            <w:hideMark/>
          </w:tcPr>
          <w:p w14:paraId="32A09520" w14:textId="77777777" w:rsidR="000B6A05" w:rsidRPr="00AF0CC3" w:rsidRDefault="000B6A05" w:rsidP="00E73C98">
            <w:pPr>
              <w:spacing w:after="0" w:line="360" w:lineRule="auto"/>
              <w:rPr>
                <w:rFonts w:ascii="Times New Roman" w:eastAsia="Times New Roman" w:hAnsi="Times New Roman" w:cs="Times New Roman"/>
                <w:color w:val="000000" w:themeColor="text1"/>
                <w:kern w:val="0"/>
                <w14:ligatures w14:val="none"/>
              </w:rPr>
            </w:pPr>
            <w:r w:rsidRPr="00AF0CC3">
              <w:rPr>
                <w:rFonts w:ascii="Times New Roman" w:eastAsia="Times New Roman" w:hAnsi="Times New Roman" w:cs="Times New Roman"/>
                <w:color w:val="000000" w:themeColor="text1"/>
                <w:kern w:val="0"/>
                <w14:ligatures w14:val="none"/>
              </w:rPr>
              <w:t>Percentage increase</w:t>
            </w:r>
          </w:p>
        </w:tc>
        <w:tc>
          <w:tcPr>
            <w:tcW w:w="0" w:type="auto"/>
            <w:vAlign w:val="center"/>
            <w:hideMark/>
          </w:tcPr>
          <w:p w14:paraId="5585CAF5" w14:textId="77777777" w:rsidR="000B6A05" w:rsidRPr="00AF0CC3" w:rsidRDefault="000B6A05" w:rsidP="00E73C98">
            <w:pPr>
              <w:spacing w:after="0" w:line="360" w:lineRule="auto"/>
              <w:rPr>
                <w:rFonts w:ascii="Times New Roman" w:eastAsia="Times New Roman" w:hAnsi="Times New Roman" w:cs="Times New Roman"/>
                <w:color w:val="000000" w:themeColor="text1"/>
                <w:kern w:val="0"/>
                <w14:ligatures w14:val="none"/>
              </w:rPr>
            </w:pPr>
            <w:r w:rsidRPr="00AF0CC3">
              <w:rPr>
                <w:rFonts w:ascii="Times New Roman" w:eastAsia="Times New Roman" w:hAnsi="Times New Roman" w:cs="Times New Roman"/>
                <w:color w:val="000000" w:themeColor="text1"/>
                <w:kern w:val="0"/>
                <w14:ligatures w14:val="none"/>
              </w:rPr>
              <w:t>Audit and financial reports</w:t>
            </w:r>
          </w:p>
        </w:tc>
      </w:tr>
      <w:tr w:rsidR="000B6A05" w:rsidRPr="00AF0CC3" w14:paraId="7FD70300" w14:textId="77777777" w:rsidTr="00E73C98">
        <w:trPr>
          <w:tblCellSpacing w:w="15" w:type="dxa"/>
        </w:trPr>
        <w:tc>
          <w:tcPr>
            <w:tcW w:w="0" w:type="auto"/>
            <w:vAlign w:val="center"/>
            <w:hideMark/>
          </w:tcPr>
          <w:p w14:paraId="7DAD0CBE" w14:textId="77777777" w:rsidR="000B6A05" w:rsidRPr="00AF0CC3" w:rsidRDefault="000B6A05" w:rsidP="00E73C98">
            <w:pPr>
              <w:spacing w:after="0" w:line="360" w:lineRule="auto"/>
              <w:rPr>
                <w:rFonts w:ascii="Times New Roman" w:eastAsia="Times New Roman" w:hAnsi="Times New Roman" w:cs="Times New Roman"/>
                <w:color w:val="000000" w:themeColor="text1"/>
                <w:kern w:val="0"/>
                <w14:ligatures w14:val="none"/>
              </w:rPr>
            </w:pPr>
            <w:r w:rsidRPr="00AF0CC3">
              <w:rPr>
                <w:rFonts w:ascii="Times New Roman" w:eastAsia="Times New Roman" w:hAnsi="Times New Roman" w:cs="Times New Roman"/>
                <w:color w:val="000000" w:themeColor="text1"/>
                <w:kern w:val="0"/>
                <w14:ligatures w14:val="none"/>
              </w:rPr>
              <w:t>Project outcome</w:t>
            </w:r>
          </w:p>
        </w:tc>
        <w:tc>
          <w:tcPr>
            <w:tcW w:w="0" w:type="auto"/>
            <w:vAlign w:val="center"/>
            <w:hideMark/>
          </w:tcPr>
          <w:p w14:paraId="72CEE016" w14:textId="77777777" w:rsidR="000B6A05" w:rsidRPr="00AF0CC3" w:rsidRDefault="000B6A05" w:rsidP="00E73C98">
            <w:pPr>
              <w:spacing w:after="0" w:line="360" w:lineRule="auto"/>
              <w:rPr>
                <w:rFonts w:ascii="Times New Roman" w:eastAsia="Times New Roman" w:hAnsi="Times New Roman" w:cs="Times New Roman"/>
                <w:color w:val="000000" w:themeColor="text1"/>
                <w:kern w:val="0"/>
                <w14:ligatures w14:val="none"/>
              </w:rPr>
            </w:pPr>
            <w:r w:rsidRPr="00AF0CC3">
              <w:rPr>
                <w:rFonts w:ascii="Times New Roman" w:eastAsia="Times New Roman" w:hAnsi="Times New Roman" w:cs="Times New Roman"/>
                <w:color w:val="000000" w:themeColor="text1"/>
                <w:kern w:val="0"/>
                <w14:ligatures w14:val="none"/>
              </w:rPr>
              <w:t>Final delivery status</w:t>
            </w:r>
          </w:p>
        </w:tc>
        <w:tc>
          <w:tcPr>
            <w:tcW w:w="0" w:type="auto"/>
            <w:vAlign w:val="center"/>
            <w:hideMark/>
          </w:tcPr>
          <w:p w14:paraId="0577B0FE" w14:textId="77777777" w:rsidR="000B6A05" w:rsidRPr="00AF0CC3" w:rsidRDefault="000B6A05" w:rsidP="00E73C98">
            <w:pPr>
              <w:spacing w:after="0" w:line="360" w:lineRule="auto"/>
              <w:rPr>
                <w:rFonts w:ascii="Times New Roman" w:eastAsia="Times New Roman" w:hAnsi="Times New Roman" w:cs="Times New Roman"/>
                <w:color w:val="000000" w:themeColor="text1"/>
                <w:kern w:val="0"/>
                <w14:ligatures w14:val="none"/>
              </w:rPr>
            </w:pPr>
            <w:r w:rsidRPr="00AF0CC3">
              <w:rPr>
                <w:rFonts w:ascii="Times New Roman" w:eastAsia="Times New Roman" w:hAnsi="Times New Roman" w:cs="Times New Roman"/>
                <w:color w:val="000000" w:themeColor="text1"/>
                <w:kern w:val="0"/>
                <w14:ligatures w14:val="none"/>
              </w:rPr>
              <w:t>Completed / Delayed / Stalled</w:t>
            </w:r>
          </w:p>
        </w:tc>
        <w:tc>
          <w:tcPr>
            <w:tcW w:w="0" w:type="auto"/>
            <w:vAlign w:val="center"/>
            <w:hideMark/>
          </w:tcPr>
          <w:p w14:paraId="5BCDC3A2" w14:textId="77777777" w:rsidR="000B6A05" w:rsidRPr="00AF0CC3" w:rsidRDefault="000B6A05" w:rsidP="00E73C98">
            <w:pPr>
              <w:spacing w:after="0" w:line="360" w:lineRule="auto"/>
              <w:rPr>
                <w:rFonts w:ascii="Times New Roman" w:eastAsia="Times New Roman" w:hAnsi="Times New Roman" w:cs="Times New Roman"/>
                <w:color w:val="000000" w:themeColor="text1"/>
                <w:kern w:val="0"/>
                <w14:ligatures w14:val="none"/>
              </w:rPr>
            </w:pPr>
            <w:r w:rsidRPr="00AF0CC3">
              <w:rPr>
                <w:rFonts w:ascii="Times New Roman" w:eastAsia="Times New Roman" w:hAnsi="Times New Roman" w:cs="Times New Roman"/>
                <w:color w:val="000000" w:themeColor="text1"/>
                <w:kern w:val="0"/>
                <w14:ligatures w14:val="none"/>
              </w:rPr>
              <w:t>Project implementation reports</w:t>
            </w:r>
          </w:p>
        </w:tc>
      </w:tr>
    </w:tbl>
    <w:p w14:paraId="769B1F71" w14:textId="77777777" w:rsidR="000B6A05" w:rsidRPr="00AF0CC3" w:rsidRDefault="000B6A05" w:rsidP="000B6A05">
      <w:pPr>
        <w:spacing w:line="360" w:lineRule="auto"/>
        <w:rPr>
          <w:rFonts w:ascii="Times New Roman" w:hAnsi="Times New Roman" w:cs="Times New Roman"/>
          <w:i/>
          <w:iCs/>
          <w:color w:val="000000" w:themeColor="text1"/>
        </w:rPr>
      </w:pPr>
    </w:p>
    <w:p w14:paraId="3812296A" w14:textId="538D4523" w:rsidR="000B6A05" w:rsidRPr="00AF0CC3" w:rsidRDefault="000B6A05" w:rsidP="008A5815">
      <w:pPr>
        <w:pStyle w:val="Heading2"/>
        <w:rPr>
          <w:rFonts w:cs="Times New Roman"/>
          <w:color w:val="000000" w:themeColor="text1"/>
          <w:szCs w:val="24"/>
        </w:rPr>
      </w:pPr>
      <w:bookmarkStart w:id="278" w:name="_Toc230209544"/>
      <w:bookmarkStart w:id="279" w:name="_Toc234344823"/>
      <w:bookmarkStart w:id="280" w:name="_Toc234489055"/>
      <w:r w:rsidRPr="00AF0CC3">
        <w:rPr>
          <w:rFonts w:cs="Times New Roman"/>
          <w:color w:val="000000" w:themeColor="text1"/>
          <w:szCs w:val="24"/>
        </w:rPr>
        <w:t>Data Structure and Estimation Strategy</w:t>
      </w:r>
      <w:bookmarkEnd w:id="278"/>
      <w:bookmarkEnd w:id="279"/>
      <w:bookmarkEnd w:id="280"/>
    </w:p>
    <w:p w14:paraId="2BCB889F" w14:textId="77777777" w:rsidR="000B6A05" w:rsidRPr="00AF0CC3" w:rsidRDefault="000B6A05" w:rsidP="000B6A05">
      <w:pPr>
        <w:spacing w:line="360" w:lineRule="auto"/>
        <w:rPr>
          <w:rFonts w:ascii="Times New Roman" w:hAnsi="Times New Roman" w:cs="Times New Roman"/>
          <w:color w:val="000000" w:themeColor="text1"/>
        </w:rPr>
      </w:pPr>
      <w:r w:rsidRPr="00AF0CC3">
        <w:rPr>
          <w:rFonts w:ascii="Times New Roman" w:hAnsi="Times New Roman" w:cs="Times New Roman"/>
          <w:color w:val="000000" w:themeColor="text1"/>
        </w:rPr>
        <w:t>This section describes the empirical approach used to assess the link between governance quality and infrastructure results.</w:t>
      </w:r>
    </w:p>
    <w:p w14:paraId="3A450FAF" w14:textId="77777777" w:rsidR="000B6A05" w:rsidRPr="00AF0CC3" w:rsidRDefault="000B6A05" w:rsidP="000B6A05">
      <w:pPr>
        <w:spacing w:line="360" w:lineRule="auto"/>
        <w:rPr>
          <w:rFonts w:ascii="Times New Roman" w:hAnsi="Times New Roman" w:cs="Times New Roman"/>
          <w:color w:val="000000" w:themeColor="text1"/>
        </w:rPr>
      </w:pPr>
      <w:r w:rsidRPr="00AF0CC3">
        <w:rPr>
          <w:rFonts w:ascii="Times New Roman" w:hAnsi="Times New Roman" w:cs="Times New Roman"/>
          <w:color w:val="000000" w:themeColor="text1"/>
        </w:rPr>
        <w:t>The dataset is structured as a cross-sectional sample of infrastructure projects, with each project observed once using standardized governance and performance indicators.</w:t>
      </w:r>
    </w:p>
    <w:p w14:paraId="067770D6" w14:textId="77777777" w:rsidR="000B6A05" w:rsidRPr="00AF0CC3" w:rsidRDefault="000B6A05" w:rsidP="000B6A05">
      <w:pPr>
        <w:spacing w:line="360" w:lineRule="auto"/>
        <w:rPr>
          <w:rFonts w:ascii="Times New Roman" w:hAnsi="Times New Roman" w:cs="Times New Roman"/>
          <w:color w:val="000000" w:themeColor="text1"/>
        </w:rPr>
      </w:pPr>
    </w:p>
    <w:p w14:paraId="2F30876D" w14:textId="77777777" w:rsidR="000B6A05" w:rsidRPr="00AF0CC3" w:rsidRDefault="000B6A05" w:rsidP="000B6A05">
      <w:pPr>
        <w:spacing w:line="360" w:lineRule="auto"/>
        <w:rPr>
          <w:rFonts w:ascii="Times New Roman" w:hAnsi="Times New Roman" w:cs="Times New Roman"/>
          <w:color w:val="000000" w:themeColor="text1"/>
        </w:rPr>
      </w:pPr>
      <w:r w:rsidRPr="00AF0CC3">
        <w:rPr>
          <w:rFonts w:ascii="Times New Roman" w:hAnsi="Times New Roman" w:cs="Times New Roman"/>
          <w:color w:val="000000" w:themeColor="text1"/>
        </w:rPr>
        <w:t>Although infrastructure datasets can sometimes be expanded into panel form through timeline reconstruction, this study adopts a cross-sectional design for both practical and conceptual reasons. Governance quality is defined as a composite lifecycle measure rather than as a series of regularly observed time-varying indicators. Additionally, project documentation does not provide consistently timed observations across projects to enable reliable panel construction. Reporting frequency varies between agencies, and key implementation events are often recorded irregularly, making retrospective reconstruction subject to measurement errors.</w:t>
      </w:r>
    </w:p>
    <w:p w14:paraId="73C83796" w14:textId="77777777" w:rsidR="000B6A05" w:rsidRPr="00AF0CC3" w:rsidRDefault="000B6A05" w:rsidP="000B6A05">
      <w:pPr>
        <w:spacing w:line="360" w:lineRule="auto"/>
        <w:rPr>
          <w:rFonts w:ascii="Times New Roman" w:hAnsi="Times New Roman" w:cs="Times New Roman"/>
          <w:color w:val="000000" w:themeColor="text1"/>
        </w:rPr>
      </w:pPr>
    </w:p>
    <w:p w14:paraId="63097146" w14:textId="77777777" w:rsidR="000B6A05" w:rsidRPr="00AF0CC3" w:rsidRDefault="000B6A05" w:rsidP="000B6A05">
      <w:pPr>
        <w:spacing w:line="360" w:lineRule="auto"/>
        <w:rPr>
          <w:rFonts w:ascii="Times New Roman" w:hAnsi="Times New Roman" w:cs="Times New Roman"/>
          <w:color w:val="000000" w:themeColor="text1"/>
        </w:rPr>
      </w:pPr>
      <w:r w:rsidRPr="00AF0CC3">
        <w:rPr>
          <w:rFonts w:ascii="Times New Roman" w:hAnsi="Times New Roman" w:cs="Times New Roman"/>
          <w:color w:val="000000" w:themeColor="text1"/>
        </w:rPr>
        <w:t xml:space="preserve">While panel or pseudo-panel methods could enhance causal inference by leveraging within-project variation over time, such approaches would require more consistent, systematically </w:t>
      </w:r>
      <w:r w:rsidRPr="00AF0CC3">
        <w:rPr>
          <w:rFonts w:ascii="Times New Roman" w:hAnsi="Times New Roman" w:cs="Times New Roman"/>
          <w:color w:val="000000" w:themeColor="text1"/>
        </w:rPr>
        <w:lastRenderedPageBreak/>
        <w:t>recorded data than are available for the current study. Therefore, the cross-sectional design offers a more transparent and justifiable framework for comparing governance and performance across projects.</w:t>
      </w:r>
    </w:p>
    <w:p w14:paraId="7C4B66F6" w14:textId="77777777" w:rsidR="000B6A05" w:rsidRPr="00AF0CC3" w:rsidRDefault="000B6A05" w:rsidP="000B6A05">
      <w:pPr>
        <w:spacing w:line="360" w:lineRule="auto"/>
        <w:rPr>
          <w:rFonts w:ascii="Times New Roman" w:hAnsi="Times New Roman" w:cs="Times New Roman"/>
          <w:color w:val="000000" w:themeColor="text1"/>
        </w:rPr>
      </w:pPr>
      <w:r w:rsidRPr="00AF0CC3">
        <w:rPr>
          <w:rFonts w:ascii="Times New Roman" w:hAnsi="Times New Roman" w:cs="Times New Roman"/>
          <w:color w:val="000000" w:themeColor="text1"/>
        </w:rPr>
        <w:t>The empirical analysis uses a project-level dataset of water infrastructure investments in Kenya from 2005 to 2023. Each entry in the dataset represents a single infrastructure project and includes details on governance practices, project features, and implementation results. Since the dataset reflects a snapshot of projects rather than repeated measures of the same project over time, the empirical models are estimated with cross-sectional regression methods.</w:t>
      </w:r>
    </w:p>
    <w:p w14:paraId="73B9F814" w14:textId="77777777" w:rsidR="000B6A05" w:rsidRPr="00AF0CC3" w:rsidRDefault="000B6A05" w:rsidP="000B6A05">
      <w:pPr>
        <w:spacing w:line="360" w:lineRule="auto"/>
        <w:rPr>
          <w:rFonts w:ascii="Times New Roman" w:hAnsi="Times New Roman" w:cs="Times New Roman"/>
          <w:color w:val="000000" w:themeColor="text1"/>
        </w:rPr>
      </w:pPr>
    </w:p>
    <w:p w14:paraId="406F1C43" w14:textId="77777777" w:rsidR="000B6A05" w:rsidRPr="00AF0CC3" w:rsidRDefault="000B6A05" w:rsidP="000B6A05">
      <w:pPr>
        <w:spacing w:line="360" w:lineRule="auto"/>
        <w:rPr>
          <w:rFonts w:ascii="Times New Roman" w:hAnsi="Times New Roman" w:cs="Times New Roman"/>
          <w:color w:val="000000" w:themeColor="text1"/>
        </w:rPr>
      </w:pPr>
      <w:r w:rsidRPr="00AF0CC3">
        <w:rPr>
          <w:rFonts w:ascii="Times New Roman" w:hAnsi="Times New Roman" w:cs="Times New Roman"/>
          <w:color w:val="000000" w:themeColor="text1"/>
        </w:rPr>
        <w:t>The estimation strategy aims to examine the relationship between governance quality and infrastructure delivery outcomes while accounting for project characteristics and contextual factors. Logistic regression models are employed to estimate the likelihood that a project becomes stalled, since the dependent variable is binary. For continuous performance measures—specifically time overruns and cost overruns—ordinary least squares (OLS) regression is used to assess the conditional effects of governance quality on project performance.</w:t>
      </w:r>
    </w:p>
    <w:p w14:paraId="019C2011" w14:textId="77777777" w:rsidR="000B6A05" w:rsidRPr="00AF0CC3" w:rsidRDefault="000B6A05" w:rsidP="000B6A05">
      <w:pPr>
        <w:spacing w:line="360" w:lineRule="auto"/>
        <w:rPr>
          <w:rFonts w:ascii="Times New Roman" w:hAnsi="Times New Roman" w:cs="Times New Roman"/>
          <w:color w:val="000000" w:themeColor="text1"/>
        </w:rPr>
      </w:pPr>
      <w:r w:rsidRPr="00AF0CC3">
        <w:rPr>
          <w:rFonts w:ascii="Times New Roman" w:hAnsi="Times New Roman" w:cs="Times New Roman"/>
          <w:color w:val="000000" w:themeColor="text1"/>
        </w:rPr>
        <w:t>Logistic regression was selected because the dependent variable (project stalled versus non-stalled) is binary, and the logit model provides coefficients that are comparatively easier to interpret in terms of implementation risk. Robustness checks using alternative link specifications, such as probit models, produced substantively comparable results.</w:t>
      </w:r>
    </w:p>
    <w:p w14:paraId="5D86EAF7" w14:textId="77777777" w:rsidR="000B6A05" w:rsidRPr="00AF0CC3" w:rsidRDefault="000B6A05" w:rsidP="000B6A05">
      <w:pPr>
        <w:spacing w:line="360" w:lineRule="auto"/>
        <w:rPr>
          <w:rFonts w:ascii="Times New Roman" w:hAnsi="Times New Roman" w:cs="Times New Roman"/>
          <w:color w:val="000000" w:themeColor="text1"/>
        </w:rPr>
      </w:pPr>
      <w:r w:rsidRPr="00AF0CC3">
        <w:rPr>
          <w:rFonts w:ascii="Times New Roman" w:hAnsi="Times New Roman" w:cs="Times New Roman"/>
          <w:color w:val="000000" w:themeColor="text1"/>
        </w:rPr>
        <w:t>To ensure reliable inference, all models are estimated using heteroskedasticity-robust standard errors. Control variables that capture project size, financing modality, project type, climate exposure, and political transition dynamics are included to account for observable differences across projects that may influence outcomes. This estimation strategy allows the analysis to isolate the impact of governance quality while recognizing the broader institutional and environmental context in which infrastructure projects are implemented.</w:t>
      </w:r>
    </w:p>
    <w:p w14:paraId="1BF0E7D1" w14:textId="77777777" w:rsidR="000B6A05" w:rsidRPr="00AF0CC3" w:rsidRDefault="000B6A05" w:rsidP="000B6A05">
      <w:pPr>
        <w:spacing w:line="360" w:lineRule="auto"/>
        <w:rPr>
          <w:rFonts w:ascii="Times New Roman" w:hAnsi="Times New Roman" w:cs="Times New Roman"/>
          <w:color w:val="000000" w:themeColor="text1"/>
        </w:rPr>
      </w:pPr>
      <w:r w:rsidRPr="00AF0CC3">
        <w:rPr>
          <w:rFonts w:ascii="Times New Roman" w:hAnsi="Times New Roman" w:cs="Times New Roman"/>
          <w:color w:val="000000" w:themeColor="text1"/>
        </w:rPr>
        <w:t>Following established principles of social science research design, the study emphasizes transparency in measuring variables and the replicability of the empirical analysis (King, Keohane &amp; Verba, 1994).</w:t>
      </w:r>
    </w:p>
    <w:p w14:paraId="03F9F2F4" w14:textId="77777777" w:rsidR="000B6A05" w:rsidRPr="00AF0CC3" w:rsidRDefault="000B6A05" w:rsidP="000B6A05">
      <w:pPr>
        <w:spacing w:line="360" w:lineRule="auto"/>
        <w:rPr>
          <w:rFonts w:ascii="Times New Roman" w:hAnsi="Times New Roman" w:cs="Times New Roman"/>
          <w:color w:val="000000" w:themeColor="text1"/>
        </w:rPr>
      </w:pPr>
    </w:p>
    <w:p w14:paraId="26EA2CB2" w14:textId="77777777" w:rsidR="000B6A05" w:rsidRPr="00AF0CC3" w:rsidRDefault="000B6A05" w:rsidP="000B6A05">
      <w:pPr>
        <w:spacing w:line="360" w:lineRule="auto"/>
        <w:rPr>
          <w:rFonts w:ascii="Times New Roman" w:hAnsi="Times New Roman" w:cs="Times New Roman"/>
          <w:color w:val="000000" w:themeColor="text1"/>
        </w:rPr>
      </w:pPr>
    </w:p>
    <w:p w14:paraId="00C16908" w14:textId="41BCAE96" w:rsidR="000B6A05" w:rsidRPr="00AF0CC3" w:rsidRDefault="000B6A05" w:rsidP="008A5815">
      <w:pPr>
        <w:pStyle w:val="Heading2"/>
        <w:rPr>
          <w:rFonts w:cs="Times New Roman"/>
          <w:color w:val="000000" w:themeColor="text1"/>
          <w:szCs w:val="24"/>
        </w:rPr>
      </w:pPr>
      <w:bookmarkStart w:id="281" w:name="_Toc230209545"/>
      <w:bookmarkStart w:id="282" w:name="_Toc234344824"/>
      <w:bookmarkStart w:id="283" w:name="_Toc234489056"/>
      <w:r w:rsidRPr="00AF0CC3">
        <w:rPr>
          <w:rFonts w:cs="Times New Roman"/>
          <w:color w:val="000000" w:themeColor="text1"/>
          <w:szCs w:val="24"/>
        </w:rPr>
        <w:t>Econometric Model Specification</w:t>
      </w:r>
      <w:bookmarkEnd w:id="281"/>
      <w:bookmarkEnd w:id="282"/>
      <w:bookmarkEnd w:id="283"/>
    </w:p>
    <w:p w14:paraId="16E70C82" w14:textId="77777777" w:rsidR="000B6A05" w:rsidRPr="00AF0CC3" w:rsidRDefault="000B6A05" w:rsidP="000B6A05">
      <w:pPr>
        <w:spacing w:line="360" w:lineRule="auto"/>
        <w:rPr>
          <w:rFonts w:ascii="Times New Roman" w:hAnsi="Times New Roman" w:cs="Times New Roman"/>
          <w:color w:val="000000" w:themeColor="text1"/>
        </w:rPr>
      </w:pPr>
    </w:p>
    <w:p w14:paraId="38D79E56" w14:textId="77777777" w:rsidR="000B6A05" w:rsidRPr="00AF0CC3" w:rsidRDefault="000B6A05" w:rsidP="000B6A05">
      <w:pPr>
        <w:spacing w:line="360" w:lineRule="auto"/>
        <w:rPr>
          <w:rFonts w:ascii="Times New Roman" w:hAnsi="Times New Roman" w:cs="Times New Roman"/>
          <w:color w:val="000000" w:themeColor="text1"/>
        </w:rPr>
      </w:pPr>
      <w:r w:rsidRPr="00AF0CC3">
        <w:rPr>
          <w:rFonts w:ascii="Times New Roman" w:hAnsi="Times New Roman" w:cs="Times New Roman"/>
          <w:color w:val="000000" w:themeColor="text1"/>
        </w:rPr>
        <w:t>The study uses regression-based econometric models to evaluate the link between governance quality and infrastructure performance.</w:t>
      </w:r>
    </w:p>
    <w:p w14:paraId="42E216AE" w14:textId="77777777" w:rsidR="000B6A05" w:rsidRPr="00AF0CC3" w:rsidRDefault="000B6A05" w:rsidP="000B6A05">
      <w:pPr>
        <w:spacing w:line="360" w:lineRule="auto"/>
        <w:rPr>
          <w:rFonts w:ascii="Times New Roman" w:hAnsi="Times New Roman" w:cs="Times New Roman"/>
          <w:color w:val="000000" w:themeColor="text1"/>
        </w:rPr>
      </w:pPr>
      <w:r w:rsidRPr="00AF0CC3">
        <w:rPr>
          <w:rFonts w:ascii="Times New Roman" w:hAnsi="Times New Roman" w:cs="Times New Roman"/>
          <w:color w:val="000000" w:themeColor="text1"/>
        </w:rPr>
        <w:t>The baseline regression model is specified as follows:</w:t>
      </w:r>
    </w:p>
    <w:p w14:paraId="768CF3AA" w14:textId="77777777" w:rsidR="000B6A05" w:rsidRPr="00AF0CC3" w:rsidRDefault="00000000" w:rsidP="000B6A05">
      <w:pPr>
        <w:spacing w:line="360" w:lineRule="auto"/>
        <w:rPr>
          <w:rFonts w:ascii="Times New Roman" w:hAnsi="Times New Roman" w:cs="Times New Roman"/>
          <w:color w:val="000000" w:themeColor="text1"/>
        </w:rPr>
      </w:pPr>
      <m:oMathPara>
        <m:oMath>
          <m:sSub>
            <m:sSubPr>
              <m:ctrlPr>
                <w:rPr>
                  <w:rFonts w:ascii="Cambria Math" w:hAnsi="Cambria Math" w:cs="Times New Roman"/>
                  <w:color w:val="000000" w:themeColor="text1"/>
                </w:rPr>
              </m:ctrlPr>
            </m:sSubPr>
            <m:e>
              <m:r>
                <w:rPr>
                  <w:rFonts w:ascii="Cambria Math" w:hAnsi="Cambria Math" w:cs="Times New Roman"/>
                  <w:color w:val="000000" w:themeColor="text1"/>
                </w:rPr>
                <m:t>Y</m:t>
              </m:r>
            </m:e>
            <m:sub>
              <m:r>
                <w:rPr>
                  <w:rFonts w:ascii="Cambria Math" w:hAnsi="Cambria Math" w:cs="Times New Roman"/>
                  <w:color w:val="000000" w:themeColor="text1"/>
                </w:rPr>
                <m:t>i</m:t>
              </m:r>
            </m:sub>
          </m:sSub>
          <m:r>
            <w:rPr>
              <w:rFonts w:ascii="Cambria Math" w:hAnsi="Cambria Math" w:cs="Times New Roman"/>
              <w:color w:val="000000" w:themeColor="text1"/>
            </w:rPr>
            <m:t>=</m:t>
          </m:r>
          <m:sSub>
            <m:sSubPr>
              <m:ctrlPr>
                <w:rPr>
                  <w:rFonts w:ascii="Cambria Math" w:hAnsi="Cambria Math" w:cs="Times New Roman"/>
                  <w:color w:val="000000" w:themeColor="text1"/>
                </w:rPr>
              </m:ctrlPr>
            </m:sSubPr>
            <m:e>
              <m:r>
                <w:rPr>
                  <w:rFonts w:ascii="Cambria Math" w:hAnsi="Cambria Math" w:cs="Times New Roman"/>
                  <w:color w:val="000000" w:themeColor="text1"/>
                </w:rPr>
                <m:t>β</m:t>
              </m:r>
            </m:e>
            <m:sub>
              <m:r>
                <w:rPr>
                  <w:rFonts w:ascii="Cambria Math" w:hAnsi="Cambria Math" w:cs="Times New Roman"/>
                  <w:color w:val="000000" w:themeColor="text1"/>
                </w:rPr>
                <m:t>0</m:t>
              </m:r>
            </m:sub>
          </m:sSub>
          <m:r>
            <w:rPr>
              <w:rFonts w:ascii="Cambria Math" w:hAnsi="Cambria Math" w:cs="Times New Roman"/>
              <w:color w:val="000000" w:themeColor="text1"/>
            </w:rPr>
            <m:t>+</m:t>
          </m:r>
          <m:sSub>
            <m:sSubPr>
              <m:ctrlPr>
                <w:rPr>
                  <w:rFonts w:ascii="Cambria Math" w:hAnsi="Cambria Math" w:cs="Times New Roman"/>
                  <w:color w:val="000000" w:themeColor="text1"/>
                </w:rPr>
              </m:ctrlPr>
            </m:sSubPr>
            <m:e>
              <m:r>
                <w:rPr>
                  <w:rFonts w:ascii="Cambria Math" w:hAnsi="Cambria Math" w:cs="Times New Roman"/>
                  <w:color w:val="000000" w:themeColor="text1"/>
                </w:rPr>
                <m:t>β</m:t>
              </m:r>
            </m:e>
            <m:sub>
              <m:r>
                <w:rPr>
                  <w:rFonts w:ascii="Cambria Math" w:hAnsi="Cambria Math" w:cs="Times New Roman"/>
                  <w:color w:val="000000" w:themeColor="text1"/>
                </w:rPr>
                <m:t>1</m:t>
              </m:r>
            </m:sub>
          </m:sSub>
          <m:r>
            <w:rPr>
              <w:rFonts w:ascii="Cambria Math" w:hAnsi="Cambria Math" w:cs="Times New Roman"/>
              <w:color w:val="000000" w:themeColor="text1"/>
            </w:rPr>
            <m:t>GQ</m:t>
          </m:r>
          <m:sSub>
            <m:sSubPr>
              <m:ctrlPr>
                <w:rPr>
                  <w:rFonts w:ascii="Cambria Math" w:hAnsi="Cambria Math" w:cs="Times New Roman"/>
                  <w:color w:val="000000" w:themeColor="text1"/>
                </w:rPr>
              </m:ctrlPr>
            </m:sSubPr>
            <m:e>
              <m:r>
                <w:rPr>
                  <w:rFonts w:ascii="Cambria Math" w:hAnsi="Cambria Math" w:cs="Times New Roman"/>
                  <w:color w:val="000000" w:themeColor="text1"/>
                </w:rPr>
                <m:t>I</m:t>
              </m:r>
            </m:e>
            <m:sub>
              <m:r>
                <w:rPr>
                  <w:rFonts w:ascii="Cambria Math" w:hAnsi="Cambria Math" w:cs="Times New Roman"/>
                  <w:color w:val="000000" w:themeColor="text1"/>
                </w:rPr>
                <m:t>i</m:t>
              </m:r>
            </m:sub>
          </m:sSub>
          <m:r>
            <w:rPr>
              <w:rFonts w:ascii="Cambria Math" w:hAnsi="Cambria Math" w:cs="Times New Roman"/>
              <w:color w:val="000000" w:themeColor="text1"/>
            </w:rPr>
            <m:t>+</m:t>
          </m:r>
          <m:sSub>
            <m:sSubPr>
              <m:ctrlPr>
                <w:rPr>
                  <w:rFonts w:ascii="Cambria Math" w:hAnsi="Cambria Math" w:cs="Times New Roman"/>
                  <w:color w:val="000000" w:themeColor="text1"/>
                </w:rPr>
              </m:ctrlPr>
            </m:sSubPr>
            <m:e>
              <m:r>
                <w:rPr>
                  <w:rFonts w:ascii="Cambria Math" w:hAnsi="Cambria Math" w:cs="Times New Roman"/>
                  <w:color w:val="000000" w:themeColor="text1"/>
                </w:rPr>
                <m:t>β</m:t>
              </m:r>
            </m:e>
            <m:sub>
              <m:r>
                <w:rPr>
                  <w:rFonts w:ascii="Cambria Math" w:hAnsi="Cambria Math" w:cs="Times New Roman"/>
                  <w:color w:val="000000" w:themeColor="text1"/>
                </w:rPr>
                <m:t>2</m:t>
              </m:r>
            </m:sub>
          </m:sSub>
          <m:r>
            <w:rPr>
              <w:rFonts w:ascii="Cambria Math" w:hAnsi="Cambria Math" w:cs="Times New Roman"/>
              <w:color w:val="000000" w:themeColor="text1"/>
            </w:rPr>
            <m:t>Climat</m:t>
          </m:r>
          <m:sSub>
            <m:sSubPr>
              <m:ctrlPr>
                <w:rPr>
                  <w:rFonts w:ascii="Cambria Math" w:hAnsi="Cambria Math" w:cs="Times New Roman"/>
                  <w:color w:val="000000" w:themeColor="text1"/>
                </w:rPr>
              </m:ctrlPr>
            </m:sSubPr>
            <m:e>
              <m:r>
                <w:rPr>
                  <w:rFonts w:ascii="Cambria Math" w:hAnsi="Cambria Math" w:cs="Times New Roman"/>
                  <w:color w:val="000000" w:themeColor="text1"/>
                </w:rPr>
                <m:t>e</m:t>
              </m:r>
            </m:e>
            <m:sub>
              <m:r>
                <w:rPr>
                  <w:rFonts w:ascii="Cambria Math" w:hAnsi="Cambria Math" w:cs="Times New Roman"/>
                  <w:color w:val="000000" w:themeColor="text1"/>
                </w:rPr>
                <m:t>i</m:t>
              </m:r>
            </m:sub>
          </m:sSub>
          <m:r>
            <w:rPr>
              <w:rFonts w:ascii="Cambria Math" w:hAnsi="Cambria Math" w:cs="Times New Roman"/>
              <w:color w:val="000000" w:themeColor="text1"/>
            </w:rPr>
            <m:t>+</m:t>
          </m:r>
          <m:sSub>
            <m:sSubPr>
              <m:ctrlPr>
                <w:rPr>
                  <w:rFonts w:ascii="Cambria Math" w:hAnsi="Cambria Math" w:cs="Times New Roman"/>
                  <w:color w:val="000000" w:themeColor="text1"/>
                </w:rPr>
              </m:ctrlPr>
            </m:sSubPr>
            <m:e>
              <m:r>
                <w:rPr>
                  <w:rFonts w:ascii="Cambria Math" w:hAnsi="Cambria Math" w:cs="Times New Roman"/>
                  <w:color w:val="000000" w:themeColor="text1"/>
                </w:rPr>
                <m:t>β</m:t>
              </m:r>
            </m:e>
            <m:sub>
              <m:r>
                <w:rPr>
                  <w:rFonts w:ascii="Cambria Math" w:hAnsi="Cambria Math" w:cs="Times New Roman"/>
                  <w:color w:val="000000" w:themeColor="text1"/>
                </w:rPr>
                <m:t>3</m:t>
              </m:r>
            </m:sub>
          </m:sSub>
          <m:r>
            <w:rPr>
              <w:rFonts w:ascii="Cambria Math" w:hAnsi="Cambria Math" w:cs="Times New Roman"/>
              <w:color w:val="000000" w:themeColor="text1"/>
            </w:rPr>
            <m:t>Politica</m:t>
          </m:r>
          <m:sSub>
            <m:sSubPr>
              <m:ctrlPr>
                <w:rPr>
                  <w:rFonts w:ascii="Cambria Math" w:hAnsi="Cambria Math" w:cs="Times New Roman"/>
                  <w:color w:val="000000" w:themeColor="text1"/>
                </w:rPr>
              </m:ctrlPr>
            </m:sSubPr>
            <m:e>
              <m:r>
                <w:rPr>
                  <w:rFonts w:ascii="Cambria Math" w:hAnsi="Cambria Math" w:cs="Times New Roman"/>
                  <w:color w:val="000000" w:themeColor="text1"/>
                </w:rPr>
                <m:t>l</m:t>
              </m:r>
            </m:e>
            <m:sub>
              <m:r>
                <w:rPr>
                  <w:rFonts w:ascii="Cambria Math" w:hAnsi="Cambria Math" w:cs="Times New Roman"/>
                  <w:color w:val="000000" w:themeColor="text1"/>
                </w:rPr>
                <m:t>i</m:t>
              </m:r>
            </m:sub>
          </m:sSub>
          <m:r>
            <w:rPr>
              <w:rFonts w:ascii="Cambria Math" w:hAnsi="Cambria Math" w:cs="Times New Roman"/>
              <w:color w:val="000000" w:themeColor="text1"/>
            </w:rPr>
            <m:t>+</m:t>
          </m:r>
          <m:sSub>
            <m:sSubPr>
              <m:ctrlPr>
                <w:rPr>
                  <w:rFonts w:ascii="Cambria Math" w:hAnsi="Cambria Math" w:cs="Times New Roman"/>
                  <w:color w:val="000000" w:themeColor="text1"/>
                </w:rPr>
              </m:ctrlPr>
            </m:sSubPr>
            <m:e>
              <m:r>
                <w:rPr>
                  <w:rFonts w:ascii="Cambria Math" w:hAnsi="Cambria Math" w:cs="Times New Roman"/>
                  <w:color w:val="000000" w:themeColor="text1"/>
                </w:rPr>
                <m:t>β</m:t>
              </m:r>
            </m:e>
            <m:sub>
              <m:r>
                <w:rPr>
                  <w:rFonts w:ascii="Cambria Math" w:hAnsi="Cambria Math" w:cs="Times New Roman"/>
                  <w:color w:val="000000" w:themeColor="text1"/>
                </w:rPr>
                <m:t>4</m:t>
              </m:r>
            </m:sub>
          </m:sSub>
          <m:r>
            <w:rPr>
              <w:rFonts w:ascii="Cambria Math" w:hAnsi="Cambria Math" w:cs="Times New Roman"/>
              <w:color w:val="000000" w:themeColor="text1"/>
            </w:rPr>
            <m:t>Control</m:t>
          </m:r>
          <m:sSub>
            <m:sSubPr>
              <m:ctrlPr>
                <w:rPr>
                  <w:rFonts w:ascii="Cambria Math" w:hAnsi="Cambria Math" w:cs="Times New Roman"/>
                  <w:color w:val="000000" w:themeColor="text1"/>
                </w:rPr>
              </m:ctrlPr>
            </m:sSubPr>
            <m:e>
              <m:r>
                <w:rPr>
                  <w:rFonts w:ascii="Cambria Math" w:hAnsi="Cambria Math" w:cs="Times New Roman"/>
                  <w:color w:val="000000" w:themeColor="text1"/>
                </w:rPr>
                <m:t>s</m:t>
              </m:r>
            </m:e>
            <m:sub>
              <m:r>
                <w:rPr>
                  <w:rFonts w:ascii="Cambria Math" w:hAnsi="Cambria Math" w:cs="Times New Roman"/>
                  <w:color w:val="000000" w:themeColor="text1"/>
                </w:rPr>
                <m:t>i</m:t>
              </m:r>
            </m:sub>
          </m:sSub>
          <m:r>
            <w:rPr>
              <w:rFonts w:ascii="Cambria Math" w:hAnsi="Cambria Math" w:cs="Times New Roman"/>
              <w:color w:val="000000" w:themeColor="text1"/>
            </w:rPr>
            <m:t>+</m:t>
          </m:r>
          <m:sSub>
            <m:sSubPr>
              <m:ctrlPr>
                <w:rPr>
                  <w:rFonts w:ascii="Cambria Math" w:hAnsi="Cambria Math" w:cs="Times New Roman"/>
                  <w:color w:val="000000" w:themeColor="text1"/>
                </w:rPr>
              </m:ctrlPr>
            </m:sSubPr>
            <m:e>
              <m:r>
                <w:rPr>
                  <w:rFonts w:ascii="Cambria Math" w:hAnsi="Cambria Math" w:cs="Times New Roman"/>
                  <w:color w:val="000000" w:themeColor="text1"/>
                </w:rPr>
                <m:t>ϵ</m:t>
              </m:r>
            </m:e>
            <m:sub>
              <m:r>
                <w:rPr>
                  <w:rFonts w:ascii="Cambria Math" w:hAnsi="Cambria Math" w:cs="Times New Roman"/>
                  <w:color w:val="000000" w:themeColor="text1"/>
                </w:rPr>
                <m:t>i</m:t>
              </m:r>
            </m:sub>
          </m:sSub>
          <m:r>
            <m:rPr>
              <m:sty m:val="p"/>
            </m:rPr>
            <w:rPr>
              <w:rFonts w:ascii="Cambria Math" w:hAnsi="Cambria Math" w:cs="Times New Roman"/>
              <w:color w:val="000000" w:themeColor="text1"/>
            </w:rPr>
            <w:br/>
          </m:r>
        </m:oMath>
      </m:oMathPara>
    </w:p>
    <w:p w14:paraId="186CB486" w14:textId="77777777" w:rsidR="000B6A05" w:rsidRPr="00AF0CC3" w:rsidRDefault="000B6A05" w:rsidP="000B6A05">
      <w:pPr>
        <w:spacing w:line="360" w:lineRule="auto"/>
        <w:rPr>
          <w:rFonts w:ascii="Times New Roman" w:hAnsi="Times New Roman" w:cs="Times New Roman"/>
          <w:color w:val="000000" w:themeColor="text1"/>
        </w:rPr>
      </w:pPr>
      <w:r w:rsidRPr="00AF0CC3">
        <w:rPr>
          <w:rFonts w:ascii="Times New Roman" w:hAnsi="Times New Roman" w:cs="Times New Roman"/>
          <w:color w:val="000000" w:themeColor="text1"/>
        </w:rPr>
        <w:t>where:</w:t>
      </w:r>
    </w:p>
    <w:p w14:paraId="1D564496" w14:textId="77777777" w:rsidR="000B6A05" w:rsidRPr="00AF0CC3" w:rsidRDefault="00000000" w:rsidP="000B6A05">
      <w:pPr>
        <w:numPr>
          <w:ilvl w:val="0"/>
          <w:numId w:val="9"/>
        </w:numPr>
        <w:spacing w:line="360" w:lineRule="auto"/>
        <w:rPr>
          <w:rFonts w:ascii="Times New Roman" w:hAnsi="Times New Roman" w:cs="Times New Roman"/>
          <w:color w:val="000000" w:themeColor="text1"/>
        </w:rPr>
      </w:pPr>
      <m:oMath>
        <m:sSub>
          <m:sSubPr>
            <m:ctrlPr>
              <w:rPr>
                <w:rFonts w:ascii="Cambria Math" w:hAnsi="Cambria Math" w:cs="Times New Roman"/>
                <w:color w:val="000000" w:themeColor="text1"/>
              </w:rPr>
            </m:ctrlPr>
          </m:sSubPr>
          <m:e>
            <m:r>
              <w:rPr>
                <w:rFonts w:ascii="Cambria Math" w:hAnsi="Cambria Math" w:cs="Times New Roman"/>
                <w:color w:val="000000" w:themeColor="text1"/>
              </w:rPr>
              <m:t>Y</m:t>
            </m:r>
          </m:e>
          <m:sub>
            <m:r>
              <w:rPr>
                <w:rFonts w:ascii="Cambria Math" w:hAnsi="Cambria Math" w:cs="Times New Roman"/>
                <w:color w:val="000000" w:themeColor="text1"/>
              </w:rPr>
              <m:t>i</m:t>
            </m:r>
          </m:sub>
        </m:sSub>
      </m:oMath>
      <w:r w:rsidR="000B6A05" w:rsidRPr="00AF0CC3">
        <w:rPr>
          <w:rFonts w:ascii="Times New Roman" w:hAnsi="Times New Roman" w:cs="Times New Roman"/>
          <w:color w:val="000000" w:themeColor="text1"/>
        </w:rPr>
        <w:t>represents project performance outcomes.</w:t>
      </w:r>
    </w:p>
    <w:p w14:paraId="1191E20C" w14:textId="77777777" w:rsidR="000B6A05" w:rsidRPr="00AF0CC3" w:rsidRDefault="000B6A05" w:rsidP="000B6A05">
      <w:pPr>
        <w:numPr>
          <w:ilvl w:val="0"/>
          <w:numId w:val="9"/>
        </w:numPr>
        <w:spacing w:line="360" w:lineRule="auto"/>
        <w:rPr>
          <w:rFonts w:ascii="Times New Roman" w:hAnsi="Times New Roman" w:cs="Times New Roman"/>
          <w:color w:val="000000" w:themeColor="text1"/>
        </w:rPr>
      </w:pPr>
      <m:oMath>
        <m:r>
          <w:rPr>
            <w:rFonts w:ascii="Cambria Math" w:hAnsi="Cambria Math" w:cs="Times New Roman"/>
            <w:color w:val="000000" w:themeColor="text1"/>
          </w:rPr>
          <m:t>GQ</m:t>
        </m:r>
        <m:sSub>
          <m:sSubPr>
            <m:ctrlPr>
              <w:rPr>
                <w:rFonts w:ascii="Cambria Math" w:hAnsi="Cambria Math" w:cs="Times New Roman"/>
                <w:color w:val="000000" w:themeColor="text1"/>
              </w:rPr>
            </m:ctrlPr>
          </m:sSubPr>
          <m:e>
            <m:r>
              <w:rPr>
                <w:rFonts w:ascii="Cambria Math" w:hAnsi="Cambria Math" w:cs="Times New Roman"/>
                <w:color w:val="000000" w:themeColor="text1"/>
              </w:rPr>
              <m:t>I</m:t>
            </m:r>
          </m:e>
          <m:sub>
            <m:r>
              <w:rPr>
                <w:rFonts w:ascii="Cambria Math" w:hAnsi="Cambria Math" w:cs="Times New Roman"/>
                <w:color w:val="000000" w:themeColor="text1"/>
              </w:rPr>
              <m:t>i</m:t>
            </m:r>
          </m:sub>
        </m:sSub>
      </m:oMath>
      <w:r w:rsidRPr="00AF0CC3">
        <w:rPr>
          <w:rFonts w:ascii="Times New Roman" w:hAnsi="Times New Roman" w:cs="Times New Roman"/>
          <w:color w:val="000000" w:themeColor="text1"/>
        </w:rPr>
        <w:t>represents the quality of governance.</w:t>
      </w:r>
    </w:p>
    <w:p w14:paraId="249998A3" w14:textId="77777777" w:rsidR="000B6A05" w:rsidRPr="00AF0CC3" w:rsidRDefault="000B6A05" w:rsidP="000B6A05">
      <w:pPr>
        <w:numPr>
          <w:ilvl w:val="0"/>
          <w:numId w:val="9"/>
        </w:numPr>
        <w:spacing w:line="360" w:lineRule="auto"/>
        <w:rPr>
          <w:rFonts w:ascii="Times New Roman" w:hAnsi="Times New Roman" w:cs="Times New Roman"/>
          <w:color w:val="000000" w:themeColor="text1"/>
        </w:rPr>
      </w:pPr>
      <w:r w:rsidRPr="00AF0CC3">
        <w:rPr>
          <w:rFonts w:ascii="Times New Roman" w:hAnsi="Times New Roman" w:cs="Times New Roman"/>
          <w:color w:val="000000" w:themeColor="text1"/>
        </w:rPr>
        <w:t>climate and political variables represent contextual conditions.</w:t>
      </w:r>
    </w:p>
    <w:p w14:paraId="33817A7C" w14:textId="77777777" w:rsidR="000B6A05" w:rsidRPr="00AF0CC3" w:rsidRDefault="000B6A05" w:rsidP="000B6A05">
      <w:pPr>
        <w:spacing w:line="360" w:lineRule="auto"/>
        <w:rPr>
          <w:rFonts w:ascii="Times New Roman" w:hAnsi="Times New Roman" w:cs="Times New Roman"/>
          <w:color w:val="000000" w:themeColor="text1"/>
        </w:rPr>
      </w:pPr>
      <w:r w:rsidRPr="00AF0CC3">
        <w:rPr>
          <w:rFonts w:ascii="Times New Roman" w:hAnsi="Times New Roman" w:cs="Times New Roman"/>
          <w:color w:val="000000" w:themeColor="text1"/>
        </w:rPr>
        <w:t>Econometric specification adheres to established methods for modeling cross-sectional relationships between institutional variables and performance outcomes (Greene, 2012; Wooldridge, 2010).</w:t>
      </w:r>
    </w:p>
    <w:p w14:paraId="0944B5A6" w14:textId="77777777" w:rsidR="000B6A05" w:rsidRPr="00AF0CC3" w:rsidRDefault="000B6A05" w:rsidP="000B6A05">
      <w:pPr>
        <w:spacing w:line="360" w:lineRule="auto"/>
        <w:rPr>
          <w:rFonts w:ascii="Times New Roman" w:hAnsi="Times New Roman" w:cs="Times New Roman"/>
          <w:b/>
          <w:bCs/>
          <w:color w:val="000000" w:themeColor="text1"/>
        </w:rPr>
      </w:pPr>
      <w:r w:rsidRPr="00AF0CC3">
        <w:rPr>
          <w:rFonts w:ascii="Times New Roman" w:hAnsi="Times New Roman" w:cs="Times New Roman"/>
          <w:b/>
          <w:bCs/>
          <w:color w:val="000000" w:themeColor="text1"/>
        </w:rPr>
        <w:t>Logistic Regression Model (Project Stalling)</w:t>
      </w:r>
    </w:p>
    <w:p w14:paraId="2BF9698A" w14:textId="77777777" w:rsidR="000B6A05" w:rsidRPr="00AF0CC3" w:rsidRDefault="000B6A05" w:rsidP="000B6A05">
      <w:pPr>
        <w:spacing w:line="360" w:lineRule="auto"/>
        <w:rPr>
          <w:rFonts w:ascii="Times New Roman" w:hAnsi="Times New Roman" w:cs="Times New Roman"/>
          <w:color w:val="000000" w:themeColor="text1"/>
        </w:rPr>
      </w:pPr>
      <m:oMathPara>
        <m:oMath>
          <m:r>
            <w:rPr>
              <w:rFonts w:ascii="Cambria Math" w:hAnsi="Cambria Math" w:cs="Times New Roman"/>
              <w:color w:val="000000" w:themeColor="text1"/>
            </w:rPr>
            <m:t>Pr(Stal</m:t>
          </m:r>
          <m:sSub>
            <m:sSubPr>
              <m:ctrlPr>
                <w:rPr>
                  <w:rFonts w:ascii="Cambria Math" w:hAnsi="Cambria Math" w:cs="Times New Roman"/>
                  <w:color w:val="000000" w:themeColor="text1"/>
                </w:rPr>
              </m:ctrlPr>
            </m:sSubPr>
            <m:e>
              <m:r>
                <w:rPr>
                  <w:rFonts w:ascii="Cambria Math" w:hAnsi="Cambria Math" w:cs="Times New Roman"/>
                  <w:color w:val="000000" w:themeColor="text1"/>
                </w:rPr>
                <m:t>l</m:t>
              </m:r>
            </m:e>
            <m:sub>
              <m:r>
                <w:rPr>
                  <w:rFonts w:ascii="Cambria Math" w:hAnsi="Cambria Math" w:cs="Times New Roman"/>
                  <w:color w:val="000000" w:themeColor="text1"/>
                </w:rPr>
                <m:t>i</m:t>
              </m:r>
            </m:sub>
          </m:sSub>
          <m:r>
            <w:rPr>
              <w:rFonts w:ascii="Cambria Math" w:hAnsi="Cambria Math" w:cs="Times New Roman"/>
              <w:color w:val="000000" w:themeColor="text1"/>
            </w:rPr>
            <m:t>)=α+</m:t>
          </m:r>
          <m:sSub>
            <m:sSubPr>
              <m:ctrlPr>
                <w:rPr>
                  <w:rFonts w:ascii="Cambria Math" w:hAnsi="Cambria Math" w:cs="Times New Roman"/>
                  <w:color w:val="000000" w:themeColor="text1"/>
                </w:rPr>
              </m:ctrlPr>
            </m:sSubPr>
            <m:e>
              <m:r>
                <w:rPr>
                  <w:rFonts w:ascii="Cambria Math" w:hAnsi="Cambria Math" w:cs="Times New Roman"/>
                  <w:color w:val="000000" w:themeColor="text1"/>
                </w:rPr>
                <m:t>β</m:t>
              </m:r>
            </m:e>
            <m:sub>
              <m:r>
                <w:rPr>
                  <w:rFonts w:ascii="Cambria Math" w:hAnsi="Cambria Math" w:cs="Times New Roman"/>
                  <w:color w:val="000000" w:themeColor="text1"/>
                </w:rPr>
                <m:t>1</m:t>
              </m:r>
            </m:sub>
          </m:sSub>
          <m:r>
            <w:rPr>
              <w:rFonts w:ascii="Cambria Math" w:hAnsi="Cambria Math" w:cs="Times New Roman"/>
              <w:color w:val="000000" w:themeColor="text1"/>
            </w:rPr>
            <m:t>GQ</m:t>
          </m:r>
          <m:sSub>
            <m:sSubPr>
              <m:ctrlPr>
                <w:rPr>
                  <w:rFonts w:ascii="Cambria Math" w:hAnsi="Cambria Math" w:cs="Times New Roman"/>
                  <w:color w:val="000000" w:themeColor="text1"/>
                </w:rPr>
              </m:ctrlPr>
            </m:sSubPr>
            <m:e>
              <m:r>
                <w:rPr>
                  <w:rFonts w:ascii="Cambria Math" w:hAnsi="Cambria Math" w:cs="Times New Roman"/>
                  <w:color w:val="000000" w:themeColor="text1"/>
                </w:rPr>
                <m:t>I</m:t>
              </m:r>
            </m:e>
            <m:sub>
              <m:r>
                <w:rPr>
                  <w:rFonts w:ascii="Cambria Math" w:hAnsi="Cambria Math" w:cs="Times New Roman"/>
                  <w:color w:val="000000" w:themeColor="text1"/>
                </w:rPr>
                <m:t>i</m:t>
              </m:r>
            </m:sub>
          </m:sSub>
          <m:r>
            <w:rPr>
              <w:rFonts w:ascii="Cambria Math" w:hAnsi="Cambria Math" w:cs="Times New Roman"/>
              <w:color w:val="000000" w:themeColor="text1"/>
            </w:rPr>
            <m:t>+</m:t>
          </m:r>
          <m:sSub>
            <m:sSubPr>
              <m:ctrlPr>
                <w:rPr>
                  <w:rFonts w:ascii="Cambria Math" w:hAnsi="Cambria Math" w:cs="Times New Roman"/>
                  <w:color w:val="000000" w:themeColor="text1"/>
                </w:rPr>
              </m:ctrlPr>
            </m:sSubPr>
            <m:e>
              <m:r>
                <w:rPr>
                  <w:rFonts w:ascii="Cambria Math" w:hAnsi="Cambria Math" w:cs="Times New Roman"/>
                  <w:color w:val="000000" w:themeColor="text1"/>
                </w:rPr>
                <m:t>β</m:t>
              </m:r>
            </m:e>
            <m:sub>
              <m:r>
                <w:rPr>
                  <w:rFonts w:ascii="Cambria Math" w:hAnsi="Cambria Math" w:cs="Times New Roman"/>
                  <w:color w:val="000000" w:themeColor="text1"/>
                </w:rPr>
                <m:t>2</m:t>
              </m:r>
            </m:sub>
          </m:sSub>
          <m:r>
            <w:rPr>
              <w:rFonts w:ascii="Cambria Math" w:hAnsi="Cambria Math" w:cs="Times New Roman"/>
              <w:color w:val="000000" w:themeColor="text1"/>
            </w:rPr>
            <m:t>Climat</m:t>
          </m:r>
          <m:sSub>
            <m:sSubPr>
              <m:ctrlPr>
                <w:rPr>
                  <w:rFonts w:ascii="Cambria Math" w:hAnsi="Cambria Math" w:cs="Times New Roman"/>
                  <w:color w:val="000000" w:themeColor="text1"/>
                </w:rPr>
              </m:ctrlPr>
            </m:sSubPr>
            <m:e>
              <m:r>
                <w:rPr>
                  <w:rFonts w:ascii="Cambria Math" w:hAnsi="Cambria Math" w:cs="Times New Roman"/>
                  <w:color w:val="000000" w:themeColor="text1"/>
                </w:rPr>
                <m:t>e</m:t>
              </m:r>
            </m:e>
            <m:sub>
              <m:r>
                <w:rPr>
                  <w:rFonts w:ascii="Cambria Math" w:hAnsi="Cambria Math" w:cs="Times New Roman"/>
                  <w:color w:val="000000" w:themeColor="text1"/>
                </w:rPr>
                <m:t>i</m:t>
              </m:r>
            </m:sub>
          </m:sSub>
          <m:r>
            <w:rPr>
              <w:rFonts w:ascii="Cambria Math" w:hAnsi="Cambria Math" w:cs="Times New Roman"/>
              <w:color w:val="000000" w:themeColor="text1"/>
            </w:rPr>
            <m:t>+</m:t>
          </m:r>
          <m:sSub>
            <m:sSubPr>
              <m:ctrlPr>
                <w:rPr>
                  <w:rFonts w:ascii="Cambria Math" w:hAnsi="Cambria Math" w:cs="Times New Roman"/>
                  <w:color w:val="000000" w:themeColor="text1"/>
                </w:rPr>
              </m:ctrlPr>
            </m:sSubPr>
            <m:e>
              <m:r>
                <w:rPr>
                  <w:rFonts w:ascii="Cambria Math" w:hAnsi="Cambria Math" w:cs="Times New Roman"/>
                  <w:color w:val="000000" w:themeColor="text1"/>
                </w:rPr>
                <m:t>β</m:t>
              </m:r>
            </m:e>
            <m:sub>
              <m:r>
                <w:rPr>
                  <w:rFonts w:ascii="Cambria Math" w:hAnsi="Cambria Math" w:cs="Times New Roman"/>
                  <w:color w:val="000000" w:themeColor="text1"/>
                </w:rPr>
                <m:t>3</m:t>
              </m:r>
            </m:sub>
          </m:sSub>
          <m:r>
            <w:rPr>
              <w:rFonts w:ascii="Cambria Math" w:hAnsi="Cambria Math" w:cs="Times New Roman"/>
              <w:color w:val="000000" w:themeColor="text1"/>
            </w:rPr>
            <m:t>Politica</m:t>
          </m:r>
          <m:sSub>
            <m:sSubPr>
              <m:ctrlPr>
                <w:rPr>
                  <w:rFonts w:ascii="Cambria Math" w:hAnsi="Cambria Math" w:cs="Times New Roman"/>
                  <w:color w:val="000000" w:themeColor="text1"/>
                </w:rPr>
              </m:ctrlPr>
            </m:sSubPr>
            <m:e>
              <m:r>
                <w:rPr>
                  <w:rFonts w:ascii="Cambria Math" w:hAnsi="Cambria Math" w:cs="Times New Roman"/>
                  <w:color w:val="000000" w:themeColor="text1"/>
                </w:rPr>
                <m:t>l</m:t>
              </m:r>
            </m:e>
            <m:sub>
              <m:r>
                <w:rPr>
                  <w:rFonts w:ascii="Cambria Math" w:hAnsi="Cambria Math" w:cs="Times New Roman"/>
                  <w:color w:val="000000" w:themeColor="text1"/>
                </w:rPr>
                <m:t>i</m:t>
              </m:r>
            </m:sub>
          </m:sSub>
          <m:r>
            <w:rPr>
              <w:rFonts w:ascii="Cambria Math" w:hAnsi="Cambria Math" w:cs="Times New Roman"/>
              <w:color w:val="000000" w:themeColor="text1"/>
            </w:rPr>
            <m:t>+</m:t>
          </m:r>
          <m:sSub>
            <m:sSubPr>
              <m:ctrlPr>
                <w:rPr>
                  <w:rFonts w:ascii="Cambria Math" w:hAnsi="Cambria Math" w:cs="Times New Roman"/>
                  <w:color w:val="000000" w:themeColor="text1"/>
                </w:rPr>
              </m:ctrlPr>
            </m:sSubPr>
            <m:e>
              <m:r>
                <w:rPr>
                  <w:rFonts w:ascii="Cambria Math" w:hAnsi="Cambria Math" w:cs="Times New Roman"/>
                  <w:color w:val="000000" w:themeColor="text1"/>
                </w:rPr>
                <m:t>β</m:t>
              </m:r>
            </m:e>
            <m:sub>
              <m:r>
                <w:rPr>
                  <w:rFonts w:ascii="Cambria Math" w:hAnsi="Cambria Math" w:cs="Times New Roman"/>
                  <w:color w:val="000000" w:themeColor="text1"/>
                </w:rPr>
                <m:t>4</m:t>
              </m:r>
            </m:sub>
          </m:sSub>
          <m:sSub>
            <m:sSubPr>
              <m:ctrlPr>
                <w:rPr>
                  <w:rFonts w:ascii="Cambria Math" w:hAnsi="Cambria Math" w:cs="Times New Roman"/>
                  <w:color w:val="000000" w:themeColor="text1"/>
                </w:rPr>
              </m:ctrlPr>
            </m:sSubPr>
            <m:e>
              <m:r>
                <w:rPr>
                  <w:rFonts w:ascii="Cambria Math" w:hAnsi="Cambria Math" w:cs="Times New Roman"/>
                  <w:color w:val="000000" w:themeColor="text1"/>
                </w:rPr>
                <m:t>X</m:t>
              </m:r>
            </m:e>
            <m:sub>
              <m:r>
                <w:rPr>
                  <w:rFonts w:ascii="Cambria Math" w:hAnsi="Cambria Math" w:cs="Times New Roman"/>
                  <w:color w:val="000000" w:themeColor="text1"/>
                </w:rPr>
                <m:t>i</m:t>
              </m:r>
            </m:sub>
          </m:sSub>
          <m:r>
            <w:rPr>
              <w:rFonts w:ascii="Cambria Math" w:hAnsi="Cambria Math" w:cs="Times New Roman"/>
              <w:color w:val="000000" w:themeColor="text1"/>
            </w:rPr>
            <m:t>+</m:t>
          </m:r>
          <m:sSub>
            <m:sSubPr>
              <m:ctrlPr>
                <w:rPr>
                  <w:rFonts w:ascii="Cambria Math" w:hAnsi="Cambria Math" w:cs="Times New Roman"/>
                  <w:color w:val="000000" w:themeColor="text1"/>
                </w:rPr>
              </m:ctrlPr>
            </m:sSubPr>
            <m:e>
              <m:r>
                <w:rPr>
                  <w:rFonts w:ascii="Cambria Math" w:hAnsi="Cambria Math" w:cs="Times New Roman"/>
                  <w:color w:val="000000" w:themeColor="text1"/>
                </w:rPr>
                <m:t>ε</m:t>
              </m:r>
            </m:e>
            <m:sub>
              <m:r>
                <w:rPr>
                  <w:rFonts w:ascii="Cambria Math" w:hAnsi="Cambria Math" w:cs="Times New Roman"/>
                  <w:color w:val="000000" w:themeColor="text1"/>
                </w:rPr>
                <m:t>i</m:t>
              </m:r>
            </m:sub>
          </m:sSub>
          <m:r>
            <m:rPr>
              <m:sty m:val="p"/>
            </m:rPr>
            <w:rPr>
              <w:rFonts w:ascii="Cambria Math" w:hAnsi="Cambria Math" w:cs="Times New Roman"/>
              <w:color w:val="000000" w:themeColor="text1"/>
            </w:rPr>
            <w:br/>
          </m:r>
        </m:oMath>
      </m:oMathPara>
    </w:p>
    <w:p w14:paraId="1A528A82" w14:textId="77777777" w:rsidR="000B6A05" w:rsidRPr="00AF0CC3" w:rsidRDefault="00000000" w:rsidP="000B6A05">
      <w:pPr>
        <w:spacing w:line="360" w:lineRule="auto"/>
        <w:rPr>
          <w:rFonts w:ascii="Times New Roman" w:hAnsi="Times New Roman" w:cs="Times New Roman"/>
          <w:color w:val="000000" w:themeColor="text1"/>
        </w:rPr>
      </w:pPr>
      <w:r>
        <w:rPr>
          <w:rFonts w:ascii="Times New Roman" w:hAnsi="Times New Roman" w:cs="Times New Roman"/>
          <w:color w:val="000000" w:themeColor="text1"/>
        </w:rPr>
        <w:pict w14:anchorId="7ECFB8DE">
          <v:rect id="_x0000_i1025" style="width:0;height:1.5pt" o:hralign="center" o:hrstd="t" o:hr="t" fillcolor="#a0a0a0" stroked="f"/>
        </w:pict>
      </w:r>
    </w:p>
    <w:p w14:paraId="6B98599E" w14:textId="77777777" w:rsidR="000B6A05" w:rsidRPr="00AF0CC3" w:rsidRDefault="000B6A05" w:rsidP="000B6A05">
      <w:pPr>
        <w:spacing w:line="360" w:lineRule="auto"/>
        <w:rPr>
          <w:rFonts w:ascii="Times New Roman" w:hAnsi="Times New Roman" w:cs="Times New Roman"/>
          <w:b/>
          <w:bCs/>
          <w:color w:val="000000" w:themeColor="text1"/>
        </w:rPr>
      </w:pPr>
      <w:r w:rsidRPr="00AF0CC3">
        <w:rPr>
          <w:rFonts w:ascii="Times New Roman" w:hAnsi="Times New Roman" w:cs="Times New Roman"/>
          <w:b/>
          <w:bCs/>
          <w:color w:val="000000" w:themeColor="text1"/>
        </w:rPr>
        <w:t>OLS Model (Time and Cost Overruns)</w:t>
      </w:r>
    </w:p>
    <w:p w14:paraId="4EB2EBAC" w14:textId="77777777" w:rsidR="000B6A05" w:rsidRPr="00AF0CC3" w:rsidRDefault="000B6A05" w:rsidP="000B6A05">
      <w:pPr>
        <w:spacing w:line="360" w:lineRule="auto"/>
        <w:rPr>
          <w:rFonts w:ascii="Times New Roman" w:hAnsi="Times New Roman" w:cs="Times New Roman"/>
          <w:color w:val="000000" w:themeColor="text1"/>
        </w:rPr>
      </w:pPr>
      <m:oMathPara>
        <m:oMath>
          <m:r>
            <w:rPr>
              <w:rFonts w:ascii="Cambria Math" w:hAnsi="Cambria Math" w:cs="Times New Roman"/>
              <w:color w:val="000000" w:themeColor="text1"/>
            </w:rPr>
            <m:t>Outcom</m:t>
          </m:r>
          <m:sSub>
            <m:sSubPr>
              <m:ctrlPr>
                <w:rPr>
                  <w:rFonts w:ascii="Cambria Math" w:hAnsi="Cambria Math" w:cs="Times New Roman"/>
                  <w:color w:val="000000" w:themeColor="text1"/>
                </w:rPr>
              </m:ctrlPr>
            </m:sSubPr>
            <m:e>
              <m:r>
                <w:rPr>
                  <w:rFonts w:ascii="Cambria Math" w:hAnsi="Cambria Math" w:cs="Times New Roman"/>
                  <w:color w:val="000000" w:themeColor="text1"/>
                </w:rPr>
                <m:t>e</m:t>
              </m:r>
            </m:e>
            <m:sub>
              <m:r>
                <w:rPr>
                  <w:rFonts w:ascii="Cambria Math" w:hAnsi="Cambria Math" w:cs="Times New Roman"/>
                  <w:color w:val="000000" w:themeColor="text1"/>
                </w:rPr>
                <m:t>i</m:t>
              </m:r>
            </m:sub>
          </m:sSub>
          <m:r>
            <w:rPr>
              <w:rFonts w:ascii="Cambria Math" w:hAnsi="Cambria Math" w:cs="Times New Roman"/>
              <w:color w:val="000000" w:themeColor="text1"/>
            </w:rPr>
            <m:t>=α+</m:t>
          </m:r>
          <m:sSub>
            <m:sSubPr>
              <m:ctrlPr>
                <w:rPr>
                  <w:rFonts w:ascii="Cambria Math" w:hAnsi="Cambria Math" w:cs="Times New Roman"/>
                  <w:color w:val="000000" w:themeColor="text1"/>
                </w:rPr>
              </m:ctrlPr>
            </m:sSubPr>
            <m:e>
              <m:r>
                <w:rPr>
                  <w:rFonts w:ascii="Cambria Math" w:hAnsi="Cambria Math" w:cs="Times New Roman"/>
                  <w:color w:val="000000" w:themeColor="text1"/>
                </w:rPr>
                <m:t>β</m:t>
              </m:r>
            </m:e>
            <m:sub>
              <m:r>
                <w:rPr>
                  <w:rFonts w:ascii="Cambria Math" w:hAnsi="Cambria Math" w:cs="Times New Roman"/>
                  <w:color w:val="000000" w:themeColor="text1"/>
                </w:rPr>
                <m:t>1</m:t>
              </m:r>
            </m:sub>
          </m:sSub>
          <m:r>
            <w:rPr>
              <w:rFonts w:ascii="Cambria Math" w:hAnsi="Cambria Math" w:cs="Times New Roman"/>
              <w:color w:val="000000" w:themeColor="text1"/>
            </w:rPr>
            <m:t>GQ</m:t>
          </m:r>
          <m:sSub>
            <m:sSubPr>
              <m:ctrlPr>
                <w:rPr>
                  <w:rFonts w:ascii="Cambria Math" w:hAnsi="Cambria Math" w:cs="Times New Roman"/>
                  <w:color w:val="000000" w:themeColor="text1"/>
                </w:rPr>
              </m:ctrlPr>
            </m:sSubPr>
            <m:e>
              <m:r>
                <w:rPr>
                  <w:rFonts w:ascii="Cambria Math" w:hAnsi="Cambria Math" w:cs="Times New Roman"/>
                  <w:color w:val="000000" w:themeColor="text1"/>
                </w:rPr>
                <m:t>I</m:t>
              </m:r>
            </m:e>
            <m:sub>
              <m:r>
                <w:rPr>
                  <w:rFonts w:ascii="Cambria Math" w:hAnsi="Cambria Math" w:cs="Times New Roman"/>
                  <w:color w:val="000000" w:themeColor="text1"/>
                </w:rPr>
                <m:t>i</m:t>
              </m:r>
            </m:sub>
          </m:sSub>
          <m:r>
            <w:rPr>
              <w:rFonts w:ascii="Cambria Math" w:hAnsi="Cambria Math" w:cs="Times New Roman"/>
              <w:color w:val="000000" w:themeColor="text1"/>
            </w:rPr>
            <m:t>+</m:t>
          </m:r>
          <m:sSub>
            <m:sSubPr>
              <m:ctrlPr>
                <w:rPr>
                  <w:rFonts w:ascii="Cambria Math" w:hAnsi="Cambria Math" w:cs="Times New Roman"/>
                  <w:color w:val="000000" w:themeColor="text1"/>
                </w:rPr>
              </m:ctrlPr>
            </m:sSubPr>
            <m:e>
              <m:r>
                <w:rPr>
                  <w:rFonts w:ascii="Cambria Math" w:hAnsi="Cambria Math" w:cs="Times New Roman"/>
                  <w:color w:val="000000" w:themeColor="text1"/>
                </w:rPr>
                <m:t>β</m:t>
              </m:r>
            </m:e>
            <m:sub>
              <m:r>
                <w:rPr>
                  <w:rFonts w:ascii="Cambria Math" w:hAnsi="Cambria Math" w:cs="Times New Roman"/>
                  <w:color w:val="000000" w:themeColor="text1"/>
                </w:rPr>
                <m:t>2</m:t>
              </m:r>
            </m:sub>
          </m:sSub>
          <m:r>
            <w:rPr>
              <w:rFonts w:ascii="Cambria Math" w:hAnsi="Cambria Math" w:cs="Times New Roman"/>
              <w:color w:val="000000" w:themeColor="text1"/>
            </w:rPr>
            <m:t>Climat</m:t>
          </m:r>
          <m:sSub>
            <m:sSubPr>
              <m:ctrlPr>
                <w:rPr>
                  <w:rFonts w:ascii="Cambria Math" w:hAnsi="Cambria Math" w:cs="Times New Roman"/>
                  <w:color w:val="000000" w:themeColor="text1"/>
                </w:rPr>
              </m:ctrlPr>
            </m:sSubPr>
            <m:e>
              <m:r>
                <w:rPr>
                  <w:rFonts w:ascii="Cambria Math" w:hAnsi="Cambria Math" w:cs="Times New Roman"/>
                  <w:color w:val="000000" w:themeColor="text1"/>
                </w:rPr>
                <m:t>e</m:t>
              </m:r>
            </m:e>
            <m:sub>
              <m:r>
                <w:rPr>
                  <w:rFonts w:ascii="Cambria Math" w:hAnsi="Cambria Math" w:cs="Times New Roman"/>
                  <w:color w:val="000000" w:themeColor="text1"/>
                </w:rPr>
                <m:t>i</m:t>
              </m:r>
            </m:sub>
          </m:sSub>
          <m:r>
            <w:rPr>
              <w:rFonts w:ascii="Cambria Math" w:hAnsi="Cambria Math" w:cs="Times New Roman"/>
              <w:color w:val="000000" w:themeColor="text1"/>
            </w:rPr>
            <m:t>+</m:t>
          </m:r>
          <m:sSub>
            <m:sSubPr>
              <m:ctrlPr>
                <w:rPr>
                  <w:rFonts w:ascii="Cambria Math" w:hAnsi="Cambria Math" w:cs="Times New Roman"/>
                  <w:color w:val="000000" w:themeColor="text1"/>
                </w:rPr>
              </m:ctrlPr>
            </m:sSubPr>
            <m:e>
              <m:r>
                <w:rPr>
                  <w:rFonts w:ascii="Cambria Math" w:hAnsi="Cambria Math" w:cs="Times New Roman"/>
                  <w:color w:val="000000" w:themeColor="text1"/>
                </w:rPr>
                <m:t>β</m:t>
              </m:r>
            </m:e>
            <m:sub>
              <m:r>
                <w:rPr>
                  <w:rFonts w:ascii="Cambria Math" w:hAnsi="Cambria Math" w:cs="Times New Roman"/>
                  <w:color w:val="000000" w:themeColor="text1"/>
                </w:rPr>
                <m:t>3</m:t>
              </m:r>
            </m:sub>
          </m:sSub>
          <m:r>
            <w:rPr>
              <w:rFonts w:ascii="Cambria Math" w:hAnsi="Cambria Math" w:cs="Times New Roman"/>
              <w:color w:val="000000" w:themeColor="text1"/>
            </w:rPr>
            <m:t>Politica</m:t>
          </m:r>
          <m:sSub>
            <m:sSubPr>
              <m:ctrlPr>
                <w:rPr>
                  <w:rFonts w:ascii="Cambria Math" w:hAnsi="Cambria Math" w:cs="Times New Roman"/>
                  <w:color w:val="000000" w:themeColor="text1"/>
                </w:rPr>
              </m:ctrlPr>
            </m:sSubPr>
            <m:e>
              <m:r>
                <w:rPr>
                  <w:rFonts w:ascii="Cambria Math" w:hAnsi="Cambria Math" w:cs="Times New Roman"/>
                  <w:color w:val="000000" w:themeColor="text1"/>
                </w:rPr>
                <m:t>l</m:t>
              </m:r>
            </m:e>
            <m:sub>
              <m:r>
                <w:rPr>
                  <w:rFonts w:ascii="Cambria Math" w:hAnsi="Cambria Math" w:cs="Times New Roman"/>
                  <w:color w:val="000000" w:themeColor="text1"/>
                </w:rPr>
                <m:t>i</m:t>
              </m:r>
            </m:sub>
          </m:sSub>
          <m:r>
            <w:rPr>
              <w:rFonts w:ascii="Cambria Math" w:hAnsi="Cambria Math" w:cs="Times New Roman"/>
              <w:color w:val="000000" w:themeColor="text1"/>
            </w:rPr>
            <m:t>+</m:t>
          </m:r>
          <m:sSub>
            <m:sSubPr>
              <m:ctrlPr>
                <w:rPr>
                  <w:rFonts w:ascii="Cambria Math" w:hAnsi="Cambria Math" w:cs="Times New Roman"/>
                  <w:color w:val="000000" w:themeColor="text1"/>
                </w:rPr>
              </m:ctrlPr>
            </m:sSubPr>
            <m:e>
              <m:r>
                <w:rPr>
                  <w:rFonts w:ascii="Cambria Math" w:hAnsi="Cambria Math" w:cs="Times New Roman"/>
                  <w:color w:val="000000" w:themeColor="text1"/>
                </w:rPr>
                <m:t>β</m:t>
              </m:r>
            </m:e>
            <m:sub>
              <m:r>
                <w:rPr>
                  <w:rFonts w:ascii="Cambria Math" w:hAnsi="Cambria Math" w:cs="Times New Roman"/>
                  <w:color w:val="000000" w:themeColor="text1"/>
                </w:rPr>
                <m:t>4</m:t>
              </m:r>
            </m:sub>
          </m:sSub>
          <m:sSub>
            <m:sSubPr>
              <m:ctrlPr>
                <w:rPr>
                  <w:rFonts w:ascii="Cambria Math" w:hAnsi="Cambria Math" w:cs="Times New Roman"/>
                  <w:color w:val="000000" w:themeColor="text1"/>
                </w:rPr>
              </m:ctrlPr>
            </m:sSubPr>
            <m:e>
              <m:r>
                <w:rPr>
                  <w:rFonts w:ascii="Cambria Math" w:hAnsi="Cambria Math" w:cs="Times New Roman"/>
                  <w:color w:val="000000" w:themeColor="text1"/>
                </w:rPr>
                <m:t>X</m:t>
              </m:r>
            </m:e>
            <m:sub>
              <m:r>
                <w:rPr>
                  <w:rFonts w:ascii="Cambria Math" w:hAnsi="Cambria Math" w:cs="Times New Roman"/>
                  <w:color w:val="000000" w:themeColor="text1"/>
                </w:rPr>
                <m:t>i</m:t>
              </m:r>
            </m:sub>
          </m:sSub>
          <m:r>
            <w:rPr>
              <w:rFonts w:ascii="Cambria Math" w:hAnsi="Cambria Math" w:cs="Times New Roman"/>
              <w:color w:val="000000" w:themeColor="text1"/>
            </w:rPr>
            <m:t>+</m:t>
          </m:r>
          <m:sSub>
            <m:sSubPr>
              <m:ctrlPr>
                <w:rPr>
                  <w:rFonts w:ascii="Cambria Math" w:hAnsi="Cambria Math" w:cs="Times New Roman"/>
                  <w:color w:val="000000" w:themeColor="text1"/>
                </w:rPr>
              </m:ctrlPr>
            </m:sSubPr>
            <m:e>
              <m:r>
                <w:rPr>
                  <w:rFonts w:ascii="Cambria Math" w:hAnsi="Cambria Math" w:cs="Times New Roman"/>
                  <w:color w:val="000000" w:themeColor="text1"/>
                </w:rPr>
                <m:t>ε</m:t>
              </m:r>
            </m:e>
            <m:sub>
              <m:r>
                <w:rPr>
                  <w:rFonts w:ascii="Cambria Math" w:hAnsi="Cambria Math" w:cs="Times New Roman"/>
                  <w:color w:val="000000" w:themeColor="text1"/>
                </w:rPr>
                <m:t>i</m:t>
              </m:r>
            </m:sub>
          </m:sSub>
          <m:r>
            <m:rPr>
              <m:sty m:val="p"/>
            </m:rPr>
            <w:rPr>
              <w:rFonts w:ascii="Cambria Math" w:hAnsi="Cambria Math" w:cs="Times New Roman"/>
              <w:color w:val="000000" w:themeColor="text1"/>
            </w:rPr>
            <w:br/>
          </m:r>
        </m:oMath>
      </m:oMathPara>
    </w:p>
    <w:p w14:paraId="41080744" w14:textId="77777777" w:rsidR="000B6A05" w:rsidRPr="00AF0CC3" w:rsidRDefault="000B6A05" w:rsidP="000B6A05">
      <w:pPr>
        <w:spacing w:line="360" w:lineRule="auto"/>
        <w:rPr>
          <w:rFonts w:ascii="Times New Roman" w:hAnsi="Times New Roman" w:cs="Times New Roman"/>
          <w:color w:val="000000" w:themeColor="text1"/>
        </w:rPr>
      </w:pPr>
      <w:r w:rsidRPr="00AF0CC3">
        <w:rPr>
          <w:rFonts w:ascii="Times New Roman" w:hAnsi="Times New Roman" w:cs="Times New Roman"/>
          <w:color w:val="000000" w:themeColor="text1"/>
        </w:rPr>
        <w:lastRenderedPageBreak/>
        <w:t>The econometric models follow standard approaches for analyzing cross-sectional relationships between institutional variables and performance outcomes in applied social science research (Greene, 2012).</w:t>
      </w:r>
    </w:p>
    <w:p w14:paraId="6C0B971D" w14:textId="77777777" w:rsidR="000B6A05" w:rsidRPr="00AF0CC3" w:rsidRDefault="000B6A05" w:rsidP="000B6A05">
      <w:pPr>
        <w:spacing w:line="360" w:lineRule="auto"/>
        <w:rPr>
          <w:rFonts w:ascii="Times New Roman" w:hAnsi="Times New Roman" w:cs="Times New Roman"/>
          <w:color w:val="000000" w:themeColor="text1"/>
        </w:rPr>
      </w:pPr>
      <w:r w:rsidRPr="00AF0CC3">
        <w:rPr>
          <w:rFonts w:ascii="Times New Roman" w:hAnsi="Times New Roman" w:cs="Times New Roman"/>
          <w:color w:val="000000" w:themeColor="text1"/>
        </w:rPr>
        <w:t>All models are estimated using heteroskedasticity-robust standard errors to ensure consistent statistical inference despite variation in project scale and complexity.</w:t>
      </w:r>
    </w:p>
    <w:p w14:paraId="13B12475" w14:textId="0D9C8024" w:rsidR="000B6A05" w:rsidRPr="00AF0CC3" w:rsidRDefault="000B6A05" w:rsidP="008A5815">
      <w:pPr>
        <w:pStyle w:val="Heading3"/>
        <w:rPr>
          <w:rFonts w:cs="Times New Roman"/>
          <w:color w:val="000000" w:themeColor="text1"/>
          <w:szCs w:val="24"/>
        </w:rPr>
      </w:pPr>
      <w:bookmarkStart w:id="284" w:name="_Toc230209546"/>
      <w:bookmarkStart w:id="285" w:name="_Toc234344825"/>
      <w:bookmarkStart w:id="286" w:name="_Toc234489057"/>
      <w:r w:rsidRPr="00AF0CC3">
        <w:rPr>
          <w:rFonts w:cs="Times New Roman"/>
          <w:color w:val="000000" w:themeColor="text1"/>
          <w:szCs w:val="24"/>
        </w:rPr>
        <w:t>Model Identification and Causal Interpretation</w:t>
      </w:r>
      <w:bookmarkEnd w:id="284"/>
      <w:bookmarkEnd w:id="285"/>
      <w:bookmarkEnd w:id="286"/>
    </w:p>
    <w:p w14:paraId="0DD045CB" w14:textId="77777777" w:rsidR="000B6A05" w:rsidRPr="00AF0CC3" w:rsidRDefault="000B6A05" w:rsidP="000B6A05">
      <w:pPr>
        <w:spacing w:line="360" w:lineRule="auto"/>
        <w:rPr>
          <w:rFonts w:ascii="Times New Roman" w:hAnsi="Times New Roman" w:cs="Times New Roman"/>
          <w:color w:val="000000" w:themeColor="text1"/>
        </w:rPr>
      </w:pPr>
    </w:p>
    <w:p w14:paraId="0A123373" w14:textId="77777777" w:rsidR="000B6A05" w:rsidRPr="00AF0CC3" w:rsidRDefault="000B6A05" w:rsidP="000B6A05">
      <w:pPr>
        <w:spacing w:line="360" w:lineRule="auto"/>
        <w:rPr>
          <w:rFonts w:ascii="Times New Roman" w:hAnsi="Times New Roman" w:cs="Times New Roman"/>
          <w:color w:val="000000" w:themeColor="text1"/>
        </w:rPr>
      </w:pPr>
      <w:r w:rsidRPr="00AF0CC3">
        <w:rPr>
          <w:rFonts w:ascii="Times New Roman" w:hAnsi="Times New Roman" w:cs="Times New Roman"/>
          <w:color w:val="000000" w:themeColor="text1"/>
        </w:rPr>
        <w:t>Because governance arrangements are not randomly assigned to infrastructure projects, careful model specification is necessary for causal interpretation. The analysis thus includes control variables that represent project characteristics and institutional conditions.</w:t>
      </w:r>
    </w:p>
    <w:p w14:paraId="774C66D1" w14:textId="77777777" w:rsidR="000B6A05" w:rsidRPr="00AF0CC3" w:rsidRDefault="000B6A05" w:rsidP="000B6A05">
      <w:pPr>
        <w:spacing w:line="360" w:lineRule="auto"/>
        <w:rPr>
          <w:rFonts w:ascii="Times New Roman" w:hAnsi="Times New Roman" w:cs="Times New Roman"/>
          <w:color w:val="000000" w:themeColor="text1"/>
        </w:rPr>
      </w:pPr>
    </w:p>
    <w:p w14:paraId="491147ED" w14:textId="77777777" w:rsidR="000B6A05" w:rsidRPr="00AF0CC3" w:rsidRDefault="000B6A05" w:rsidP="000B6A05">
      <w:pPr>
        <w:spacing w:line="360" w:lineRule="auto"/>
        <w:rPr>
          <w:rFonts w:ascii="Times New Roman" w:hAnsi="Times New Roman" w:cs="Times New Roman"/>
          <w:color w:val="000000" w:themeColor="text1"/>
        </w:rPr>
      </w:pPr>
      <w:r w:rsidRPr="00AF0CC3">
        <w:rPr>
          <w:rFonts w:ascii="Times New Roman" w:hAnsi="Times New Roman" w:cs="Times New Roman"/>
          <w:color w:val="000000" w:themeColor="text1"/>
        </w:rPr>
        <w:t>Because governance practices are established early in the project lifecycle, concerns about reverse causality are minimized. However, causal inference still follows principles of quasi-experimental research design for observational data (Shadish, Cook &amp; Campbell, 2002; Angrist &amp; Pischke, 2009).</w:t>
      </w:r>
    </w:p>
    <w:p w14:paraId="37012D6F" w14:textId="77777777" w:rsidR="000B6A05" w:rsidRPr="00AF0CC3" w:rsidRDefault="000B6A05" w:rsidP="000B6A05">
      <w:pPr>
        <w:spacing w:line="360" w:lineRule="auto"/>
        <w:rPr>
          <w:rFonts w:ascii="Times New Roman" w:hAnsi="Times New Roman" w:cs="Times New Roman"/>
          <w:color w:val="000000" w:themeColor="text1"/>
        </w:rPr>
      </w:pPr>
    </w:p>
    <w:p w14:paraId="4338C91A" w14:textId="54065576" w:rsidR="000B6A05" w:rsidRPr="00AF0CC3" w:rsidRDefault="000B6A05" w:rsidP="008A5815">
      <w:pPr>
        <w:pStyle w:val="Heading3"/>
        <w:rPr>
          <w:rFonts w:cs="Times New Roman"/>
          <w:color w:val="000000" w:themeColor="text1"/>
          <w:szCs w:val="24"/>
        </w:rPr>
      </w:pPr>
      <w:bookmarkStart w:id="287" w:name="_Toc230209547"/>
      <w:bookmarkStart w:id="288" w:name="_Toc234344826"/>
      <w:bookmarkStart w:id="289" w:name="_Toc234489058"/>
      <w:r w:rsidRPr="00AF0CC3">
        <w:rPr>
          <w:rFonts w:cs="Times New Roman"/>
          <w:color w:val="000000" w:themeColor="text1"/>
          <w:szCs w:val="24"/>
        </w:rPr>
        <w:t>Econometric Assumptions and Diagnostic Procedures</w:t>
      </w:r>
      <w:bookmarkEnd w:id="287"/>
      <w:bookmarkEnd w:id="288"/>
      <w:bookmarkEnd w:id="289"/>
    </w:p>
    <w:p w14:paraId="7487B2C0" w14:textId="77777777" w:rsidR="000B6A05" w:rsidRPr="00AF0CC3" w:rsidRDefault="000B6A05" w:rsidP="000B6A05">
      <w:pPr>
        <w:spacing w:line="360" w:lineRule="auto"/>
        <w:rPr>
          <w:rFonts w:ascii="Times New Roman" w:hAnsi="Times New Roman" w:cs="Times New Roman"/>
          <w:color w:val="000000" w:themeColor="text1"/>
        </w:rPr>
      </w:pPr>
    </w:p>
    <w:p w14:paraId="14E15475" w14:textId="77777777" w:rsidR="000B6A05" w:rsidRPr="00AF0CC3" w:rsidRDefault="000B6A05" w:rsidP="000B6A05">
      <w:pPr>
        <w:spacing w:line="360" w:lineRule="auto"/>
        <w:rPr>
          <w:rFonts w:ascii="Times New Roman" w:hAnsi="Times New Roman" w:cs="Times New Roman"/>
          <w:color w:val="000000" w:themeColor="text1"/>
        </w:rPr>
      </w:pPr>
      <w:r w:rsidRPr="00AF0CC3">
        <w:rPr>
          <w:rFonts w:ascii="Times New Roman" w:hAnsi="Times New Roman" w:cs="Times New Roman"/>
          <w:color w:val="000000" w:themeColor="text1"/>
        </w:rPr>
        <w:t>Regression-based econometric models depend on several assumptions about the statistical properties of the data. Violating these assumptions can result in biased or inefficient parameter estimates. The empirical analysis, therefore, includes diagnostic procedures designed to assess the appropriateness of the chosen estimation methods.</w:t>
      </w:r>
    </w:p>
    <w:p w14:paraId="2371C4C7" w14:textId="77777777" w:rsidR="000B6A05" w:rsidRPr="00AF0CC3" w:rsidRDefault="000B6A05" w:rsidP="000B6A05">
      <w:pPr>
        <w:spacing w:line="360" w:lineRule="auto"/>
        <w:rPr>
          <w:rFonts w:ascii="Times New Roman" w:hAnsi="Times New Roman" w:cs="Times New Roman"/>
          <w:color w:val="000000" w:themeColor="text1"/>
        </w:rPr>
      </w:pPr>
    </w:p>
    <w:p w14:paraId="5E96C994" w14:textId="77777777" w:rsidR="000B6A05" w:rsidRPr="00AF0CC3" w:rsidRDefault="000B6A05" w:rsidP="000B6A05">
      <w:pPr>
        <w:spacing w:line="360" w:lineRule="auto"/>
        <w:rPr>
          <w:rFonts w:ascii="Times New Roman" w:hAnsi="Times New Roman" w:cs="Times New Roman"/>
          <w:color w:val="000000" w:themeColor="text1"/>
        </w:rPr>
      </w:pPr>
      <w:r w:rsidRPr="00AF0CC3">
        <w:rPr>
          <w:rFonts w:ascii="Times New Roman" w:hAnsi="Times New Roman" w:cs="Times New Roman"/>
          <w:color w:val="000000" w:themeColor="text1"/>
        </w:rPr>
        <w:t>One key concern is heteroskedasticity, which happens when the variance of the error term varies across observations. Infrastructure projects differ significantly in size and complexity, making heteroskedasticity a likely issue. To manage this, the analysis uses heteroskedasticity-robust standard errors in all regression models.</w:t>
      </w:r>
    </w:p>
    <w:p w14:paraId="59C010F3" w14:textId="77777777" w:rsidR="000B6A05" w:rsidRPr="00AF0CC3" w:rsidRDefault="000B6A05" w:rsidP="000B6A05">
      <w:pPr>
        <w:spacing w:line="360" w:lineRule="auto"/>
        <w:rPr>
          <w:rFonts w:ascii="Times New Roman" w:hAnsi="Times New Roman" w:cs="Times New Roman"/>
          <w:color w:val="000000" w:themeColor="text1"/>
        </w:rPr>
      </w:pPr>
    </w:p>
    <w:p w14:paraId="3857207B" w14:textId="77777777" w:rsidR="000B6A05" w:rsidRPr="00AF0CC3" w:rsidRDefault="000B6A05" w:rsidP="000B6A05">
      <w:pPr>
        <w:spacing w:line="360" w:lineRule="auto"/>
        <w:rPr>
          <w:rFonts w:ascii="Times New Roman" w:hAnsi="Times New Roman" w:cs="Times New Roman"/>
          <w:color w:val="000000" w:themeColor="text1"/>
        </w:rPr>
      </w:pPr>
      <w:r w:rsidRPr="00AF0CC3">
        <w:rPr>
          <w:rFonts w:ascii="Times New Roman" w:hAnsi="Times New Roman" w:cs="Times New Roman"/>
          <w:color w:val="000000" w:themeColor="text1"/>
        </w:rPr>
        <w:t>Another potential issue is multicollinearity among explanatory variables. Because governance indicators, climate exposure, and political transition variables may be correlated, variance inflation factors (VIFs) are calculated to assess multicollinearity. Variables with excessively high VIF values are examined to ensure that model estimates remain stable.</w:t>
      </w:r>
    </w:p>
    <w:p w14:paraId="0185DF3C" w14:textId="77777777" w:rsidR="000B6A05" w:rsidRPr="00AF0CC3" w:rsidRDefault="000B6A05" w:rsidP="000B6A05">
      <w:pPr>
        <w:spacing w:line="360" w:lineRule="auto"/>
        <w:rPr>
          <w:rFonts w:ascii="Times New Roman" w:hAnsi="Times New Roman" w:cs="Times New Roman"/>
          <w:color w:val="000000" w:themeColor="text1"/>
        </w:rPr>
      </w:pPr>
    </w:p>
    <w:p w14:paraId="07D1BE64" w14:textId="77777777" w:rsidR="000B6A05" w:rsidRPr="00AF0CC3" w:rsidRDefault="000B6A05" w:rsidP="000B6A05">
      <w:pPr>
        <w:spacing w:line="360" w:lineRule="auto"/>
        <w:rPr>
          <w:rFonts w:ascii="Times New Roman" w:hAnsi="Times New Roman" w:cs="Times New Roman"/>
          <w:color w:val="000000" w:themeColor="text1"/>
        </w:rPr>
      </w:pPr>
      <w:r w:rsidRPr="00AF0CC3">
        <w:rPr>
          <w:rFonts w:ascii="Times New Roman" w:hAnsi="Times New Roman" w:cs="Times New Roman"/>
          <w:color w:val="000000" w:themeColor="text1"/>
        </w:rPr>
        <w:t>Model specification tests are also performed to determine whether key explanatory variables have been left out. These tests help verify that the estimated relationship between governance quality and project outcomes is not affected by omitted variable bias.</w:t>
      </w:r>
    </w:p>
    <w:p w14:paraId="1481C1A6" w14:textId="77777777" w:rsidR="000B6A05" w:rsidRPr="00AF0CC3" w:rsidRDefault="000B6A05" w:rsidP="000B6A05">
      <w:pPr>
        <w:spacing w:line="360" w:lineRule="auto"/>
        <w:rPr>
          <w:rFonts w:ascii="Times New Roman" w:hAnsi="Times New Roman" w:cs="Times New Roman"/>
          <w:color w:val="000000" w:themeColor="text1"/>
        </w:rPr>
      </w:pPr>
    </w:p>
    <w:p w14:paraId="50EEA893" w14:textId="77777777" w:rsidR="000B6A05" w:rsidRPr="00AF0CC3" w:rsidRDefault="000B6A05" w:rsidP="000B6A05">
      <w:pPr>
        <w:spacing w:line="360" w:lineRule="auto"/>
        <w:rPr>
          <w:rFonts w:ascii="Times New Roman" w:hAnsi="Times New Roman" w:cs="Times New Roman"/>
          <w:color w:val="000000" w:themeColor="text1"/>
        </w:rPr>
      </w:pPr>
      <w:r w:rsidRPr="00AF0CC3">
        <w:rPr>
          <w:rFonts w:ascii="Times New Roman" w:hAnsi="Times New Roman" w:cs="Times New Roman"/>
          <w:color w:val="000000" w:themeColor="text1"/>
        </w:rPr>
        <w:t>Together, these diagnostic procedures bolster confidence that the econometric models deliver reliable estimates of the relationships under examination.</w:t>
      </w:r>
    </w:p>
    <w:p w14:paraId="6EC5F87D" w14:textId="77777777" w:rsidR="000B6A05" w:rsidRPr="00AF0CC3" w:rsidRDefault="000B6A05" w:rsidP="000B6A05">
      <w:pPr>
        <w:spacing w:line="360" w:lineRule="auto"/>
        <w:rPr>
          <w:rFonts w:ascii="Times New Roman" w:hAnsi="Times New Roman" w:cs="Times New Roman"/>
          <w:color w:val="000000" w:themeColor="text1"/>
        </w:rPr>
      </w:pPr>
      <w:r w:rsidRPr="00AF0CC3">
        <w:rPr>
          <w:rFonts w:ascii="Times New Roman" w:hAnsi="Times New Roman" w:cs="Times New Roman"/>
          <w:color w:val="000000" w:themeColor="text1"/>
        </w:rPr>
        <w:t>The following section expands the model to include institutional resilience amid climate and political stress.</w:t>
      </w:r>
    </w:p>
    <w:p w14:paraId="3BDAB6EA" w14:textId="355C49D4" w:rsidR="000B6A05" w:rsidRPr="00AF0CC3" w:rsidRDefault="000B6A05" w:rsidP="008A5815">
      <w:pPr>
        <w:pStyle w:val="Heading2"/>
        <w:rPr>
          <w:rFonts w:cs="Times New Roman"/>
          <w:color w:val="000000" w:themeColor="text1"/>
          <w:szCs w:val="24"/>
        </w:rPr>
      </w:pPr>
      <w:bookmarkStart w:id="290" w:name="_Toc230209548"/>
      <w:bookmarkStart w:id="291" w:name="_Toc234344827"/>
      <w:bookmarkStart w:id="292" w:name="_Toc234489059"/>
      <w:r w:rsidRPr="00AF0CC3">
        <w:rPr>
          <w:rFonts w:cs="Times New Roman"/>
          <w:color w:val="000000" w:themeColor="text1"/>
          <w:szCs w:val="24"/>
        </w:rPr>
        <w:t>Institutional Resilience Modeling: Climate and Political Transitions</w:t>
      </w:r>
      <w:bookmarkEnd w:id="290"/>
      <w:bookmarkEnd w:id="291"/>
      <w:bookmarkEnd w:id="292"/>
    </w:p>
    <w:p w14:paraId="50A8113D" w14:textId="77777777" w:rsidR="000B6A05" w:rsidRPr="00AF0CC3" w:rsidRDefault="000B6A05" w:rsidP="000B6A05">
      <w:pPr>
        <w:spacing w:line="360" w:lineRule="auto"/>
        <w:rPr>
          <w:rFonts w:ascii="Times New Roman" w:hAnsi="Times New Roman" w:cs="Times New Roman"/>
          <w:color w:val="000000" w:themeColor="text1"/>
        </w:rPr>
      </w:pPr>
      <w:r w:rsidRPr="00AF0CC3">
        <w:rPr>
          <w:rFonts w:ascii="Times New Roman" w:hAnsi="Times New Roman" w:cs="Times New Roman"/>
          <w:color w:val="000000" w:themeColor="text1"/>
        </w:rPr>
        <w:t>This section expands the empirical model by including interactions between climate and political transition as institutional stress factors.</w:t>
      </w:r>
    </w:p>
    <w:p w14:paraId="5AAA3005" w14:textId="77777777" w:rsidR="000B6A05" w:rsidRPr="00AF0CC3" w:rsidRDefault="000B6A05" w:rsidP="000B6A05">
      <w:pPr>
        <w:spacing w:line="360" w:lineRule="auto"/>
        <w:rPr>
          <w:rFonts w:ascii="Times New Roman" w:hAnsi="Times New Roman" w:cs="Times New Roman"/>
          <w:color w:val="000000" w:themeColor="text1"/>
        </w:rPr>
      </w:pPr>
    </w:p>
    <w:p w14:paraId="4E010802" w14:textId="4F980CE5" w:rsidR="000B6A05" w:rsidRPr="00AF0CC3" w:rsidRDefault="000B6A05" w:rsidP="000B6A05">
      <w:pPr>
        <w:spacing w:line="360" w:lineRule="auto"/>
        <w:rPr>
          <w:rFonts w:ascii="Times New Roman" w:hAnsi="Times New Roman" w:cs="Times New Roman"/>
          <w:color w:val="000000" w:themeColor="text1"/>
        </w:rPr>
      </w:pPr>
      <w:r w:rsidRPr="00AF0CC3">
        <w:rPr>
          <w:rFonts w:ascii="Times New Roman" w:hAnsi="Times New Roman" w:cs="Times New Roman"/>
          <w:color w:val="000000" w:themeColor="text1"/>
        </w:rPr>
        <w:t xml:space="preserve">One of the main points in Chapter Two is that infrastructure performance depends not only on </w:t>
      </w:r>
      <w:r w:rsidR="00080997" w:rsidRPr="00AF0CC3">
        <w:rPr>
          <w:rFonts w:ascii="Times New Roman" w:hAnsi="Times New Roman" w:cs="Times New Roman"/>
          <w:color w:val="000000" w:themeColor="text1"/>
        </w:rPr>
        <w:t xml:space="preserve">the quality of governance </w:t>
      </w:r>
      <w:r w:rsidRPr="00AF0CC3">
        <w:rPr>
          <w:rFonts w:ascii="Times New Roman" w:hAnsi="Times New Roman" w:cs="Times New Roman"/>
          <w:color w:val="000000" w:themeColor="text1"/>
        </w:rPr>
        <w:t>but also on how governance systems respond to external shocks. Climate variability and political transitions are two sources of institutional stress that can affect infrastructure delivery outcomes.</w:t>
      </w:r>
    </w:p>
    <w:p w14:paraId="189D068D" w14:textId="77777777" w:rsidR="000B6A05" w:rsidRPr="00AF0CC3" w:rsidRDefault="000B6A05" w:rsidP="000B6A05">
      <w:pPr>
        <w:spacing w:line="360" w:lineRule="auto"/>
        <w:rPr>
          <w:rFonts w:ascii="Times New Roman" w:hAnsi="Times New Roman" w:cs="Times New Roman"/>
          <w:color w:val="000000" w:themeColor="text1"/>
        </w:rPr>
      </w:pPr>
      <w:r w:rsidRPr="00AF0CC3">
        <w:rPr>
          <w:rFonts w:ascii="Times New Roman" w:hAnsi="Times New Roman" w:cs="Times New Roman"/>
          <w:color w:val="000000" w:themeColor="text1"/>
        </w:rPr>
        <w:t>Climate events and political transitions are considered contextual variables that interact with governance quality. Adaptive governance research indicates that institutional capacity determines whether climate variability causes system disruption or leads to effective adaptation (Lebel et al., 2021). The interaction design enables the study to assess whether governance quality reduces or intensifies the impacts of environmental and political shocks.</w:t>
      </w:r>
    </w:p>
    <w:p w14:paraId="5B11102F" w14:textId="77777777" w:rsidR="000B6A05" w:rsidRPr="00AF0CC3" w:rsidRDefault="000B6A05" w:rsidP="000B6A05">
      <w:pPr>
        <w:spacing w:line="360" w:lineRule="auto"/>
        <w:rPr>
          <w:rFonts w:ascii="Times New Roman" w:hAnsi="Times New Roman" w:cs="Times New Roman"/>
          <w:color w:val="000000" w:themeColor="text1"/>
        </w:rPr>
      </w:pPr>
    </w:p>
    <w:p w14:paraId="38A6C76C" w14:textId="77777777" w:rsidR="000B6A05" w:rsidRPr="00AF0CC3" w:rsidRDefault="000B6A05" w:rsidP="000B6A05">
      <w:pPr>
        <w:spacing w:line="360" w:lineRule="auto"/>
        <w:rPr>
          <w:rFonts w:ascii="Times New Roman" w:hAnsi="Times New Roman" w:cs="Times New Roman"/>
          <w:color w:val="000000" w:themeColor="text1"/>
        </w:rPr>
      </w:pPr>
      <w:r w:rsidRPr="00AF0CC3">
        <w:rPr>
          <w:rFonts w:ascii="Times New Roman" w:hAnsi="Times New Roman" w:cs="Times New Roman"/>
          <w:color w:val="000000" w:themeColor="text1"/>
        </w:rPr>
        <w:t>Instead of viewing these factors as independent determinants of performance, the study conceptualizes them as moderating influences that interact with governance quality. Strong governance systems can help projects adapt to environmental or political disruptions, while weak governance systems may amplify the effects of such shocks.</w:t>
      </w:r>
    </w:p>
    <w:p w14:paraId="713D46BC" w14:textId="77777777" w:rsidR="000B6A05" w:rsidRPr="00AF0CC3" w:rsidRDefault="000B6A05" w:rsidP="000B6A05">
      <w:pPr>
        <w:spacing w:line="360" w:lineRule="auto"/>
        <w:rPr>
          <w:rFonts w:ascii="Times New Roman" w:hAnsi="Times New Roman" w:cs="Times New Roman"/>
          <w:color w:val="000000" w:themeColor="text1"/>
        </w:rPr>
      </w:pPr>
    </w:p>
    <w:p w14:paraId="56CF8598" w14:textId="77777777" w:rsidR="000B6A05" w:rsidRPr="00AF0CC3" w:rsidRDefault="000B6A05" w:rsidP="000B6A05">
      <w:pPr>
        <w:spacing w:line="360" w:lineRule="auto"/>
        <w:rPr>
          <w:rFonts w:ascii="Times New Roman" w:hAnsi="Times New Roman" w:cs="Times New Roman"/>
          <w:color w:val="000000" w:themeColor="text1"/>
        </w:rPr>
      </w:pPr>
      <w:r w:rsidRPr="00AF0CC3">
        <w:rPr>
          <w:rFonts w:ascii="Times New Roman" w:hAnsi="Times New Roman" w:cs="Times New Roman"/>
          <w:color w:val="000000" w:themeColor="text1"/>
        </w:rPr>
        <w:t>To empirically capture these dynamics, the econometric models incorporate interaction terms between governance quality and both climate exposure and political transition variables. These interaction terms enable the analysis to examine whether governance quality affects the impact of external shocks on project outcomes.</w:t>
      </w:r>
    </w:p>
    <w:p w14:paraId="7244F640" w14:textId="77777777" w:rsidR="000B6A05" w:rsidRPr="00AF0CC3" w:rsidRDefault="000B6A05" w:rsidP="000B6A05">
      <w:pPr>
        <w:spacing w:line="360" w:lineRule="auto"/>
        <w:rPr>
          <w:rFonts w:ascii="Times New Roman" w:hAnsi="Times New Roman" w:cs="Times New Roman"/>
          <w:color w:val="000000" w:themeColor="text1"/>
        </w:rPr>
      </w:pPr>
    </w:p>
    <w:p w14:paraId="5AA7F3E1" w14:textId="77777777" w:rsidR="000B6A05" w:rsidRPr="00AF0CC3" w:rsidRDefault="000B6A05" w:rsidP="000B6A05">
      <w:pPr>
        <w:spacing w:line="360" w:lineRule="auto"/>
        <w:rPr>
          <w:rFonts w:ascii="Times New Roman" w:hAnsi="Times New Roman" w:cs="Times New Roman"/>
          <w:color w:val="000000" w:themeColor="text1"/>
        </w:rPr>
      </w:pPr>
      <w:r w:rsidRPr="00AF0CC3">
        <w:rPr>
          <w:rFonts w:ascii="Times New Roman" w:hAnsi="Times New Roman" w:cs="Times New Roman"/>
          <w:color w:val="000000" w:themeColor="text1"/>
        </w:rPr>
        <w:t>For example, climate shocks such as flooding can disrupt construction schedules or damage partially completed infrastructure. Projects with strong governance mechanisms may respond by renegotiating contracts, adjusting schedules, or modifying designs. Conversely, projects with weaker governance systems may face disputes, funding interruptions, or contractor withdrawals, increasing the risk of delays.</w:t>
      </w:r>
    </w:p>
    <w:p w14:paraId="7843D7AD" w14:textId="77777777" w:rsidR="000B6A05" w:rsidRPr="00AF0CC3" w:rsidRDefault="000B6A05" w:rsidP="000B6A05">
      <w:pPr>
        <w:spacing w:line="360" w:lineRule="auto"/>
        <w:rPr>
          <w:rFonts w:ascii="Times New Roman" w:hAnsi="Times New Roman" w:cs="Times New Roman"/>
          <w:color w:val="000000" w:themeColor="text1"/>
        </w:rPr>
      </w:pPr>
      <w:r w:rsidRPr="00AF0CC3">
        <w:rPr>
          <w:rFonts w:ascii="Times New Roman" w:hAnsi="Times New Roman" w:cs="Times New Roman"/>
          <w:color w:val="000000" w:themeColor="text1"/>
        </w:rPr>
        <w:t>Flood-related disruptions to projects such as the Budalangi flood control system demonstrate how climate shocks interact with governance capacity.</w:t>
      </w:r>
    </w:p>
    <w:p w14:paraId="5DB5F8FD" w14:textId="77777777" w:rsidR="000B6A05" w:rsidRPr="00AF0CC3" w:rsidRDefault="000B6A05" w:rsidP="000B6A05">
      <w:pPr>
        <w:spacing w:line="360" w:lineRule="auto"/>
        <w:rPr>
          <w:rFonts w:ascii="Times New Roman" w:hAnsi="Times New Roman" w:cs="Times New Roman"/>
          <w:color w:val="000000" w:themeColor="text1"/>
        </w:rPr>
      </w:pPr>
      <w:r w:rsidRPr="00AF0CC3">
        <w:rPr>
          <w:rFonts w:ascii="Times New Roman" w:hAnsi="Times New Roman" w:cs="Times New Roman"/>
          <w:color w:val="000000" w:themeColor="text1"/>
        </w:rPr>
        <w:t>Similarly, political transitions can influence infrastructure projects through changes in leadership, shifts in budget priorities, or organizational restructuring. When governance institutions are strong, project continuity can often be maintained despite political changes. However, in fragmented governance systems, political transitions may lead to implementation failures.</w:t>
      </w:r>
    </w:p>
    <w:p w14:paraId="291DE68A" w14:textId="77777777" w:rsidR="000B6A05" w:rsidRPr="00AF0CC3" w:rsidRDefault="000B6A05" w:rsidP="000B6A05">
      <w:pPr>
        <w:spacing w:line="360" w:lineRule="auto"/>
        <w:rPr>
          <w:rFonts w:ascii="Times New Roman" w:hAnsi="Times New Roman" w:cs="Times New Roman"/>
          <w:color w:val="000000" w:themeColor="text1"/>
        </w:rPr>
      </w:pPr>
    </w:p>
    <w:p w14:paraId="7B2213CC" w14:textId="77777777" w:rsidR="000B6A05" w:rsidRPr="00AF0CC3" w:rsidRDefault="000B6A05" w:rsidP="000B6A05">
      <w:pPr>
        <w:spacing w:line="360" w:lineRule="auto"/>
        <w:rPr>
          <w:rFonts w:ascii="Times New Roman" w:hAnsi="Times New Roman" w:cs="Times New Roman"/>
          <w:color w:val="000000" w:themeColor="text1"/>
        </w:rPr>
      </w:pPr>
      <w:r w:rsidRPr="00AF0CC3">
        <w:rPr>
          <w:rFonts w:ascii="Times New Roman" w:hAnsi="Times New Roman" w:cs="Times New Roman"/>
          <w:color w:val="000000" w:themeColor="text1"/>
        </w:rPr>
        <w:t>This interaction specification links the empirical model with the institutional resilience framework developed in Chapter Two. By including these interaction effects, the study offers a more detailed understanding of how governance quality influences infrastructure resilience in the face of environmental and political uncertainty.</w:t>
      </w:r>
    </w:p>
    <w:p w14:paraId="655E66E1" w14:textId="342DE0DE" w:rsidR="000B6A05" w:rsidRPr="00AF0CC3" w:rsidRDefault="000B6A05" w:rsidP="008A5815">
      <w:pPr>
        <w:pStyle w:val="Heading2"/>
        <w:rPr>
          <w:rFonts w:cs="Times New Roman"/>
          <w:color w:val="000000" w:themeColor="text1"/>
          <w:szCs w:val="24"/>
        </w:rPr>
      </w:pPr>
      <w:bookmarkStart w:id="293" w:name="_Toc230209549"/>
      <w:bookmarkStart w:id="294" w:name="_Toc234344828"/>
      <w:bookmarkStart w:id="295" w:name="_Toc234489060"/>
      <w:r w:rsidRPr="00AF0CC3">
        <w:rPr>
          <w:rFonts w:cs="Times New Roman"/>
          <w:color w:val="000000" w:themeColor="text1"/>
          <w:szCs w:val="24"/>
        </w:rPr>
        <w:lastRenderedPageBreak/>
        <w:t>Robustness Checks and Sensitivity Analysis</w:t>
      </w:r>
      <w:bookmarkEnd w:id="293"/>
      <w:bookmarkEnd w:id="294"/>
      <w:bookmarkEnd w:id="295"/>
    </w:p>
    <w:p w14:paraId="719DA39F" w14:textId="77777777" w:rsidR="000B6A05" w:rsidRPr="00AF0CC3" w:rsidRDefault="000B6A05" w:rsidP="000B6A05">
      <w:pPr>
        <w:spacing w:line="360" w:lineRule="auto"/>
        <w:rPr>
          <w:rFonts w:ascii="Times New Roman" w:hAnsi="Times New Roman" w:cs="Times New Roman"/>
          <w:color w:val="000000" w:themeColor="text1"/>
        </w:rPr>
      </w:pPr>
      <w:r w:rsidRPr="00AF0CC3">
        <w:rPr>
          <w:rFonts w:ascii="Times New Roman" w:hAnsi="Times New Roman" w:cs="Times New Roman"/>
          <w:color w:val="000000" w:themeColor="text1"/>
        </w:rPr>
        <w:t>This section assesses the stability and reliability of the empirical results under different model specifications and assumptions.</w:t>
      </w:r>
    </w:p>
    <w:p w14:paraId="479AFB74" w14:textId="77777777" w:rsidR="000B6A05" w:rsidRPr="00AF0CC3" w:rsidRDefault="000B6A05" w:rsidP="000B6A05">
      <w:pPr>
        <w:spacing w:line="360" w:lineRule="auto"/>
        <w:rPr>
          <w:rFonts w:ascii="Times New Roman" w:hAnsi="Times New Roman" w:cs="Times New Roman"/>
          <w:color w:val="000000" w:themeColor="text1"/>
        </w:rPr>
      </w:pPr>
      <w:r w:rsidRPr="00AF0CC3">
        <w:rPr>
          <w:rFonts w:ascii="Times New Roman" w:hAnsi="Times New Roman" w:cs="Times New Roman"/>
          <w:color w:val="000000" w:themeColor="text1"/>
        </w:rPr>
        <w:t>Robustness checks are performed to ensure that the empirical results reflect underlying institutional dynamics rather than model artifacts. These procedures aim to evaluate the stability, consistency, and sensitivity of the estimated relationships under different assumptions, measurement methods, and sample conditions.</w:t>
      </w:r>
    </w:p>
    <w:p w14:paraId="1FAD722D" w14:textId="77777777" w:rsidR="000B6A05" w:rsidRPr="00AF0CC3" w:rsidRDefault="000B6A05" w:rsidP="000B6A05">
      <w:pPr>
        <w:spacing w:line="360" w:lineRule="auto"/>
        <w:rPr>
          <w:rFonts w:ascii="Times New Roman" w:hAnsi="Times New Roman" w:cs="Times New Roman"/>
          <w:color w:val="000000" w:themeColor="text1"/>
        </w:rPr>
      </w:pPr>
    </w:p>
    <w:p w14:paraId="5C01E470" w14:textId="77777777" w:rsidR="000B6A05" w:rsidRPr="00AF0CC3" w:rsidRDefault="000B6A05" w:rsidP="000B6A05">
      <w:pPr>
        <w:spacing w:line="360" w:lineRule="auto"/>
        <w:rPr>
          <w:rFonts w:ascii="Times New Roman" w:hAnsi="Times New Roman" w:cs="Times New Roman"/>
          <w:color w:val="000000" w:themeColor="text1"/>
        </w:rPr>
      </w:pPr>
      <w:r w:rsidRPr="00AF0CC3">
        <w:rPr>
          <w:rFonts w:ascii="Times New Roman" w:hAnsi="Times New Roman" w:cs="Times New Roman"/>
          <w:color w:val="000000" w:themeColor="text1"/>
        </w:rPr>
        <w:t>First, alternative specifications of the Governance Quality Index (GQI) are estimated to assess whether the results depend on how governance is measured. This includes re-estimating models using disaggregated governance factors (e.g., preparation quality, procurement discipline, implementation oversight) and different weighting methods. By comparing these specifications, the analysis determines whether specific aspects influence the link between governance and project results or whether this link reflects a broader institutional effect.</w:t>
      </w:r>
    </w:p>
    <w:p w14:paraId="4FA59073" w14:textId="77777777" w:rsidR="000B6A05" w:rsidRPr="00AF0CC3" w:rsidRDefault="000B6A05" w:rsidP="000B6A05">
      <w:pPr>
        <w:spacing w:line="360" w:lineRule="auto"/>
        <w:rPr>
          <w:rFonts w:ascii="Times New Roman" w:hAnsi="Times New Roman" w:cs="Times New Roman"/>
          <w:color w:val="000000" w:themeColor="text1"/>
        </w:rPr>
      </w:pPr>
    </w:p>
    <w:p w14:paraId="1DA37DF8" w14:textId="77777777" w:rsidR="000B6A05" w:rsidRPr="00AF0CC3" w:rsidRDefault="000B6A05" w:rsidP="000B6A05">
      <w:pPr>
        <w:spacing w:line="360" w:lineRule="auto"/>
        <w:rPr>
          <w:rFonts w:ascii="Times New Roman" w:hAnsi="Times New Roman" w:cs="Times New Roman"/>
          <w:color w:val="000000" w:themeColor="text1"/>
        </w:rPr>
      </w:pPr>
      <w:r w:rsidRPr="00AF0CC3">
        <w:rPr>
          <w:rFonts w:ascii="Times New Roman" w:hAnsi="Times New Roman" w:cs="Times New Roman"/>
          <w:color w:val="000000" w:themeColor="text1"/>
        </w:rPr>
        <w:t>Second, heteroskedasticity-robust standard errors are used to address potential non-constant variance in the error term, which is common in project-level data characterized by differences in project size, funding structure, and sectoral complexity. This guarantees that statistical inference remains valid even when classical homoskedasticity assumptions are violated.</w:t>
      </w:r>
    </w:p>
    <w:p w14:paraId="2424660B" w14:textId="77777777" w:rsidR="000B6A05" w:rsidRPr="00AF0CC3" w:rsidRDefault="000B6A05" w:rsidP="000B6A05">
      <w:pPr>
        <w:spacing w:line="360" w:lineRule="auto"/>
        <w:rPr>
          <w:rFonts w:ascii="Times New Roman" w:hAnsi="Times New Roman" w:cs="Times New Roman"/>
          <w:color w:val="000000" w:themeColor="text1"/>
        </w:rPr>
      </w:pPr>
    </w:p>
    <w:p w14:paraId="236B6A65" w14:textId="77777777" w:rsidR="000B6A05" w:rsidRPr="00AF0CC3" w:rsidRDefault="000B6A05" w:rsidP="000B6A05">
      <w:pPr>
        <w:spacing w:line="360" w:lineRule="auto"/>
        <w:rPr>
          <w:rFonts w:ascii="Times New Roman" w:hAnsi="Times New Roman" w:cs="Times New Roman"/>
          <w:color w:val="000000" w:themeColor="text1"/>
        </w:rPr>
      </w:pPr>
      <w:r w:rsidRPr="00AF0CC3">
        <w:rPr>
          <w:rFonts w:ascii="Times New Roman" w:hAnsi="Times New Roman" w:cs="Times New Roman"/>
          <w:color w:val="000000" w:themeColor="text1"/>
        </w:rPr>
        <w:t>Third, subsample analyses are conducted across various project categories, including differences by project type (e.g., urban water supply, irrigation, flood management), financing modality (public vs. PPP), and scale (large vs. medium projects). These comparisons enable the study to evaluate whether governance effects are consistent across contexts or systematically vary across distinct institutional and operational settings.</w:t>
      </w:r>
    </w:p>
    <w:p w14:paraId="6ADD7995" w14:textId="77777777" w:rsidR="000B6A05" w:rsidRPr="00AF0CC3" w:rsidRDefault="000B6A05" w:rsidP="000B6A05">
      <w:pPr>
        <w:spacing w:line="360" w:lineRule="auto"/>
        <w:rPr>
          <w:rFonts w:ascii="Times New Roman" w:hAnsi="Times New Roman" w:cs="Times New Roman"/>
          <w:color w:val="000000" w:themeColor="text1"/>
        </w:rPr>
      </w:pPr>
    </w:p>
    <w:p w14:paraId="4D8E419D" w14:textId="77777777" w:rsidR="000B6A05" w:rsidRPr="00AF0CC3" w:rsidRDefault="000B6A05" w:rsidP="000B6A05">
      <w:pPr>
        <w:spacing w:line="360" w:lineRule="auto"/>
        <w:rPr>
          <w:rFonts w:ascii="Times New Roman" w:hAnsi="Times New Roman" w:cs="Times New Roman"/>
          <w:color w:val="000000" w:themeColor="text1"/>
        </w:rPr>
      </w:pPr>
      <w:r w:rsidRPr="00AF0CC3">
        <w:rPr>
          <w:rFonts w:ascii="Times New Roman" w:hAnsi="Times New Roman" w:cs="Times New Roman"/>
          <w:color w:val="000000" w:themeColor="text1"/>
        </w:rPr>
        <w:t xml:space="preserve">Fourth, sensitivity analysis is conducted on climate exposure measures to address potential measurement errors and alternative ways of defining environmental risk. This involves testing </w:t>
      </w:r>
      <w:r w:rsidRPr="00AF0CC3">
        <w:rPr>
          <w:rFonts w:ascii="Times New Roman" w:hAnsi="Times New Roman" w:cs="Times New Roman"/>
          <w:color w:val="000000" w:themeColor="text1"/>
        </w:rPr>
        <w:lastRenderedPageBreak/>
        <w:t>various indicators of climate variability (e.g., drought frequency, flood occurrence, rainfall variability) and assessing whether the moderating effect of climate conditions on project performance remains consistent across these specifications.</w:t>
      </w:r>
    </w:p>
    <w:p w14:paraId="657800DF" w14:textId="77777777" w:rsidR="000B6A05" w:rsidRPr="00AF0CC3" w:rsidRDefault="000B6A05" w:rsidP="000B6A05">
      <w:pPr>
        <w:spacing w:line="360" w:lineRule="auto"/>
        <w:rPr>
          <w:rFonts w:ascii="Times New Roman" w:hAnsi="Times New Roman" w:cs="Times New Roman"/>
          <w:color w:val="000000" w:themeColor="text1"/>
        </w:rPr>
      </w:pPr>
    </w:p>
    <w:p w14:paraId="47C646E0" w14:textId="77777777" w:rsidR="000B6A05" w:rsidRPr="00AF0CC3" w:rsidRDefault="000B6A05" w:rsidP="000B6A05">
      <w:pPr>
        <w:spacing w:line="360" w:lineRule="auto"/>
        <w:rPr>
          <w:rFonts w:ascii="Times New Roman" w:hAnsi="Times New Roman" w:cs="Times New Roman"/>
          <w:color w:val="000000" w:themeColor="text1"/>
        </w:rPr>
      </w:pPr>
      <w:r w:rsidRPr="00AF0CC3">
        <w:rPr>
          <w:rFonts w:ascii="Times New Roman" w:hAnsi="Times New Roman" w:cs="Times New Roman"/>
          <w:color w:val="000000" w:themeColor="text1"/>
        </w:rPr>
        <w:t>Additionally, a series of standard econometric diagnostics is performed to assess model validity and ensure that the estimated relationships are not affected by violations of classical regression assumptions. These include tests for multicollinearity, model specification errors, and influential observations. When necessary, corrective measures are taken to preserve the robustness of the empirical results (Wooldridge, 2013).</w:t>
      </w:r>
    </w:p>
    <w:p w14:paraId="1C99CD61" w14:textId="77777777" w:rsidR="000B6A05" w:rsidRPr="00AF0CC3" w:rsidRDefault="000B6A05" w:rsidP="000B6A05">
      <w:pPr>
        <w:spacing w:line="360" w:lineRule="auto"/>
        <w:rPr>
          <w:rFonts w:ascii="Times New Roman" w:hAnsi="Times New Roman" w:cs="Times New Roman"/>
          <w:color w:val="000000" w:themeColor="text1"/>
        </w:rPr>
      </w:pPr>
    </w:p>
    <w:p w14:paraId="5368B916" w14:textId="77777777" w:rsidR="000B6A05" w:rsidRPr="00AF0CC3" w:rsidRDefault="000B6A05" w:rsidP="000B6A05">
      <w:pPr>
        <w:spacing w:line="360" w:lineRule="auto"/>
        <w:rPr>
          <w:rFonts w:ascii="Times New Roman" w:hAnsi="Times New Roman" w:cs="Times New Roman"/>
          <w:color w:val="000000" w:themeColor="text1"/>
        </w:rPr>
      </w:pPr>
      <w:r w:rsidRPr="00AF0CC3">
        <w:rPr>
          <w:rFonts w:ascii="Times New Roman" w:hAnsi="Times New Roman" w:cs="Times New Roman"/>
          <w:color w:val="000000" w:themeColor="text1"/>
        </w:rPr>
        <w:t>These robust procedures collectively enhance confidence in the findings by demonstrating that the relationships between governance quality and infrastructure performance remain consistent across different model specifications, measurement choices, and sample conditions, rather than depending on a specific empirical setup.</w:t>
      </w:r>
    </w:p>
    <w:p w14:paraId="73915954" w14:textId="77777777" w:rsidR="000B6A05" w:rsidRPr="00AF0CC3" w:rsidRDefault="000B6A05" w:rsidP="000B6A05">
      <w:pPr>
        <w:spacing w:line="360" w:lineRule="auto"/>
        <w:rPr>
          <w:rFonts w:ascii="Times New Roman" w:hAnsi="Times New Roman" w:cs="Times New Roman"/>
          <w:color w:val="000000" w:themeColor="text1"/>
        </w:rPr>
      </w:pPr>
    </w:p>
    <w:p w14:paraId="2A1CF1A4" w14:textId="726179CF" w:rsidR="000B6A05" w:rsidRPr="00AF0CC3" w:rsidRDefault="000B6A05" w:rsidP="008A5815">
      <w:pPr>
        <w:pStyle w:val="Heading3"/>
        <w:rPr>
          <w:rFonts w:cs="Times New Roman"/>
          <w:color w:val="000000" w:themeColor="text1"/>
          <w:szCs w:val="24"/>
        </w:rPr>
      </w:pPr>
      <w:bookmarkStart w:id="296" w:name="_Toc230209550"/>
      <w:bookmarkStart w:id="297" w:name="_Toc234344829"/>
      <w:bookmarkStart w:id="298" w:name="_Toc234489061"/>
      <w:r w:rsidRPr="00AF0CC3">
        <w:rPr>
          <w:rFonts w:cs="Times New Roman"/>
          <w:color w:val="000000" w:themeColor="text1"/>
          <w:szCs w:val="24"/>
        </w:rPr>
        <w:t>Measurement Validation of the Governance Quality Index</w:t>
      </w:r>
      <w:bookmarkEnd w:id="296"/>
      <w:bookmarkEnd w:id="297"/>
      <w:bookmarkEnd w:id="298"/>
    </w:p>
    <w:p w14:paraId="336ED973" w14:textId="77777777" w:rsidR="000B6A05" w:rsidRPr="00AF0CC3" w:rsidRDefault="000B6A05" w:rsidP="000B6A05">
      <w:pPr>
        <w:spacing w:line="360" w:lineRule="auto"/>
        <w:rPr>
          <w:rFonts w:ascii="Times New Roman" w:hAnsi="Times New Roman" w:cs="Times New Roman"/>
          <w:color w:val="000000" w:themeColor="text1"/>
        </w:rPr>
      </w:pPr>
    </w:p>
    <w:p w14:paraId="3E98E572" w14:textId="77777777" w:rsidR="000B6A05" w:rsidRPr="00AF0CC3" w:rsidRDefault="000B6A05" w:rsidP="000B6A05">
      <w:pPr>
        <w:spacing w:line="360" w:lineRule="auto"/>
        <w:rPr>
          <w:rFonts w:ascii="Times New Roman" w:hAnsi="Times New Roman" w:cs="Times New Roman"/>
          <w:color w:val="000000" w:themeColor="text1"/>
        </w:rPr>
      </w:pPr>
      <w:r w:rsidRPr="00AF0CC3">
        <w:rPr>
          <w:rFonts w:ascii="Times New Roman" w:hAnsi="Times New Roman" w:cs="Times New Roman"/>
          <w:color w:val="000000" w:themeColor="text1"/>
        </w:rPr>
        <w:t>The Governance Quality Index (GQI) serves as the main explanatory variable in this study. Therefore, ensuring the validity and reliability of this index is essential for the credibility of empirical analysis.</w:t>
      </w:r>
    </w:p>
    <w:p w14:paraId="0AA729FF" w14:textId="77777777" w:rsidR="000B6A05" w:rsidRPr="00AF0CC3" w:rsidRDefault="000B6A05" w:rsidP="000B6A05">
      <w:pPr>
        <w:spacing w:line="360" w:lineRule="auto"/>
        <w:rPr>
          <w:rFonts w:ascii="Times New Roman" w:hAnsi="Times New Roman" w:cs="Times New Roman"/>
          <w:color w:val="000000" w:themeColor="text1"/>
        </w:rPr>
      </w:pPr>
    </w:p>
    <w:p w14:paraId="4A02DE79" w14:textId="77777777" w:rsidR="000B6A05" w:rsidRPr="00AF0CC3" w:rsidRDefault="000B6A05" w:rsidP="000B6A05">
      <w:pPr>
        <w:spacing w:line="360" w:lineRule="auto"/>
        <w:rPr>
          <w:rFonts w:ascii="Times New Roman" w:hAnsi="Times New Roman" w:cs="Times New Roman"/>
          <w:color w:val="000000" w:themeColor="text1"/>
        </w:rPr>
      </w:pPr>
      <w:r w:rsidRPr="00AF0CC3">
        <w:rPr>
          <w:rFonts w:ascii="Times New Roman" w:hAnsi="Times New Roman" w:cs="Times New Roman"/>
          <w:color w:val="000000" w:themeColor="text1"/>
        </w:rPr>
        <w:t>The GQI is built from multiple indicators that represent governance practices throughout the infrastructure lifecycle. These indicators measure aspects such as the quality of feasibility preparation, transparency in procurement, discipline in contract management, and responsiveness in oversight. Since governance quality is inherently multidimensional, combining these indicators into a single composite index allows the study to capture a wider range of institutional patterns while remaining analytically manageable.</w:t>
      </w:r>
    </w:p>
    <w:p w14:paraId="6B1DA2B1" w14:textId="77777777" w:rsidR="000B6A05" w:rsidRPr="00AF0CC3" w:rsidRDefault="000B6A05" w:rsidP="000B6A05">
      <w:pPr>
        <w:spacing w:line="360" w:lineRule="auto"/>
        <w:rPr>
          <w:rFonts w:ascii="Times New Roman" w:hAnsi="Times New Roman" w:cs="Times New Roman"/>
          <w:color w:val="000000" w:themeColor="text1"/>
        </w:rPr>
      </w:pPr>
    </w:p>
    <w:p w14:paraId="6AF75F3A" w14:textId="77777777" w:rsidR="000B6A05" w:rsidRPr="00AF0CC3" w:rsidRDefault="000B6A05" w:rsidP="000B6A05">
      <w:pPr>
        <w:spacing w:line="360" w:lineRule="auto"/>
        <w:rPr>
          <w:rFonts w:ascii="Times New Roman" w:hAnsi="Times New Roman" w:cs="Times New Roman"/>
          <w:b/>
          <w:bCs/>
          <w:color w:val="000000" w:themeColor="text1"/>
        </w:rPr>
      </w:pPr>
      <w:r w:rsidRPr="00AF0CC3">
        <w:rPr>
          <w:rFonts w:ascii="Times New Roman" w:hAnsi="Times New Roman" w:cs="Times New Roman"/>
          <w:b/>
          <w:bCs/>
          <w:color w:val="000000" w:themeColor="text1"/>
        </w:rPr>
        <w:t>The index validation is conducted through the following steps.</w:t>
      </w:r>
    </w:p>
    <w:p w14:paraId="2F0D28E3" w14:textId="77777777" w:rsidR="000B6A05" w:rsidRPr="00AF0CC3" w:rsidRDefault="000B6A05" w:rsidP="000B6A05">
      <w:pPr>
        <w:spacing w:line="360" w:lineRule="auto"/>
        <w:rPr>
          <w:rFonts w:ascii="Times New Roman" w:hAnsi="Times New Roman" w:cs="Times New Roman"/>
          <w:color w:val="000000" w:themeColor="text1"/>
        </w:rPr>
      </w:pPr>
    </w:p>
    <w:p w14:paraId="26E646D6" w14:textId="25D70C16" w:rsidR="000B6A05" w:rsidRPr="00AF0CC3" w:rsidRDefault="000B6A05" w:rsidP="000B6A05">
      <w:pPr>
        <w:spacing w:line="360" w:lineRule="auto"/>
        <w:rPr>
          <w:rFonts w:ascii="Times New Roman" w:hAnsi="Times New Roman" w:cs="Times New Roman"/>
          <w:color w:val="000000" w:themeColor="text1"/>
        </w:rPr>
      </w:pPr>
      <w:r w:rsidRPr="00AF0CC3">
        <w:rPr>
          <w:rFonts w:ascii="Times New Roman" w:hAnsi="Times New Roman" w:cs="Times New Roman"/>
          <w:color w:val="000000" w:themeColor="text1"/>
        </w:rPr>
        <w:t xml:space="preserve">First, content validity is confirmed by aligning each governance indicator with the theoretical mechanisms outlined in Chapter Two. Institutional theory, principal–agent theory, and transaction cost economics all highlight the importance of governance arrangements during project preparation, procurement, and implementation. The chosen indicators, therefore, directly relate to the governance mechanisms emphasized in </w:t>
      </w:r>
      <w:r w:rsidR="00835AF0" w:rsidRPr="00AF0CC3">
        <w:rPr>
          <w:rFonts w:ascii="Times New Roman" w:hAnsi="Times New Roman" w:cs="Times New Roman"/>
          <w:color w:val="000000" w:themeColor="text1"/>
        </w:rPr>
        <w:t>literature</w:t>
      </w:r>
      <w:r w:rsidRPr="00AF0CC3">
        <w:rPr>
          <w:rFonts w:ascii="Times New Roman" w:hAnsi="Times New Roman" w:cs="Times New Roman"/>
          <w:color w:val="000000" w:themeColor="text1"/>
        </w:rPr>
        <w:t>.</w:t>
      </w:r>
    </w:p>
    <w:p w14:paraId="6B384653" w14:textId="77777777" w:rsidR="000B6A05" w:rsidRPr="00AF0CC3" w:rsidRDefault="000B6A05" w:rsidP="000B6A05">
      <w:pPr>
        <w:spacing w:line="360" w:lineRule="auto"/>
        <w:rPr>
          <w:rFonts w:ascii="Times New Roman" w:hAnsi="Times New Roman" w:cs="Times New Roman"/>
          <w:color w:val="000000" w:themeColor="text1"/>
        </w:rPr>
      </w:pPr>
    </w:p>
    <w:p w14:paraId="68EEBC09" w14:textId="77777777" w:rsidR="000B6A05" w:rsidRPr="00AF0CC3" w:rsidRDefault="000B6A05" w:rsidP="000B6A05">
      <w:pPr>
        <w:spacing w:line="360" w:lineRule="auto"/>
        <w:rPr>
          <w:rFonts w:ascii="Times New Roman" w:hAnsi="Times New Roman" w:cs="Times New Roman"/>
          <w:color w:val="000000" w:themeColor="text1"/>
        </w:rPr>
      </w:pPr>
      <w:r w:rsidRPr="00AF0CC3">
        <w:rPr>
          <w:rFonts w:ascii="Times New Roman" w:hAnsi="Times New Roman" w:cs="Times New Roman"/>
          <w:color w:val="000000" w:themeColor="text1"/>
        </w:rPr>
        <w:t>Second, internal consistency is evaluated by analyzing how well the governance indicators show consistent patterns across projects. Indicators representing distinct stages of the project lifecycle should show a positive relationship if they measure a common underlying governance concept.</w:t>
      </w:r>
    </w:p>
    <w:p w14:paraId="29B0960A" w14:textId="77777777" w:rsidR="000B6A05" w:rsidRPr="00AF0CC3" w:rsidRDefault="000B6A05" w:rsidP="000B6A05">
      <w:pPr>
        <w:spacing w:line="360" w:lineRule="auto"/>
        <w:rPr>
          <w:rFonts w:ascii="Times New Roman" w:hAnsi="Times New Roman" w:cs="Times New Roman"/>
          <w:color w:val="000000" w:themeColor="text1"/>
        </w:rPr>
      </w:pPr>
    </w:p>
    <w:p w14:paraId="7678BF44" w14:textId="77777777" w:rsidR="000B6A05" w:rsidRPr="00AF0CC3" w:rsidRDefault="000B6A05" w:rsidP="000B6A05">
      <w:pPr>
        <w:spacing w:line="360" w:lineRule="auto"/>
        <w:rPr>
          <w:rFonts w:ascii="Times New Roman" w:hAnsi="Times New Roman" w:cs="Times New Roman"/>
          <w:color w:val="000000" w:themeColor="text1"/>
        </w:rPr>
      </w:pPr>
      <w:r w:rsidRPr="00AF0CC3">
        <w:rPr>
          <w:rFonts w:ascii="Times New Roman" w:hAnsi="Times New Roman" w:cs="Times New Roman"/>
          <w:color w:val="000000" w:themeColor="text1"/>
        </w:rPr>
        <w:t>Third, construct validity is assessed by examining whether projects with higher governance index scores consistently demonstrate better performance outcomes. Although this relationship is formally assessed in econometric models, initial descriptive analysis provides a preliminary indication of whether the index behaves as theoretically expected.</w:t>
      </w:r>
    </w:p>
    <w:p w14:paraId="114E9868" w14:textId="77777777" w:rsidR="000B6A05" w:rsidRPr="00AF0CC3" w:rsidRDefault="000B6A05" w:rsidP="000B6A05">
      <w:pPr>
        <w:spacing w:line="360" w:lineRule="auto"/>
        <w:rPr>
          <w:rFonts w:ascii="Times New Roman" w:hAnsi="Times New Roman" w:cs="Times New Roman"/>
          <w:color w:val="000000" w:themeColor="text1"/>
        </w:rPr>
      </w:pPr>
    </w:p>
    <w:p w14:paraId="0F397546" w14:textId="77777777" w:rsidR="000B6A05" w:rsidRPr="00AF0CC3" w:rsidRDefault="000B6A05" w:rsidP="000B6A05">
      <w:pPr>
        <w:spacing w:line="360" w:lineRule="auto"/>
        <w:rPr>
          <w:rFonts w:ascii="Times New Roman" w:hAnsi="Times New Roman" w:cs="Times New Roman"/>
          <w:color w:val="000000" w:themeColor="text1"/>
        </w:rPr>
      </w:pPr>
      <w:r w:rsidRPr="00AF0CC3">
        <w:rPr>
          <w:rFonts w:ascii="Times New Roman" w:hAnsi="Times New Roman" w:cs="Times New Roman"/>
          <w:color w:val="000000" w:themeColor="text1"/>
        </w:rPr>
        <w:t>Through these validation steps, the study aims to ensure that the Governance Quality Index provides a meaningful empirical representation of institutional governance practices within infrastructure projects.</w:t>
      </w:r>
    </w:p>
    <w:p w14:paraId="7C6890AB" w14:textId="77777777" w:rsidR="000265BA" w:rsidRPr="00AF0CC3" w:rsidRDefault="000265BA" w:rsidP="000B6A05">
      <w:pPr>
        <w:spacing w:line="360" w:lineRule="auto"/>
        <w:rPr>
          <w:rFonts w:ascii="Times New Roman" w:hAnsi="Times New Roman" w:cs="Times New Roman"/>
          <w:color w:val="000000" w:themeColor="text1"/>
        </w:rPr>
      </w:pPr>
    </w:p>
    <w:p w14:paraId="759C27D1" w14:textId="544A0CEF" w:rsidR="000265BA" w:rsidRPr="00AF0CC3" w:rsidRDefault="000265BA" w:rsidP="000265BA">
      <w:pPr>
        <w:spacing w:line="360" w:lineRule="auto"/>
        <w:rPr>
          <w:rFonts w:ascii="Times New Roman" w:hAnsi="Times New Roman" w:cs="Times New Roman"/>
          <w:color w:val="000000" w:themeColor="text1"/>
        </w:rPr>
      </w:pPr>
      <w:r w:rsidRPr="00AF0CC3">
        <w:rPr>
          <w:rFonts w:ascii="Times New Roman" w:hAnsi="Times New Roman" w:cs="Times New Roman"/>
          <w:color w:val="000000" w:themeColor="text1"/>
        </w:rPr>
        <w:t xml:space="preserve">Beyond its substantive findings, the study contributes methodologically to infrastructure governance research by demonstrating a practical approach for measuring governance quality at the project level. The Governance Quality Index provides a transparent and replicable framework </w:t>
      </w:r>
      <w:r w:rsidR="00323755" w:rsidRPr="00AF0CC3">
        <w:rPr>
          <w:rFonts w:ascii="Times New Roman" w:hAnsi="Times New Roman" w:cs="Times New Roman"/>
          <w:color w:val="000000" w:themeColor="text1"/>
        </w:rPr>
        <w:t>for assessing governance arrangements using documentary evidence, enabling</w:t>
      </w:r>
      <w:r w:rsidRPr="00AF0CC3">
        <w:rPr>
          <w:rFonts w:ascii="Times New Roman" w:hAnsi="Times New Roman" w:cs="Times New Roman"/>
          <w:color w:val="000000" w:themeColor="text1"/>
        </w:rPr>
        <w:t xml:space="preserve"> governance to be </w:t>
      </w:r>
      <w:r w:rsidRPr="00AF0CC3">
        <w:rPr>
          <w:rFonts w:ascii="Times New Roman" w:hAnsi="Times New Roman" w:cs="Times New Roman"/>
          <w:color w:val="000000" w:themeColor="text1"/>
        </w:rPr>
        <w:lastRenderedPageBreak/>
        <w:t>incorporated into quantitative analysis alongside conventional infrastructure performance indicators.</w:t>
      </w:r>
    </w:p>
    <w:p w14:paraId="02B0817A" w14:textId="77777777" w:rsidR="000265BA" w:rsidRPr="00AF0CC3" w:rsidRDefault="000265BA" w:rsidP="000265BA">
      <w:pPr>
        <w:spacing w:line="360" w:lineRule="auto"/>
        <w:rPr>
          <w:rFonts w:ascii="Times New Roman" w:hAnsi="Times New Roman" w:cs="Times New Roman"/>
          <w:color w:val="000000" w:themeColor="text1"/>
        </w:rPr>
      </w:pPr>
    </w:p>
    <w:p w14:paraId="4863E53C" w14:textId="77777777" w:rsidR="000265BA" w:rsidRPr="00AF0CC3" w:rsidRDefault="000265BA" w:rsidP="000265BA">
      <w:pPr>
        <w:spacing w:line="360" w:lineRule="auto"/>
        <w:rPr>
          <w:rFonts w:ascii="Times New Roman" w:hAnsi="Times New Roman" w:cs="Times New Roman"/>
          <w:color w:val="000000" w:themeColor="text1"/>
        </w:rPr>
      </w:pPr>
      <w:r w:rsidRPr="00AF0CC3">
        <w:rPr>
          <w:rFonts w:ascii="Times New Roman" w:hAnsi="Times New Roman" w:cs="Times New Roman"/>
          <w:color w:val="000000" w:themeColor="text1"/>
        </w:rPr>
        <w:t>The study further illustrates the value of integrating documentary analysis with statistical modelling to examine governance-performance relationships. This mixed-methods approach combines the explanatory richness of institutional documentary evidence with the analytical rigour of quantitative regression analysis, providing a stronger empirical basis for investigating governance than either approach would offer independently.</w:t>
      </w:r>
    </w:p>
    <w:p w14:paraId="3B5E0651" w14:textId="77777777" w:rsidR="000265BA" w:rsidRPr="00AF0CC3" w:rsidRDefault="000265BA" w:rsidP="000265BA">
      <w:pPr>
        <w:spacing w:line="360" w:lineRule="auto"/>
        <w:rPr>
          <w:rFonts w:ascii="Times New Roman" w:hAnsi="Times New Roman" w:cs="Times New Roman"/>
          <w:color w:val="000000" w:themeColor="text1"/>
        </w:rPr>
      </w:pPr>
    </w:p>
    <w:p w14:paraId="063BBB74" w14:textId="70A3B6B2" w:rsidR="000265BA" w:rsidRPr="00AF0CC3" w:rsidRDefault="000265BA" w:rsidP="000265BA">
      <w:pPr>
        <w:spacing w:line="360" w:lineRule="auto"/>
        <w:rPr>
          <w:rFonts w:ascii="Times New Roman" w:hAnsi="Times New Roman" w:cs="Times New Roman"/>
          <w:color w:val="000000" w:themeColor="text1"/>
        </w:rPr>
      </w:pPr>
      <w:r w:rsidRPr="00AF0CC3">
        <w:rPr>
          <w:rFonts w:ascii="Times New Roman" w:hAnsi="Times New Roman" w:cs="Times New Roman"/>
          <w:color w:val="000000" w:themeColor="text1"/>
        </w:rPr>
        <w:t xml:space="preserve">Although developed within Kenya's water infrastructure sector, the methodological framework established by this research may provide a foundation for future governance studies seeking to </w:t>
      </w:r>
      <w:r w:rsidR="00323755" w:rsidRPr="00AF0CC3">
        <w:rPr>
          <w:rFonts w:ascii="Times New Roman" w:hAnsi="Times New Roman" w:cs="Times New Roman"/>
          <w:color w:val="000000" w:themeColor="text1"/>
        </w:rPr>
        <w:t>operationalize</w:t>
      </w:r>
      <w:r w:rsidRPr="00AF0CC3">
        <w:rPr>
          <w:rFonts w:ascii="Times New Roman" w:hAnsi="Times New Roman" w:cs="Times New Roman"/>
          <w:color w:val="000000" w:themeColor="text1"/>
        </w:rPr>
        <w:t xml:space="preserve"> governance quality across different infrastructure sectors, institutional settings, and developing-country contexts.</w:t>
      </w:r>
    </w:p>
    <w:p w14:paraId="58948164" w14:textId="77777777" w:rsidR="00323755" w:rsidRPr="00AF0CC3" w:rsidRDefault="00323755" w:rsidP="000265BA">
      <w:pPr>
        <w:spacing w:line="360" w:lineRule="auto"/>
        <w:rPr>
          <w:rFonts w:ascii="Times New Roman" w:hAnsi="Times New Roman" w:cs="Times New Roman"/>
          <w:color w:val="000000" w:themeColor="text1"/>
        </w:rPr>
      </w:pPr>
    </w:p>
    <w:p w14:paraId="2A54A758" w14:textId="1ECC6324" w:rsidR="000B6A05" w:rsidRPr="00AF0CC3" w:rsidRDefault="000B6A05" w:rsidP="008A5815">
      <w:pPr>
        <w:pStyle w:val="Heading2"/>
        <w:rPr>
          <w:rFonts w:cs="Times New Roman"/>
          <w:color w:val="000000" w:themeColor="text1"/>
          <w:szCs w:val="24"/>
        </w:rPr>
      </w:pPr>
      <w:bookmarkStart w:id="299" w:name="_Toc230209551"/>
      <w:bookmarkStart w:id="300" w:name="_Toc234344830"/>
      <w:bookmarkStart w:id="301" w:name="_Toc234489062"/>
      <w:r w:rsidRPr="00AF0CC3">
        <w:rPr>
          <w:rFonts w:cs="Times New Roman"/>
          <w:color w:val="000000" w:themeColor="text1"/>
          <w:szCs w:val="24"/>
        </w:rPr>
        <w:t>Data Limitations and Mitigation Strategies</w:t>
      </w:r>
      <w:bookmarkEnd w:id="299"/>
      <w:bookmarkEnd w:id="300"/>
      <w:bookmarkEnd w:id="301"/>
    </w:p>
    <w:p w14:paraId="0CA49531" w14:textId="77777777" w:rsidR="000B6A05" w:rsidRPr="00AF0CC3" w:rsidRDefault="000B6A05" w:rsidP="000B6A05">
      <w:pPr>
        <w:spacing w:line="360" w:lineRule="auto"/>
        <w:rPr>
          <w:rFonts w:ascii="Times New Roman" w:hAnsi="Times New Roman" w:cs="Times New Roman"/>
          <w:color w:val="000000" w:themeColor="text1"/>
        </w:rPr>
      </w:pPr>
    </w:p>
    <w:p w14:paraId="20FC3173" w14:textId="77777777" w:rsidR="000B6A05" w:rsidRPr="00AF0CC3" w:rsidRDefault="000B6A05" w:rsidP="000B6A05">
      <w:pPr>
        <w:spacing w:line="360" w:lineRule="auto"/>
        <w:rPr>
          <w:rFonts w:ascii="Times New Roman" w:hAnsi="Times New Roman" w:cs="Times New Roman"/>
          <w:color w:val="000000" w:themeColor="text1"/>
        </w:rPr>
      </w:pPr>
      <w:r w:rsidRPr="00AF0CC3">
        <w:rPr>
          <w:rFonts w:ascii="Times New Roman" w:hAnsi="Times New Roman" w:cs="Times New Roman"/>
          <w:color w:val="000000" w:themeColor="text1"/>
        </w:rPr>
        <w:t>The availability and consistency of project-level data often limit empirical analysis of infrastructure governance. Infrastructure projects usually involve multiple agencies, funding partners, and oversight bodies, each maintaining separate documentation systems. Consequently, project records can vary in completeness across different projects and overtime. In this study, some project documentation, especially for older infrastructure investments, may lack complete information on procurement processes, implementation schedules, or contract management details.</w:t>
      </w:r>
    </w:p>
    <w:p w14:paraId="0601C88C" w14:textId="77777777" w:rsidR="000B6A05" w:rsidRPr="00AF0CC3" w:rsidRDefault="000B6A05" w:rsidP="000B6A05">
      <w:pPr>
        <w:spacing w:line="360" w:lineRule="auto"/>
        <w:rPr>
          <w:rFonts w:ascii="Times New Roman" w:hAnsi="Times New Roman" w:cs="Times New Roman"/>
          <w:color w:val="000000" w:themeColor="text1"/>
        </w:rPr>
      </w:pPr>
    </w:p>
    <w:p w14:paraId="0D774614" w14:textId="77777777" w:rsidR="000B6A05" w:rsidRPr="00AF0CC3" w:rsidRDefault="000B6A05" w:rsidP="000B6A05">
      <w:pPr>
        <w:spacing w:line="360" w:lineRule="auto"/>
        <w:rPr>
          <w:rFonts w:ascii="Times New Roman" w:hAnsi="Times New Roman" w:cs="Times New Roman"/>
          <w:color w:val="000000" w:themeColor="text1"/>
        </w:rPr>
      </w:pPr>
      <w:r w:rsidRPr="00AF0CC3">
        <w:rPr>
          <w:rFonts w:ascii="Times New Roman" w:hAnsi="Times New Roman" w:cs="Times New Roman"/>
          <w:color w:val="000000" w:themeColor="text1"/>
        </w:rPr>
        <w:t xml:space="preserve">A second limitation concerns how governance quality is measured. Governance practices are naturally complex and may not be fully represented by a limited set of observable indicators. Although the Governance Quality Index developed in this study includes multiple governance aspects across the infrastructure lifecycle, it still only approximates complex institutional </w:t>
      </w:r>
      <w:r w:rsidRPr="00AF0CC3">
        <w:rPr>
          <w:rFonts w:ascii="Times New Roman" w:hAnsi="Times New Roman" w:cs="Times New Roman"/>
          <w:color w:val="000000" w:themeColor="text1"/>
        </w:rPr>
        <w:lastRenderedPageBreak/>
        <w:t>processes. Measurement error may occur if some governance practices are not documented in the available project records.</w:t>
      </w:r>
    </w:p>
    <w:p w14:paraId="33C82EFB" w14:textId="77777777" w:rsidR="000B6A05" w:rsidRPr="00AF0CC3" w:rsidRDefault="000B6A05" w:rsidP="000B6A05">
      <w:pPr>
        <w:spacing w:line="360" w:lineRule="auto"/>
        <w:rPr>
          <w:rFonts w:ascii="Times New Roman" w:hAnsi="Times New Roman" w:cs="Times New Roman"/>
          <w:color w:val="000000" w:themeColor="text1"/>
        </w:rPr>
      </w:pPr>
      <w:r w:rsidRPr="00AF0CC3">
        <w:rPr>
          <w:rFonts w:ascii="Times New Roman" w:hAnsi="Times New Roman" w:cs="Times New Roman"/>
          <w:color w:val="000000" w:themeColor="text1"/>
        </w:rPr>
        <w:t>While documentation gaps may indicate governance weaknesses, the study recognizes that incomplete records may also arise from broader archival and administrative limitations unrelated to project performance.</w:t>
      </w:r>
    </w:p>
    <w:p w14:paraId="21BF1220" w14:textId="77777777" w:rsidR="000B6A05" w:rsidRPr="00AF0CC3" w:rsidRDefault="000B6A05" w:rsidP="000B6A05">
      <w:pPr>
        <w:spacing w:line="360" w:lineRule="auto"/>
        <w:rPr>
          <w:rFonts w:ascii="Times New Roman" w:hAnsi="Times New Roman" w:cs="Times New Roman"/>
          <w:color w:val="000000" w:themeColor="text1"/>
        </w:rPr>
      </w:pPr>
    </w:p>
    <w:p w14:paraId="3A271F48" w14:textId="77777777" w:rsidR="000B6A05" w:rsidRPr="00AF0CC3" w:rsidRDefault="000B6A05" w:rsidP="000B6A05">
      <w:pPr>
        <w:spacing w:line="360" w:lineRule="auto"/>
        <w:rPr>
          <w:rFonts w:ascii="Times New Roman" w:hAnsi="Times New Roman" w:cs="Times New Roman"/>
          <w:color w:val="000000" w:themeColor="text1"/>
        </w:rPr>
      </w:pPr>
      <w:r w:rsidRPr="00AF0CC3">
        <w:rPr>
          <w:rFonts w:ascii="Times New Roman" w:hAnsi="Times New Roman" w:cs="Times New Roman"/>
          <w:color w:val="000000" w:themeColor="text1"/>
        </w:rPr>
        <w:t>To address these limitations, the study uses several strategies. First, governance indicators are gathered from multiple documentary sources, such as project reports, procurement documents, and oversight records, allowing for cross-checking of information across sources. Second, standardized coding procedures are applied to ensure consistency in how governance indicators are built across projects. Third, robustness tests are performed using different model specifications and variable definitions to confirm that the main empirical results stay consistent under various assumptions.</w:t>
      </w:r>
    </w:p>
    <w:p w14:paraId="09E7D5D7" w14:textId="77777777" w:rsidR="000B6A05" w:rsidRPr="00AF0CC3" w:rsidRDefault="000B6A05" w:rsidP="000B6A05">
      <w:pPr>
        <w:spacing w:line="360" w:lineRule="auto"/>
        <w:rPr>
          <w:rFonts w:ascii="Times New Roman" w:hAnsi="Times New Roman" w:cs="Times New Roman"/>
          <w:color w:val="000000" w:themeColor="text1"/>
        </w:rPr>
      </w:pPr>
      <w:r w:rsidRPr="00AF0CC3">
        <w:rPr>
          <w:rFonts w:ascii="Times New Roman" w:hAnsi="Times New Roman" w:cs="Times New Roman"/>
          <w:color w:val="000000" w:themeColor="text1"/>
        </w:rPr>
        <w:t>Using multiple documentary sources enhances the dataset's reliability and reduces reliance on any one reporting institution.</w:t>
      </w:r>
    </w:p>
    <w:p w14:paraId="1E0353ED" w14:textId="77777777" w:rsidR="000B6A05" w:rsidRPr="00AF0CC3" w:rsidRDefault="000B6A05" w:rsidP="000B6A05">
      <w:pPr>
        <w:spacing w:line="360" w:lineRule="auto"/>
        <w:rPr>
          <w:rFonts w:ascii="Times New Roman" w:hAnsi="Times New Roman" w:cs="Times New Roman"/>
          <w:color w:val="000000" w:themeColor="text1"/>
        </w:rPr>
      </w:pPr>
    </w:p>
    <w:p w14:paraId="00B77522" w14:textId="77777777" w:rsidR="000B6A05" w:rsidRPr="00AF0CC3" w:rsidRDefault="000B6A05" w:rsidP="000B6A05">
      <w:pPr>
        <w:spacing w:line="360" w:lineRule="auto"/>
        <w:rPr>
          <w:rFonts w:ascii="Times New Roman" w:hAnsi="Times New Roman" w:cs="Times New Roman"/>
          <w:color w:val="000000" w:themeColor="text1"/>
        </w:rPr>
      </w:pPr>
      <w:r w:rsidRPr="00AF0CC3">
        <w:rPr>
          <w:rFonts w:ascii="Times New Roman" w:hAnsi="Times New Roman" w:cs="Times New Roman"/>
          <w:color w:val="000000" w:themeColor="text1"/>
        </w:rPr>
        <w:t>While these measures cannot eliminate all sources of uncertainty, they reduce the risk that data inconsistencies or measurement limitations influence the empirical results. The analysis thus offers a systematic and transparent evaluation of the relationship between governance quality and infrastructure delivery outcomes within the limits of available project-level data.</w:t>
      </w:r>
    </w:p>
    <w:p w14:paraId="19153826" w14:textId="77777777" w:rsidR="000B6A05" w:rsidRPr="00AF0CC3" w:rsidRDefault="000B6A05" w:rsidP="000B6A05">
      <w:pPr>
        <w:spacing w:line="360" w:lineRule="auto"/>
        <w:rPr>
          <w:rFonts w:ascii="Times New Roman" w:hAnsi="Times New Roman" w:cs="Times New Roman"/>
          <w:color w:val="000000" w:themeColor="text1"/>
        </w:rPr>
      </w:pPr>
    </w:p>
    <w:p w14:paraId="5E17D662" w14:textId="77777777" w:rsidR="000B6A05" w:rsidRPr="00AF0CC3" w:rsidRDefault="000B6A05" w:rsidP="000B6A05">
      <w:pPr>
        <w:spacing w:line="360" w:lineRule="auto"/>
        <w:rPr>
          <w:rFonts w:ascii="Times New Roman" w:hAnsi="Times New Roman" w:cs="Times New Roman"/>
          <w:color w:val="000000" w:themeColor="text1"/>
        </w:rPr>
      </w:pPr>
    </w:p>
    <w:p w14:paraId="53884501" w14:textId="77055CF4" w:rsidR="000B6A05" w:rsidRPr="00AF0CC3" w:rsidRDefault="000B6A05" w:rsidP="008A5815">
      <w:pPr>
        <w:pStyle w:val="Heading2"/>
        <w:rPr>
          <w:rFonts w:cs="Times New Roman"/>
          <w:color w:val="000000" w:themeColor="text1"/>
          <w:szCs w:val="24"/>
        </w:rPr>
      </w:pPr>
      <w:bookmarkStart w:id="302" w:name="_Toc230209552"/>
      <w:bookmarkStart w:id="303" w:name="_Toc234344831"/>
      <w:bookmarkStart w:id="304" w:name="_Toc234489063"/>
      <w:r w:rsidRPr="00AF0CC3">
        <w:rPr>
          <w:rFonts w:cs="Times New Roman"/>
          <w:color w:val="000000" w:themeColor="text1"/>
          <w:szCs w:val="24"/>
        </w:rPr>
        <w:t>Ethical Considerations</w:t>
      </w:r>
      <w:bookmarkEnd w:id="302"/>
      <w:bookmarkEnd w:id="303"/>
      <w:bookmarkEnd w:id="304"/>
    </w:p>
    <w:p w14:paraId="2DCC1FF7" w14:textId="77777777" w:rsidR="000B6A05" w:rsidRPr="00AF0CC3" w:rsidRDefault="000B6A05" w:rsidP="000B6A05">
      <w:pPr>
        <w:spacing w:line="360" w:lineRule="auto"/>
        <w:rPr>
          <w:rFonts w:ascii="Times New Roman" w:hAnsi="Times New Roman" w:cs="Times New Roman"/>
          <w:color w:val="000000" w:themeColor="text1"/>
        </w:rPr>
      </w:pPr>
      <w:r w:rsidRPr="00AF0CC3">
        <w:rPr>
          <w:rFonts w:ascii="Times New Roman" w:hAnsi="Times New Roman" w:cs="Times New Roman"/>
          <w:color w:val="000000" w:themeColor="text1"/>
        </w:rPr>
        <w:t>This section discusses ethical issues related to data use, transparency, and potential sources of bias.</w:t>
      </w:r>
    </w:p>
    <w:p w14:paraId="0AF31017" w14:textId="77777777" w:rsidR="000B6A05" w:rsidRPr="00AF0CC3" w:rsidRDefault="000B6A05" w:rsidP="000B6A05">
      <w:pPr>
        <w:spacing w:line="360" w:lineRule="auto"/>
        <w:rPr>
          <w:rFonts w:ascii="Times New Roman" w:hAnsi="Times New Roman" w:cs="Times New Roman"/>
          <w:color w:val="000000" w:themeColor="text1"/>
        </w:rPr>
      </w:pPr>
      <w:r w:rsidRPr="00AF0CC3">
        <w:rPr>
          <w:rFonts w:ascii="Times New Roman" w:hAnsi="Times New Roman" w:cs="Times New Roman"/>
          <w:color w:val="000000" w:themeColor="text1"/>
        </w:rPr>
        <w:t>This study relies exclusively on publicly available and archival project documentation. No human subjects were directly involved, and no personal or confidential data was collected.</w:t>
      </w:r>
    </w:p>
    <w:p w14:paraId="29BCEF2A" w14:textId="77777777" w:rsidR="000B6A05" w:rsidRPr="00AF0CC3" w:rsidRDefault="000B6A05" w:rsidP="000B6A05">
      <w:pPr>
        <w:spacing w:line="360" w:lineRule="auto"/>
        <w:rPr>
          <w:rFonts w:ascii="Times New Roman" w:hAnsi="Times New Roman" w:cs="Times New Roman"/>
          <w:color w:val="000000" w:themeColor="text1"/>
        </w:rPr>
      </w:pPr>
    </w:p>
    <w:p w14:paraId="502FE98F" w14:textId="77777777" w:rsidR="000B6A05" w:rsidRPr="00AF0CC3" w:rsidRDefault="000B6A05" w:rsidP="000B6A05">
      <w:pPr>
        <w:spacing w:line="360" w:lineRule="auto"/>
        <w:rPr>
          <w:rFonts w:ascii="Times New Roman" w:hAnsi="Times New Roman" w:cs="Times New Roman"/>
          <w:color w:val="000000" w:themeColor="text1"/>
        </w:rPr>
      </w:pPr>
      <w:r w:rsidRPr="00AF0CC3">
        <w:rPr>
          <w:rFonts w:ascii="Times New Roman" w:hAnsi="Times New Roman" w:cs="Times New Roman"/>
          <w:color w:val="000000" w:themeColor="text1"/>
        </w:rPr>
        <w:t>In addition to standard ethical considerations, the study acknowledges responsibilities related to public data governance and archival integrity. Documentary sources are used in a manner consistent with their public status, with careful attention to accurate citation, contextual interpretation, and source traceability. Since some infrastructure records relate to politically sensitive decisions, the analysis avoids speculative or accusatory interpretations and presents findings in a balanced, evidence-based manner.</w:t>
      </w:r>
    </w:p>
    <w:p w14:paraId="592001D8" w14:textId="77777777" w:rsidR="000B6A05" w:rsidRPr="00AF0CC3" w:rsidRDefault="000B6A05" w:rsidP="000B6A05">
      <w:pPr>
        <w:spacing w:line="360" w:lineRule="auto"/>
        <w:rPr>
          <w:rFonts w:ascii="Times New Roman" w:hAnsi="Times New Roman" w:cs="Times New Roman"/>
          <w:color w:val="000000" w:themeColor="text1"/>
        </w:rPr>
      </w:pPr>
    </w:p>
    <w:p w14:paraId="3BF38EB7" w14:textId="77777777" w:rsidR="000B6A05" w:rsidRPr="00AF0CC3" w:rsidRDefault="000B6A05" w:rsidP="000B6A05">
      <w:pPr>
        <w:spacing w:line="360" w:lineRule="auto"/>
        <w:rPr>
          <w:rFonts w:ascii="Times New Roman" w:hAnsi="Times New Roman" w:cs="Times New Roman"/>
          <w:color w:val="000000" w:themeColor="text1"/>
        </w:rPr>
      </w:pPr>
      <w:r w:rsidRPr="00AF0CC3">
        <w:rPr>
          <w:rFonts w:ascii="Times New Roman" w:hAnsi="Times New Roman" w:cs="Times New Roman"/>
          <w:color w:val="000000" w:themeColor="text1"/>
        </w:rPr>
        <w:t>First, special attention is given to data integrity and transparency. All data sources are thoroughly documented, and the methods used to create key variables—particularly the Governance Quality Index—are clearly explained to ensure reproducibility and clarity in analysis. This is vital for maintaining credibility in quantitative research and aligns with established standards for transparent empirical work.</w:t>
      </w:r>
    </w:p>
    <w:p w14:paraId="09B6D4C1" w14:textId="77777777" w:rsidR="000B6A05" w:rsidRPr="00AF0CC3" w:rsidRDefault="000B6A05" w:rsidP="000B6A05">
      <w:pPr>
        <w:spacing w:line="360" w:lineRule="auto"/>
        <w:rPr>
          <w:rFonts w:ascii="Times New Roman" w:hAnsi="Times New Roman" w:cs="Times New Roman"/>
          <w:color w:val="000000" w:themeColor="text1"/>
        </w:rPr>
      </w:pPr>
    </w:p>
    <w:p w14:paraId="460CB486" w14:textId="77777777" w:rsidR="000B6A05" w:rsidRPr="00AF0CC3" w:rsidRDefault="000B6A05" w:rsidP="000B6A05">
      <w:pPr>
        <w:spacing w:line="360" w:lineRule="auto"/>
        <w:rPr>
          <w:rFonts w:ascii="Times New Roman" w:hAnsi="Times New Roman" w:cs="Times New Roman"/>
          <w:color w:val="000000" w:themeColor="text1"/>
        </w:rPr>
      </w:pPr>
      <w:r w:rsidRPr="00AF0CC3">
        <w:rPr>
          <w:rFonts w:ascii="Times New Roman" w:hAnsi="Times New Roman" w:cs="Times New Roman"/>
          <w:color w:val="000000" w:themeColor="text1"/>
        </w:rPr>
        <w:t>Second, the study carefully examines potential sources of bias in administrative and audit-based data. Public sector records may exhibit reporting biases, selective disclosures, or institutional views that prioritize compliance over successful implementation. Additionally, projects that face greater scrutiny may appear weaker in governance quality due to more detailed reporting. To address these issues, the study uses a cautious interpretive approach and, when possible, cross-checks evidence from multiple sources. The analysis highlights consistent patterns across cases rather than isolated observations, which helps reduce the likelihood that findings are influenced by reporting artifacts.</w:t>
      </w:r>
    </w:p>
    <w:p w14:paraId="70764C4C" w14:textId="77777777" w:rsidR="000B6A05" w:rsidRPr="00AF0CC3" w:rsidRDefault="000B6A05" w:rsidP="000B6A05">
      <w:pPr>
        <w:spacing w:line="360" w:lineRule="auto"/>
        <w:rPr>
          <w:rFonts w:ascii="Times New Roman" w:hAnsi="Times New Roman" w:cs="Times New Roman"/>
          <w:color w:val="000000" w:themeColor="text1"/>
        </w:rPr>
      </w:pPr>
    </w:p>
    <w:p w14:paraId="0559F4BA" w14:textId="77777777" w:rsidR="000B6A05" w:rsidRPr="00AF0CC3" w:rsidRDefault="000B6A05" w:rsidP="000B6A05">
      <w:pPr>
        <w:spacing w:line="360" w:lineRule="auto"/>
        <w:rPr>
          <w:rFonts w:ascii="Times New Roman" w:hAnsi="Times New Roman" w:cs="Times New Roman"/>
          <w:color w:val="000000" w:themeColor="text1"/>
        </w:rPr>
      </w:pPr>
      <w:r w:rsidRPr="00AF0CC3">
        <w:rPr>
          <w:rFonts w:ascii="Times New Roman" w:hAnsi="Times New Roman" w:cs="Times New Roman"/>
          <w:color w:val="000000" w:themeColor="text1"/>
        </w:rPr>
        <w:t>Third, the research guarantees fair and balanced representation of institutional performance. While governance quality is assessed across projects, results are presented at an overall and analytical level, avoiding the attribution of responsibility to specific individuals or agencies. The focus remains on systemic governance dynamics rather than individual fault, in line with ethical standards in public administration research (Bryman, 2016).</w:t>
      </w:r>
    </w:p>
    <w:p w14:paraId="670E3373" w14:textId="77777777" w:rsidR="000B6A05" w:rsidRPr="00AF0CC3" w:rsidRDefault="000B6A05" w:rsidP="000B6A05">
      <w:pPr>
        <w:spacing w:line="360" w:lineRule="auto"/>
        <w:rPr>
          <w:rFonts w:ascii="Times New Roman" w:hAnsi="Times New Roman" w:cs="Times New Roman"/>
          <w:color w:val="000000" w:themeColor="text1"/>
        </w:rPr>
      </w:pPr>
    </w:p>
    <w:p w14:paraId="26D89F3E" w14:textId="77777777" w:rsidR="000B6A05" w:rsidRPr="00AF0CC3" w:rsidRDefault="000B6A05" w:rsidP="000B6A05">
      <w:pPr>
        <w:spacing w:line="360" w:lineRule="auto"/>
        <w:rPr>
          <w:rFonts w:ascii="Times New Roman" w:hAnsi="Times New Roman" w:cs="Times New Roman"/>
          <w:color w:val="000000" w:themeColor="text1"/>
        </w:rPr>
      </w:pPr>
      <w:r w:rsidRPr="00AF0CC3">
        <w:rPr>
          <w:rFonts w:ascii="Times New Roman" w:hAnsi="Times New Roman" w:cs="Times New Roman"/>
          <w:color w:val="000000" w:themeColor="text1"/>
        </w:rPr>
        <w:t>Fourth, the limitations of secondary data are clearly acknowledged. Audit reports and institutional records may not fully reflect informal practices, political dynamics, or unrecorded implementation challenges. By recognizing these limitations, the study avoids over-interpretation and situates its findings within the broader institutional and contextual context.</w:t>
      </w:r>
    </w:p>
    <w:p w14:paraId="5F61C68B" w14:textId="77777777" w:rsidR="000B6A05" w:rsidRPr="00AF0CC3" w:rsidRDefault="000B6A05" w:rsidP="000B6A05">
      <w:pPr>
        <w:spacing w:line="360" w:lineRule="auto"/>
        <w:rPr>
          <w:rFonts w:ascii="Times New Roman" w:hAnsi="Times New Roman" w:cs="Times New Roman"/>
          <w:color w:val="000000" w:themeColor="text1"/>
        </w:rPr>
      </w:pPr>
    </w:p>
    <w:p w14:paraId="450AA51A" w14:textId="77777777" w:rsidR="000B6A05" w:rsidRPr="00AF0CC3" w:rsidRDefault="000B6A05" w:rsidP="000B6A05">
      <w:pPr>
        <w:spacing w:line="360" w:lineRule="auto"/>
        <w:rPr>
          <w:rFonts w:ascii="Times New Roman" w:hAnsi="Times New Roman" w:cs="Times New Roman"/>
          <w:color w:val="000000" w:themeColor="text1"/>
        </w:rPr>
      </w:pPr>
      <w:r w:rsidRPr="00AF0CC3">
        <w:rPr>
          <w:rFonts w:ascii="Times New Roman" w:hAnsi="Times New Roman" w:cs="Times New Roman"/>
          <w:color w:val="000000" w:themeColor="text1"/>
        </w:rPr>
        <w:t>Finally, the study adheres to basic principles of research ethics, including honesty in reporting, avoiding data manipulation, and fully disclosing methodological limitations. These principles align with widely accepted ethical standards in social science research, particularly in studies of governance and public-sector performance (Resnik, 2018).</w:t>
      </w:r>
    </w:p>
    <w:p w14:paraId="446CB1C8" w14:textId="77777777" w:rsidR="000B6A05" w:rsidRPr="00AF0CC3" w:rsidRDefault="000B6A05" w:rsidP="000B6A05">
      <w:pPr>
        <w:spacing w:line="360" w:lineRule="auto"/>
        <w:rPr>
          <w:rFonts w:ascii="Times New Roman" w:hAnsi="Times New Roman" w:cs="Times New Roman"/>
          <w:color w:val="000000" w:themeColor="text1"/>
        </w:rPr>
      </w:pPr>
    </w:p>
    <w:p w14:paraId="18ED2F9C" w14:textId="77777777" w:rsidR="000B6A05" w:rsidRPr="00AF0CC3" w:rsidRDefault="000B6A05" w:rsidP="000B6A05">
      <w:pPr>
        <w:spacing w:line="360" w:lineRule="auto"/>
        <w:rPr>
          <w:rFonts w:ascii="Times New Roman" w:hAnsi="Times New Roman" w:cs="Times New Roman"/>
          <w:color w:val="000000" w:themeColor="text1"/>
        </w:rPr>
      </w:pPr>
      <w:r w:rsidRPr="00AF0CC3">
        <w:rPr>
          <w:rFonts w:ascii="Times New Roman" w:hAnsi="Times New Roman" w:cs="Times New Roman"/>
          <w:color w:val="000000" w:themeColor="text1"/>
        </w:rPr>
        <w:t>Together, these measures ensure that the research is conducted in a methodologically rigorous, ethically responsible manner and is attentive to potential sources of bias in infrastructure governance analysis.</w:t>
      </w:r>
    </w:p>
    <w:p w14:paraId="5E482101" w14:textId="5DB252A9" w:rsidR="000B6A05" w:rsidRPr="00AF0CC3" w:rsidRDefault="000B6A05" w:rsidP="008A5815">
      <w:pPr>
        <w:pStyle w:val="Heading2"/>
        <w:rPr>
          <w:rFonts w:cs="Times New Roman"/>
          <w:color w:val="000000" w:themeColor="text1"/>
          <w:szCs w:val="24"/>
        </w:rPr>
      </w:pPr>
      <w:bookmarkStart w:id="305" w:name="_Toc230209553"/>
      <w:bookmarkStart w:id="306" w:name="_Toc234344832"/>
      <w:bookmarkStart w:id="307" w:name="_Toc234489064"/>
      <w:r w:rsidRPr="00AF0CC3">
        <w:rPr>
          <w:rFonts w:cs="Times New Roman"/>
          <w:color w:val="000000" w:themeColor="text1"/>
          <w:szCs w:val="24"/>
        </w:rPr>
        <w:t>Identification Strategy and Endogeneity Considerations</w:t>
      </w:r>
      <w:bookmarkEnd w:id="305"/>
      <w:bookmarkEnd w:id="306"/>
      <w:bookmarkEnd w:id="307"/>
    </w:p>
    <w:p w14:paraId="1026F916" w14:textId="77777777" w:rsidR="000B6A05" w:rsidRPr="00AF0CC3" w:rsidRDefault="000B6A05" w:rsidP="000B6A05">
      <w:pPr>
        <w:spacing w:line="360" w:lineRule="auto"/>
        <w:rPr>
          <w:rFonts w:ascii="Times New Roman" w:hAnsi="Times New Roman" w:cs="Times New Roman"/>
          <w:color w:val="000000" w:themeColor="text1"/>
        </w:rPr>
      </w:pPr>
    </w:p>
    <w:p w14:paraId="422E6CAD" w14:textId="77777777" w:rsidR="000B6A05" w:rsidRPr="00AF0CC3" w:rsidRDefault="000B6A05" w:rsidP="000B6A05">
      <w:pPr>
        <w:spacing w:line="360" w:lineRule="auto"/>
        <w:rPr>
          <w:rFonts w:ascii="Times New Roman" w:hAnsi="Times New Roman" w:cs="Times New Roman"/>
          <w:color w:val="000000" w:themeColor="text1"/>
        </w:rPr>
      </w:pPr>
      <w:r w:rsidRPr="00AF0CC3">
        <w:rPr>
          <w:rFonts w:ascii="Times New Roman" w:hAnsi="Times New Roman" w:cs="Times New Roman"/>
          <w:color w:val="000000" w:themeColor="text1"/>
        </w:rPr>
        <w:t>This section addresses potential endogeneity issues and describes the strategies employed to improve causal interpretation.</w:t>
      </w:r>
    </w:p>
    <w:p w14:paraId="0A0BFEB8" w14:textId="77777777" w:rsidR="000B6A05" w:rsidRPr="00AF0CC3" w:rsidRDefault="000B6A05" w:rsidP="000B6A05">
      <w:pPr>
        <w:spacing w:line="360" w:lineRule="auto"/>
        <w:rPr>
          <w:rFonts w:ascii="Times New Roman" w:hAnsi="Times New Roman" w:cs="Times New Roman"/>
          <w:color w:val="000000" w:themeColor="text1"/>
        </w:rPr>
      </w:pPr>
      <w:r w:rsidRPr="00AF0CC3">
        <w:rPr>
          <w:rFonts w:ascii="Times New Roman" w:hAnsi="Times New Roman" w:cs="Times New Roman"/>
          <w:color w:val="000000" w:themeColor="text1"/>
        </w:rPr>
        <w:t>The identification strategy is based on the temporal ordering of governance practices relative to project outcomes. A substantial portion of the Governance Quality Index reflects governance arrangements established in the initial stages of the project, including project preparation, procurement processes, and contractual design. These elements are plausibly predetermined with respect to later outcomes such as stalling, delays, and cost overruns, thereby reducing the risk of reverse causality.</w:t>
      </w:r>
    </w:p>
    <w:p w14:paraId="09379278" w14:textId="77777777" w:rsidR="000B6A05" w:rsidRPr="00AF0CC3" w:rsidRDefault="000B6A05" w:rsidP="000B6A05">
      <w:pPr>
        <w:spacing w:line="360" w:lineRule="auto"/>
        <w:rPr>
          <w:rFonts w:ascii="Times New Roman" w:hAnsi="Times New Roman" w:cs="Times New Roman"/>
          <w:color w:val="000000" w:themeColor="text1"/>
        </w:rPr>
      </w:pPr>
    </w:p>
    <w:p w14:paraId="33FAACDB" w14:textId="77777777" w:rsidR="000B6A05" w:rsidRPr="00AF0CC3" w:rsidRDefault="000B6A05" w:rsidP="000B6A05">
      <w:pPr>
        <w:spacing w:line="360" w:lineRule="auto"/>
        <w:rPr>
          <w:rFonts w:ascii="Times New Roman" w:hAnsi="Times New Roman" w:cs="Times New Roman"/>
          <w:color w:val="000000" w:themeColor="text1"/>
        </w:rPr>
      </w:pPr>
      <w:r w:rsidRPr="00AF0CC3">
        <w:rPr>
          <w:rFonts w:ascii="Times New Roman" w:hAnsi="Times New Roman" w:cs="Times New Roman"/>
          <w:color w:val="000000" w:themeColor="text1"/>
        </w:rPr>
        <w:t xml:space="preserve">However, not all governance indicators are entirely exogenous. Some elements of implementation and oversight may change in response to emerging project challenges, creating </w:t>
      </w:r>
      <w:r w:rsidRPr="00AF0CC3">
        <w:rPr>
          <w:rFonts w:ascii="Times New Roman" w:hAnsi="Times New Roman" w:cs="Times New Roman"/>
          <w:color w:val="000000" w:themeColor="text1"/>
        </w:rPr>
        <w:lastRenderedPageBreak/>
        <w:t>the potential for simultaneity. Therefore, the study does not claim complete causal identification but instead aims to enhance causal interpretation through theoretically informed design.</w:t>
      </w:r>
    </w:p>
    <w:p w14:paraId="32C62E4B" w14:textId="77777777" w:rsidR="000B6A05" w:rsidRPr="00AF0CC3" w:rsidRDefault="000B6A05" w:rsidP="000B6A05">
      <w:pPr>
        <w:spacing w:line="360" w:lineRule="auto"/>
        <w:rPr>
          <w:rFonts w:ascii="Times New Roman" w:hAnsi="Times New Roman" w:cs="Times New Roman"/>
          <w:color w:val="000000" w:themeColor="text1"/>
        </w:rPr>
      </w:pPr>
    </w:p>
    <w:p w14:paraId="77EAB9D3" w14:textId="77777777" w:rsidR="000B6A05" w:rsidRPr="00AF0CC3" w:rsidRDefault="000B6A05" w:rsidP="000B6A05">
      <w:pPr>
        <w:spacing w:line="360" w:lineRule="auto"/>
        <w:rPr>
          <w:rFonts w:ascii="Times New Roman" w:hAnsi="Times New Roman" w:cs="Times New Roman"/>
          <w:color w:val="000000" w:themeColor="text1"/>
        </w:rPr>
      </w:pPr>
      <w:r w:rsidRPr="00AF0CC3">
        <w:rPr>
          <w:rFonts w:ascii="Times New Roman" w:hAnsi="Times New Roman" w:cs="Times New Roman"/>
          <w:color w:val="000000" w:themeColor="text1"/>
        </w:rPr>
        <w:t>Fixed-effects estimation is not feasible because of the cross-sectional structure of the dataset, and no credible instrumental variable was found that met both relevance and exogeneity criteria. Instead, the analysis depends on temporal ordering, control variables, and robustness checks to address endogeneity concerns.</w:t>
      </w:r>
    </w:p>
    <w:p w14:paraId="02E7D7E8" w14:textId="77777777" w:rsidR="000B6A05" w:rsidRPr="00AF0CC3" w:rsidRDefault="000B6A05" w:rsidP="000B6A05">
      <w:pPr>
        <w:spacing w:line="360" w:lineRule="auto"/>
        <w:rPr>
          <w:rFonts w:ascii="Times New Roman" w:hAnsi="Times New Roman" w:cs="Times New Roman"/>
          <w:color w:val="000000" w:themeColor="text1"/>
        </w:rPr>
      </w:pPr>
    </w:p>
    <w:p w14:paraId="13528353" w14:textId="77777777" w:rsidR="000B6A05" w:rsidRPr="00AF0CC3" w:rsidRDefault="000B6A05" w:rsidP="000B6A05">
      <w:pPr>
        <w:spacing w:line="360" w:lineRule="auto"/>
        <w:rPr>
          <w:rFonts w:ascii="Times New Roman" w:hAnsi="Times New Roman" w:cs="Times New Roman"/>
          <w:color w:val="000000" w:themeColor="text1"/>
        </w:rPr>
      </w:pPr>
      <w:r w:rsidRPr="00AF0CC3">
        <w:rPr>
          <w:rFonts w:ascii="Times New Roman" w:hAnsi="Times New Roman" w:cs="Times New Roman"/>
          <w:color w:val="000000" w:themeColor="text1"/>
        </w:rPr>
        <w:t>Unobserved confounding factors may still exist, such as political dynamics, contractor capacity, and informal institutional practices that are not fully documented in project records. The results are therefore interpreted as evidence of systematic relationships between governance quality and project outcomes, rather than definitive proof of causality.</w:t>
      </w:r>
    </w:p>
    <w:p w14:paraId="5F84C8CA" w14:textId="77777777" w:rsidR="000B6A05" w:rsidRPr="00AF0CC3" w:rsidRDefault="000B6A05" w:rsidP="000B6A05">
      <w:pPr>
        <w:spacing w:line="360" w:lineRule="auto"/>
        <w:rPr>
          <w:rFonts w:ascii="Times New Roman" w:hAnsi="Times New Roman" w:cs="Times New Roman"/>
          <w:color w:val="000000" w:themeColor="text1"/>
        </w:rPr>
      </w:pPr>
    </w:p>
    <w:p w14:paraId="0417E2B9" w14:textId="70542BC1" w:rsidR="000B6A05" w:rsidRPr="00AF0CC3" w:rsidRDefault="000B6A05" w:rsidP="008A5815">
      <w:pPr>
        <w:pStyle w:val="Heading2"/>
        <w:rPr>
          <w:rFonts w:cs="Times New Roman"/>
          <w:color w:val="000000" w:themeColor="text1"/>
          <w:szCs w:val="24"/>
        </w:rPr>
      </w:pPr>
      <w:bookmarkStart w:id="308" w:name="_Toc230209554"/>
      <w:bookmarkStart w:id="309" w:name="_Toc234344833"/>
      <w:bookmarkStart w:id="310" w:name="_Toc234489065"/>
      <w:r w:rsidRPr="00AF0CC3">
        <w:rPr>
          <w:rFonts w:cs="Times New Roman"/>
          <w:color w:val="000000" w:themeColor="text1"/>
          <w:szCs w:val="24"/>
        </w:rPr>
        <w:t>Methodological Strengths of the Study</w:t>
      </w:r>
      <w:bookmarkEnd w:id="308"/>
      <w:bookmarkEnd w:id="309"/>
      <w:bookmarkEnd w:id="310"/>
    </w:p>
    <w:p w14:paraId="236197EB" w14:textId="77777777" w:rsidR="000B6A05" w:rsidRPr="00AF0CC3" w:rsidRDefault="000B6A05" w:rsidP="000B6A05">
      <w:pPr>
        <w:spacing w:line="360" w:lineRule="auto"/>
        <w:rPr>
          <w:rFonts w:ascii="Times New Roman" w:hAnsi="Times New Roman" w:cs="Times New Roman"/>
          <w:color w:val="000000" w:themeColor="text1"/>
        </w:rPr>
      </w:pPr>
    </w:p>
    <w:p w14:paraId="720DDB80" w14:textId="77777777" w:rsidR="000B6A05" w:rsidRPr="00AF0CC3" w:rsidRDefault="000B6A05" w:rsidP="000B6A05">
      <w:pPr>
        <w:spacing w:line="360" w:lineRule="auto"/>
        <w:rPr>
          <w:rFonts w:ascii="Times New Roman" w:hAnsi="Times New Roman" w:cs="Times New Roman"/>
          <w:color w:val="000000" w:themeColor="text1"/>
        </w:rPr>
      </w:pPr>
      <w:r w:rsidRPr="00AF0CC3">
        <w:rPr>
          <w:rFonts w:ascii="Times New Roman" w:hAnsi="Times New Roman" w:cs="Times New Roman"/>
          <w:color w:val="000000" w:themeColor="text1"/>
        </w:rPr>
        <w:t xml:space="preserve">The methodological approach used in this study has several strengths that improve both analytical rigor and transparency. </w:t>
      </w:r>
    </w:p>
    <w:p w14:paraId="18AAA222" w14:textId="77777777" w:rsidR="000B6A05" w:rsidRPr="00AF0CC3" w:rsidRDefault="000B6A05" w:rsidP="000B6A05">
      <w:pPr>
        <w:spacing w:line="360" w:lineRule="auto"/>
        <w:rPr>
          <w:rFonts w:ascii="Times New Roman" w:hAnsi="Times New Roman" w:cs="Times New Roman"/>
          <w:color w:val="000000" w:themeColor="text1"/>
        </w:rPr>
      </w:pPr>
      <w:r w:rsidRPr="00AF0CC3">
        <w:rPr>
          <w:rFonts w:ascii="Times New Roman" w:hAnsi="Times New Roman" w:cs="Times New Roman"/>
          <w:color w:val="000000" w:themeColor="text1"/>
        </w:rPr>
        <w:t xml:space="preserve">First, the research goes beyond national governance indicators by creating a project-level Governance Quality Index (GQI) based on observable governance practices throughout the infrastructure lifecycle. This provides a more accurate way to evaluate how governance arrangements affect delivery outcomes within a specific sector and country. </w:t>
      </w:r>
    </w:p>
    <w:p w14:paraId="651AA3BA" w14:textId="77777777" w:rsidR="000B6A05" w:rsidRPr="00AF0CC3" w:rsidRDefault="000B6A05" w:rsidP="000B6A05">
      <w:pPr>
        <w:spacing w:line="360" w:lineRule="auto"/>
        <w:rPr>
          <w:rFonts w:ascii="Times New Roman" w:hAnsi="Times New Roman" w:cs="Times New Roman"/>
          <w:color w:val="000000" w:themeColor="text1"/>
        </w:rPr>
      </w:pPr>
      <w:r w:rsidRPr="00AF0CC3">
        <w:rPr>
          <w:rFonts w:ascii="Times New Roman" w:hAnsi="Times New Roman" w:cs="Times New Roman"/>
          <w:color w:val="000000" w:themeColor="text1"/>
        </w:rPr>
        <w:t xml:space="preserve">Second, the study uses a lifecycle analytical framework to identify how governance issues during project preparation, procurement, and implementation accumulate over time to influence project performance. </w:t>
      </w:r>
    </w:p>
    <w:p w14:paraId="4A080B4F" w14:textId="77777777" w:rsidR="000B6A05" w:rsidRPr="00AF0CC3" w:rsidRDefault="000B6A05" w:rsidP="000B6A05">
      <w:pPr>
        <w:spacing w:line="360" w:lineRule="auto"/>
        <w:rPr>
          <w:rFonts w:ascii="Times New Roman" w:hAnsi="Times New Roman" w:cs="Times New Roman"/>
          <w:color w:val="000000" w:themeColor="text1"/>
        </w:rPr>
      </w:pPr>
      <w:r w:rsidRPr="00AF0CC3">
        <w:rPr>
          <w:rFonts w:ascii="Times New Roman" w:hAnsi="Times New Roman" w:cs="Times New Roman"/>
          <w:color w:val="000000" w:themeColor="text1"/>
        </w:rPr>
        <w:t xml:space="preserve">Third, the empirical design combines institutional variables with contextual factors, such as climate exposure and political transition dynamics, offering a more realistic view of the governance environment in which water infrastructure projects are conducted. </w:t>
      </w:r>
    </w:p>
    <w:p w14:paraId="31A6AF64" w14:textId="77777777" w:rsidR="000B6A05" w:rsidRPr="00AF0CC3" w:rsidRDefault="000B6A05" w:rsidP="000B6A05">
      <w:pPr>
        <w:spacing w:line="360" w:lineRule="auto"/>
        <w:rPr>
          <w:rFonts w:ascii="Times New Roman" w:hAnsi="Times New Roman" w:cs="Times New Roman"/>
          <w:color w:val="000000" w:themeColor="text1"/>
        </w:rPr>
      </w:pPr>
      <w:r w:rsidRPr="00AF0CC3">
        <w:rPr>
          <w:rFonts w:ascii="Times New Roman" w:hAnsi="Times New Roman" w:cs="Times New Roman"/>
          <w:color w:val="000000" w:themeColor="text1"/>
        </w:rPr>
        <w:lastRenderedPageBreak/>
        <w:t>Together, these methodological choices lead to a deeper and more evidence-based understanding of infrastructure governance and its effects on project delivery. By operationalizing governance quality at the project level and empirically linking it to infrastructure delivery outcomes, the study provides methodological tools to support future comparative research on infrastructure governance in developing-country contexts.</w:t>
      </w:r>
    </w:p>
    <w:p w14:paraId="62A35310" w14:textId="77777777" w:rsidR="000B6A05" w:rsidRPr="00AF0CC3" w:rsidRDefault="000B6A05" w:rsidP="000B6A05">
      <w:pPr>
        <w:spacing w:line="360" w:lineRule="auto"/>
        <w:rPr>
          <w:rFonts w:ascii="Times New Roman" w:hAnsi="Times New Roman" w:cs="Times New Roman"/>
          <w:color w:val="000000" w:themeColor="text1"/>
        </w:rPr>
      </w:pPr>
      <w:r w:rsidRPr="00AF0CC3">
        <w:rPr>
          <w:rFonts w:ascii="Times New Roman" w:hAnsi="Times New Roman" w:cs="Times New Roman"/>
          <w:color w:val="000000" w:themeColor="text1"/>
        </w:rPr>
        <w:t>This study contributes to the infrastructure governance literature by introducing a project-level, lifecycle-based measure of governance quality that more accurately reflects institutional performance than traditional macro-level indicators.</w:t>
      </w:r>
    </w:p>
    <w:p w14:paraId="2EB66E72" w14:textId="57F7849C" w:rsidR="000B6A05" w:rsidRPr="00AF0CC3" w:rsidRDefault="000B6A05" w:rsidP="008A5815">
      <w:pPr>
        <w:pStyle w:val="Heading2"/>
        <w:rPr>
          <w:rFonts w:cs="Times New Roman"/>
          <w:color w:val="000000" w:themeColor="text1"/>
          <w:szCs w:val="24"/>
        </w:rPr>
      </w:pPr>
      <w:bookmarkStart w:id="311" w:name="_Toc230209555"/>
      <w:bookmarkStart w:id="312" w:name="_Toc234344834"/>
      <w:bookmarkStart w:id="313" w:name="_Toc234489066"/>
      <w:r w:rsidRPr="00AF0CC3">
        <w:rPr>
          <w:rFonts w:cs="Times New Roman"/>
          <w:color w:val="000000" w:themeColor="text1"/>
          <w:szCs w:val="24"/>
        </w:rPr>
        <w:t>Chapter Summary</w:t>
      </w:r>
      <w:bookmarkEnd w:id="311"/>
      <w:bookmarkEnd w:id="312"/>
      <w:bookmarkEnd w:id="313"/>
    </w:p>
    <w:p w14:paraId="27B7D8E4" w14:textId="77777777" w:rsidR="000B6A05" w:rsidRPr="00AF0CC3" w:rsidRDefault="000B6A05" w:rsidP="000B6A05">
      <w:pPr>
        <w:spacing w:line="360" w:lineRule="auto"/>
        <w:rPr>
          <w:rFonts w:ascii="Times New Roman" w:hAnsi="Times New Roman" w:cs="Times New Roman"/>
          <w:color w:val="000000" w:themeColor="text1"/>
        </w:rPr>
      </w:pPr>
    </w:p>
    <w:p w14:paraId="530875A0" w14:textId="77777777" w:rsidR="000B6A05" w:rsidRPr="00AF0CC3" w:rsidRDefault="000B6A05" w:rsidP="000B6A05">
      <w:pPr>
        <w:spacing w:line="360" w:lineRule="auto"/>
        <w:rPr>
          <w:rFonts w:ascii="Times New Roman" w:hAnsi="Times New Roman" w:cs="Times New Roman"/>
          <w:color w:val="000000" w:themeColor="text1"/>
        </w:rPr>
      </w:pPr>
      <w:r w:rsidRPr="00AF0CC3">
        <w:rPr>
          <w:rFonts w:ascii="Times New Roman" w:hAnsi="Times New Roman" w:cs="Times New Roman"/>
          <w:color w:val="000000" w:themeColor="text1"/>
        </w:rPr>
        <w:t>This chapter has described the methodological framework used to examine how governance quality affects the performance of water infrastructure in Kenya. By employing a project-level empirical approach and developing a Governance Quality Index based on observable institutional practices, the study offers a structured method for analyzing infrastructure delivery outcomes.</w:t>
      </w:r>
    </w:p>
    <w:p w14:paraId="069549F4" w14:textId="77777777" w:rsidR="000B6A05" w:rsidRPr="00AF0CC3" w:rsidRDefault="000B6A05" w:rsidP="000B6A05">
      <w:pPr>
        <w:spacing w:line="360" w:lineRule="auto"/>
        <w:rPr>
          <w:rFonts w:ascii="Times New Roman" w:hAnsi="Times New Roman" w:cs="Times New Roman"/>
          <w:color w:val="000000" w:themeColor="text1"/>
        </w:rPr>
      </w:pPr>
      <w:r w:rsidRPr="00AF0CC3">
        <w:rPr>
          <w:rFonts w:ascii="Times New Roman" w:hAnsi="Times New Roman" w:cs="Times New Roman"/>
          <w:color w:val="000000" w:themeColor="text1"/>
        </w:rPr>
        <w:t>Including diverse water infrastructure types—such as urban and rural water supply systems, wastewater treatment infrastructure, irrigation schemes, flood management systems, and dam projects—ensures the analysis captures the full spectrum of governance challenges within the sector.</w:t>
      </w:r>
    </w:p>
    <w:p w14:paraId="2842CC6A" w14:textId="77777777" w:rsidR="000B6A05" w:rsidRPr="00AF0CC3" w:rsidRDefault="000B6A05" w:rsidP="000B6A05">
      <w:pPr>
        <w:spacing w:line="360" w:lineRule="auto"/>
        <w:rPr>
          <w:rFonts w:ascii="Times New Roman" w:hAnsi="Times New Roman" w:cs="Times New Roman"/>
          <w:color w:val="000000" w:themeColor="text1"/>
        </w:rPr>
      </w:pPr>
      <w:r w:rsidRPr="00AF0CC3">
        <w:rPr>
          <w:rFonts w:ascii="Times New Roman" w:hAnsi="Times New Roman" w:cs="Times New Roman"/>
          <w:color w:val="000000" w:themeColor="text1"/>
        </w:rPr>
        <w:t>The econometric models developed in this chapter enable the study to assess whether governance quality systematically affects the likelihood of project stalling, time overruns, and cost overruns, while considering contextual factors such as climate exposure and political transition dynamics.</w:t>
      </w:r>
    </w:p>
    <w:p w14:paraId="25A8CFE2" w14:textId="77777777" w:rsidR="000B6A05" w:rsidRPr="00AF0CC3" w:rsidRDefault="000B6A05" w:rsidP="000B6A05">
      <w:pPr>
        <w:spacing w:line="360" w:lineRule="auto"/>
        <w:rPr>
          <w:rFonts w:ascii="Times New Roman" w:hAnsi="Times New Roman" w:cs="Times New Roman"/>
          <w:color w:val="000000" w:themeColor="text1"/>
        </w:rPr>
      </w:pPr>
    </w:p>
    <w:p w14:paraId="583BCE9E" w14:textId="77777777" w:rsidR="000B6A05" w:rsidRPr="00AF0CC3" w:rsidRDefault="000B6A05" w:rsidP="000B6A05">
      <w:pPr>
        <w:spacing w:line="360" w:lineRule="auto"/>
        <w:rPr>
          <w:rFonts w:ascii="Times New Roman" w:hAnsi="Times New Roman" w:cs="Times New Roman"/>
          <w:color w:val="000000" w:themeColor="text1"/>
        </w:rPr>
      </w:pPr>
      <w:r w:rsidRPr="00AF0CC3">
        <w:rPr>
          <w:rFonts w:ascii="Times New Roman" w:hAnsi="Times New Roman" w:cs="Times New Roman"/>
          <w:color w:val="000000" w:themeColor="text1"/>
        </w:rPr>
        <w:t>The next chapter presents the empirical findings of this analysis and assesses the hypotheses developed in this chapter.</w:t>
      </w:r>
    </w:p>
    <w:p w14:paraId="16BD92E5" w14:textId="77777777" w:rsidR="00280EE8" w:rsidRPr="00AF0CC3" w:rsidRDefault="00280EE8" w:rsidP="00280EE8">
      <w:pPr>
        <w:rPr>
          <w:rFonts w:ascii="Times New Roman" w:hAnsi="Times New Roman" w:cs="Times New Roman"/>
          <w:color w:val="000000" w:themeColor="text1"/>
        </w:rPr>
      </w:pPr>
    </w:p>
    <w:p w14:paraId="22FD9A43" w14:textId="77777777" w:rsidR="00B010CE" w:rsidRPr="00AF0CC3" w:rsidRDefault="00B010CE" w:rsidP="00280EE8">
      <w:pPr>
        <w:rPr>
          <w:rFonts w:ascii="Times New Roman" w:hAnsi="Times New Roman" w:cs="Times New Roman"/>
          <w:color w:val="000000" w:themeColor="text1"/>
        </w:rPr>
      </w:pPr>
    </w:p>
    <w:p w14:paraId="6F54D3AD" w14:textId="77777777" w:rsidR="00B010CE" w:rsidRPr="00AF0CC3" w:rsidRDefault="00B010CE" w:rsidP="00280EE8">
      <w:pPr>
        <w:rPr>
          <w:rFonts w:ascii="Times New Roman" w:hAnsi="Times New Roman" w:cs="Times New Roman"/>
          <w:color w:val="000000" w:themeColor="text1"/>
        </w:rPr>
      </w:pPr>
    </w:p>
    <w:p w14:paraId="35AA8981" w14:textId="77777777" w:rsidR="00B010CE" w:rsidRPr="00AF0CC3" w:rsidRDefault="00B010CE" w:rsidP="00280EE8">
      <w:pPr>
        <w:rPr>
          <w:rFonts w:ascii="Times New Roman" w:hAnsi="Times New Roman" w:cs="Times New Roman"/>
          <w:color w:val="000000" w:themeColor="text1"/>
        </w:rPr>
      </w:pPr>
    </w:p>
    <w:p w14:paraId="7DE2301E" w14:textId="77777777" w:rsidR="00B010CE" w:rsidRPr="00AF0CC3" w:rsidRDefault="00B010CE" w:rsidP="00280EE8">
      <w:pPr>
        <w:rPr>
          <w:rFonts w:ascii="Times New Roman" w:hAnsi="Times New Roman" w:cs="Times New Roman"/>
          <w:color w:val="000000" w:themeColor="text1"/>
        </w:rPr>
      </w:pPr>
    </w:p>
    <w:p w14:paraId="2F785129" w14:textId="77777777" w:rsidR="00B010CE" w:rsidRPr="00AF0CC3" w:rsidRDefault="00B010CE" w:rsidP="00280EE8">
      <w:pPr>
        <w:rPr>
          <w:rFonts w:ascii="Times New Roman" w:hAnsi="Times New Roman" w:cs="Times New Roman"/>
          <w:color w:val="000000" w:themeColor="text1"/>
        </w:rPr>
      </w:pPr>
    </w:p>
    <w:p w14:paraId="46C0AE3E" w14:textId="77777777" w:rsidR="00B010CE" w:rsidRPr="00AF0CC3" w:rsidRDefault="00B010CE" w:rsidP="00280EE8">
      <w:pPr>
        <w:rPr>
          <w:rFonts w:ascii="Times New Roman" w:hAnsi="Times New Roman" w:cs="Times New Roman"/>
          <w:color w:val="000000" w:themeColor="text1"/>
        </w:rPr>
      </w:pPr>
    </w:p>
    <w:p w14:paraId="5AC0D904" w14:textId="77777777" w:rsidR="00B010CE" w:rsidRPr="00AF0CC3" w:rsidRDefault="00B010CE" w:rsidP="00280EE8">
      <w:pPr>
        <w:rPr>
          <w:rFonts w:ascii="Times New Roman" w:hAnsi="Times New Roman" w:cs="Times New Roman"/>
          <w:color w:val="000000" w:themeColor="text1"/>
        </w:rPr>
      </w:pPr>
    </w:p>
    <w:p w14:paraId="7A2A2EB2" w14:textId="77777777" w:rsidR="00B010CE" w:rsidRPr="00AF0CC3" w:rsidRDefault="00B010CE" w:rsidP="00280EE8">
      <w:pPr>
        <w:rPr>
          <w:rFonts w:ascii="Times New Roman" w:hAnsi="Times New Roman" w:cs="Times New Roman"/>
          <w:color w:val="000000" w:themeColor="text1"/>
        </w:rPr>
      </w:pPr>
    </w:p>
    <w:p w14:paraId="3AC9AC20" w14:textId="77777777" w:rsidR="00B010CE" w:rsidRPr="00AF0CC3" w:rsidRDefault="00B010CE" w:rsidP="00280EE8">
      <w:pPr>
        <w:rPr>
          <w:rFonts w:ascii="Times New Roman" w:hAnsi="Times New Roman" w:cs="Times New Roman"/>
          <w:color w:val="000000" w:themeColor="text1"/>
        </w:rPr>
      </w:pPr>
    </w:p>
    <w:p w14:paraId="6FD53E57" w14:textId="77777777" w:rsidR="00B010CE" w:rsidRPr="00AF0CC3" w:rsidRDefault="00B010CE" w:rsidP="00280EE8">
      <w:pPr>
        <w:rPr>
          <w:rFonts w:ascii="Times New Roman" w:hAnsi="Times New Roman" w:cs="Times New Roman"/>
          <w:color w:val="000000" w:themeColor="text1"/>
        </w:rPr>
      </w:pPr>
    </w:p>
    <w:p w14:paraId="4C8A53A5" w14:textId="77777777" w:rsidR="00B010CE" w:rsidRPr="00AF0CC3" w:rsidRDefault="00B010CE" w:rsidP="00280EE8">
      <w:pPr>
        <w:rPr>
          <w:rFonts w:ascii="Times New Roman" w:hAnsi="Times New Roman" w:cs="Times New Roman"/>
          <w:color w:val="000000" w:themeColor="text1"/>
        </w:rPr>
      </w:pPr>
    </w:p>
    <w:p w14:paraId="2EB69127" w14:textId="77777777" w:rsidR="00B010CE" w:rsidRPr="00AF0CC3" w:rsidRDefault="00B010CE" w:rsidP="00280EE8">
      <w:pPr>
        <w:rPr>
          <w:rFonts w:ascii="Times New Roman" w:hAnsi="Times New Roman" w:cs="Times New Roman"/>
          <w:color w:val="000000" w:themeColor="text1"/>
        </w:rPr>
      </w:pPr>
    </w:p>
    <w:p w14:paraId="588C90BB" w14:textId="77777777" w:rsidR="00B010CE" w:rsidRPr="00AF0CC3" w:rsidRDefault="00B010CE" w:rsidP="00280EE8">
      <w:pPr>
        <w:rPr>
          <w:rFonts w:ascii="Times New Roman" w:hAnsi="Times New Roman" w:cs="Times New Roman"/>
          <w:color w:val="000000" w:themeColor="text1"/>
        </w:rPr>
      </w:pPr>
    </w:p>
    <w:p w14:paraId="488AFC6D" w14:textId="77777777" w:rsidR="00B010CE" w:rsidRPr="00AF0CC3" w:rsidRDefault="00B010CE" w:rsidP="00280EE8">
      <w:pPr>
        <w:rPr>
          <w:rFonts w:ascii="Times New Roman" w:hAnsi="Times New Roman" w:cs="Times New Roman"/>
          <w:color w:val="000000" w:themeColor="text1"/>
        </w:rPr>
      </w:pPr>
    </w:p>
    <w:p w14:paraId="6030BA19" w14:textId="77777777" w:rsidR="00B010CE" w:rsidRPr="00AF0CC3" w:rsidRDefault="00B010CE" w:rsidP="00280EE8">
      <w:pPr>
        <w:rPr>
          <w:rFonts w:ascii="Times New Roman" w:hAnsi="Times New Roman" w:cs="Times New Roman"/>
          <w:color w:val="000000" w:themeColor="text1"/>
        </w:rPr>
      </w:pPr>
    </w:p>
    <w:p w14:paraId="2E275CB7" w14:textId="77777777" w:rsidR="00B010CE" w:rsidRPr="00AF0CC3" w:rsidRDefault="00B010CE" w:rsidP="00280EE8">
      <w:pPr>
        <w:rPr>
          <w:rFonts w:ascii="Times New Roman" w:hAnsi="Times New Roman" w:cs="Times New Roman"/>
          <w:color w:val="000000" w:themeColor="text1"/>
        </w:rPr>
      </w:pPr>
    </w:p>
    <w:p w14:paraId="61CC92A7" w14:textId="77777777" w:rsidR="00B010CE" w:rsidRPr="00AF0CC3" w:rsidRDefault="00B010CE" w:rsidP="00280EE8">
      <w:pPr>
        <w:rPr>
          <w:rFonts w:ascii="Times New Roman" w:hAnsi="Times New Roman" w:cs="Times New Roman"/>
          <w:color w:val="000000" w:themeColor="text1"/>
        </w:rPr>
      </w:pPr>
    </w:p>
    <w:p w14:paraId="0ECBC665" w14:textId="77777777" w:rsidR="000E4438" w:rsidRPr="00AF0CC3" w:rsidRDefault="000E4438" w:rsidP="00280EE8">
      <w:pPr>
        <w:rPr>
          <w:rFonts w:ascii="Times New Roman" w:hAnsi="Times New Roman" w:cs="Times New Roman"/>
          <w:color w:val="000000" w:themeColor="text1"/>
        </w:rPr>
      </w:pPr>
    </w:p>
    <w:p w14:paraId="5EDB7A65" w14:textId="77777777" w:rsidR="000E4438" w:rsidRPr="00AF0CC3" w:rsidRDefault="000E4438" w:rsidP="00280EE8">
      <w:pPr>
        <w:rPr>
          <w:rFonts w:ascii="Times New Roman" w:hAnsi="Times New Roman" w:cs="Times New Roman"/>
          <w:color w:val="000000" w:themeColor="text1"/>
        </w:rPr>
      </w:pPr>
    </w:p>
    <w:p w14:paraId="285A2393" w14:textId="77777777" w:rsidR="000E4438" w:rsidRPr="00AF0CC3" w:rsidRDefault="000E4438" w:rsidP="00280EE8">
      <w:pPr>
        <w:rPr>
          <w:rFonts w:ascii="Times New Roman" w:hAnsi="Times New Roman" w:cs="Times New Roman"/>
          <w:color w:val="000000" w:themeColor="text1"/>
        </w:rPr>
      </w:pPr>
    </w:p>
    <w:p w14:paraId="7AD2DF0E" w14:textId="77777777" w:rsidR="000E4438" w:rsidRPr="00AF0CC3" w:rsidRDefault="000E4438" w:rsidP="00280EE8">
      <w:pPr>
        <w:rPr>
          <w:rFonts w:ascii="Times New Roman" w:hAnsi="Times New Roman" w:cs="Times New Roman"/>
          <w:color w:val="000000" w:themeColor="text1"/>
        </w:rPr>
      </w:pPr>
    </w:p>
    <w:p w14:paraId="2C8F53DB" w14:textId="77777777" w:rsidR="000E4438" w:rsidRPr="00AF0CC3" w:rsidRDefault="000E4438" w:rsidP="00280EE8">
      <w:pPr>
        <w:rPr>
          <w:rFonts w:ascii="Times New Roman" w:hAnsi="Times New Roman" w:cs="Times New Roman"/>
          <w:color w:val="000000" w:themeColor="text1"/>
        </w:rPr>
      </w:pPr>
    </w:p>
    <w:p w14:paraId="7929E426" w14:textId="77777777" w:rsidR="000E4438" w:rsidRPr="00AF0CC3" w:rsidRDefault="000E4438" w:rsidP="00280EE8">
      <w:pPr>
        <w:rPr>
          <w:rFonts w:ascii="Times New Roman" w:hAnsi="Times New Roman" w:cs="Times New Roman"/>
          <w:color w:val="000000" w:themeColor="text1"/>
        </w:rPr>
      </w:pPr>
    </w:p>
    <w:p w14:paraId="6302E678" w14:textId="77777777" w:rsidR="000E4438" w:rsidRPr="00AF0CC3" w:rsidRDefault="000E4438" w:rsidP="00280EE8">
      <w:pPr>
        <w:rPr>
          <w:rFonts w:ascii="Times New Roman" w:hAnsi="Times New Roman" w:cs="Times New Roman"/>
          <w:color w:val="000000" w:themeColor="text1"/>
        </w:rPr>
      </w:pPr>
    </w:p>
    <w:p w14:paraId="05C0F6F4" w14:textId="77777777" w:rsidR="000E4438" w:rsidRPr="00AF0CC3" w:rsidRDefault="000E4438" w:rsidP="00280EE8">
      <w:pPr>
        <w:rPr>
          <w:rFonts w:ascii="Times New Roman" w:hAnsi="Times New Roman" w:cs="Times New Roman"/>
          <w:color w:val="000000" w:themeColor="text1"/>
        </w:rPr>
      </w:pPr>
    </w:p>
    <w:p w14:paraId="563AD285" w14:textId="77777777" w:rsidR="00B010CE" w:rsidRPr="00AF0CC3" w:rsidRDefault="00B010CE" w:rsidP="00280EE8">
      <w:pPr>
        <w:rPr>
          <w:rFonts w:ascii="Times New Roman" w:hAnsi="Times New Roman" w:cs="Times New Roman"/>
          <w:color w:val="000000" w:themeColor="text1"/>
        </w:rPr>
      </w:pPr>
    </w:p>
    <w:p w14:paraId="22DEA8DA" w14:textId="77777777" w:rsidR="00B010CE" w:rsidRPr="00AF0CC3" w:rsidRDefault="00B010CE" w:rsidP="00280EE8">
      <w:pPr>
        <w:rPr>
          <w:rFonts w:ascii="Times New Roman" w:hAnsi="Times New Roman" w:cs="Times New Roman"/>
          <w:color w:val="000000" w:themeColor="text1"/>
        </w:rPr>
      </w:pPr>
    </w:p>
    <w:p w14:paraId="51E2A0FB" w14:textId="77777777" w:rsidR="00B010CE" w:rsidRPr="00AF0CC3" w:rsidRDefault="00B010CE" w:rsidP="00280EE8">
      <w:pPr>
        <w:rPr>
          <w:rFonts w:ascii="Times New Roman" w:hAnsi="Times New Roman" w:cs="Times New Roman"/>
          <w:color w:val="000000" w:themeColor="text1"/>
        </w:rPr>
      </w:pPr>
    </w:p>
    <w:p w14:paraId="377F593D" w14:textId="77777777" w:rsidR="00280EE8" w:rsidRPr="00AF0CC3" w:rsidRDefault="00280EE8" w:rsidP="00280EE8">
      <w:pPr>
        <w:rPr>
          <w:rFonts w:ascii="Times New Roman" w:hAnsi="Times New Roman" w:cs="Times New Roman"/>
          <w:color w:val="000000" w:themeColor="text1"/>
        </w:rPr>
      </w:pPr>
    </w:p>
    <w:p w14:paraId="084B1982" w14:textId="6A7A2134" w:rsidR="00844B88" w:rsidRPr="00AF0CC3" w:rsidRDefault="00844B88" w:rsidP="00844B88">
      <w:pPr>
        <w:pStyle w:val="Heading1"/>
        <w:rPr>
          <w:rFonts w:cs="Times New Roman"/>
          <w:b w:val="0"/>
          <w:bCs/>
          <w:color w:val="000000" w:themeColor="text1"/>
          <w:szCs w:val="24"/>
        </w:rPr>
      </w:pPr>
      <w:bookmarkStart w:id="314" w:name="_Toc232375968"/>
      <w:bookmarkStart w:id="315" w:name="_Toc234344835"/>
      <w:bookmarkStart w:id="316" w:name="_Toc234489067"/>
      <w:commentRangeStart w:id="317"/>
      <w:r w:rsidRPr="00AF0CC3">
        <w:rPr>
          <w:rFonts w:cs="Times New Roman"/>
          <w:bCs/>
          <w:color w:val="000000" w:themeColor="text1"/>
          <w:szCs w:val="24"/>
        </w:rPr>
        <w:lastRenderedPageBreak/>
        <w:t>RESULTS AND FINDINGS</w:t>
      </w:r>
      <w:bookmarkEnd w:id="314"/>
      <w:bookmarkEnd w:id="315"/>
      <w:bookmarkEnd w:id="316"/>
      <w:commentRangeEnd w:id="317"/>
      <w:r w:rsidRPr="00AF0CC3">
        <w:rPr>
          <w:rStyle w:val="CommentReference"/>
          <w:rFonts w:cs="Times New Roman"/>
          <w:b w:val="0"/>
          <w:bCs/>
          <w:color w:val="000000" w:themeColor="text1"/>
          <w:sz w:val="24"/>
          <w:szCs w:val="24"/>
        </w:rPr>
        <w:commentReference w:id="317"/>
      </w:r>
    </w:p>
    <w:p w14:paraId="441E3338" w14:textId="77777777" w:rsidR="00844B88" w:rsidRPr="00AF0CC3" w:rsidRDefault="00844B88" w:rsidP="00844B88">
      <w:pPr>
        <w:rPr>
          <w:rFonts w:ascii="Times New Roman" w:hAnsi="Times New Roman" w:cs="Times New Roman"/>
          <w:b/>
          <w:bCs/>
          <w:color w:val="000000" w:themeColor="text1"/>
        </w:rPr>
      </w:pPr>
    </w:p>
    <w:p w14:paraId="559FBE83" w14:textId="72B53F83" w:rsidR="00844B88" w:rsidRPr="00AF0CC3" w:rsidRDefault="00844B88" w:rsidP="00844B88">
      <w:pPr>
        <w:pStyle w:val="Heading2"/>
        <w:rPr>
          <w:rFonts w:cs="Times New Roman"/>
          <w:b w:val="0"/>
          <w:bCs/>
          <w:color w:val="000000" w:themeColor="text1"/>
          <w:szCs w:val="24"/>
        </w:rPr>
      </w:pPr>
      <w:r w:rsidRPr="00AF0CC3">
        <w:rPr>
          <w:rFonts w:cs="Times New Roman"/>
          <w:bCs/>
          <w:color w:val="000000" w:themeColor="text1"/>
          <w:szCs w:val="24"/>
        </w:rPr>
        <w:t xml:space="preserve"> </w:t>
      </w:r>
      <w:bookmarkStart w:id="318" w:name="_Toc232375969"/>
      <w:bookmarkStart w:id="319" w:name="_Toc234344836"/>
      <w:bookmarkStart w:id="320" w:name="_Toc234489068"/>
      <w:r w:rsidRPr="00AF0CC3">
        <w:rPr>
          <w:rFonts w:cs="Times New Roman"/>
          <w:bCs/>
          <w:color w:val="000000" w:themeColor="text1"/>
          <w:szCs w:val="24"/>
        </w:rPr>
        <w:t>Introduction</w:t>
      </w:r>
      <w:bookmarkEnd w:id="318"/>
      <w:bookmarkEnd w:id="319"/>
      <w:bookmarkEnd w:id="320"/>
    </w:p>
    <w:p w14:paraId="6C5C9941" w14:textId="77777777" w:rsidR="00844B88" w:rsidRPr="00AF0CC3" w:rsidRDefault="00844B88" w:rsidP="00844B88">
      <w:pPr>
        <w:rPr>
          <w:rFonts w:ascii="Times New Roman" w:hAnsi="Times New Roman" w:cs="Times New Roman"/>
          <w:color w:val="000000" w:themeColor="text1"/>
        </w:rPr>
      </w:pPr>
    </w:p>
    <w:p w14:paraId="37704182" w14:textId="77777777" w:rsidR="00844B88" w:rsidRPr="00AF0CC3" w:rsidRDefault="00844B88" w:rsidP="00844B88">
      <w:pPr>
        <w:rPr>
          <w:rFonts w:ascii="Times New Roman" w:hAnsi="Times New Roman" w:cs="Times New Roman"/>
          <w:color w:val="000000" w:themeColor="text1"/>
        </w:rPr>
      </w:pPr>
      <w:r w:rsidRPr="00AF0CC3">
        <w:rPr>
          <w:rFonts w:ascii="Times New Roman" w:hAnsi="Times New Roman" w:cs="Times New Roman"/>
          <w:color w:val="000000" w:themeColor="text1"/>
        </w:rPr>
        <w:t>This chapter reports the empirical results of the study and evaluates the extent to which governance quality is associated with infrastructure delivery outcomes across selected water infrastructure projects in Kenya. The analysis is structured around the study’s research questions and hypotheses and applies the methodological framework developed in Chapter Three to assess relationships between governance conditions and project performance outcomes.</w:t>
      </w:r>
    </w:p>
    <w:p w14:paraId="688DEB78" w14:textId="77777777" w:rsidR="00844B88" w:rsidRPr="00AF0CC3" w:rsidRDefault="00844B88" w:rsidP="00844B88">
      <w:pPr>
        <w:rPr>
          <w:rFonts w:ascii="Times New Roman" w:hAnsi="Times New Roman" w:cs="Times New Roman"/>
          <w:color w:val="000000" w:themeColor="text1"/>
        </w:rPr>
      </w:pPr>
    </w:p>
    <w:p w14:paraId="278F533B" w14:textId="77777777" w:rsidR="00844B88" w:rsidRPr="00AF0CC3" w:rsidRDefault="00844B88" w:rsidP="00844B88">
      <w:pPr>
        <w:rPr>
          <w:rFonts w:ascii="Times New Roman" w:hAnsi="Times New Roman" w:cs="Times New Roman"/>
          <w:color w:val="000000" w:themeColor="text1"/>
        </w:rPr>
      </w:pPr>
      <w:r w:rsidRPr="00AF0CC3">
        <w:rPr>
          <w:rFonts w:ascii="Times New Roman" w:hAnsi="Times New Roman" w:cs="Times New Roman"/>
          <w:color w:val="000000" w:themeColor="text1"/>
        </w:rPr>
        <w:t>The presentation of results proceeds from descriptive assessment to hypothesis testing. Initial sections examine the distribution of governance quality across the sampled projects before evaluating relationships between governance quality and project stalling, implementation delays, cost overruns, and contextual implementation conditions. Empirical evidence is presented using descriptive statistics, comparative analysis, documentary assessment, correlation analysis, and logistic regression estimation. Throughout the chapter, emphasis is placed on the transparent reporting of results, objective interpretation of statistical evidence, and alignment between empirical findings and the study’s analytical framework.</w:t>
      </w:r>
    </w:p>
    <w:p w14:paraId="4078C2D8" w14:textId="77777777" w:rsidR="00844B88" w:rsidRPr="00AF0CC3" w:rsidRDefault="00844B88" w:rsidP="00844B88">
      <w:pPr>
        <w:rPr>
          <w:rFonts w:ascii="Times New Roman" w:hAnsi="Times New Roman" w:cs="Times New Roman"/>
          <w:color w:val="000000" w:themeColor="text1"/>
        </w:rPr>
      </w:pPr>
      <w:r w:rsidRPr="00AF0CC3">
        <w:rPr>
          <w:rFonts w:ascii="Times New Roman" w:hAnsi="Times New Roman" w:cs="Times New Roman"/>
          <w:color w:val="000000" w:themeColor="text1"/>
        </w:rPr>
        <w:t>The empirical analysis is based on an initial pool of fifty-one water infrastructure projects implemented between 2012 and 2025. However, nineteen county government projects implemented following devolution reforms were excluded from the final analytical sample because documentary evidence required for Governance Quality Index (GQI) measurement was unavailable or inaccessible through reliable public sources. Consequently, the final analytical sample consisted of thirty-two projects with sufficiently verifiable documentation to support standardized governance assessment and comparative analysis.</w:t>
      </w:r>
    </w:p>
    <w:p w14:paraId="73D7AC16" w14:textId="77777777" w:rsidR="00844B88" w:rsidRPr="00AF0CC3" w:rsidRDefault="00844B88" w:rsidP="00844B88">
      <w:pPr>
        <w:rPr>
          <w:rFonts w:ascii="Times New Roman" w:hAnsi="Times New Roman" w:cs="Times New Roman"/>
          <w:color w:val="000000" w:themeColor="text1"/>
        </w:rPr>
      </w:pPr>
    </w:p>
    <w:p w14:paraId="33F1BD1B" w14:textId="77777777" w:rsidR="00844B88" w:rsidRPr="00AF0CC3" w:rsidRDefault="00844B88" w:rsidP="00844B88">
      <w:pPr>
        <w:rPr>
          <w:rFonts w:ascii="Times New Roman" w:hAnsi="Times New Roman" w:cs="Times New Roman"/>
          <w:color w:val="000000" w:themeColor="text1"/>
        </w:rPr>
      </w:pPr>
      <w:r w:rsidRPr="00AF0CC3">
        <w:rPr>
          <w:rFonts w:ascii="Times New Roman" w:hAnsi="Times New Roman" w:cs="Times New Roman"/>
          <w:color w:val="000000" w:themeColor="text1"/>
        </w:rPr>
        <w:t>Blank cells in the dataset represent two distinct conditions. First, some variables contain missing values because documentary evidence was unavailable or inaccessible during data collection. Second, variables such as Year_Actual_End and Actual_Cost remain blank for ongoing projects because implementation had not yet been completed at the time of analysis. These values are therefore treated as structurally missing rather than omitted due to data quality limitations.</w:t>
      </w:r>
    </w:p>
    <w:p w14:paraId="5BF08B0D" w14:textId="77777777" w:rsidR="00844B88" w:rsidRPr="00AF0CC3" w:rsidRDefault="00844B88" w:rsidP="00844B88">
      <w:pPr>
        <w:rPr>
          <w:rFonts w:ascii="Times New Roman" w:hAnsi="Times New Roman" w:cs="Times New Roman"/>
          <w:color w:val="000000" w:themeColor="text1"/>
        </w:rPr>
      </w:pPr>
    </w:p>
    <w:p w14:paraId="36134E2F" w14:textId="77777777" w:rsidR="00844B88" w:rsidRPr="00AF0CC3" w:rsidRDefault="00844B88" w:rsidP="00844B88">
      <w:pPr>
        <w:rPr>
          <w:rFonts w:ascii="Times New Roman" w:hAnsi="Times New Roman" w:cs="Times New Roman"/>
          <w:color w:val="000000" w:themeColor="text1"/>
        </w:rPr>
      </w:pPr>
      <w:r w:rsidRPr="00AF0CC3">
        <w:rPr>
          <w:rFonts w:ascii="Times New Roman" w:hAnsi="Times New Roman" w:cs="Times New Roman"/>
          <w:color w:val="000000" w:themeColor="text1"/>
        </w:rPr>
        <w:t xml:space="preserve">Consistent with Chapter Three, governance quality was measured using the Governance Quality Index (GQI), constructed from nine lifecycle governance indicators covering project preparation, procurement governance, implementation management, oversight, responsiveness, institutional </w:t>
      </w:r>
      <w:r w:rsidRPr="00AF0CC3">
        <w:rPr>
          <w:rFonts w:ascii="Times New Roman" w:hAnsi="Times New Roman" w:cs="Times New Roman"/>
          <w:color w:val="000000" w:themeColor="text1"/>
        </w:rPr>
        <w:lastRenderedPageBreak/>
        <w:t>coordination, and documentation transparency. Each indicator was scored on a 0–2 scale, producing a maximum governance score of 18. The composite index was normalized to range between 0 and 1.</w:t>
      </w:r>
    </w:p>
    <w:p w14:paraId="1DAB4076" w14:textId="77777777" w:rsidR="00844B88" w:rsidRPr="00AF0CC3" w:rsidRDefault="00844B88" w:rsidP="00844B88">
      <w:pPr>
        <w:rPr>
          <w:rFonts w:ascii="Times New Roman" w:hAnsi="Times New Roman" w:cs="Times New Roman"/>
          <w:color w:val="000000" w:themeColor="text1"/>
        </w:rPr>
      </w:pPr>
    </w:p>
    <w:p w14:paraId="4DD4AB1C" w14:textId="77777777" w:rsidR="00844B88" w:rsidRPr="00AF0CC3" w:rsidRDefault="00844B88" w:rsidP="00844B88">
      <w:pPr>
        <w:rPr>
          <w:rFonts w:ascii="Times New Roman" w:hAnsi="Times New Roman" w:cs="Times New Roman"/>
          <w:color w:val="000000" w:themeColor="text1"/>
        </w:rPr>
      </w:pPr>
      <w:r w:rsidRPr="00AF0CC3">
        <w:rPr>
          <w:rFonts w:ascii="Times New Roman" w:hAnsi="Times New Roman" w:cs="Times New Roman"/>
          <w:color w:val="000000" w:themeColor="text1"/>
        </w:rPr>
        <w:t>The chapter concludes with a summary of findings and links the empirical results to the broader governance and infrastructure implementation challenges examined in the study. In addition, a standalone section examining documentation accessibility and decentralized governance capacity is included to highlight the institutional implications associated with documentary transparency, records-management systems, and governance monitoring capacity within county-level infrastructure implementation systems following devolution reforms.</w:t>
      </w:r>
    </w:p>
    <w:p w14:paraId="72B52C82" w14:textId="77777777" w:rsidR="00844B88" w:rsidRPr="00AF0CC3" w:rsidRDefault="00844B88" w:rsidP="00844B88">
      <w:pPr>
        <w:rPr>
          <w:rFonts w:ascii="Times New Roman" w:hAnsi="Times New Roman" w:cs="Times New Roman"/>
          <w:color w:val="000000" w:themeColor="text1"/>
        </w:rPr>
      </w:pPr>
    </w:p>
    <w:p w14:paraId="2B79612D" w14:textId="5F69BF28" w:rsidR="00844B88" w:rsidRPr="00AF0CC3" w:rsidRDefault="00844B88" w:rsidP="00844B88">
      <w:pPr>
        <w:pStyle w:val="Heading2"/>
        <w:rPr>
          <w:rFonts w:cs="Times New Roman"/>
          <w:b w:val="0"/>
          <w:bCs/>
          <w:color w:val="000000" w:themeColor="text1"/>
          <w:szCs w:val="24"/>
        </w:rPr>
      </w:pPr>
      <w:r w:rsidRPr="00AF0CC3">
        <w:rPr>
          <w:rFonts w:cs="Times New Roman"/>
          <w:color w:val="000000" w:themeColor="text1"/>
          <w:szCs w:val="24"/>
        </w:rPr>
        <w:t xml:space="preserve"> </w:t>
      </w:r>
      <w:bookmarkStart w:id="321" w:name="_Toc232375970"/>
      <w:bookmarkStart w:id="322" w:name="_Toc234344837"/>
      <w:bookmarkStart w:id="323" w:name="_Toc234489069"/>
      <w:r w:rsidRPr="00AF0CC3">
        <w:rPr>
          <w:rFonts w:cs="Times New Roman"/>
          <w:bCs/>
          <w:color w:val="000000" w:themeColor="text1"/>
          <w:szCs w:val="24"/>
        </w:rPr>
        <w:t>Descriptive Statistics and Governance Quality Assessment</w:t>
      </w:r>
      <w:bookmarkEnd w:id="321"/>
      <w:bookmarkEnd w:id="322"/>
      <w:bookmarkEnd w:id="323"/>
    </w:p>
    <w:p w14:paraId="6A91CF31" w14:textId="77777777" w:rsidR="00844B88" w:rsidRPr="00AF0CC3" w:rsidRDefault="00844B88" w:rsidP="00844B88">
      <w:pPr>
        <w:rPr>
          <w:rFonts w:ascii="Times New Roman" w:hAnsi="Times New Roman" w:cs="Times New Roman"/>
          <w:color w:val="000000" w:themeColor="text1"/>
        </w:rPr>
      </w:pPr>
      <w:r w:rsidRPr="00AF0CC3">
        <w:rPr>
          <w:rFonts w:ascii="Times New Roman" w:hAnsi="Times New Roman" w:cs="Times New Roman"/>
          <w:color w:val="000000" w:themeColor="text1"/>
        </w:rPr>
        <w:t>This section presents descriptive statistics and patterns in governance quality observed across the sampled water infrastructure projects. The purpose of the analysis is to provide an overview of the principal variables used in the study and to establish the empirical context for subsequent hypothesis testing and econometric analysis.</w:t>
      </w:r>
    </w:p>
    <w:p w14:paraId="76C66E74" w14:textId="77777777" w:rsidR="00844B88" w:rsidRPr="00AF0CC3" w:rsidRDefault="00844B88" w:rsidP="00844B88">
      <w:pPr>
        <w:rPr>
          <w:rFonts w:ascii="Times New Roman" w:hAnsi="Times New Roman" w:cs="Times New Roman"/>
          <w:color w:val="000000" w:themeColor="text1"/>
        </w:rPr>
      </w:pPr>
    </w:p>
    <w:p w14:paraId="3588484F" w14:textId="77777777" w:rsidR="00844B88" w:rsidRPr="00AF0CC3" w:rsidRDefault="00844B88" w:rsidP="00844B88">
      <w:pPr>
        <w:rPr>
          <w:rFonts w:ascii="Times New Roman" w:hAnsi="Times New Roman" w:cs="Times New Roman"/>
          <w:color w:val="000000" w:themeColor="text1"/>
        </w:rPr>
      </w:pPr>
      <w:r w:rsidRPr="00AF0CC3">
        <w:rPr>
          <w:rFonts w:ascii="Times New Roman" w:hAnsi="Times New Roman" w:cs="Times New Roman"/>
          <w:color w:val="000000" w:themeColor="text1"/>
        </w:rPr>
        <w:t>The section first presents sample characteristics and descriptive statistics for the principal variables, followed by an analysis of Governance Quality Index (GQI) distribution and governance component scores across the sampled projects. The descriptive analysis provides important preliminary insights into governance variation, implementation performance, and institutional characteristics within Kenya’s water infrastructure sector.</w:t>
      </w:r>
    </w:p>
    <w:p w14:paraId="484AD564" w14:textId="77777777" w:rsidR="00844B88" w:rsidRPr="00AF0CC3" w:rsidRDefault="00844B88" w:rsidP="00844B88">
      <w:pPr>
        <w:rPr>
          <w:rFonts w:ascii="Times New Roman" w:hAnsi="Times New Roman" w:cs="Times New Roman"/>
          <w:color w:val="000000" w:themeColor="text1"/>
        </w:rPr>
      </w:pPr>
    </w:p>
    <w:p w14:paraId="79E93D3C" w14:textId="77777777" w:rsidR="00844B88" w:rsidRPr="00AF0CC3" w:rsidRDefault="00844B88" w:rsidP="00844B88">
      <w:pPr>
        <w:rPr>
          <w:rFonts w:ascii="Times New Roman" w:hAnsi="Times New Roman" w:cs="Times New Roman"/>
          <w:color w:val="000000" w:themeColor="text1"/>
        </w:rPr>
      </w:pPr>
    </w:p>
    <w:p w14:paraId="03DF13D2" w14:textId="7F4207C4" w:rsidR="00844B88" w:rsidRPr="00AF0CC3" w:rsidRDefault="00844B88" w:rsidP="00844B88">
      <w:pPr>
        <w:pStyle w:val="Heading3"/>
        <w:rPr>
          <w:rFonts w:cs="Times New Roman"/>
          <w:b w:val="0"/>
          <w:bCs/>
          <w:color w:val="000000" w:themeColor="text1"/>
          <w:szCs w:val="24"/>
        </w:rPr>
      </w:pPr>
      <w:bookmarkStart w:id="324" w:name="_Toc232375971"/>
      <w:bookmarkStart w:id="325" w:name="_Toc234344838"/>
      <w:bookmarkStart w:id="326" w:name="_Toc234489070"/>
      <w:r w:rsidRPr="00AF0CC3">
        <w:rPr>
          <w:rFonts w:cs="Times New Roman"/>
          <w:bCs/>
          <w:color w:val="000000" w:themeColor="text1"/>
          <w:szCs w:val="24"/>
        </w:rPr>
        <w:t>Sample Characteristics</w:t>
      </w:r>
      <w:bookmarkEnd w:id="324"/>
      <w:bookmarkEnd w:id="325"/>
      <w:bookmarkEnd w:id="326"/>
    </w:p>
    <w:p w14:paraId="20081DDB" w14:textId="77777777" w:rsidR="00844B88" w:rsidRPr="00AF0CC3" w:rsidRDefault="00844B88" w:rsidP="00844B88">
      <w:pPr>
        <w:rPr>
          <w:rFonts w:ascii="Times New Roman" w:hAnsi="Times New Roman" w:cs="Times New Roman"/>
          <w:color w:val="000000" w:themeColor="text1"/>
        </w:rPr>
      </w:pPr>
    </w:p>
    <w:p w14:paraId="726E27BB" w14:textId="77777777" w:rsidR="00844B88" w:rsidRPr="00AF0CC3" w:rsidRDefault="00844B88" w:rsidP="00844B88">
      <w:pPr>
        <w:rPr>
          <w:rFonts w:ascii="Times New Roman" w:hAnsi="Times New Roman" w:cs="Times New Roman"/>
          <w:color w:val="000000" w:themeColor="text1"/>
        </w:rPr>
      </w:pPr>
      <w:r w:rsidRPr="00AF0CC3">
        <w:rPr>
          <w:rFonts w:ascii="Times New Roman" w:hAnsi="Times New Roman" w:cs="Times New Roman"/>
          <w:color w:val="000000" w:themeColor="text1"/>
        </w:rPr>
        <w:t>The dataset comprised 32 projects implemented between 2012 and 2025 for which sufficient documentation was available to construct the Governance Quality Index.  The sample included completed, ongoing, delayed, and stalled projects, thereby capturing substantial variation in governance arrangements and infrastructure delivery outcomes across Kenya's water sector.</w:t>
      </w:r>
    </w:p>
    <w:p w14:paraId="06F73496" w14:textId="77777777" w:rsidR="00844B88" w:rsidRPr="00AF0CC3" w:rsidRDefault="00844B88" w:rsidP="00844B88">
      <w:pPr>
        <w:rPr>
          <w:rFonts w:ascii="Times New Roman" w:hAnsi="Times New Roman" w:cs="Times New Roman"/>
          <w:color w:val="000000" w:themeColor="text1"/>
        </w:rPr>
      </w:pPr>
    </w:p>
    <w:p w14:paraId="54A91783" w14:textId="77777777" w:rsidR="00844B88" w:rsidRPr="00AF0CC3" w:rsidRDefault="00844B88" w:rsidP="00844B88">
      <w:pPr>
        <w:rPr>
          <w:rFonts w:ascii="Times New Roman" w:hAnsi="Times New Roman" w:cs="Times New Roman"/>
          <w:color w:val="000000" w:themeColor="text1"/>
        </w:rPr>
      </w:pPr>
      <w:r w:rsidRPr="00AF0CC3">
        <w:rPr>
          <w:rFonts w:ascii="Times New Roman" w:hAnsi="Times New Roman" w:cs="Times New Roman"/>
          <w:color w:val="000000" w:themeColor="text1"/>
        </w:rPr>
        <w:t xml:space="preserve">Of the thirty-two projects included in the analysis, 11 (34.4%) were classified as stalled, and 21 (65.6%) as non-stalled. Consistent with the operational definition adopted in Chapter Three, a project was classified as stalled when documentary evidence indicated a prolonged interruption </w:t>
      </w:r>
      <w:r w:rsidRPr="00AF0CC3">
        <w:rPr>
          <w:rFonts w:ascii="Times New Roman" w:hAnsi="Times New Roman" w:cs="Times New Roman"/>
          <w:color w:val="000000" w:themeColor="text1"/>
        </w:rPr>
        <w:lastRenderedPageBreak/>
        <w:t>in implementation activities lasting more than 24 months, without delivery of the intended infrastructure services.</w:t>
      </w:r>
    </w:p>
    <w:p w14:paraId="75F7DF31" w14:textId="77777777" w:rsidR="00844B88" w:rsidRPr="00AF0CC3" w:rsidRDefault="00844B88" w:rsidP="00844B88">
      <w:pPr>
        <w:rPr>
          <w:rFonts w:ascii="Times New Roman" w:hAnsi="Times New Roman" w:cs="Times New Roman"/>
          <w:color w:val="000000" w:themeColor="text1"/>
        </w:rPr>
      </w:pPr>
    </w:p>
    <w:p w14:paraId="413A5C80" w14:textId="77777777" w:rsidR="00844B88" w:rsidRPr="00AF0CC3" w:rsidRDefault="00844B88" w:rsidP="00844B88">
      <w:pPr>
        <w:rPr>
          <w:rFonts w:ascii="Times New Roman" w:hAnsi="Times New Roman" w:cs="Times New Roman"/>
          <w:color w:val="000000" w:themeColor="text1"/>
        </w:rPr>
      </w:pPr>
      <w:r w:rsidRPr="00AF0CC3">
        <w:rPr>
          <w:rFonts w:ascii="Times New Roman" w:hAnsi="Times New Roman" w:cs="Times New Roman"/>
          <w:color w:val="000000" w:themeColor="text1"/>
        </w:rPr>
        <w:t>The sample encompassed a diverse range of infrastructure categories, including dam and water-storage projects, irrigation systems, urban water-supply infrastructure, sewerage and sanitation projects, and flood-management investments. This diversity enhanced the study's analytical scope by capturing governance and implementation dynamics across different types of water infrastructure.</w:t>
      </w:r>
    </w:p>
    <w:p w14:paraId="76FB8485" w14:textId="77777777" w:rsidR="00844B88" w:rsidRPr="00AF0CC3" w:rsidRDefault="00844B88" w:rsidP="00844B88">
      <w:pPr>
        <w:rPr>
          <w:rFonts w:ascii="Times New Roman" w:hAnsi="Times New Roman" w:cs="Times New Roman"/>
          <w:color w:val="000000" w:themeColor="text1"/>
        </w:rPr>
      </w:pPr>
    </w:p>
    <w:p w14:paraId="2A17E358" w14:textId="77777777" w:rsidR="00844B88" w:rsidRPr="00AF0CC3" w:rsidRDefault="00844B88" w:rsidP="00844B88">
      <w:pPr>
        <w:rPr>
          <w:rFonts w:ascii="Times New Roman" w:hAnsi="Times New Roman" w:cs="Times New Roman"/>
          <w:color w:val="000000" w:themeColor="text1"/>
        </w:rPr>
      </w:pPr>
      <w:r w:rsidRPr="00AF0CC3">
        <w:rPr>
          <w:rFonts w:ascii="Times New Roman" w:hAnsi="Times New Roman" w:cs="Times New Roman"/>
          <w:color w:val="000000" w:themeColor="text1"/>
        </w:rPr>
        <w:t>Project characteristics varied considerably in implementation duration, financial scale, institutional complexity, procurement arrangements, and governance structures. The mean planned project duration was 5.31 years, reflecting the long-term implementation horizons commonly associated with major public infrastructure investments.</w:t>
      </w:r>
    </w:p>
    <w:p w14:paraId="717978B6" w14:textId="77777777" w:rsidR="00844B88" w:rsidRPr="00AF0CC3" w:rsidRDefault="00844B88" w:rsidP="00844B88">
      <w:pPr>
        <w:rPr>
          <w:rFonts w:ascii="Times New Roman" w:hAnsi="Times New Roman" w:cs="Times New Roman"/>
          <w:color w:val="000000" w:themeColor="text1"/>
        </w:rPr>
      </w:pPr>
    </w:p>
    <w:p w14:paraId="420FD65C" w14:textId="363FA488" w:rsidR="00844B88" w:rsidRPr="00AF0CC3" w:rsidRDefault="00844B88" w:rsidP="00961168">
      <w:pPr>
        <w:rPr>
          <w:rFonts w:ascii="Times New Roman" w:hAnsi="Times New Roman" w:cs="Times New Roman"/>
          <w:color w:val="000000" w:themeColor="text1"/>
        </w:rPr>
      </w:pPr>
      <w:r w:rsidRPr="00AF0CC3">
        <w:rPr>
          <w:rFonts w:ascii="Times New Roman" w:hAnsi="Times New Roman" w:cs="Times New Roman"/>
          <w:color w:val="000000" w:themeColor="text1"/>
        </w:rPr>
        <w:t>Substantial variation was also evident in project scale and implementation complexity. Large dam and water-storage projects typically involve multiple implementing institutions, complex procurement arrangements, environmental approval requirements, land acquisition processes, financing coordination mechanisms, and heightened political visibility. Such characteristics introduced additional implementation challenges and governance demands throughout the project lifecycle.</w:t>
      </w:r>
    </w:p>
    <w:p w14:paraId="216BB8A0" w14:textId="15E292D0" w:rsidR="00844B88" w:rsidRPr="00AF0CC3" w:rsidRDefault="00844B88" w:rsidP="00961168">
      <w:pPr>
        <w:rPr>
          <w:rFonts w:ascii="Times New Roman" w:hAnsi="Times New Roman" w:cs="Times New Roman"/>
          <w:color w:val="000000" w:themeColor="text1"/>
        </w:rPr>
      </w:pPr>
      <w:r w:rsidRPr="00AF0CC3">
        <w:rPr>
          <w:rFonts w:ascii="Times New Roman" w:hAnsi="Times New Roman" w:cs="Times New Roman"/>
          <w:color w:val="000000" w:themeColor="text1"/>
        </w:rPr>
        <w:t>The diversity observed across project types, scales, and implementation arrangements provided a suitable analytical foundation for examining the relationship between governance quality and infrastructure delivery outcomes within Kenya's water infrastructure sector.</w:t>
      </w:r>
    </w:p>
    <w:p w14:paraId="3C969F3A" w14:textId="37360371" w:rsidR="00844B88" w:rsidRPr="00AF0CC3" w:rsidRDefault="00844B88" w:rsidP="00844B88">
      <w:pPr>
        <w:pStyle w:val="Heading3"/>
        <w:rPr>
          <w:rFonts w:cs="Times New Roman"/>
          <w:b w:val="0"/>
          <w:bCs/>
          <w:color w:val="000000" w:themeColor="text1"/>
          <w:szCs w:val="24"/>
        </w:rPr>
      </w:pPr>
      <w:bookmarkStart w:id="327" w:name="_Toc232375972"/>
      <w:bookmarkStart w:id="328" w:name="_Toc234344839"/>
      <w:bookmarkStart w:id="329" w:name="_Toc234489071"/>
      <w:r w:rsidRPr="00AF0CC3">
        <w:rPr>
          <w:rFonts w:cs="Times New Roman"/>
          <w:bCs/>
          <w:color w:val="000000" w:themeColor="text1"/>
          <w:szCs w:val="24"/>
        </w:rPr>
        <w:t>Descriptive Statistics for Main Variables</w:t>
      </w:r>
      <w:bookmarkEnd w:id="327"/>
      <w:bookmarkEnd w:id="328"/>
      <w:bookmarkEnd w:id="329"/>
    </w:p>
    <w:p w14:paraId="79674A62" w14:textId="77777777" w:rsidR="00844B88" w:rsidRPr="00AF0CC3" w:rsidRDefault="00844B88" w:rsidP="00844B88">
      <w:pPr>
        <w:rPr>
          <w:rFonts w:ascii="Times New Roman" w:hAnsi="Times New Roman" w:cs="Times New Roman"/>
          <w:color w:val="000000" w:themeColor="text1"/>
        </w:rPr>
      </w:pPr>
    </w:p>
    <w:p w14:paraId="0A9D9B66" w14:textId="3B7BC904" w:rsidR="00844B88" w:rsidRPr="00AF0CC3" w:rsidRDefault="00844B88" w:rsidP="00844B88">
      <w:pPr>
        <w:rPr>
          <w:rFonts w:ascii="Times New Roman" w:hAnsi="Times New Roman" w:cs="Times New Roman"/>
          <w:color w:val="000000" w:themeColor="text1"/>
        </w:rPr>
      </w:pPr>
      <w:r w:rsidRPr="00AF0CC3">
        <w:rPr>
          <w:rFonts w:ascii="Times New Roman" w:hAnsi="Times New Roman" w:cs="Times New Roman"/>
          <w:color w:val="000000" w:themeColor="text1"/>
        </w:rPr>
        <w:t>Table 4</w:t>
      </w:r>
      <w:r w:rsidR="000E4438" w:rsidRPr="00AF0CC3">
        <w:rPr>
          <w:rFonts w:ascii="Times New Roman" w:hAnsi="Times New Roman" w:cs="Times New Roman"/>
          <w:color w:val="000000" w:themeColor="text1"/>
        </w:rPr>
        <w:t>-</w:t>
      </w:r>
      <w:r w:rsidRPr="00AF0CC3">
        <w:rPr>
          <w:rFonts w:ascii="Times New Roman" w:hAnsi="Times New Roman" w:cs="Times New Roman"/>
          <w:color w:val="000000" w:themeColor="text1"/>
        </w:rPr>
        <w:t>1 presents descriptive statistics for the principal variables used in the analysis.</w:t>
      </w:r>
    </w:p>
    <w:p w14:paraId="045CC852" w14:textId="21E7702A" w:rsidR="000E4438" w:rsidRPr="00AF0CC3" w:rsidRDefault="000E4438" w:rsidP="000E4438">
      <w:pPr>
        <w:pStyle w:val="Caption"/>
        <w:keepNext/>
        <w:rPr>
          <w:rFonts w:ascii="Times New Roman" w:hAnsi="Times New Roman" w:cs="Times New Roman"/>
          <w:sz w:val="24"/>
          <w:szCs w:val="24"/>
        </w:rPr>
      </w:pPr>
      <w:bookmarkStart w:id="330" w:name="_Toc234437369"/>
      <w:r w:rsidRPr="00AF0CC3">
        <w:rPr>
          <w:rFonts w:ascii="Times New Roman" w:hAnsi="Times New Roman" w:cs="Times New Roman"/>
          <w:sz w:val="24"/>
          <w:szCs w:val="24"/>
        </w:rPr>
        <w:t xml:space="preserve">Table </w:t>
      </w:r>
      <w:r w:rsidR="007F4206" w:rsidRPr="00AF0CC3">
        <w:rPr>
          <w:rFonts w:ascii="Times New Roman" w:hAnsi="Times New Roman" w:cs="Times New Roman"/>
          <w:sz w:val="24"/>
          <w:szCs w:val="24"/>
        </w:rPr>
        <w:fldChar w:fldCharType="begin"/>
      </w:r>
      <w:r w:rsidR="007F4206" w:rsidRPr="00AF0CC3">
        <w:rPr>
          <w:rFonts w:ascii="Times New Roman" w:hAnsi="Times New Roman" w:cs="Times New Roman"/>
          <w:sz w:val="24"/>
          <w:szCs w:val="24"/>
        </w:rPr>
        <w:instrText xml:space="preserve"> STYLEREF 1 \s </w:instrText>
      </w:r>
      <w:r w:rsidR="007F4206" w:rsidRPr="00AF0CC3">
        <w:rPr>
          <w:rFonts w:ascii="Times New Roman" w:hAnsi="Times New Roman" w:cs="Times New Roman"/>
          <w:sz w:val="24"/>
          <w:szCs w:val="24"/>
        </w:rPr>
        <w:fldChar w:fldCharType="separate"/>
      </w:r>
      <w:r w:rsidR="007F4206" w:rsidRPr="00AF0CC3">
        <w:rPr>
          <w:rFonts w:ascii="Times New Roman" w:hAnsi="Times New Roman" w:cs="Times New Roman"/>
          <w:noProof/>
          <w:sz w:val="24"/>
          <w:szCs w:val="24"/>
        </w:rPr>
        <w:t>4</w:t>
      </w:r>
      <w:r w:rsidR="007F4206" w:rsidRPr="00AF0CC3">
        <w:rPr>
          <w:rFonts w:ascii="Times New Roman" w:hAnsi="Times New Roman" w:cs="Times New Roman"/>
          <w:noProof/>
          <w:sz w:val="24"/>
          <w:szCs w:val="24"/>
        </w:rPr>
        <w:fldChar w:fldCharType="end"/>
      </w:r>
      <w:r w:rsidR="007F4206" w:rsidRPr="00AF0CC3">
        <w:rPr>
          <w:rFonts w:ascii="Times New Roman" w:hAnsi="Times New Roman" w:cs="Times New Roman"/>
          <w:sz w:val="24"/>
          <w:szCs w:val="24"/>
        </w:rPr>
        <w:noBreakHyphen/>
      </w:r>
      <w:r w:rsidR="007F4206" w:rsidRPr="00AF0CC3">
        <w:rPr>
          <w:rFonts w:ascii="Times New Roman" w:hAnsi="Times New Roman" w:cs="Times New Roman"/>
          <w:sz w:val="24"/>
          <w:szCs w:val="24"/>
        </w:rPr>
        <w:fldChar w:fldCharType="begin"/>
      </w:r>
      <w:r w:rsidR="007F4206" w:rsidRPr="00AF0CC3">
        <w:rPr>
          <w:rFonts w:ascii="Times New Roman" w:hAnsi="Times New Roman" w:cs="Times New Roman"/>
          <w:sz w:val="24"/>
          <w:szCs w:val="24"/>
        </w:rPr>
        <w:instrText xml:space="preserve"> SEQ Table \* ARABIC \s 1 </w:instrText>
      </w:r>
      <w:r w:rsidR="007F4206" w:rsidRPr="00AF0CC3">
        <w:rPr>
          <w:rFonts w:ascii="Times New Roman" w:hAnsi="Times New Roman" w:cs="Times New Roman"/>
          <w:sz w:val="24"/>
          <w:szCs w:val="24"/>
        </w:rPr>
        <w:fldChar w:fldCharType="separate"/>
      </w:r>
      <w:r w:rsidR="007F4206" w:rsidRPr="00AF0CC3">
        <w:rPr>
          <w:rFonts w:ascii="Times New Roman" w:hAnsi="Times New Roman" w:cs="Times New Roman"/>
          <w:noProof/>
          <w:sz w:val="24"/>
          <w:szCs w:val="24"/>
        </w:rPr>
        <w:t>1</w:t>
      </w:r>
      <w:r w:rsidR="007F4206" w:rsidRPr="00AF0CC3">
        <w:rPr>
          <w:rFonts w:ascii="Times New Roman" w:hAnsi="Times New Roman" w:cs="Times New Roman"/>
          <w:noProof/>
          <w:sz w:val="24"/>
          <w:szCs w:val="24"/>
        </w:rPr>
        <w:fldChar w:fldCharType="end"/>
      </w:r>
      <w:r w:rsidRPr="00AF0CC3">
        <w:rPr>
          <w:rFonts w:ascii="Times New Roman" w:hAnsi="Times New Roman" w:cs="Times New Roman"/>
          <w:sz w:val="24"/>
          <w:szCs w:val="24"/>
        </w:rPr>
        <w:t xml:space="preserve"> Descriptive Statistics for Main Variables</w:t>
      </w:r>
      <w:bookmarkEnd w:id="330"/>
    </w:p>
    <w:tbl>
      <w:tblPr>
        <w:tblW w:w="0" w:type="auto"/>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3288"/>
        <w:gridCol w:w="1441"/>
        <w:gridCol w:w="700"/>
        <w:gridCol w:w="1107"/>
        <w:gridCol w:w="1162"/>
      </w:tblGrid>
      <w:tr w:rsidR="00844B88" w:rsidRPr="00AF0CC3" w14:paraId="44133BD2" w14:textId="77777777" w:rsidTr="00E73C98">
        <w:trPr>
          <w:tblHeader/>
          <w:tblCellSpacing w:w="15" w:type="dxa"/>
        </w:trPr>
        <w:tc>
          <w:tcPr>
            <w:tcW w:w="0" w:type="auto"/>
            <w:vAlign w:val="center"/>
            <w:hideMark/>
          </w:tcPr>
          <w:p w14:paraId="721AEF7D" w14:textId="77777777" w:rsidR="00844B88" w:rsidRPr="00AF0CC3" w:rsidRDefault="00844B88" w:rsidP="00E73C98">
            <w:pPr>
              <w:rPr>
                <w:rFonts w:ascii="Times New Roman" w:hAnsi="Times New Roman" w:cs="Times New Roman"/>
                <w:b/>
                <w:bCs/>
                <w:color w:val="000000" w:themeColor="text1"/>
              </w:rPr>
            </w:pPr>
            <w:r w:rsidRPr="00AF0CC3">
              <w:rPr>
                <w:rFonts w:ascii="Times New Roman" w:hAnsi="Times New Roman" w:cs="Times New Roman"/>
                <w:b/>
                <w:bCs/>
                <w:color w:val="000000" w:themeColor="text1"/>
              </w:rPr>
              <w:t>Variable</w:t>
            </w:r>
          </w:p>
        </w:tc>
        <w:tc>
          <w:tcPr>
            <w:tcW w:w="0" w:type="auto"/>
            <w:vAlign w:val="center"/>
            <w:hideMark/>
          </w:tcPr>
          <w:p w14:paraId="0E628879" w14:textId="77777777" w:rsidR="00844B88" w:rsidRPr="00AF0CC3" w:rsidRDefault="00844B88" w:rsidP="00E73C98">
            <w:pPr>
              <w:rPr>
                <w:rFonts w:ascii="Times New Roman" w:hAnsi="Times New Roman" w:cs="Times New Roman"/>
                <w:b/>
                <w:bCs/>
                <w:color w:val="000000" w:themeColor="text1"/>
              </w:rPr>
            </w:pPr>
            <w:r w:rsidRPr="00AF0CC3">
              <w:rPr>
                <w:rFonts w:ascii="Times New Roman" w:hAnsi="Times New Roman" w:cs="Times New Roman"/>
                <w:b/>
                <w:bCs/>
                <w:color w:val="000000" w:themeColor="text1"/>
              </w:rPr>
              <w:t>Observations</w:t>
            </w:r>
          </w:p>
        </w:tc>
        <w:tc>
          <w:tcPr>
            <w:tcW w:w="0" w:type="auto"/>
            <w:vAlign w:val="center"/>
            <w:hideMark/>
          </w:tcPr>
          <w:p w14:paraId="751A3962" w14:textId="77777777" w:rsidR="00844B88" w:rsidRPr="00AF0CC3" w:rsidRDefault="00844B88" w:rsidP="00E73C98">
            <w:pPr>
              <w:rPr>
                <w:rFonts w:ascii="Times New Roman" w:hAnsi="Times New Roman" w:cs="Times New Roman"/>
                <w:b/>
                <w:bCs/>
                <w:color w:val="000000" w:themeColor="text1"/>
              </w:rPr>
            </w:pPr>
            <w:r w:rsidRPr="00AF0CC3">
              <w:rPr>
                <w:rFonts w:ascii="Times New Roman" w:hAnsi="Times New Roman" w:cs="Times New Roman"/>
                <w:b/>
                <w:bCs/>
                <w:color w:val="000000" w:themeColor="text1"/>
              </w:rPr>
              <w:t>Mean</w:t>
            </w:r>
          </w:p>
        </w:tc>
        <w:tc>
          <w:tcPr>
            <w:tcW w:w="0" w:type="auto"/>
            <w:vAlign w:val="center"/>
            <w:hideMark/>
          </w:tcPr>
          <w:p w14:paraId="0A1863FC" w14:textId="77777777" w:rsidR="00844B88" w:rsidRPr="00AF0CC3" w:rsidRDefault="00844B88" w:rsidP="00E73C98">
            <w:pPr>
              <w:rPr>
                <w:rFonts w:ascii="Times New Roman" w:hAnsi="Times New Roman" w:cs="Times New Roman"/>
                <w:b/>
                <w:bCs/>
                <w:color w:val="000000" w:themeColor="text1"/>
              </w:rPr>
            </w:pPr>
            <w:r w:rsidRPr="00AF0CC3">
              <w:rPr>
                <w:rFonts w:ascii="Times New Roman" w:hAnsi="Times New Roman" w:cs="Times New Roman"/>
                <w:b/>
                <w:bCs/>
                <w:color w:val="000000" w:themeColor="text1"/>
              </w:rPr>
              <w:t>Minimum</w:t>
            </w:r>
          </w:p>
        </w:tc>
        <w:tc>
          <w:tcPr>
            <w:tcW w:w="0" w:type="auto"/>
            <w:vAlign w:val="center"/>
            <w:hideMark/>
          </w:tcPr>
          <w:p w14:paraId="64C065EE" w14:textId="77777777" w:rsidR="00844B88" w:rsidRPr="00AF0CC3" w:rsidRDefault="00844B88" w:rsidP="00E73C98">
            <w:pPr>
              <w:rPr>
                <w:rFonts w:ascii="Times New Roman" w:hAnsi="Times New Roman" w:cs="Times New Roman"/>
                <w:b/>
                <w:bCs/>
                <w:color w:val="000000" w:themeColor="text1"/>
              </w:rPr>
            </w:pPr>
            <w:r w:rsidRPr="00AF0CC3">
              <w:rPr>
                <w:rFonts w:ascii="Times New Roman" w:hAnsi="Times New Roman" w:cs="Times New Roman"/>
                <w:b/>
                <w:bCs/>
                <w:color w:val="000000" w:themeColor="text1"/>
              </w:rPr>
              <w:t>Maximum</w:t>
            </w:r>
          </w:p>
        </w:tc>
      </w:tr>
      <w:tr w:rsidR="00844B88" w:rsidRPr="00AF0CC3" w14:paraId="4E101A34" w14:textId="77777777" w:rsidTr="00E73C98">
        <w:trPr>
          <w:tblCellSpacing w:w="15" w:type="dxa"/>
        </w:trPr>
        <w:tc>
          <w:tcPr>
            <w:tcW w:w="0" w:type="auto"/>
            <w:vAlign w:val="center"/>
            <w:hideMark/>
          </w:tcPr>
          <w:p w14:paraId="30EAB165" w14:textId="77777777" w:rsidR="00844B88" w:rsidRPr="00AF0CC3" w:rsidRDefault="00844B88" w:rsidP="00E73C98">
            <w:pPr>
              <w:rPr>
                <w:rFonts w:ascii="Times New Roman" w:hAnsi="Times New Roman" w:cs="Times New Roman"/>
                <w:color w:val="000000" w:themeColor="text1"/>
              </w:rPr>
            </w:pPr>
            <w:r w:rsidRPr="00AF0CC3">
              <w:rPr>
                <w:rFonts w:ascii="Times New Roman" w:hAnsi="Times New Roman" w:cs="Times New Roman"/>
                <w:color w:val="000000" w:themeColor="text1"/>
              </w:rPr>
              <w:t>Governance Quality Index (GQI)</w:t>
            </w:r>
          </w:p>
        </w:tc>
        <w:tc>
          <w:tcPr>
            <w:tcW w:w="0" w:type="auto"/>
            <w:vAlign w:val="center"/>
            <w:hideMark/>
          </w:tcPr>
          <w:p w14:paraId="36A43BD2" w14:textId="77777777" w:rsidR="00844B88" w:rsidRPr="00AF0CC3" w:rsidRDefault="00844B88" w:rsidP="00E73C98">
            <w:pPr>
              <w:rPr>
                <w:rFonts w:ascii="Times New Roman" w:hAnsi="Times New Roman" w:cs="Times New Roman"/>
                <w:color w:val="000000" w:themeColor="text1"/>
              </w:rPr>
            </w:pPr>
            <w:r w:rsidRPr="00AF0CC3">
              <w:rPr>
                <w:rFonts w:ascii="Times New Roman" w:hAnsi="Times New Roman" w:cs="Times New Roman"/>
                <w:color w:val="000000" w:themeColor="text1"/>
              </w:rPr>
              <w:t>32</w:t>
            </w:r>
          </w:p>
        </w:tc>
        <w:tc>
          <w:tcPr>
            <w:tcW w:w="0" w:type="auto"/>
            <w:vAlign w:val="center"/>
            <w:hideMark/>
          </w:tcPr>
          <w:p w14:paraId="5597AFBE" w14:textId="77777777" w:rsidR="00844B88" w:rsidRPr="00AF0CC3" w:rsidRDefault="00844B88" w:rsidP="00E73C98">
            <w:pPr>
              <w:rPr>
                <w:rFonts w:ascii="Times New Roman" w:hAnsi="Times New Roman" w:cs="Times New Roman"/>
                <w:color w:val="000000" w:themeColor="text1"/>
              </w:rPr>
            </w:pPr>
            <w:r w:rsidRPr="00AF0CC3">
              <w:rPr>
                <w:rFonts w:ascii="Times New Roman" w:hAnsi="Times New Roman" w:cs="Times New Roman"/>
                <w:color w:val="000000" w:themeColor="text1"/>
              </w:rPr>
              <w:t>0.733</w:t>
            </w:r>
          </w:p>
        </w:tc>
        <w:tc>
          <w:tcPr>
            <w:tcW w:w="0" w:type="auto"/>
            <w:vAlign w:val="center"/>
            <w:hideMark/>
          </w:tcPr>
          <w:p w14:paraId="373DFEAA" w14:textId="77777777" w:rsidR="00844B88" w:rsidRPr="00AF0CC3" w:rsidRDefault="00844B88" w:rsidP="00E73C98">
            <w:pPr>
              <w:rPr>
                <w:rFonts w:ascii="Times New Roman" w:hAnsi="Times New Roman" w:cs="Times New Roman"/>
                <w:color w:val="000000" w:themeColor="text1"/>
              </w:rPr>
            </w:pPr>
            <w:r w:rsidRPr="00AF0CC3">
              <w:rPr>
                <w:rFonts w:ascii="Times New Roman" w:hAnsi="Times New Roman" w:cs="Times New Roman"/>
                <w:color w:val="000000" w:themeColor="text1"/>
              </w:rPr>
              <w:t>0.214</w:t>
            </w:r>
          </w:p>
        </w:tc>
        <w:tc>
          <w:tcPr>
            <w:tcW w:w="0" w:type="auto"/>
            <w:vAlign w:val="center"/>
            <w:hideMark/>
          </w:tcPr>
          <w:p w14:paraId="605F9626" w14:textId="77777777" w:rsidR="00844B88" w:rsidRPr="00AF0CC3" w:rsidRDefault="00844B88" w:rsidP="00E73C98">
            <w:pPr>
              <w:rPr>
                <w:rFonts w:ascii="Times New Roman" w:hAnsi="Times New Roman" w:cs="Times New Roman"/>
                <w:color w:val="000000" w:themeColor="text1"/>
              </w:rPr>
            </w:pPr>
            <w:r w:rsidRPr="00AF0CC3">
              <w:rPr>
                <w:rFonts w:ascii="Times New Roman" w:hAnsi="Times New Roman" w:cs="Times New Roman"/>
                <w:color w:val="000000" w:themeColor="text1"/>
              </w:rPr>
              <w:t>1.000</w:t>
            </w:r>
          </w:p>
        </w:tc>
      </w:tr>
      <w:tr w:rsidR="00844B88" w:rsidRPr="00AF0CC3" w14:paraId="12DCEB7F" w14:textId="77777777" w:rsidTr="00E73C98">
        <w:trPr>
          <w:tblCellSpacing w:w="15" w:type="dxa"/>
        </w:trPr>
        <w:tc>
          <w:tcPr>
            <w:tcW w:w="0" w:type="auto"/>
            <w:vAlign w:val="center"/>
            <w:hideMark/>
          </w:tcPr>
          <w:p w14:paraId="5ACA1408" w14:textId="77777777" w:rsidR="00844B88" w:rsidRPr="00AF0CC3" w:rsidRDefault="00844B88" w:rsidP="00E73C98">
            <w:pPr>
              <w:rPr>
                <w:rFonts w:ascii="Times New Roman" w:hAnsi="Times New Roman" w:cs="Times New Roman"/>
                <w:color w:val="000000" w:themeColor="text1"/>
              </w:rPr>
            </w:pPr>
            <w:r w:rsidRPr="00AF0CC3">
              <w:rPr>
                <w:rFonts w:ascii="Times New Roman" w:hAnsi="Times New Roman" w:cs="Times New Roman"/>
                <w:color w:val="000000" w:themeColor="text1"/>
              </w:rPr>
              <w:t>Planned Project Duration (Years)</w:t>
            </w:r>
          </w:p>
        </w:tc>
        <w:tc>
          <w:tcPr>
            <w:tcW w:w="0" w:type="auto"/>
            <w:vAlign w:val="center"/>
            <w:hideMark/>
          </w:tcPr>
          <w:p w14:paraId="156F5A44" w14:textId="77777777" w:rsidR="00844B88" w:rsidRPr="00AF0CC3" w:rsidRDefault="00844B88" w:rsidP="00E73C98">
            <w:pPr>
              <w:rPr>
                <w:rFonts w:ascii="Times New Roman" w:hAnsi="Times New Roman" w:cs="Times New Roman"/>
                <w:color w:val="000000" w:themeColor="text1"/>
              </w:rPr>
            </w:pPr>
            <w:r w:rsidRPr="00AF0CC3">
              <w:rPr>
                <w:rFonts w:ascii="Times New Roman" w:hAnsi="Times New Roman" w:cs="Times New Roman"/>
                <w:color w:val="000000" w:themeColor="text1"/>
              </w:rPr>
              <w:t>32</w:t>
            </w:r>
          </w:p>
        </w:tc>
        <w:tc>
          <w:tcPr>
            <w:tcW w:w="0" w:type="auto"/>
            <w:vAlign w:val="center"/>
            <w:hideMark/>
          </w:tcPr>
          <w:p w14:paraId="6BE690A2" w14:textId="77777777" w:rsidR="00844B88" w:rsidRPr="00AF0CC3" w:rsidRDefault="00844B88" w:rsidP="00E73C98">
            <w:pPr>
              <w:rPr>
                <w:rFonts w:ascii="Times New Roman" w:hAnsi="Times New Roman" w:cs="Times New Roman"/>
                <w:color w:val="000000" w:themeColor="text1"/>
              </w:rPr>
            </w:pPr>
            <w:r w:rsidRPr="00AF0CC3">
              <w:rPr>
                <w:rFonts w:ascii="Times New Roman" w:hAnsi="Times New Roman" w:cs="Times New Roman"/>
                <w:color w:val="000000" w:themeColor="text1"/>
              </w:rPr>
              <w:t>5.31</w:t>
            </w:r>
          </w:p>
        </w:tc>
        <w:tc>
          <w:tcPr>
            <w:tcW w:w="0" w:type="auto"/>
            <w:vAlign w:val="center"/>
            <w:hideMark/>
          </w:tcPr>
          <w:p w14:paraId="07477DF5" w14:textId="77777777" w:rsidR="00844B88" w:rsidRPr="00AF0CC3" w:rsidRDefault="00844B88" w:rsidP="00E73C98">
            <w:pPr>
              <w:rPr>
                <w:rFonts w:ascii="Times New Roman" w:hAnsi="Times New Roman" w:cs="Times New Roman"/>
                <w:color w:val="000000" w:themeColor="text1"/>
              </w:rPr>
            </w:pPr>
            <w:r w:rsidRPr="00AF0CC3">
              <w:rPr>
                <w:rFonts w:ascii="Times New Roman" w:hAnsi="Times New Roman" w:cs="Times New Roman"/>
                <w:color w:val="000000" w:themeColor="text1"/>
              </w:rPr>
              <w:t>2</w:t>
            </w:r>
          </w:p>
        </w:tc>
        <w:tc>
          <w:tcPr>
            <w:tcW w:w="0" w:type="auto"/>
            <w:vAlign w:val="center"/>
            <w:hideMark/>
          </w:tcPr>
          <w:p w14:paraId="5CB7D115" w14:textId="77777777" w:rsidR="00844B88" w:rsidRPr="00AF0CC3" w:rsidRDefault="00844B88" w:rsidP="00E73C98">
            <w:pPr>
              <w:rPr>
                <w:rFonts w:ascii="Times New Roman" w:hAnsi="Times New Roman" w:cs="Times New Roman"/>
                <w:color w:val="000000" w:themeColor="text1"/>
              </w:rPr>
            </w:pPr>
            <w:r w:rsidRPr="00AF0CC3">
              <w:rPr>
                <w:rFonts w:ascii="Times New Roman" w:hAnsi="Times New Roman" w:cs="Times New Roman"/>
                <w:color w:val="000000" w:themeColor="text1"/>
              </w:rPr>
              <w:t>15</w:t>
            </w:r>
          </w:p>
        </w:tc>
      </w:tr>
      <w:tr w:rsidR="00844B88" w:rsidRPr="00AF0CC3" w14:paraId="2C1847D9" w14:textId="77777777" w:rsidTr="00E73C98">
        <w:trPr>
          <w:tblCellSpacing w:w="15" w:type="dxa"/>
        </w:trPr>
        <w:tc>
          <w:tcPr>
            <w:tcW w:w="0" w:type="auto"/>
            <w:vAlign w:val="center"/>
            <w:hideMark/>
          </w:tcPr>
          <w:p w14:paraId="40432AF2" w14:textId="77777777" w:rsidR="00844B88" w:rsidRPr="00AF0CC3" w:rsidRDefault="00844B88" w:rsidP="00E73C98">
            <w:pPr>
              <w:rPr>
                <w:rFonts w:ascii="Times New Roman" w:hAnsi="Times New Roman" w:cs="Times New Roman"/>
                <w:color w:val="000000" w:themeColor="text1"/>
              </w:rPr>
            </w:pPr>
            <w:r w:rsidRPr="00AF0CC3">
              <w:rPr>
                <w:rFonts w:ascii="Times New Roman" w:hAnsi="Times New Roman" w:cs="Times New Roman"/>
                <w:color w:val="000000" w:themeColor="text1"/>
              </w:rPr>
              <w:t>Time Overrun</w:t>
            </w:r>
          </w:p>
        </w:tc>
        <w:tc>
          <w:tcPr>
            <w:tcW w:w="0" w:type="auto"/>
            <w:vAlign w:val="center"/>
            <w:hideMark/>
          </w:tcPr>
          <w:p w14:paraId="6BD36E83" w14:textId="77777777" w:rsidR="00844B88" w:rsidRPr="00AF0CC3" w:rsidRDefault="00844B88" w:rsidP="00E73C98">
            <w:pPr>
              <w:rPr>
                <w:rFonts w:ascii="Times New Roman" w:hAnsi="Times New Roman" w:cs="Times New Roman"/>
                <w:color w:val="000000" w:themeColor="text1"/>
              </w:rPr>
            </w:pPr>
            <w:r w:rsidRPr="00AF0CC3">
              <w:rPr>
                <w:rFonts w:ascii="Times New Roman" w:hAnsi="Times New Roman" w:cs="Times New Roman"/>
                <w:color w:val="000000" w:themeColor="text1"/>
              </w:rPr>
              <w:t>16</w:t>
            </w:r>
          </w:p>
        </w:tc>
        <w:tc>
          <w:tcPr>
            <w:tcW w:w="0" w:type="auto"/>
            <w:vAlign w:val="center"/>
            <w:hideMark/>
          </w:tcPr>
          <w:p w14:paraId="2943874F" w14:textId="77777777" w:rsidR="00844B88" w:rsidRPr="00AF0CC3" w:rsidRDefault="00844B88" w:rsidP="00E73C98">
            <w:pPr>
              <w:rPr>
                <w:rFonts w:ascii="Times New Roman" w:hAnsi="Times New Roman" w:cs="Times New Roman"/>
                <w:color w:val="000000" w:themeColor="text1"/>
              </w:rPr>
            </w:pPr>
            <w:r w:rsidRPr="00AF0CC3">
              <w:rPr>
                <w:rFonts w:ascii="Times New Roman" w:hAnsi="Times New Roman" w:cs="Times New Roman"/>
                <w:color w:val="000000" w:themeColor="text1"/>
              </w:rPr>
              <w:t>0.370</w:t>
            </w:r>
          </w:p>
        </w:tc>
        <w:tc>
          <w:tcPr>
            <w:tcW w:w="0" w:type="auto"/>
            <w:vAlign w:val="center"/>
            <w:hideMark/>
          </w:tcPr>
          <w:p w14:paraId="1EAAB4F2" w14:textId="77777777" w:rsidR="00844B88" w:rsidRPr="00AF0CC3" w:rsidRDefault="00844B88" w:rsidP="00E73C98">
            <w:pPr>
              <w:rPr>
                <w:rFonts w:ascii="Times New Roman" w:hAnsi="Times New Roman" w:cs="Times New Roman"/>
                <w:color w:val="000000" w:themeColor="text1"/>
              </w:rPr>
            </w:pPr>
            <w:r w:rsidRPr="00AF0CC3">
              <w:rPr>
                <w:rFonts w:ascii="Times New Roman" w:hAnsi="Times New Roman" w:cs="Times New Roman"/>
                <w:color w:val="000000" w:themeColor="text1"/>
              </w:rPr>
              <w:t>0.000</w:t>
            </w:r>
          </w:p>
        </w:tc>
        <w:tc>
          <w:tcPr>
            <w:tcW w:w="0" w:type="auto"/>
            <w:vAlign w:val="center"/>
            <w:hideMark/>
          </w:tcPr>
          <w:p w14:paraId="15EC7A30" w14:textId="77777777" w:rsidR="00844B88" w:rsidRPr="00AF0CC3" w:rsidRDefault="00844B88" w:rsidP="00E73C98">
            <w:pPr>
              <w:rPr>
                <w:rFonts w:ascii="Times New Roman" w:hAnsi="Times New Roman" w:cs="Times New Roman"/>
                <w:color w:val="000000" w:themeColor="text1"/>
              </w:rPr>
            </w:pPr>
            <w:r w:rsidRPr="00AF0CC3">
              <w:rPr>
                <w:rFonts w:ascii="Times New Roman" w:hAnsi="Times New Roman" w:cs="Times New Roman"/>
                <w:color w:val="000000" w:themeColor="text1"/>
              </w:rPr>
              <w:t>2.000</w:t>
            </w:r>
          </w:p>
        </w:tc>
      </w:tr>
      <w:tr w:rsidR="00844B88" w:rsidRPr="00AF0CC3" w14:paraId="4EB22801" w14:textId="77777777" w:rsidTr="00E73C98">
        <w:trPr>
          <w:tblCellSpacing w:w="15" w:type="dxa"/>
        </w:trPr>
        <w:tc>
          <w:tcPr>
            <w:tcW w:w="0" w:type="auto"/>
            <w:vAlign w:val="center"/>
            <w:hideMark/>
          </w:tcPr>
          <w:p w14:paraId="3A892374" w14:textId="77777777" w:rsidR="00844B88" w:rsidRPr="00AF0CC3" w:rsidRDefault="00844B88" w:rsidP="00E73C98">
            <w:pPr>
              <w:rPr>
                <w:rFonts w:ascii="Times New Roman" w:hAnsi="Times New Roman" w:cs="Times New Roman"/>
                <w:color w:val="000000" w:themeColor="text1"/>
              </w:rPr>
            </w:pPr>
            <w:r w:rsidRPr="00AF0CC3">
              <w:rPr>
                <w:rFonts w:ascii="Times New Roman" w:hAnsi="Times New Roman" w:cs="Times New Roman"/>
                <w:color w:val="000000" w:themeColor="text1"/>
              </w:rPr>
              <w:lastRenderedPageBreak/>
              <w:t>Cost Overrun</w:t>
            </w:r>
          </w:p>
        </w:tc>
        <w:tc>
          <w:tcPr>
            <w:tcW w:w="0" w:type="auto"/>
            <w:vAlign w:val="center"/>
            <w:hideMark/>
          </w:tcPr>
          <w:p w14:paraId="3A21E7E4" w14:textId="77777777" w:rsidR="00844B88" w:rsidRPr="00AF0CC3" w:rsidRDefault="00844B88" w:rsidP="00E73C98">
            <w:pPr>
              <w:rPr>
                <w:rFonts w:ascii="Times New Roman" w:hAnsi="Times New Roman" w:cs="Times New Roman"/>
                <w:color w:val="000000" w:themeColor="text1"/>
              </w:rPr>
            </w:pPr>
            <w:r w:rsidRPr="00AF0CC3">
              <w:rPr>
                <w:rFonts w:ascii="Times New Roman" w:hAnsi="Times New Roman" w:cs="Times New Roman"/>
                <w:color w:val="000000" w:themeColor="text1"/>
              </w:rPr>
              <w:t>28</w:t>
            </w:r>
          </w:p>
        </w:tc>
        <w:tc>
          <w:tcPr>
            <w:tcW w:w="0" w:type="auto"/>
            <w:vAlign w:val="center"/>
            <w:hideMark/>
          </w:tcPr>
          <w:p w14:paraId="41C9EBFF" w14:textId="77777777" w:rsidR="00844B88" w:rsidRPr="00AF0CC3" w:rsidRDefault="00844B88" w:rsidP="00E73C98">
            <w:pPr>
              <w:rPr>
                <w:rFonts w:ascii="Times New Roman" w:hAnsi="Times New Roman" w:cs="Times New Roman"/>
                <w:color w:val="000000" w:themeColor="text1"/>
              </w:rPr>
            </w:pPr>
            <w:r w:rsidRPr="00AF0CC3">
              <w:rPr>
                <w:rFonts w:ascii="Times New Roman" w:hAnsi="Times New Roman" w:cs="Times New Roman"/>
                <w:color w:val="000000" w:themeColor="text1"/>
              </w:rPr>
              <w:t>-0.028</w:t>
            </w:r>
          </w:p>
        </w:tc>
        <w:tc>
          <w:tcPr>
            <w:tcW w:w="0" w:type="auto"/>
            <w:vAlign w:val="center"/>
            <w:hideMark/>
          </w:tcPr>
          <w:p w14:paraId="7A6F6B20" w14:textId="77777777" w:rsidR="00844B88" w:rsidRPr="00AF0CC3" w:rsidRDefault="00844B88" w:rsidP="00E73C98">
            <w:pPr>
              <w:rPr>
                <w:rFonts w:ascii="Times New Roman" w:hAnsi="Times New Roman" w:cs="Times New Roman"/>
                <w:color w:val="000000" w:themeColor="text1"/>
              </w:rPr>
            </w:pPr>
            <w:r w:rsidRPr="00AF0CC3">
              <w:rPr>
                <w:rFonts w:ascii="Times New Roman" w:hAnsi="Times New Roman" w:cs="Times New Roman"/>
                <w:color w:val="000000" w:themeColor="text1"/>
              </w:rPr>
              <w:t>-0.775</w:t>
            </w:r>
          </w:p>
        </w:tc>
        <w:tc>
          <w:tcPr>
            <w:tcW w:w="0" w:type="auto"/>
            <w:vAlign w:val="center"/>
            <w:hideMark/>
          </w:tcPr>
          <w:p w14:paraId="1F6DB47F" w14:textId="77777777" w:rsidR="00844B88" w:rsidRPr="00AF0CC3" w:rsidRDefault="00844B88" w:rsidP="00E73C98">
            <w:pPr>
              <w:rPr>
                <w:rFonts w:ascii="Times New Roman" w:hAnsi="Times New Roman" w:cs="Times New Roman"/>
                <w:color w:val="000000" w:themeColor="text1"/>
              </w:rPr>
            </w:pPr>
            <w:r w:rsidRPr="00AF0CC3">
              <w:rPr>
                <w:rFonts w:ascii="Times New Roman" w:hAnsi="Times New Roman" w:cs="Times New Roman"/>
                <w:color w:val="000000" w:themeColor="text1"/>
              </w:rPr>
              <w:t>0.706</w:t>
            </w:r>
          </w:p>
        </w:tc>
      </w:tr>
      <w:tr w:rsidR="00844B88" w:rsidRPr="00AF0CC3" w14:paraId="768CC006" w14:textId="77777777" w:rsidTr="00E73C98">
        <w:trPr>
          <w:tblCellSpacing w:w="15" w:type="dxa"/>
        </w:trPr>
        <w:tc>
          <w:tcPr>
            <w:tcW w:w="0" w:type="auto"/>
            <w:vAlign w:val="center"/>
            <w:hideMark/>
          </w:tcPr>
          <w:p w14:paraId="23B58D39" w14:textId="77777777" w:rsidR="00844B88" w:rsidRPr="00AF0CC3" w:rsidRDefault="00844B88" w:rsidP="00E73C98">
            <w:pPr>
              <w:rPr>
                <w:rFonts w:ascii="Times New Roman" w:hAnsi="Times New Roman" w:cs="Times New Roman"/>
                <w:color w:val="000000" w:themeColor="text1"/>
              </w:rPr>
            </w:pPr>
            <w:r w:rsidRPr="00AF0CC3">
              <w:rPr>
                <w:rFonts w:ascii="Times New Roman" w:hAnsi="Times New Roman" w:cs="Times New Roman"/>
                <w:color w:val="000000" w:themeColor="text1"/>
              </w:rPr>
              <w:t>Stalled Projects</w:t>
            </w:r>
          </w:p>
        </w:tc>
        <w:tc>
          <w:tcPr>
            <w:tcW w:w="0" w:type="auto"/>
            <w:vAlign w:val="center"/>
            <w:hideMark/>
          </w:tcPr>
          <w:p w14:paraId="06F79BE7" w14:textId="77777777" w:rsidR="00844B88" w:rsidRPr="00AF0CC3" w:rsidRDefault="00844B88" w:rsidP="00E73C98">
            <w:pPr>
              <w:rPr>
                <w:rFonts w:ascii="Times New Roman" w:hAnsi="Times New Roman" w:cs="Times New Roman"/>
                <w:color w:val="000000" w:themeColor="text1"/>
              </w:rPr>
            </w:pPr>
            <w:r w:rsidRPr="00AF0CC3">
              <w:rPr>
                <w:rFonts w:ascii="Times New Roman" w:hAnsi="Times New Roman" w:cs="Times New Roman"/>
                <w:color w:val="000000" w:themeColor="text1"/>
              </w:rPr>
              <w:t>32</w:t>
            </w:r>
          </w:p>
        </w:tc>
        <w:tc>
          <w:tcPr>
            <w:tcW w:w="0" w:type="auto"/>
            <w:vAlign w:val="center"/>
            <w:hideMark/>
          </w:tcPr>
          <w:p w14:paraId="64249860" w14:textId="77777777" w:rsidR="00844B88" w:rsidRPr="00AF0CC3" w:rsidRDefault="00844B88" w:rsidP="00E73C98">
            <w:pPr>
              <w:rPr>
                <w:rFonts w:ascii="Times New Roman" w:hAnsi="Times New Roman" w:cs="Times New Roman"/>
                <w:color w:val="000000" w:themeColor="text1"/>
              </w:rPr>
            </w:pPr>
            <w:r w:rsidRPr="00AF0CC3">
              <w:rPr>
                <w:rFonts w:ascii="Times New Roman" w:hAnsi="Times New Roman" w:cs="Times New Roman"/>
                <w:color w:val="000000" w:themeColor="text1"/>
              </w:rPr>
              <w:t>0.344</w:t>
            </w:r>
          </w:p>
        </w:tc>
        <w:tc>
          <w:tcPr>
            <w:tcW w:w="0" w:type="auto"/>
            <w:vAlign w:val="center"/>
            <w:hideMark/>
          </w:tcPr>
          <w:p w14:paraId="6AF68233" w14:textId="77777777" w:rsidR="00844B88" w:rsidRPr="00AF0CC3" w:rsidRDefault="00844B88" w:rsidP="00E73C98">
            <w:pPr>
              <w:rPr>
                <w:rFonts w:ascii="Times New Roman" w:hAnsi="Times New Roman" w:cs="Times New Roman"/>
                <w:color w:val="000000" w:themeColor="text1"/>
              </w:rPr>
            </w:pPr>
            <w:r w:rsidRPr="00AF0CC3">
              <w:rPr>
                <w:rFonts w:ascii="Times New Roman" w:hAnsi="Times New Roman" w:cs="Times New Roman"/>
                <w:color w:val="000000" w:themeColor="text1"/>
              </w:rPr>
              <w:t>0</w:t>
            </w:r>
          </w:p>
        </w:tc>
        <w:tc>
          <w:tcPr>
            <w:tcW w:w="0" w:type="auto"/>
            <w:vAlign w:val="center"/>
            <w:hideMark/>
          </w:tcPr>
          <w:p w14:paraId="0DEDCAE1" w14:textId="77777777" w:rsidR="00844B88" w:rsidRPr="00AF0CC3" w:rsidRDefault="00844B88" w:rsidP="00E73C98">
            <w:pPr>
              <w:rPr>
                <w:rFonts w:ascii="Times New Roman" w:hAnsi="Times New Roman" w:cs="Times New Roman"/>
                <w:color w:val="000000" w:themeColor="text1"/>
              </w:rPr>
            </w:pPr>
            <w:r w:rsidRPr="00AF0CC3">
              <w:rPr>
                <w:rFonts w:ascii="Times New Roman" w:hAnsi="Times New Roman" w:cs="Times New Roman"/>
                <w:color w:val="000000" w:themeColor="text1"/>
              </w:rPr>
              <w:t>1</w:t>
            </w:r>
          </w:p>
        </w:tc>
      </w:tr>
    </w:tbl>
    <w:p w14:paraId="10AF9F6B" w14:textId="77777777" w:rsidR="00844B88" w:rsidRPr="00AF0CC3" w:rsidRDefault="00844B88" w:rsidP="00844B88">
      <w:pPr>
        <w:rPr>
          <w:rFonts w:ascii="Times New Roman" w:hAnsi="Times New Roman" w:cs="Times New Roman"/>
          <w:color w:val="000000" w:themeColor="text1"/>
        </w:rPr>
      </w:pPr>
    </w:p>
    <w:p w14:paraId="3C837B73" w14:textId="77777777" w:rsidR="00844B88" w:rsidRPr="00AF0CC3" w:rsidRDefault="00844B88" w:rsidP="00844B88">
      <w:pPr>
        <w:rPr>
          <w:rFonts w:ascii="Times New Roman" w:hAnsi="Times New Roman" w:cs="Times New Roman"/>
          <w:color w:val="000000" w:themeColor="text1"/>
        </w:rPr>
      </w:pPr>
      <w:r w:rsidRPr="00AF0CC3">
        <w:rPr>
          <w:rFonts w:ascii="Times New Roman" w:hAnsi="Times New Roman" w:cs="Times New Roman"/>
          <w:color w:val="000000" w:themeColor="text1"/>
        </w:rPr>
        <w:t>The Governance Quality Index (GQI) recorded a mean value of 0.733, with observed scores ranging from 0.214 to 1.000. The descriptive statistics reveal substantial variation in governance quality across the sampled projects and provide a suitable basis for examining differences in infrastructure delivery outcomes.</w:t>
      </w:r>
    </w:p>
    <w:p w14:paraId="1B23D1BB" w14:textId="77777777" w:rsidR="00844B88" w:rsidRPr="00AF0CC3" w:rsidRDefault="00844B88" w:rsidP="00844B88">
      <w:pPr>
        <w:rPr>
          <w:rFonts w:ascii="Times New Roman" w:hAnsi="Times New Roman" w:cs="Times New Roman"/>
          <w:color w:val="000000" w:themeColor="text1"/>
        </w:rPr>
      </w:pPr>
    </w:p>
    <w:p w14:paraId="4831BC70" w14:textId="77777777" w:rsidR="00844B88" w:rsidRPr="00AF0CC3" w:rsidRDefault="00844B88" w:rsidP="00844B88">
      <w:pPr>
        <w:rPr>
          <w:rFonts w:ascii="Times New Roman" w:hAnsi="Times New Roman" w:cs="Times New Roman"/>
          <w:color w:val="000000" w:themeColor="text1"/>
        </w:rPr>
      </w:pPr>
      <w:r w:rsidRPr="00AF0CC3">
        <w:rPr>
          <w:rFonts w:ascii="Times New Roman" w:hAnsi="Times New Roman" w:cs="Times New Roman"/>
          <w:color w:val="000000" w:themeColor="text1"/>
        </w:rPr>
        <w:t>Considerable variation was observed in planned project duration. Planned project duration averaged 5.31 years, with schedules ranging from 2 to 15 years. The wide range reflects the diversity of infrastructure investments in the sample, spanning projects of varying scales, complexities, and implementation requirements.</w:t>
      </w:r>
    </w:p>
    <w:p w14:paraId="3716F5CC" w14:textId="77777777" w:rsidR="00844B88" w:rsidRPr="00AF0CC3" w:rsidRDefault="00844B88" w:rsidP="00844B88">
      <w:pPr>
        <w:rPr>
          <w:rFonts w:ascii="Times New Roman" w:hAnsi="Times New Roman" w:cs="Times New Roman"/>
          <w:color w:val="000000" w:themeColor="text1"/>
        </w:rPr>
      </w:pPr>
    </w:p>
    <w:p w14:paraId="06E0562D" w14:textId="77777777" w:rsidR="00844B88" w:rsidRPr="00AF0CC3" w:rsidRDefault="00844B88" w:rsidP="00844B88">
      <w:pPr>
        <w:rPr>
          <w:rFonts w:ascii="Times New Roman" w:hAnsi="Times New Roman" w:cs="Times New Roman"/>
          <w:color w:val="000000" w:themeColor="text1"/>
        </w:rPr>
      </w:pPr>
      <w:r w:rsidRPr="00AF0CC3">
        <w:rPr>
          <w:rFonts w:ascii="Times New Roman" w:hAnsi="Times New Roman" w:cs="Times New Roman"/>
          <w:color w:val="000000" w:themeColor="text1"/>
        </w:rPr>
        <w:t>Time-overrun observations were available for sixteen projects with sufficiently documented implementation timelines and completion milestones. Among these projects, the mean time overrun was 0.370, indicating that completed projects exceeded planned implementation schedules by approximately 37.0%.</w:t>
      </w:r>
    </w:p>
    <w:p w14:paraId="67569F43" w14:textId="77777777" w:rsidR="00844B88" w:rsidRPr="00AF0CC3" w:rsidRDefault="00844B88" w:rsidP="00844B88">
      <w:pPr>
        <w:rPr>
          <w:rFonts w:ascii="Times New Roman" w:hAnsi="Times New Roman" w:cs="Times New Roman"/>
          <w:color w:val="000000" w:themeColor="text1"/>
        </w:rPr>
      </w:pPr>
    </w:p>
    <w:p w14:paraId="0128BFE9" w14:textId="77777777" w:rsidR="00844B88" w:rsidRPr="00AF0CC3" w:rsidRDefault="00844B88" w:rsidP="00844B88">
      <w:pPr>
        <w:rPr>
          <w:rFonts w:ascii="Times New Roman" w:hAnsi="Times New Roman" w:cs="Times New Roman"/>
          <w:color w:val="000000" w:themeColor="text1"/>
        </w:rPr>
      </w:pPr>
      <w:r w:rsidRPr="00AF0CC3">
        <w:rPr>
          <w:rFonts w:ascii="Times New Roman" w:hAnsi="Times New Roman" w:cs="Times New Roman"/>
          <w:color w:val="000000" w:themeColor="text1"/>
        </w:rPr>
        <w:t>Cost overrun observations were available for 28 projects. The mean value of -0.028 should be interpreted within the context of incomplete expenditure information for projects that remained under implementation at the time of data collection. Consequently, blank observations in the Actual_Cost and Year_Actual_End variables represent structurally unavailable outcomes rather than conventional missing data.</w:t>
      </w:r>
    </w:p>
    <w:p w14:paraId="1356F6B5" w14:textId="77777777" w:rsidR="00844B88" w:rsidRPr="00AF0CC3" w:rsidRDefault="00844B88" w:rsidP="00844B88">
      <w:pPr>
        <w:rPr>
          <w:rFonts w:ascii="Times New Roman" w:hAnsi="Times New Roman" w:cs="Times New Roman"/>
          <w:color w:val="000000" w:themeColor="text1"/>
        </w:rPr>
      </w:pPr>
    </w:p>
    <w:p w14:paraId="0A4345EA" w14:textId="77777777" w:rsidR="00844B88" w:rsidRPr="00AF0CC3" w:rsidRDefault="00844B88" w:rsidP="00844B88">
      <w:pPr>
        <w:rPr>
          <w:rFonts w:ascii="Times New Roman" w:hAnsi="Times New Roman" w:cs="Times New Roman"/>
          <w:color w:val="000000" w:themeColor="text1"/>
        </w:rPr>
      </w:pPr>
      <w:r w:rsidRPr="00AF0CC3">
        <w:rPr>
          <w:rFonts w:ascii="Times New Roman" w:hAnsi="Times New Roman" w:cs="Times New Roman"/>
          <w:color w:val="000000" w:themeColor="text1"/>
        </w:rPr>
        <w:t>This distinction is methodologically important because structurally unavailable observations associated with ongoing projects do not necessarily indicate data quality deficiencies. Instead, they reflect the fact that final expenditure and completion outcomes had not yet been realized for certain projects during the study period.</w:t>
      </w:r>
    </w:p>
    <w:p w14:paraId="51DDDDEA" w14:textId="77777777" w:rsidR="00844B88" w:rsidRPr="00AF0CC3" w:rsidRDefault="00844B88" w:rsidP="00844B88">
      <w:pPr>
        <w:rPr>
          <w:rFonts w:ascii="Times New Roman" w:hAnsi="Times New Roman" w:cs="Times New Roman"/>
          <w:color w:val="000000" w:themeColor="text1"/>
        </w:rPr>
      </w:pPr>
    </w:p>
    <w:p w14:paraId="4797292B" w14:textId="77777777" w:rsidR="00844B88" w:rsidRPr="00AF0CC3" w:rsidRDefault="00844B88" w:rsidP="00844B88">
      <w:pPr>
        <w:rPr>
          <w:rFonts w:ascii="Times New Roman" w:hAnsi="Times New Roman" w:cs="Times New Roman"/>
          <w:color w:val="000000" w:themeColor="text1"/>
        </w:rPr>
      </w:pPr>
      <w:r w:rsidRPr="00AF0CC3">
        <w:rPr>
          <w:rFonts w:ascii="Times New Roman" w:hAnsi="Times New Roman" w:cs="Times New Roman"/>
          <w:color w:val="000000" w:themeColor="text1"/>
        </w:rPr>
        <w:t xml:space="preserve">The data indicate that approximately one-third of the sampled projects experienced prolonged implementation interruption. The binary project-stalling variable recorded a mean value of 0.344, </w:t>
      </w:r>
      <w:r w:rsidRPr="00AF0CC3">
        <w:rPr>
          <w:rFonts w:ascii="Times New Roman" w:hAnsi="Times New Roman" w:cs="Times New Roman"/>
          <w:color w:val="000000" w:themeColor="text1"/>
        </w:rPr>
        <w:lastRenderedPageBreak/>
        <w:t>indicating that 34.4% of the sampled projects were classified as stalled according to the operational definition adopted in Chapter Three.</w:t>
      </w:r>
    </w:p>
    <w:p w14:paraId="0D133FF9" w14:textId="77777777" w:rsidR="00844B88" w:rsidRPr="00AF0CC3" w:rsidRDefault="00844B88" w:rsidP="00844B88">
      <w:pPr>
        <w:rPr>
          <w:rFonts w:ascii="Times New Roman" w:hAnsi="Times New Roman" w:cs="Times New Roman"/>
          <w:color w:val="000000" w:themeColor="text1"/>
        </w:rPr>
      </w:pPr>
    </w:p>
    <w:p w14:paraId="65A656E3" w14:textId="5182BF05" w:rsidR="00844B88" w:rsidRPr="00AF0CC3" w:rsidRDefault="00844B88" w:rsidP="00961168">
      <w:pPr>
        <w:rPr>
          <w:rFonts w:ascii="Times New Roman" w:hAnsi="Times New Roman" w:cs="Times New Roman"/>
          <w:color w:val="000000" w:themeColor="text1"/>
        </w:rPr>
      </w:pPr>
      <w:r w:rsidRPr="00AF0CC3">
        <w:rPr>
          <w:rFonts w:ascii="Times New Roman" w:hAnsi="Times New Roman" w:cs="Times New Roman"/>
          <w:color w:val="000000" w:themeColor="text1"/>
        </w:rPr>
        <w:t>Overall, the descriptive statistics reveal substantial variation across governance quality, implementation performance, project duration, and project status, providing an appropriate empirical foundation for the analyses presented in the subsequent sections of this chapter.</w:t>
      </w:r>
    </w:p>
    <w:p w14:paraId="396037E1" w14:textId="3629855C" w:rsidR="00844B88" w:rsidRPr="00AF0CC3" w:rsidRDefault="00844B88" w:rsidP="00844B88">
      <w:pPr>
        <w:pStyle w:val="Heading3"/>
        <w:rPr>
          <w:rFonts w:cs="Times New Roman"/>
          <w:b w:val="0"/>
          <w:bCs/>
          <w:color w:val="000000" w:themeColor="text1"/>
          <w:szCs w:val="24"/>
        </w:rPr>
      </w:pPr>
      <w:bookmarkStart w:id="331" w:name="_Toc232375973"/>
      <w:bookmarkStart w:id="332" w:name="_Toc234344840"/>
      <w:bookmarkStart w:id="333" w:name="_Toc234489072"/>
      <w:r w:rsidRPr="00AF0CC3">
        <w:rPr>
          <w:rFonts w:cs="Times New Roman"/>
          <w:bCs/>
          <w:color w:val="000000" w:themeColor="text1"/>
          <w:szCs w:val="24"/>
        </w:rPr>
        <w:t>Documentation Accessibility and Sample Reduction</w:t>
      </w:r>
      <w:bookmarkEnd w:id="331"/>
      <w:bookmarkEnd w:id="332"/>
      <w:bookmarkEnd w:id="333"/>
    </w:p>
    <w:p w14:paraId="3B4C7E6B" w14:textId="77777777" w:rsidR="00844B88" w:rsidRPr="00AF0CC3" w:rsidRDefault="00844B88" w:rsidP="00844B88">
      <w:pPr>
        <w:rPr>
          <w:rFonts w:ascii="Times New Roman" w:hAnsi="Times New Roman" w:cs="Times New Roman"/>
          <w:color w:val="000000" w:themeColor="text1"/>
        </w:rPr>
      </w:pPr>
    </w:p>
    <w:p w14:paraId="009A93E2" w14:textId="74AD472A" w:rsidR="00844B88" w:rsidRPr="00AF0CC3" w:rsidRDefault="00844B88" w:rsidP="00844B88">
      <w:pPr>
        <w:rPr>
          <w:rFonts w:ascii="Times New Roman" w:hAnsi="Times New Roman" w:cs="Times New Roman"/>
          <w:color w:val="000000" w:themeColor="text1"/>
        </w:rPr>
      </w:pPr>
      <w:r w:rsidRPr="00AF0CC3">
        <w:rPr>
          <w:rFonts w:ascii="Times New Roman" w:hAnsi="Times New Roman" w:cs="Times New Roman"/>
          <w:color w:val="000000" w:themeColor="text1"/>
        </w:rPr>
        <w:t xml:space="preserve">During the documentary review and governance coding process, differences in </w:t>
      </w:r>
      <w:r w:rsidR="00BE29F5" w:rsidRPr="00AF0CC3">
        <w:rPr>
          <w:rFonts w:ascii="Times New Roman" w:hAnsi="Times New Roman" w:cs="Times New Roman"/>
          <w:color w:val="000000" w:themeColor="text1"/>
        </w:rPr>
        <w:t xml:space="preserve">documentation availability </w:t>
      </w:r>
      <w:r w:rsidRPr="00AF0CC3">
        <w:rPr>
          <w:rFonts w:ascii="Times New Roman" w:hAnsi="Times New Roman" w:cs="Times New Roman"/>
          <w:color w:val="000000" w:themeColor="text1"/>
        </w:rPr>
        <w:t>affected the construction of the final analytical dataset. Of the fifty-one water infrastructure projects initially identified for analysis, nineteen projects could not be included because the documentary evidence required for Governance Quality Index (GQI) assessment was unavailable or inaccessible through reliable public sources.</w:t>
      </w:r>
    </w:p>
    <w:p w14:paraId="452803BE" w14:textId="77777777" w:rsidR="00844B88" w:rsidRPr="00AF0CC3" w:rsidRDefault="00844B88" w:rsidP="00844B88">
      <w:pPr>
        <w:rPr>
          <w:rFonts w:ascii="Times New Roman" w:hAnsi="Times New Roman" w:cs="Times New Roman"/>
          <w:color w:val="000000" w:themeColor="text1"/>
        </w:rPr>
      </w:pPr>
      <w:r w:rsidRPr="00AF0CC3">
        <w:rPr>
          <w:rFonts w:ascii="Times New Roman" w:hAnsi="Times New Roman" w:cs="Times New Roman"/>
          <w:color w:val="000000" w:themeColor="text1"/>
        </w:rPr>
        <w:t>The excluded projects represented 37.3% of the initially identified project population. Documentation gaps were most frequently observed in procurement records, implementation progress reports, audit documentation, expenditure records, supervision reports, monitoring and evaluation reports, and contract administration records. Because these records formed part of the evidence base required for Governance Quality Index (GQI) scoring, projects lacking sufficient documentary coverage could not be assessed using a standardized governance framework and were therefore excluded from the final analysis.</w:t>
      </w:r>
    </w:p>
    <w:p w14:paraId="2B24642C" w14:textId="7890FA2B" w:rsidR="00844B88" w:rsidRPr="00AF0CC3" w:rsidRDefault="00844B88" w:rsidP="00844B88">
      <w:pPr>
        <w:rPr>
          <w:rFonts w:ascii="Times New Roman" w:hAnsi="Times New Roman" w:cs="Times New Roman"/>
          <w:b/>
          <w:bCs/>
          <w:color w:val="000000" w:themeColor="text1"/>
        </w:rPr>
      </w:pPr>
      <w:r w:rsidRPr="00AF0CC3">
        <w:rPr>
          <w:rFonts w:ascii="Times New Roman" w:hAnsi="Times New Roman" w:cs="Times New Roman"/>
          <w:color w:val="000000" w:themeColor="text1"/>
        </w:rPr>
        <w:t xml:space="preserve"> </w:t>
      </w:r>
    </w:p>
    <w:p w14:paraId="09CA6618" w14:textId="31AD0D43" w:rsidR="00A13A05" w:rsidRPr="00AF0CC3" w:rsidRDefault="00A13A05" w:rsidP="00A13A05">
      <w:pPr>
        <w:pStyle w:val="Caption"/>
        <w:keepNext/>
        <w:rPr>
          <w:rFonts w:ascii="Times New Roman" w:hAnsi="Times New Roman" w:cs="Times New Roman"/>
          <w:sz w:val="24"/>
          <w:szCs w:val="24"/>
        </w:rPr>
      </w:pPr>
      <w:bookmarkStart w:id="334" w:name="_Toc234437370"/>
      <w:r w:rsidRPr="00AF0CC3">
        <w:rPr>
          <w:rFonts w:ascii="Times New Roman" w:hAnsi="Times New Roman" w:cs="Times New Roman"/>
          <w:sz w:val="24"/>
          <w:szCs w:val="24"/>
        </w:rPr>
        <w:t xml:space="preserve">Table </w:t>
      </w:r>
      <w:r w:rsidR="007F4206" w:rsidRPr="00AF0CC3">
        <w:rPr>
          <w:rFonts w:ascii="Times New Roman" w:hAnsi="Times New Roman" w:cs="Times New Roman"/>
          <w:sz w:val="24"/>
          <w:szCs w:val="24"/>
        </w:rPr>
        <w:fldChar w:fldCharType="begin"/>
      </w:r>
      <w:r w:rsidR="007F4206" w:rsidRPr="00AF0CC3">
        <w:rPr>
          <w:rFonts w:ascii="Times New Roman" w:hAnsi="Times New Roman" w:cs="Times New Roman"/>
          <w:sz w:val="24"/>
          <w:szCs w:val="24"/>
        </w:rPr>
        <w:instrText xml:space="preserve"> STYLEREF 1 \s </w:instrText>
      </w:r>
      <w:r w:rsidR="007F4206" w:rsidRPr="00AF0CC3">
        <w:rPr>
          <w:rFonts w:ascii="Times New Roman" w:hAnsi="Times New Roman" w:cs="Times New Roman"/>
          <w:sz w:val="24"/>
          <w:szCs w:val="24"/>
        </w:rPr>
        <w:fldChar w:fldCharType="separate"/>
      </w:r>
      <w:r w:rsidR="007F4206" w:rsidRPr="00AF0CC3">
        <w:rPr>
          <w:rFonts w:ascii="Times New Roman" w:hAnsi="Times New Roman" w:cs="Times New Roman"/>
          <w:noProof/>
          <w:sz w:val="24"/>
          <w:szCs w:val="24"/>
        </w:rPr>
        <w:t>4</w:t>
      </w:r>
      <w:r w:rsidR="007F4206" w:rsidRPr="00AF0CC3">
        <w:rPr>
          <w:rFonts w:ascii="Times New Roman" w:hAnsi="Times New Roman" w:cs="Times New Roman"/>
          <w:noProof/>
          <w:sz w:val="24"/>
          <w:szCs w:val="24"/>
        </w:rPr>
        <w:fldChar w:fldCharType="end"/>
      </w:r>
      <w:r w:rsidR="007F4206" w:rsidRPr="00AF0CC3">
        <w:rPr>
          <w:rFonts w:ascii="Times New Roman" w:hAnsi="Times New Roman" w:cs="Times New Roman"/>
          <w:sz w:val="24"/>
          <w:szCs w:val="24"/>
        </w:rPr>
        <w:noBreakHyphen/>
      </w:r>
      <w:r w:rsidR="007F4206" w:rsidRPr="00AF0CC3">
        <w:rPr>
          <w:rFonts w:ascii="Times New Roman" w:hAnsi="Times New Roman" w:cs="Times New Roman"/>
          <w:sz w:val="24"/>
          <w:szCs w:val="24"/>
        </w:rPr>
        <w:fldChar w:fldCharType="begin"/>
      </w:r>
      <w:r w:rsidR="007F4206" w:rsidRPr="00AF0CC3">
        <w:rPr>
          <w:rFonts w:ascii="Times New Roman" w:hAnsi="Times New Roman" w:cs="Times New Roman"/>
          <w:sz w:val="24"/>
          <w:szCs w:val="24"/>
        </w:rPr>
        <w:instrText xml:space="preserve"> SEQ Table \* ARABIC \s 1 </w:instrText>
      </w:r>
      <w:r w:rsidR="007F4206" w:rsidRPr="00AF0CC3">
        <w:rPr>
          <w:rFonts w:ascii="Times New Roman" w:hAnsi="Times New Roman" w:cs="Times New Roman"/>
          <w:sz w:val="24"/>
          <w:szCs w:val="24"/>
        </w:rPr>
        <w:fldChar w:fldCharType="separate"/>
      </w:r>
      <w:r w:rsidR="007F4206" w:rsidRPr="00AF0CC3">
        <w:rPr>
          <w:rFonts w:ascii="Times New Roman" w:hAnsi="Times New Roman" w:cs="Times New Roman"/>
          <w:noProof/>
          <w:sz w:val="24"/>
          <w:szCs w:val="24"/>
        </w:rPr>
        <w:t>2</w:t>
      </w:r>
      <w:r w:rsidR="007F4206" w:rsidRPr="00AF0CC3">
        <w:rPr>
          <w:rFonts w:ascii="Times New Roman" w:hAnsi="Times New Roman" w:cs="Times New Roman"/>
          <w:noProof/>
          <w:sz w:val="24"/>
          <w:szCs w:val="24"/>
        </w:rPr>
        <w:fldChar w:fldCharType="end"/>
      </w:r>
      <w:r w:rsidRPr="00AF0CC3">
        <w:rPr>
          <w:rFonts w:ascii="Times New Roman" w:hAnsi="Times New Roman" w:cs="Times New Roman"/>
          <w:sz w:val="24"/>
          <w:szCs w:val="24"/>
        </w:rPr>
        <w:t xml:space="preserve"> Documentation Accessibility by Implementing Authority</w:t>
      </w:r>
      <w:bookmarkEnd w:id="334"/>
    </w:p>
    <w:tbl>
      <w:tblPr>
        <w:tblW w:w="0" w:type="auto"/>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1997"/>
        <w:gridCol w:w="1845"/>
        <w:gridCol w:w="2142"/>
        <w:gridCol w:w="3366"/>
      </w:tblGrid>
      <w:tr w:rsidR="00844B88" w:rsidRPr="00AF0CC3" w14:paraId="14CB1D2C" w14:textId="77777777" w:rsidTr="00E73C98">
        <w:trPr>
          <w:tblHeader/>
          <w:tblCellSpacing w:w="15" w:type="dxa"/>
        </w:trPr>
        <w:tc>
          <w:tcPr>
            <w:tcW w:w="0" w:type="auto"/>
            <w:vAlign w:val="center"/>
            <w:hideMark/>
          </w:tcPr>
          <w:p w14:paraId="2E23AA40" w14:textId="77777777" w:rsidR="00844B88" w:rsidRPr="00AF0CC3" w:rsidRDefault="00844B88" w:rsidP="00E73C98">
            <w:pPr>
              <w:spacing w:after="0" w:line="240" w:lineRule="auto"/>
              <w:jc w:val="center"/>
              <w:rPr>
                <w:rFonts w:ascii="Times New Roman" w:eastAsia="Times New Roman" w:hAnsi="Times New Roman" w:cs="Times New Roman"/>
                <w:b/>
                <w:bCs/>
                <w:color w:val="000000" w:themeColor="text1"/>
                <w:kern w:val="0"/>
                <w14:ligatures w14:val="none"/>
              </w:rPr>
            </w:pPr>
            <w:r w:rsidRPr="00AF0CC3">
              <w:rPr>
                <w:rFonts w:ascii="Times New Roman" w:eastAsia="Times New Roman" w:hAnsi="Times New Roman" w:cs="Times New Roman"/>
                <w:b/>
                <w:bCs/>
                <w:color w:val="000000" w:themeColor="text1"/>
                <w:kern w:val="0"/>
                <w14:ligatures w14:val="none"/>
              </w:rPr>
              <w:t>Implementing Authority</w:t>
            </w:r>
          </w:p>
        </w:tc>
        <w:tc>
          <w:tcPr>
            <w:tcW w:w="0" w:type="auto"/>
            <w:vAlign w:val="center"/>
            <w:hideMark/>
          </w:tcPr>
          <w:p w14:paraId="294730EB" w14:textId="77777777" w:rsidR="00844B88" w:rsidRPr="00AF0CC3" w:rsidRDefault="00844B88" w:rsidP="00E73C98">
            <w:pPr>
              <w:spacing w:after="0" w:line="240" w:lineRule="auto"/>
              <w:jc w:val="right"/>
              <w:rPr>
                <w:rFonts w:ascii="Times New Roman" w:eastAsia="Times New Roman" w:hAnsi="Times New Roman" w:cs="Times New Roman"/>
                <w:b/>
                <w:bCs/>
                <w:color w:val="000000" w:themeColor="text1"/>
                <w:kern w:val="0"/>
                <w14:ligatures w14:val="none"/>
              </w:rPr>
            </w:pPr>
            <w:r w:rsidRPr="00AF0CC3">
              <w:rPr>
                <w:rFonts w:ascii="Times New Roman" w:eastAsia="Times New Roman" w:hAnsi="Times New Roman" w:cs="Times New Roman"/>
                <w:b/>
                <w:bCs/>
                <w:color w:val="000000" w:themeColor="text1"/>
                <w:kern w:val="0"/>
                <w14:ligatures w14:val="none"/>
              </w:rPr>
              <w:t>Initially Identified Projects</w:t>
            </w:r>
          </w:p>
        </w:tc>
        <w:tc>
          <w:tcPr>
            <w:tcW w:w="0" w:type="auto"/>
            <w:vAlign w:val="center"/>
            <w:hideMark/>
          </w:tcPr>
          <w:p w14:paraId="2B2C6EC8" w14:textId="77777777" w:rsidR="00844B88" w:rsidRPr="00AF0CC3" w:rsidRDefault="00844B88" w:rsidP="00E73C98">
            <w:pPr>
              <w:spacing w:after="0" w:line="240" w:lineRule="auto"/>
              <w:jc w:val="right"/>
              <w:rPr>
                <w:rFonts w:ascii="Times New Roman" w:eastAsia="Times New Roman" w:hAnsi="Times New Roman" w:cs="Times New Roman"/>
                <w:b/>
                <w:bCs/>
                <w:color w:val="000000" w:themeColor="text1"/>
                <w:kern w:val="0"/>
                <w14:ligatures w14:val="none"/>
              </w:rPr>
            </w:pPr>
            <w:r w:rsidRPr="00AF0CC3">
              <w:rPr>
                <w:rFonts w:ascii="Times New Roman" w:eastAsia="Times New Roman" w:hAnsi="Times New Roman" w:cs="Times New Roman"/>
                <w:b/>
                <w:bCs/>
                <w:color w:val="000000" w:themeColor="text1"/>
                <w:kern w:val="0"/>
                <w14:ligatures w14:val="none"/>
              </w:rPr>
              <w:t>Projects Included in Final Analysis</w:t>
            </w:r>
          </w:p>
        </w:tc>
        <w:tc>
          <w:tcPr>
            <w:tcW w:w="0" w:type="auto"/>
            <w:vAlign w:val="center"/>
            <w:hideMark/>
          </w:tcPr>
          <w:p w14:paraId="62A2A61A" w14:textId="77777777" w:rsidR="00844B88" w:rsidRPr="00AF0CC3" w:rsidRDefault="00844B88" w:rsidP="00E73C98">
            <w:pPr>
              <w:spacing w:after="0" w:line="240" w:lineRule="auto"/>
              <w:jc w:val="right"/>
              <w:rPr>
                <w:rFonts w:ascii="Times New Roman" w:eastAsia="Times New Roman" w:hAnsi="Times New Roman" w:cs="Times New Roman"/>
                <w:b/>
                <w:bCs/>
                <w:color w:val="000000" w:themeColor="text1"/>
                <w:kern w:val="0"/>
                <w14:ligatures w14:val="none"/>
              </w:rPr>
            </w:pPr>
            <w:r w:rsidRPr="00AF0CC3">
              <w:rPr>
                <w:rFonts w:ascii="Times New Roman" w:eastAsia="Times New Roman" w:hAnsi="Times New Roman" w:cs="Times New Roman"/>
                <w:b/>
                <w:bCs/>
                <w:color w:val="000000" w:themeColor="text1"/>
                <w:kern w:val="0"/>
                <w14:ligatures w14:val="none"/>
              </w:rPr>
              <w:t>Projects Excluded Due to Inaccessible Documentation</w:t>
            </w:r>
          </w:p>
        </w:tc>
      </w:tr>
      <w:tr w:rsidR="00844B88" w:rsidRPr="00AF0CC3" w14:paraId="406645D4" w14:textId="77777777" w:rsidTr="00E73C98">
        <w:trPr>
          <w:tblCellSpacing w:w="15" w:type="dxa"/>
        </w:trPr>
        <w:tc>
          <w:tcPr>
            <w:tcW w:w="0" w:type="auto"/>
            <w:vAlign w:val="center"/>
            <w:hideMark/>
          </w:tcPr>
          <w:p w14:paraId="4F2ADFC6" w14:textId="77777777" w:rsidR="00844B88" w:rsidRPr="00AF0CC3" w:rsidRDefault="00844B88" w:rsidP="00E73C98">
            <w:pPr>
              <w:spacing w:after="0" w:line="240" w:lineRule="auto"/>
              <w:rPr>
                <w:rFonts w:ascii="Times New Roman" w:eastAsia="Times New Roman" w:hAnsi="Times New Roman" w:cs="Times New Roman"/>
                <w:color w:val="000000" w:themeColor="text1"/>
                <w:kern w:val="0"/>
                <w14:ligatures w14:val="none"/>
              </w:rPr>
            </w:pPr>
            <w:r w:rsidRPr="00AF0CC3">
              <w:rPr>
                <w:rFonts w:ascii="Times New Roman" w:eastAsia="Times New Roman" w:hAnsi="Times New Roman" w:cs="Times New Roman"/>
                <w:color w:val="000000" w:themeColor="text1"/>
                <w:kern w:val="0"/>
                <w14:ligatures w14:val="none"/>
              </w:rPr>
              <w:t>National Government</w:t>
            </w:r>
          </w:p>
        </w:tc>
        <w:tc>
          <w:tcPr>
            <w:tcW w:w="0" w:type="auto"/>
            <w:vAlign w:val="center"/>
            <w:hideMark/>
          </w:tcPr>
          <w:p w14:paraId="3AD79103" w14:textId="77777777" w:rsidR="00844B88" w:rsidRPr="00AF0CC3" w:rsidRDefault="00844B88" w:rsidP="00E73C98">
            <w:pPr>
              <w:spacing w:after="0" w:line="240" w:lineRule="auto"/>
              <w:jc w:val="right"/>
              <w:rPr>
                <w:rFonts w:ascii="Times New Roman" w:eastAsia="Times New Roman" w:hAnsi="Times New Roman" w:cs="Times New Roman"/>
                <w:color w:val="000000" w:themeColor="text1"/>
                <w:kern w:val="0"/>
                <w14:ligatures w14:val="none"/>
              </w:rPr>
            </w:pPr>
            <w:r w:rsidRPr="00AF0CC3">
              <w:rPr>
                <w:rFonts w:ascii="Times New Roman" w:eastAsia="Times New Roman" w:hAnsi="Times New Roman" w:cs="Times New Roman"/>
                <w:color w:val="000000" w:themeColor="text1"/>
                <w:kern w:val="0"/>
                <w14:ligatures w14:val="none"/>
              </w:rPr>
              <w:t>32</w:t>
            </w:r>
          </w:p>
        </w:tc>
        <w:tc>
          <w:tcPr>
            <w:tcW w:w="0" w:type="auto"/>
            <w:vAlign w:val="center"/>
            <w:hideMark/>
          </w:tcPr>
          <w:p w14:paraId="7AE2F102" w14:textId="77777777" w:rsidR="00844B88" w:rsidRPr="00AF0CC3" w:rsidRDefault="00844B88" w:rsidP="00E73C98">
            <w:pPr>
              <w:spacing w:after="0" w:line="240" w:lineRule="auto"/>
              <w:jc w:val="right"/>
              <w:rPr>
                <w:rFonts w:ascii="Times New Roman" w:eastAsia="Times New Roman" w:hAnsi="Times New Roman" w:cs="Times New Roman"/>
                <w:color w:val="000000" w:themeColor="text1"/>
                <w:kern w:val="0"/>
                <w14:ligatures w14:val="none"/>
              </w:rPr>
            </w:pPr>
            <w:r w:rsidRPr="00AF0CC3">
              <w:rPr>
                <w:rFonts w:ascii="Times New Roman" w:eastAsia="Times New Roman" w:hAnsi="Times New Roman" w:cs="Times New Roman"/>
                <w:color w:val="000000" w:themeColor="text1"/>
                <w:kern w:val="0"/>
                <w14:ligatures w14:val="none"/>
              </w:rPr>
              <w:t>32</w:t>
            </w:r>
          </w:p>
        </w:tc>
        <w:tc>
          <w:tcPr>
            <w:tcW w:w="0" w:type="auto"/>
            <w:vAlign w:val="center"/>
            <w:hideMark/>
          </w:tcPr>
          <w:p w14:paraId="6F44E085" w14:textId="77777777" w:rsidR="00844B88" w:rsidRPr="00AF0CC3" w:rsidRDefault="00844B88" w:rsidP="00E73C98">
            <w:pPr>
              <w:spacing w:after="0" w:line="240" w:lineRule="auto"/>
              <w:jc w:val="right"/>
              <w:rPr>
                <w:rFonts w:ascii="Times New Roman" w:eastAsia="Times New Roman" w:hAnsi="Times New Roman" w:cs="Times New Roman"/>
                <w:color w:val="000000" w:themeColor="text1"/>
                <w:kern w:val="0"/>
                <w14:ligatures w14:val="none"/>
              </w:rPr>
            </w:pPr>
            <w:r w:rsidRPr="00AF0CC3">
              <w:rPr>
                <w:rFonts w:ascii="Times New Roman" w:eastAsia="Times New Roman" w:hAnsi="Times New Roman" w:cs="Times New Roman"/>
                <w:color w:val="000000" w:themeColor="text1"/>
                <w:kern w:val="0"/>
                <w14:ligatures w14:val="none"/>
              </w:rPr>
              <w:t>0</w:t>
            </w:r>
          </w:p>
        </w:tc>
      </w:tr>
      <w:tr w:rsidR="00844B88" w:rsidRPr="00AF0CC3" w14:paraId="796CD85A" w14:textId="77777777" w:rsidTr="00E73C98">
        <w:trPr>
          <w:tblCellSpacing w:w="15" w:type="dxa"/>
        </w:trPr>
        <w:tc>
          <w:tcPr>
            <w:tcW w:w="0" w:type="auto"/>
            <w:vAlign w:val="center"/>
            <w:hideMark/>
          </w:tcPr>
          <w:p w14:paraId="2E91A511" w14:textId="77777777" w:rsidR="00844B88" w:rsidRPr="00AF0CC3" w:rsidRDefault="00844B88" w:rsidP="00E73C98">
            <w:pPr>
              <w:spacing w:after="0" w:line="240" w:lineRule="auto"/>
              <w:rPr>
                <w:rFonts w:ascii="Times New Roman" w:eastAsia="Times New Roman" w:hAnsi="Times New Roman" w:cs="Times New Roman"/>
                <w:color w:val="000000" w:themeColor="text1"/>
                <w:kern w:val="0"/>
                <w14:ligatures w14:val="none"/>
              </w:rPr>
            </w:pPr>
            <w:r w:rsidRPr="00AF0CC3">
              <w:rPr>
                <w:rFonts w:ascii="Times New Roman" w:eastAsia="Times New Roman" w:hAnsi="Times New Roman" w:cs="Times New Roman"/>
                <w:color w:val="000000" w:themeColor="text1"/>
                <w:kern w:val="0"/>
                <w14:ligatures w14:val="none"/>
              </w:rPr>
              <w:t>County Government</w:t>
            </w:r>
          </w:p>
        </w:tc>
        <w:tc>
          <w:tcPr>
            <w:tcW w:w="0" w:type="auto"/>
            <w:vAlign w:val="center"/>
            <w:hideMark/>
          </w:tcPr>
          <w:p w14:paraId="247648DB" w14:textId="77777777" w:rsidR="00844B88" w:rsidRPr="00AF0CC3" w:rsidRDefault="00844B88" w:rsidP="00E73C98">
            <w:pPr>
              <w:spacing w:after="0" w:line="240" w:lineRule="auto"/>
              <w:jc w:val="right"/>
              <w:rPr>
                <w:rFonts w:ascii="Times New Roman" w:eastAsia="Times New Roman" w:hAnsi="Times New Roman" w:cs="Times New Roman"/>
                <w:color w:val="000000" w:themeColor="text1"/>
                <w:kern w:val="0"/>
                <w14:ligatures w14:val="none"/>
              </w:rPr>
            </w:pPr>
            <w:r w:rsidRPr="00AF0CC3">
              <w:rPr>
                <w:rFonts w:ascii="Times New Roman" w:eastAsia="Times New Roman" w:hAnsi="Times New Roman" w:cs="Times New Roman"/>
                <w:color w:val="000000" w:themeColor="text1"/>
                <w:kern w:val="0"/>
                <w14:ligatures w14:val="none"/>
              </w:rPr>
              <w:t>19</w:t>
            </w:r>
          </w:p>
        </w:tc>
        <w:tc>
          <w:tcPr>
            <w:tcW w:w="0" w:type="auto"/>
            <w:vAlign w:val="center"/>
            <w:hideMark/>
          </w:tcPr>
          <w:p w14:paraId="68D5BE91" w14:textId="77777777" w:rsidR="00844B88" w:rsidRPr="00AF0CC3" w:rsidRDefault="00844B88" w:rsidP="00E73C98">
            <w:pPr>
              <w:spacing w:after="0" w:line="240" w:lineRule="auto"/>
              <w:jc w:val="right"/>
              <w:rPr>
                <w:rFonts w:ascii="Times New Roman" w:eastAsia="Times New Roman" w:hAnsi="Times New Roman" w:cs="Times New Roman"/>
                <w:color w:val="000000" w:themeColor="text1"/>
                <w:kern w:val="0"/>
                <w14:ligatures w14:val="none"/>
              </w:rPr>
            </w:pPr>
            <w:r w:rsidRPr="00AF0CC3">
              <w:rPr>
                <w:rFonts w:ascii="Times New Roman" w:eastAsia="Times New Roman" w:hAnsi="Times New Roman" w:cs="Times New Roman"/>
                <w:color w:val="000000" w:themeColor="text1"/>
                <w:kern w:val="0"/>
                <w14:ligatures w14:val="none"/>
              </w:rPr>
              <w:t>0</w:t>
            </w:r>
          </w:p>
        </w:tc>
        <w:tc>
          <w:tcPr>
            <w:tcW w:w="0" w:type="auto"/>
            <w:vAlign w:val="center"/>
            <w:hideMark/>
          </w:tcPr>
          <w:p w14:paraId="6AFCA5AD" w14:textId="77777777" w:rsidR="00844B88" w:rsidRPr="00AF0CC3" w:rsidRDefault="00844B88" w:rsidP="00E73C98">
            <w:pPr>
              <w:spacing w:after="0" w:line="240" w:lineRule="auto"/>
              <w:jc w:val="right"/>
              <w:rPr>
                <w:rFonts w:ascii="Times New Roman" w:eastAsia="Times New Roman" w:hAnsi="Times New Roman" w:cs="Times New Roman"/>
                <w:color w:val="000000" w:themeColor="text1"/>
                <w:kern w:val="0"/>
                <w14:ligatures w14:val="none"/>
              </w:rPr>
            </w:pPr>
            <w:r w:rsidRPr="00AF0CC3">
              <w:rPr>
                <w:rFonts w:ascii="Times New Roman" w:eastAsia="Times New Roman" w:hAnsi="Times New Roman" w:cs="Times New Roman"/>
                <w:color w:val="000000" w:themeColor="text1"/>
                <w:kern w:val="0"/>
                <w14:ligatures w14:val="none"/>
              </w:rPr>
              <w:t>19</w:t>
            </w:r>
          </w:p>
        </w:tc>
      </w:tr>
      <w:tr w:rsidR="00844B88" w:rsidRPr="00AF0CC3" w14:paraId="7F9E5DB8" w14:textId="77777777" w:rsidTr="00E73C98">
        <w:trPr>
          <w:tblCellSpacing w:w="15" w:type="dxa"/>
        </w:trPr>
        <w:tc>
          <w:tcPr>
            <w:tcW w:w="0" w:type="auto"/>
            <w:vAlign w:val="center"/>
            <w:hideMark/>
          </w:tcPr>
          <w:p w14:paraId="5FB4F44C" w14:textId="77777777" w:rsidR="00844B88" w:rsidRPr="00AF0CC3" w:rsidRDefault="00844B88" w:rsidP="00E73C98">
            <w:pPr>
              <w:spacing w:after="0" w:line="240" w:lineRule="auto"/>
              <w:rPr>
                <w:rFonts w:ascii="Times New Roman" w:eastAsia="Times New Roman" w:hAnsi="Times New Roman" w:cs="Times New Roman"/>
                <w:color w:val="000000" w:themeColor="text1"/>
                <w:kern w:val="0"/>
                <w14:ligatures w14:val="none"/>
              </w:rPr>
            </w:pPr>
            <w:r w:rsidRPr="00AF0CC3">
              <w:rPr>
                <w:rFonts w:ascii="Times New Roman" w:eastAsia="Times New Roman" w:hAnsi="Times New Roman" w:cs="Times New Roman"/>
                <w:b/>
                <w:bCs/>
                <w:color w:val="000000" w:themeColor="text1"/>
                <w:kern w:val="0"/>
                <w14:ligatures w14:val="none"/>
              </w:rPr>
              <w:t>Total</w:t>
            </w:r>
          </w:p>
        </w:tc>
        <w:tc>
          <w:tcPr>
            <w:tcW w:w="0" w:type="auto"/>
            <w:vAlign w:val="center"/>
            <w:hideMark/>
          </w:tcPr>
          <w:p w14:paraId="3C0CEE56" w14:textId="77777777" w:rsidR="00844B88" w:rsidRPr="00AF0CC3" w:rsidRDefault="00844B88" w:rsidP="00E73C98">
            <w:pPr>
              <w:spacing w:after="0" w:line="240" w:lineRule="auto"/>
              <w:jc w:val="right"/>
              <w:rPr>
                <w:rFonts w:ascii="Times New Roman" w:eastAsia="Times New Roman" w:hAnsi="Times New Roman" w:cs="Times New Roman"/>
                <w:color w:val="000000" w:themeColor="text1"/>
                <w:kern w:val="0"/>
                <w14:ligatures w14:val="none"/>
              </w:rPr>
            </w:pPr>
            <w:r w:rsidRPr="00AF0CC3">
              <w:rPr>
                <w:rFonts w:ascii="Times New Roman" w:eastAsia="Times New Roman" w:hAnsi="Times New Roman" w:cs="Times New Roman"/>
                <w:b/>
                <w:bCs/>
                <w:color w:val="000000" w:themeColor="text1"/>
                <w:kern w:val="0"/>
                <w14:ligatures w14:val="none"/>
              </w:rPr>
              <w:t>51</w:t>
            </w:r>
          </w:p>
        </w:tc>
        <w:tc>
          <w:tcPr>
            <w:tcW w:w="0" w:type="auto"/>
            <w:vAlign w:val="center"/>
            <w:hideMark/>
          </w:tcPr>
          <w:p w14:paraId="57203434" w14:textId="77777777" w:rsidR="00844B88" w:rsidRPr="00AF0CC3" w:rsidRDefault="00844B88" w:rsidP="00E73C98">
            <w:pPr>
              <w:spacing w:after="0" w:line="240" w:lineRule="auto"/>
              <w:jc w:val="right"/>
              <w:rPr>
                <w:rFonts w:ascii="Times New Roman" w:eastAsia="Times New Roman" w:hAnsi="Times New Roman" w:cs="Times New Roman"/>
                <w:color w:val="000000" w:themeColor="text1"/>
                <w:kern w:val="0"/>
                <w14:ligatures w14:val="none"/>
              </w:rPr>
            </w:pPr>
            <w:r w:rsidRPr="00AF0CC3">
              <w:rPr>
                <w:rFonts w:ascii="Times New Roman" w:eastAsia="Times New Roman" w:hAnsi="Times New Roman" w:cs="Times New Roman"/>
                <w:b/>
                <w:bCs/>
                <w:color w:val="000000" w:themeColor="text1"/>
                <w:kern w:val="0"/>
                <w14:ligatures w14:val="none"/>
              </w:rPr>
              <w:t>32</w:t>
            </w:r>
          </w:p>
        </w:tc>
        <w:tc>
          <w:tcPr>
            <w:tcW w:w="0" w:type="auto"/>
            <w:vAlign w:val="center"/>
            <w:hideMark/>
          </w:tcPr>
          <w:p w14:paraId="097F9C5D" w14:textId="77777777" w:rsidR="00844B88" w:rsidRPr="00AF0CC3" w:rsidRDefault="00844B88" w:rsidP="00E73C98">
            <w:pPr>
              <w:spacing w:after="0" w:line="240" w:lineRule="auto"/>
              <w:jc w:val="right"/>
              <w:rPr>
                <w:rFonts w:ascii="Times New Roman" w:eastAsia="Times New Roman" w:hAnsi="Times New Roman" w:cs="Times New Roman"/>
                <w:color w:val="000000" w:themeColor="text1"/>
                <w:kern w:val="0"/>
                <w14:ligatures w14:val="none"/>
              </w:rPr>
            </w:pPr>
            <w:r w:rsidRPr="00AF0CC3">
              <w:rPr>
                <w:rFonts w:ascii="Times New Roman" w:eastAsia="Times New Roman" w:hAnsi="Times New Roman" w:cs="Times New Roman"/>
                <w:b/>
                <w:bCs/>
                <w:color w:val="000000" w:themeColor="text1"/>
                <w:kern w:val="0"/>
                <w14:ligatures w14:val="none"/>
              </w:rPr>
              <w:t>19</w:t>
            </w:r>
          </w:p>
        </w:tc>
      </w:tr>
    </w:tbl>
    <w:p w14:paraId="797E560C" w14:textId="77777777" w:rsidR="00844B88" w:rsidRPr="00AF0CC3" w:rsidRDefault="00844B88" w:rsidP="00844B88">
      <w:pPr>
        <w:rPr>
          <w:rFonts w:ascii="Times New Roman" w:hAnsi="Times New Roman" w:cs="Times New Roman"/>
          <w:color w:val="000000" w:themeColor="text1"/>
        </w:rPr>
      </w:pPr>
    </w:p>
    <w:p w14:paraId="7EB81473" w14:textId="77777777" w:rsidR="00844B88" w:rsidRPr="00AF0CC3" w:rsidRDefault="00844B88" w:rsidP="00844B88">
      <w:pPr>
        <w:rPr>
          <w:rFonts w:ascii="Times New Roman" w:hAnsi="Times New Roman" w:cs="Times New Roman"/>
          <w:color w:val="000000" w:themeColor="text1"/>
        </w:rPr>
      </w:pPr>
      <w:r w:rsidRPr="00AF0CC3">
        <w:rPr>
          <w:rFonts w:ascii="Times New Roman" w:hAnsi="Times New Roman" w:cs="Times New Roman"/>
          <w:color w:val="000000" w:themeColor="text1"/>
        </w:rPr>
        <w:t>The resulting analytical sample, therefore, consisted of 32 projects with sufficient documentary evidence to support standardized governance assessment and comparative analysis. The implications of documentation accessibility for governance transparency, accountability, and decentralized implementation systems are examined in Section 4.9.5.</w:t>
      </w:r>
    </w:p>
    <w:p w14:paraId="76F576FC" w14:textId="77777777" w:rsidR="00844B88" w:rsidRPr="00AF0CC3" w:rsidRDefault="00844B88" w:rsidP="00844B88">
      <w:pPr>
        <w:rPr>
          <w:rFonts w:ascii="Times New Roman" w:hAnsi="Times New Roman" w:cs="Times New Roman"/>
          <w:color w:val="000000" w:themeColor="text1"/>
        </w:rPr>
      </w:pPr>
      <w:r w:rsidRPr="00AF0CC3">
        <w:rPr>
          <w:rFonts w:ascii="Times New Roman" w:hAnsi="Times New Roman" w:cs="Times New Roman"/>
          <w:color w:val="000000" w:themeColor="text1"/>
        </w:rPr>
        <w:lastRenderedPageBreak/>
        <w:t>Because documentation accessibility emerged as a significant institutional finding during governance assessment, a dedicated analysis of documentation accessibility and decentralized governance capacity is presented in Section 4.7.</w:t>
      </w:r>
    </w:p>
    <w:p w14:paraId="7ABCB709" w14:textId="77777777" w:rsidR="00BE29F5" w:rsidRPr="00AF0CC3" w:rsidRDefault="00BE29F5" w:rsidP="00844B88">
      <w:pPr>
        <w:rPr>
          <w:rFonts w:ascii="Times New Roman" w:hAnsi="Times New Roman" w:cs="Times New Roman"/>
          <w:color w:val="000000" w:themeColor="text1"/>
        </w:rPr>
      </w:pPr>
    </w:p>
    <w:p w14:paraId="41E2A173" w14:textId="0E6A4D7B" w:rsidR="00844B88" w:rsidRPr="00AF0CC3" w:rsidRDefault="00844B88" w:rsidP="00844B88">
      <w:pPr>
        <w:pStyle w:val="Heading3"/>
        <w:rPr>
          <w:rFonts w:cs="Times New Roman"/>
          <w:b w:val="0"/>
          <w:bCs/>
          <w:color w:val="000000" w:themeColor="text1"/>
          <w:szCs w:val="24"/>
        </w:rPr>
      </w:pPr>
      <w:bookmarkStart w:id="335" w:name="_Toc232375974"/>
      <w:bookmarkStart w:id="336" w:name="_Toc234344841"/>
      <w:bookmarkStart w:id="337" w:name="_Toc234489073"/>
      <w:r w:rsidRPr="00AF0CC3">
        <w:rPr>
          <w:rFonts w:cs="Times New Roman"/>
          <w:bCs/>
          <w:color w:val="000000" w:themeColor="text1"/>
          <w:szCs w:val="24"/>
        </w:rPr>
        <w:t>Governance Quality Distribution</w:t>
      </w:r>
      <w:bookmarkEnd w:id="335"/>
      <w:bookmarkEnd w:id="336"/>
      <w:bookmarkEnd w:id="337"/>
    </w:p>
    <w:p w14:paraId="4B956EE9" w14:textId="77777777" w:rsidR="00BE29F5" w:rsidRPr="00AF0CC3" w:rsidRDefault="00BE29F5" w:rsidP="00BE29F5">
      <w:pPr>
        <w:rPr>
          <w:rFonts w:ascii="Times New Roman" w:hAnsi="Times New Roman" w:cs="Times New Roman"/>
          <w:color w:val="000000" w:themeColor="text1"/>
        </w:rPr>
      </w:pPr>
    </w:p>
    <w:p w14:paraId="2E589504" w14:textId="77777777" w:rsidR="00844B88" w:rsidRPr="00AF0CC3" w:rsidRDefault="00844B88" w:rsidP="00844B88">
      <w:pPr>
        <w:rPr>
          <w:rFonts w:ascii="Times New Roman" w:hAnsi="Times New Roman" w:cs="Times New Roman"/>
          <w:color w:val="000000" w:themeColor="text1"/>
        </w:rPr>
      </w:pPr>
      <w:r w:rsidRPr="00AF0CC3">
        <w:rPr>
          <w:rFonts w:ascii="Times New Roman" w:hAnsi="Times New Roman" w:cs="Times New Roman"/>
          <w:color w:val="000000" w:themeColor="text1"/>
        </w:rPr>
        <w:t>The Governance Quality Index (GQI) was derived from nine governance dimensions reflecting key stages of the infrastructure project lifecycle: feasibility study completeness, land acquisition readiness, procurement transparency, risk allocation clarity, contract supervision capacity, payment reliability, audit responsiveness, institutional coordination, and documentation transparency and completeness.</w:t>
      </w:r>
    </w:p>
    <w:p w14:paraId="175984EF" w14:textId="77777777" w:rsidR="00844B88" w:rsidRPr="00AF0CC3" w:rsidRDefault="00844B88" w:rsidP="00844B88">
      <w:pPr>
        <w:rPr>
          <w:rFonts w:ascii="Times New Roman" w:hAnsi="Times New Roman" w:cs="Times New Roman"/>
          <w:color w:val="000000" w:themeColor="text1"/>
        </w:rPr>
      </w:pPr>
      <w:r w:rsidRPr="00AF0CC3">
        <w:rPr>
          <w:rFonts w:ascii="Times New Roman" w:hAnsi="Times New Roman" w:cs="Times New Roman"/>
          <w:color w:val="000000" w:themeColor="text1"/>
        </w:rPr>
        <w:t>Figure 4.1 presents the distribution of Governance Quality Index scores across the sampled infrastructure projects.</w:t>
      </w:r>
    </w:p>
    <w:p w14:paraId="732B1284" w14:textId="77777777" w:rsidR="00AB48E8" w:rsidRPr="00AF0CC3" w:rsidRDefault="00844B88" w:rsidP="00AB48E8">
      <w:pPr>
        <w:keepNext/>
        <w:rPr>
          <w:rFonts w:ascii="Times New Roman" w:hAnsi="Times New Roman" w:cs="Times New Roman"/>
        </w:rPr>
      </w:pPr>
      <w:r w:rsidRPr="00AF0CC3">
        <w:rPr>
          <w:rFonts w:ascii="Times New Roman" w:hAnsi="Times New Roman" w:cs="Times New Roman"/>
          <w:noProof/>
          <w:color w:val="000000" w:themeColor="text1"/>
        </w:rPr>
        <w:drawing>
          <wp:inline distT="0" distB="0" distL="0" distR="0" wp14:anchorId="42F55E12" wp14:editId="5A26BC58">
            <wp:extent cx="4495800" cy="2997200"/>
            <wp:effectExtent l="0" t="0" r="0" b="0"/>
            <wp:docPr id="1119022143"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4495800" cy="2997200"/>
                    </a:xfrm>
                    <a:prstGeom prst="rect">
                      <a:avLst/>
                    </a:prstGeom>
                    <a:noFill/>
                  </pic:spPr>
                </pic:pic>
              </a:graphicData>
            </a:graphic>
          </wp:inline>
        </w:drawing>
      </w:r>
    </w:p>
    <w:p w14:paraId="1A378F2D" w14:textId="2BA057C8" w:rsidR="00844B88" w:rsidRPr="00AF0CC3" w:rsidRDefault="00AB48E8" w:rsidP="00AB48E8">
      <w:pPr>
        <w:pStyle w:val="Caption"/>
        <w:rPr>
          <w:rFonts w:ascii="Times New Roman" w:hAnsi="Times New Roman" w:cs="Times New Roman"/>
          <w:color w:val="000000" w:themeColor="text1"/>
          <w:sz w:val="24"/>
          <w:szCs w:val="24"/>
        </w:rPr>
      </w:pPr>
      <w:bookmarkStart w:id="338" w:name="_Toc234481929"/>
      <w:r w:rsidRPr="00AF0CC3">
        <w:rPr>
          <w:rFonts w:ascii="Times New Roman" w:hAnsi="Times New Roman" w:cs="Times New Roman"/>
          <w:sz w:val="24"/>
          <w:szCs w:val="24"/>
        </w:rPr>
        <w:t xml:space="preserve">Figure </w:t>
      </w:r>
      <w:r w:rsidR="00052921" w:rsidRPr="00AF0CC3">
        <w:rPr>
          <w:rFonts w:ascii="Times New Roman" w:hAnsi="Times New Roman" w:cs="Times New Roman"/>
          <w:sz w:val="24"/>
          <w:szCs w:val="24"/>
        </w:rPr>
        <w:fldChar w:fldCharType="begin"/>
      </w:r>
      <w:r w:rsidR="00052921" w:rsidRPr="00AF0CC3">
        <w:rPr>
          <w:rFonts w:ascii="Times New Roman" w:hAnsi="Times New Roman" w:cs="Times New Roman"/>
          <w:sz w:val="24"/>
          <w:szCs w:val="24"/>
        </w:rPr>
        <w:instrText xml:space="preserve"> STYLEREF 1 \s </w:instrText>
      </w:r>
      <w:r w:rsidR="00052921" w:rsidRPr="00AF0CC3">
        <w:rPr>
          <w:rFonts w:ascii="Times New Roman" w:hAnsi="Times New Roman" w:cs="Times New Roman"/>
          <w:sz w:val="24"/>
          <w:szCs w:val="24"/>
        </w:rPr>
        <w:fldChar w:fldCharType="separate"/>
      </w:r>
      <w:r w:rsidR="00052921" w:rsidRPr="00AF0CC3">
        <w:rPr>
          <w:rFonts w:ascii="Times New Roman" w:hAnsi="Times New Roman" w:cs="Times New Roman"/>
          <w:noProof/>
          <w:sz w:val="24"/>
          <w:szCs w:val="24"/>
        </w:rPr>
        <w:t>4</w:t>
      </w:r>
      <w:r w:rsidR="00052921" w:rsidRPr="00AF0CC3">
        <w:rPr>
          <w:rFonts w:ascii="Times New Roman" w:hAnsi="Times New Roman" w:cs="Times New Roman"/>
          <w:noProof/>
          <w:sz w:val="24"/>
          <w:szCs w:val="24"/>
        </w:rPr>
        <w:fldChar w:fldCharType="end"/>
      </w:r>
      <w:r w:rsidR="00BF2261" w:rsidRPr="00AF0CC3">
        <w:rPr>
          <w:rFonts w:ascii="Times New Roman" w:hAnsi="Times New Roman" w:cs="Times New Roman"/>
          <w:sz w:val="24"/>
          <w:szCs w:val="24"/>
        </w:rPr>
        <w:t>.</w:t>
      </w:r>
      <w:r w:rsidR="00052921" w:rsidRPr="00AF0CC3">
        <w:rPr>
          <w:rFonts w:ascii="Times New Roman" w:hAnsi="Times New Roman" w:cs="Times New Roman"/>
          <w:sz w:val="24"/>
          <w:szCs w:val="24"/>
        </w:rPr>
        <w:fldChar w:fldCharType="begin"/>
      </w:r>
      <w:r w:rsidR="00052921" w:rsidRPr="00AF0CC3">
        <w:rPr>
          <w:rFonts w:ascii="Times New Roman" w:hAnsi="Times New Roman" w:cs="Times New Roman"/>
          <w:sz w:val="24"/>
          <w:szCs w:val="24"/>
        </w:rPr>
        <w:instrText xml:space="preserve"> SEQ Figure \* ARABIC \s 1 </w:instrText>
      </w:r>
      <w:r w:rsidR="00052921" w:rsidRPr="00AF0CC3">
        <w:rPr>
          <w:rFonts w:ascii="Times New Roman" w:hAnsi="Times New Roman" w:cs="Times New Roman"/>
          <w:sz w:val="24"/>
          <w:szCs w:val="24"/>
        </w:rPr>
        <w:fldChar w:fldCharType="separate"/>
      </w:r>
      <w:r w:rsidR="00052921" w:rsidRPr="00AF0CC3">
        <w:rPr>
          <w:rFonts w:ascii="Times New Roman" w:hAnsi="Times New Roman" w:cs="Times New Roman"/>
          <w:noProof/>
          <w:sz w:val="24"/>
          <w:szCs w:val="24"/>
        </w:rPr>
        <w:t>1</w:t>
      </w:r>
      <w:r w:rsidR="00052921" w:rsidRPr="00AF0CC3">
        <w:rPr>
          <w:rFonts w:ascii="Times New Roman" w:hAnsi="Times New Roman" w:cs="Times New Roman"/>
          <w:noProof/>
          <w:sz w:val="24"/>
          <w:szCs w:val="24"/>
        </w:rPr>
        <w:fldChar w:fldCharType="end"/>
      </w:r>
      <w:r w:rsidRPr="00AF0CC3">
        <w:rPr>
          <w:rFonts w:ascii="Times New Roman" w:hAnsi="Times New Roman" w:cs="Times New Roman"/>
          <w:sz w:val="24"/>
          <w:szCs w:val="24"/>
        </w:rPr>
        <w:t>Distribution of Governance Quality Index (GQI) Scores Across Sampled Projects</w:t>
      </w:r>
      <w:bookmarkEnd w:id="338"/>
    </w:p>
    <w:p w14:paraId="607C7F7F" w14:textId="77777777" w:rsidR="00844B88" w:rsidRPr="00AF0CC3" w:rsidRDefault="00844B88" w:rsidP="00844B88">
      <w:pPr>
        <w:rPr>
          <w:rFonts w:ascii="Times New Roman" w:hAnsi="Times New Roman" w:cs="Times New Roman"/>
          <w:color w:val="000000" w:themeColor="text1"/>
        </w:rPr>
      </w:pPr>
    </w:p>
    <w:p w14:paraId="23341649" w14:textId="77777777" w:rsidR="00844B88" w:rsidRPr="00AF0CC3" w:rsidRDefault="00844B88" w:rsidP="00844B88">
      <w:pPr>
        <w:rPr>
          <w:rFonts w:ascii="Times New Roman" w:hAnsi="Times New Roman" w:cs="Times New Roman"/>
          <w:color w:val="000000" w:themeColor="text1"/>
        </w:rPr>
      </w:pPr>
      <w:r w:rsidRPr="00AF0CC3">
        <w:rPr>
          <w:rFonts w:ascii="Times New Roman" w:hAnsi="Times New Roman" w:cs="Times New Roman"/>
          <w:color w:val="000000" w:themeColor="text1"/>
        </w:rPr>
        <w:t>Figure 4.1 demonstrates that governance quality varied considerably across the sampled projects. While several projects achieved relatively high GQI scores, others recorded substantially lower scores, indicating differences in governance arrangements and implementation environments within the sample.</w:t>
      </w:r>
    </w:p>
    <w:p w14:paraId="2047BE9F" w14:textId="77777777" w:rsidR="00844B88" w:rsidRPr="00AF0CC3" w:rsidRDefault="00844B88" w:rsidP="00844B88">
      <w:pPr>
        <w:rPr>
          <w:rFonts w:ascii="Times New Roman" w:hAnsi="Times New Roman" w:cs="Times New Roman"/>
          <w:color w:val="000000" w:themeColor="text1"/>
        </w:rPr>
      </w:pPr>
    </w:p>
    <w:p w14:paraId="7B6893E7" w14:textId="77777777" w:rsidR="00844B88" w:rsidRPr="00AF0CC3" w:rsidRDefault="00844B88" w:rsidP="00844B88">
      <w:pPr>
        <w:rPr>
          <w:rFonts w:ascii="Times New Roman" w:hAnsi="Times New Roman" w:cs="Times New Roman"/>
          <w:color w:val="000000" w:themeColor="text1"/>
        </w:rPr>
      </w:pPr>
      <w:r w:rsidRPr="00AF0CC3">
        <w:rPr>
          <w:rFonts w:ascii="Times New Roman" w:hAnsi="Times New Roman" w:cs="Times New Roman"/>
          <w:color w:val="000000" w:themeColor="text1"/>
        </w:rPr>
        <w:lastRenderedPageBreak/>
        <w:t>The distribution confirms the presence of sufficient variation in governance quality to support subsequent comparative, correlational, and regression-based analyses. Such variation is important because it enables examination of whether differences in governance arrangements are associated with variation in infrastructure delivery outcomes.</w:t>
      </w:r>
    </w:p>
    <w:p w14:paraId="75FF0352" w14:textId="77777777" w:rsidR="00844B88" w:rsidRPr="00AF0CC3" w:rsidRDefault="00844B88" w:rsidP="00844B88">
      <w:pPr>
        <w:rPr>
          <w:rFonts w:ascii="Times New Roman" w:hAnsi="Times New Roman" w:cs="Times New Roman"/>
          <w:color w:val="000000" w:themeColor="text1"/>
        </w:rPr>
      </w:pPr>
    </w:p>
    <w:p w14:paraId="586167C8" w14:textId="1FC9F9C8" w:rsidR="00844B88" w:rsidRPr="00AF0CC3" w:rsidRDefault="00844B88" w:rsidP="00BE29F5">
      <w:pPr>
        <w:rPr>
          <w:rFonts w:ascii="Times New Roman" w:hAnsi="Times New Roman" w:cs="Times New Roman"/>
          <w:color w:val="000000" w:themeColor="text1"/>
        </w:rPr>
      </w:pPr>
      <w:r w:rsidRPr="00AF0CC3">
        <w:rPr>
          <w:rFonts w:ascii="Times New Roman" w:hAnsi="Times New Roman" w:cs="Times New Roman"/>
          <w:color w:val="000000" w:themeColor="text1"/>
        </w:rPr>
        <w:t>The observed spread of GQI scores indicates that infrastructure projects operating within a common national policy and regulatory environment may nevertheless exhibit markedly different governance characteristics. This pattern highlights the importance of project-level governance arrangements as a distinct area of investigation within infrastructure delivery systems.</w:t>
      </w:r>
    </w:p>
    <w:p w14:paraId="28A66579" w14:textId="77777777" w:rsidR="00BE29F5" w:rsidRPr="00AF0CC3" w:rsidRDefault="00BE29F5" w:rsidP="00BE29F5">
      <w:pPr>
        <w:rPr>
          <w:rFonts w:ascii="Times New Roman" w:hAnsi="Times New Roman" w:cs="Times New Roman"/>
          <w:color w:val="000000" w:themeColor="text1"/>
        </w:rPr>
      </w:pPr>
    </w:p>
    <w:p w14:paraId="2BD7521A" w14:textId="5370C451" w:rsidR="00844B88" w:rsidRPr="00AF0CC3" w:rsidRDefault="00844B88" w:rsidP="00844B88">
      <w:pPr>
        <w:pStyle w:val="Heading3"/>
        <w:rPr>
          <w:rFonts w:cs="Times New Roman"/>
          <w:b w:val="0"/>
          <w:bCs/>
          <w:color w:val="000000" w:themeColor="text1"/>
          <w:szCs w:val="24"/>
        </w:rPr>
      </w:pPr>
      <w:bookmarkStart w:id="339" w:name="_Toc232375975"/>
      <w:bookmarkStart w:id="340" w:name="_Toc234344842"/>
      <w:bookmarkStart w:id="341" w:name="_Toc234489074"/>
      <w:r w:rsidRPr="00AF0CC3">
        <w:rPr>
          <w:rFonts w:cs="Times New Roman"/>
          <w:bCs/>
          <w:color w:val="000000" w:themeColor="text1"/>
          <w:szCs w:val="24"/>
        </w:rPr>
        <w:t>Governance Component Scores</w:t>
      </w:r>
      <w:bookmarkEnd w:id="339"/>
      <w:bookmarkEnd w:id="340"/>
      <w:bookmarkEnd w:id="341"/>
    </w:p>
    <w:p w14:paraId="7E757F3E" w14:textId="77777777" w:rsidR="00844B88" w:rsidRPr="00AF0CC3" w:rsidRDefault="00844B88" w:rsidP="00844B88">
      <w:pPr>
        <w:rPr>
          <w:rFonts w:ascii="Times New Roman" w:hAnsi="Times New Roman" w:cs="Times New Roman"/>
          <w:color w:val="000000" w:themeColor="text1"/>
        </w:rPr>
      </w:pPr>
    </w:p>
    <w:p w14:paraId="7C9F5885" w14:textId="6D608D6D" w:rsidR="00844B88" w:rsidRPr="00AF0CC3" w:rsidRDefault="00844B88" w:rsidP="00844B88">
      <w:pPr>
        <w:rPr>
          <w:rFonts w:ascii="Times New Roman" w:hAnsi="Times New Roman" w:cs="Times New Roman"/>
          <w:color w:val="000000" w:themeColor="text1"/>
        </w:rPr>
      </w:pPr>
      <w:r w:rsidRPr="00AF0CC3">
        <w:rPr>
          <w:rFonts w:ascii="Times New Roman" w:hAnsi="Times New Roman" w:cs="Times New Roman"/>
          <w:color w:val="000000" w:themeColor="text1"/>
        </w:rPr>
        <w:t>Table 4</w:t>
      </w:r>
      <w:r w:rsidR="00A13A05" w:rsidRPr="00AF0CC3">
        <w:rPr>
          <w:rFonts w:ascii="Times New Roman" w:hAnsi="Times New Roman" w:cs="Times New Roman"/>
          <w:color w:val="000000" w:themeColor="text1"/>
        </w:rPr>
        <w:t>-</w:t>
      </w:r>
      <w:r w:rsidRPr="00AF0CC3">
        <w:rPr>
          <w:rFonts w:ascii="Times New Roman" w:hAnsi="Times New Roman" w:cs="Times New Roman"/>
          <w:color w:val="000000" w:themeColor="text1"/>
        </w:rPr>
        <w:t>3 presents the average scores for the nine governance components used in constructing the Governance Quality Index.</w:t>
      </w:r>
    </w:p>
    <w:p w14:paraId="72CF7AB6" w14:textId="74F1F5B1" w:rsidR="00A13A05" w:rsidRPr="00AF0CC3" w:rsidRDefault="00A13A05" w:rsidP="00A13A05">
      <w:pPr>
        <w:pStyle w:val="Caption"/>
        <w:keepNext/>
        <w:rPr>
          <w:rFonts w:ascii="Times New Roman" w:hAnsi="Times New Roman" w:cs="Times New Roman"/>
          <w:sz w:val="24"/>
          <w:szCs w:val="24"/>
        </w:rPr>
      </w:pPr>
      <w:bookmarkStart w:id="342" w:name="_Toc234437371"/>
      <w:r w:rsidRPr="00AF0CC3">
        <w:rPr>
          <w:rFonts w:ascii="Times New Roman" w:hAnsi="Times New Roman" w:cs="Times New Roman"/>
          <w:sz w:val="24"/>
          <w:szCs w:val="24"/>
        </w:rPr>
        <w:t xml:space="preserve">Table </w:t>
      </w:r>
      <w:r w:rsidR="007F4206" w:rsidRPr="00AF0CC3">
        <w:rPr>
          <w:rFonts w:ascii="Times New Roman" w:hAnsi="Times New Roman" w:cs="Times New Roman"/>
          <w:sz w:val="24"/>
          <w:szCs w:val="24"/>
        </w:rPr>
        <w:fldChar w:fldCharType="begin"/>
      </w:r>
      <w:r w:rsidR="007F4206" w:rsidRPr="00AF0CC3">
        <w:rPr>
          <w:rFonts w:ascii="Times New Roman" w:hAnsi="Times New Roman" w:cs="Times New Roman"/>
          <w:sz w:val="24"/>
          <w:szCs w:val="24"/>
        </w:rPr>
        <w:instrText xml:space="preserve"> STYLEREF 1 \s </w:instrText>
      </w:r>
      <w:r w:rsidR="007F4206" w:rsidRPr="00AF0CC3">
        <w:rPr>
          <w:rFonts w:ascii="Times New Roman" w:hAnsi="Times New Roman" w:cs="Times New Roman"/>
          <w:sz w:val="24"/>
          <w:szCs w:val="24"/>
        </w:rPr>
        <w:fldChar w:fldCharType="separate"/>
      </w:r>
      <w:r w:rsidR="007F4206" w:rsidRPr="00AF0CC3">
        <w:rPr>
          <w:rFonts w:ascii="Times New Roman" w:hAnsi="Times New Roman" w:cs="Times New Roman"/>
          <w:noProof/>
          <w:sz w:val="24"/>
          <w:szCs w:val="24"/>
        </w:rPr>
        <w:t>4</w:t>
      </w:r>
      <w:r w:rsidR="007F4206" w:rsidRPr="00AF0CC3">
        <w:rPr>
          <w:rFonts w:ascii="Times New Roman" w:hAnsi="Times New Roman" w:cs="Times New Roman"/>
          <w:noProof/>
          <w:sz w:val="24"/>
          <w:szCs w:val="24"/>
        </w:rPr>
        <w:fldChar w:fldCharType="end"/>
      </w:r>
      <w:r w:rsidR="007F4206" w:rsidRPr="00AF0CC3">
        <w:rPr>
          <w:rFonts w:ascii="Times New Roman" w:hAnsi="Times New Roman" w:cs="Times New Roman"/>
          <w:sz w:val="24"/>
          <w:szCs w:val="24"/>
        </w:rPr>
        <w:noBreakHyphen/>
      </w:r>
      <w:r w:rsidR="007F4206" w:rsidRPr="00AF0CC3">
        <w:rPr>
          <w:rFonts w:ascii="Times New Roman" w:hAnsi="Times New Roman" w:cs="Times New Roman"/>
          <w:sz w:val="24"/>
          <w:szCs w:val="24"/>
        </w:rPr>
        <w:fldChar w:fldCharType="begin"/>
      </w:r>
      <w:r w:rsidR="007F4206" w:rsidRPr="00AF0CC3">
        <w:rPr>
          <w:rFonts w:ascii="Times New Roman" w:hAnsi="Times New Roman" w:cs="Times New Roman"/>
          <w:sz w:val="24"/>
          <w:szCs w:val="24"/>
        </w:rPr>
        <w:instrText xml:space="preserve"> SEQ Table \* ARABIC \s 1 </w:instrText>
      </w:r>
      <w:r w:rsidR="007F4206" w:rsidRPr="00AF0CC3">
        <w:rPr>
          <w:rFonts w:ascii="Times New Roman" w:hAnsi="Times New Roman" w:cs="Times New Roman"/>
          <w:sz w:val="24"/>
          <w:szCs w:val="24"/>
        </w:rPr>
        <w:fldChar w:fldCharType="separate"/>
      </w:r>
      <w:r w:rsidR="007F4206" w:rsidRPr="00AF0CC3">
        <w:rPr>
          <w:rFonts w:ascii="Times New Roman" w:hAnsi="Times New Roman" w:cs="Times New Roman"/>
          <w:noProof/>
          <w:sz w:val="24"/>
          <w:szCs w:val="24"/>
        </w:rPr>
        <w:t>3</w:t>
      </w:r>
      <w:r w:rsidR="007F4206" w:rsidRPr="00AF0CC3">
        <w:rPr>
          <w:rFonts w:ascii="Times New Roman" w:hAnsi="Times New Roman" w:cs="Times New Roman"/>
          <w:noProof/>
          <w:sz w:val="24"/>
          <w:szCs w:val="24"/>
        </w:rPr>
        <w:fldChar w:fldCharType="end"/>
      </w:r>
      <w:r w:rsidRPr="00AF0CC3">
        <w:rPr>
          <w:rFonts w:ascii="Times New Roman" w:hAnsi="Times New Roman" w:cs="Times New Roman"/>
          <w:sz w:val="24"/>
          <w:szCs w:val="24"/>
        </w:rPr>
        <w:t xml:space="preserve"> Mean Governance Component Scores</w:t>
      </w:r>
      <w:bookmarkEnd w:id="342"/>
    </w:p>
    <w:tbl>
      <w:tblPr>
        <w:tblW w:w="7645" w:type="dxa"/>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3701"/>
        <w:gridCol w:w="3944"/>
      </w:tblGrid>
      <w:tr w:rsidR="00844B88" w:rsidRPr="00AF0CC3" w14:paraId="225B0E2B" w14:textId="77777777" w:rsidTr="00E73C98">
        <w:trPr>
          <w:trHeight w:val="61"/>
          <w:tblHeader/>
          <w:tblCellSpacing w:w="15" w:type="dxa"/>
        </w:trPr>
        <w:tc>
          <w:tcPr>
            <w:tcW w:w="0" w:type="auto"/>
            <w:vAlign w:val="center"/>
            <w:hideMark/>
          </w:tcPr>
          <w:p w14:paraId="7AF2F6ED" w14:textId="77777777" w:rsidR="00844B88" w:rsidRPr="00AF0CC3" w:rsidRDefault="00844B88" w:rsidP="00E73C98">
            <w:pPr>
              <w:spacing w:after="0" w:line="240" w:lineRule="auto"/>
              <w:jc w:val="center"/>
              <w:rPr>
                <w:rFonts w:ascii="Times New Roman" w:eastAsia="Times New Roman" w:hAnsi="Times New Roman" w:cs="Times New Roman"/>
                <w:b/>
                <w:bCs/>
                <w:color w:val="000000" w:themeColor="text1"/>
                <w:kern w:val="0"/>
                <w14:ligatures w14:val="none"/>
              </w:rPr>
            </w:pPr>
            <w:r w:rsidRPr="00AF0CC3">
              <w:rPr>
                <w:rFonts w:ascii="Times New Roman" w:eastAsia="Times New Roman" w:hAnsi="Times New Roman" w:cs="Times New Roman"/>
                <w:b/>
                <w:bCs/>
                <w:color w:val="000000" w:themeColor="text1"/>
                <w:kern w:val="0"/>
                <w14:ligatures w14:val="none"/>
              </w:rPr>
              <w:t>Governance Component</w:t>
            </w:r>
          </w:p>
        </w:tc>
        <w:tc>
          <w:tcPr>
            <w:tcW w:w="3899" w:type="dxa"/>
            <w:vAlign w:val="center"/>
            <w:hideMark/>
          </w:tcPr>
          <w:p w14:paraId="55F7E6B8" w14:textId="77777777" w:rsidR="00844B88" w:rsidRPr="00AF0CC3" w:rsidRDefault="00844B88" w:rsidP="00E73C98">
            <w:pPr>
              <w:spacing w:after="0" w:line="240" w:lineRule="auto"/>
              <w:jc w:val="right"/>
              <w:rPr>
                <w:rFonts w:ascii="Times New Roman" w:eastAsia="Times New Roman" w:hAnsi="Times New Roman" w:cs="Times New Roman"/>
                <w:b/>
                <w:bCs/>
                <w:color w:val="000000" w:themeColor="text1"/>
                <w:kern w:val="0"/>
                <w14:ligatures w14:val="none"/>
              </w:rPr>
            </w:pPr>
            <w:r w:rsidRPr="00AF0CC3">
              <w:rPr>
                <w:rFonts w:ascii="Times New Roman" w:eastAsia="Times New Roman" w:hAnsi="Times New Roman" w:cs="Times New Roman"/>
                <w:b/>
                <w:bCs/>
                <w:color w:val="000000" w:themeColor="text1"/>
                <w:kern w:val="0"/>
                <w14:ligatures w14:val="none"/>
              </w:rPr>
              <w:t>Mean Score</w:t>
            </w:r>
          </w:p>
        </w:tc>
      </w:tr>
      <w:tr w:rsidR="00844B88" w:rsidRPr="00AF0CC3" w14:paraId="418B4DBD" w14:textId="77777777" w:rsidTr="00E73C98">
        <w:trPr>
          <w:trHeight w:val="61"/>
          <w:tblCellSpacing w:w="15" w:type="dxa"/>
        </w:trPr>
        <w:tc>
          <w:tcPr>
            <w:tcW w:w="0" w:type="auto"/>
            <w:vAlign w:val="center"/>
            <w:hideMark/>
          </w:tcPr>
          <w:p w14:paraId="1A3B3BA0" w14:textId="77777777" w:rsidR="00844B88" w:rsidRPr="00AF0CC3" w:rsidRDefault="00844B88" w:rsidP="00E73C98">
            <w:pPr>
              <w:spacing w:after="0" w:line="240" w:lineRule="auto"/>
              <w:rPr>
                <w:rFonts w:ascii="Times New Roman" w:eastAsia="Times New Roman" w:hAnsi="Times New Roman" w:cs="Times New Roman"/>
                <w:color w:val="000000" w:themeColor="text1"/>
                <w:kern w:val="0"/>
                <w14:ligatures w14:val="none"/>
              </w:rPr>
            </w:pPr>
            <w:r w:rsidRPr="00AF0CC3">
              <w:rPr>
                <w:rFonts w:ascii="Times New Roman" w:eastAsia="Times New Roman" w:hAnsi="Times New Roman" w:cs="Times New Roman"/>
                <w:color w:val="000000" w:themeColor="text1"/>
                <w:kern w:val="0"/>
                <w14:ligatures w14:val="none"/>
              </w:rPr>
              <w:t>Audit Responsiveness</w:t>
            </w:r>
          </w:p>
        </w:tc>
        <w:tc>
          <w:tcPr>
            <w:tcW w:w="3899" w:type="dxa"/>
            <w:vAlign w:val="center"/>
            <w:hideMark/>
          </w:tcPr>
          <w:p w14:paraId="6D6B1ED9" w14:textId="77777777" w:rsidR="00844B88" w:rsidRPr="00AF0CC3" w:rsidRDefault="00844B88" w:rsidP="00E73C98">
            <w:pPr>
              <w:spacing w:after="0" w:line="240" w:lineRule="auto"/>
              <w:jc w:val="right"/>
              <w:rPr>
                <w:rFonts w:ascii="Times New Roman" w:eastAsia="Times New Roman" w:hAnsi="Times New Roman" w:cs="Times New Roman"/>
                <w:color w:val="000000" w:themeColor="text1"/>
                <w:kern w:val="0"/>
                <w14:ligatures w14:val="none"/>
              </w:rPr>
            </w:pPr>
            <w:r w:rsidRPr="00AF0CC3">
              <w:rPr>
                <w:rFonts w:ascii="Times New Roman" w:eastAsia="Times New Roman" w:hAnsi="Times New Roman" w:cs="Times New Roman"/>
                <w:color w:val="000000" w:themeColor="text1"/>
                <w:kern w:val="0"/>
                <w14:ligatures w14:val="none"/>
              </w:rPr>
              <w:t>0.839</w:t>
            </w:r>
          </w:p>
        </w:tc>
      </w:tr>
      <w:tr w:rsidR="00844B88" w:rsidRPr="00AF0CC3" w14:paraId="2461DB7F" w14:textId="77777777" w:rsidTr="00E73C98">
        <w:trPr>
          <w:trHeight w:val="61"/>
          <w:tblCellSpacing w:w="15" w:type="dxa"/>
        </w:trPr>
        <w:tc>
          <w:tcPr>
            <w:tcW w:w="0" w:type="auto"/>
            <w:vAlign w:val="center"/>
            <w:hideMark/>
          </w:tcPr>
          <w:p w14:paraId="18321C83" w14:textId="77777777" w:rsidR="00844B88" w:rsidRPr="00AF0CC3" w:rsidRDefault="00844B88" w:rsidP="00E73C98">
            <w:pPr>
              <w:spacing w:after="0" w:line="240" w:lineRule="auto"/>
              <w:rPr>
                <w:rFonts w:ascii="Times New Roman" w:eastAsia="Times New Roman" w:hAnsi="Times New Roman" w:cs="Times New Roman"/>
                <w:color w:val="000000" w:themeColor="text1"/>
                <w:kern w:val="0"/>
                <w14:ligatures w14:val="none"/>
              </w:rPr>
            </w:pPr>
            <w:r w:rsidRPr="00AF0CC3">
              <w:rPr>
                <w:rFonts w:ascii="Times New Roman" w:eastAsia="Times New Roman" w:hAnsi="Times New Roman" w:cs="Times New Roman"/>
                <w:color w:val="000000" w:themeColor="text1"/>
                <w:kern w:val="0"/>
                <w14:ligatures w14:val="none"/>
              </w:rPr>
              <w:t>Institutional Coordination</w:t>
            </w:r>
          </w:p>
        </w:tc>
        <w:tc>
          <w:tcPr>
            <w:tcW w:w="3899" w:type="dxa"/>
            <w:vAlign w:val="center"/>
            <w:hideMark/>
          </w:tcPr>
          <w:p w14:paraId="557C80B1" w14:textId="77777777" w:rsidR="00844B88" w:rsidRPr="00AF0CC3" w:rsidRDefault="00844B88" w:rsidP="00E73C98">
            <w:pPr>
              <w:spacing w:after="0" w:line="240" w:lineRule="auto"/>
              <w:jc w:val="right"/>
              <w:rPr>
                <w:rFonts w:ascii="Times New Roman" w:eastAsia="Times New Roman" w:hAnsi="Times New Roman" w:cs="Times New Roman"/>
                <w:color w:val="000000" w:themeColor="text1"/>
                <w:kern w:val="0"/>
                <w14:ligatures w14:val="none"/>
              </w:rPr>
            </w:pPr>
            <w:r w:rsidRPr="00AF0CC3">
              <w:rPr>
                <w:rFonts w:ascii="Times New Roman" w:eastAsia="Times New Roman" w:hAnsi="Times New Roman" w:cs="Times New Roman"/>
                <w:color w:val="000000" w:themeColor="text1"/>
                <w:kern w:val="0"/>
                <w14:ligatures w14:val="none"/>
              </w:rPr>
              <w:t>0.813</w:t>
            </w:r>
          </w:p>
        </w:tc>
      </w:tr>
      <w:tr w:rsidR="00844B88" w:rsidRPr="00AF0CC3" w14:paraId="24634FBC" w14:textId="77777777" w:rsidTr="00E73C98">
        <w:trPr>
          <w:trHeight w:val="56"/>
          <w:tblCellSpacing w:w="15" w:type="dxa"/>
        </w:trPr>
        <w:tc>
          <w:tcPr>
            <w:tcW w:w="0" w:type="auto"/>
            <w:vAlign w:val="center"/>
            <w:hideMark/>
          </w:tcPr>
          <w:p w14:paraId="592E5EC4" w14:textId="77777777" w:rsidR="00844B88" w:rsidRPr="00AF0CC3" w:rsidRDefault="00844B88" w:rsidP="00E73C98">
            <w:pPr>
              <w:spacing w:after="0" w:line="240" w:lineRule="auto"/>
              <w:rPr>
                <w:rFonts w:ascii="Times New Roman" w:eastAsia="Times New Roman" w:hAnsi="Times New Roman" w:cs="Times New Roman"/>
                <w:color w:val="000000" w:themeColor="text1"/>
                <w:kern w:val="0"/>
                <w14:ligatures w14:val="none"/>
              </w:rPr>
            </w:pPr>
            <w:r w:rsidRPr="00AF0CC3">
              <w:rPr>
                <w:rFonts w:ascii="Times New Roman" w:eastAsia="Times New Roman" w:hAnsi="Times New Roman" w:cs="Times New Roman"/>
                <w:color w:val="000000" w:themeColor="text1"/>
                <w:kern w:val="0"/>
                <w14:ligatures w14:val="none"/>
              </w:rPr>
              <w:t>Contract Supervision Capacity</w:t>
            </w:r>
          </w:p>
        </w:tc>
        <w:tc>
          <w:tcPr>
            <w:tcW w:w="3899" w:type="dxa"/>
            <w:vAlign w:val="center"/>
            <w:hideMark/>
          </w:tcPr>
          <w:p w14:paraId="62F677EB" w14:textId="77777777" w:rsidR="00844B88" w:rsidRPr="00AF0CC3" w:rsidRDefault="00844B88" w:rsidP="00E73C98">
            <w:pPr>
              <w:spacing w:after="0" w:line="240" w:lineRule="auto"/>
              <w:jc w:val="right"/>
              <w:rPr>
                <w:rFonts w:ascii="Times New Roman" w:eastAsia="Times New Roman" w:hAnsi="Times New Roman" w:cs="Times New Roman"/>
                <w:color w:val="000000" w:themeColor="text1"/>
                <w:kern w:val="0"/>
                <w14:ligatures w14:val="none"/>
              </w:rPr>
            </w:pPr>
            <w:r w:rsidRPr="00AF0CC3">
              <w:rPr>
                <w:rFonts w:ascii="Times New Roman" w:eastAsia="Times New Roman" w:hAnsi="Times New Roman" w:cs="Times New Roman"/>
                <w:color w:val="000000" w:themeColor="text1"/>
                <w:kern w:val="0"/>
                <w14:ligatures w14:val="none"/>
              </w:rPr>
              <w:t>0.781</w:t>
            </w:r>
          </w:p>
        </w:tc>
      </w:tr>
      <w:tr w:rsidR="00844B88" w:rsidRPr="00AF0CC3" w14:paraId="132CA230" w14:textId="77777777" w:rsidTr="00E73C98">
        <w:trPr>
          <w:trHeight w:val="67"/>
          <w:tblCellSpacing w:w="15" w:type="dxa"/>
        </w:trPr>
        <w:tc>
          <w:tcPr>
            <w:tcW w:w="0" w:type="auto"/>
            <w:vAlign w:val="center"/>
            <w:hideMark/>
          </w:tcPr>
          <w:p w14:paraId="10F69F37" w14:textId="77777777" w:rsidR="00844B88" w:rsidRPr="00AF0CC3" w:rsidRDefault="00844B88" w:rsidP="00E73C98">
            <w:pPr>
              <w:spacing w:after="0" w:line="240" w:lineRule="auto"/>
              <w:rPr>
                <w:rFonts w:ascii="Times New Roman" w:eastAsia="Times New Roman" w:hAnsi="Times New Roman" w:cs="Times New Roman"/>
                <w:color w:val="000000" w:themeColor="text1"/>
                <w:kern w:val="0"/>
                <w14:ligatures w14:val="none"/>
              </w:rPr>
            </w:pPr>
            <w:r w:rsidRPr="00AF0CC3">
              <w:rPr>
                <w:rFonts w:ascii="Times New Roman" w:eastAsia="Times New Roman" w:hAnsi="Times New Roman" w:cs="Times New Roman"/>
                <w:color w:val="000000" w:themeColor="text1"/>
                <w:kern w:val="0"/>
                <w14:ligatures w14:val="none"/>
              </w:rPr>
              <w:t>Feasibility Study Completeness</w:t>
            </w:r>
          </w:p>
        </w:tc>
        <w:tc>
          <w:tcPr>
            <w:tcW w:w="3899" w:type="dxa"/>
            <w:vAlign w:val="center"/>
            <w:hideMark/>
          </w:tcPr>
          <w:p w14:paraId="6046B222" w14:textId="77777777" w:rsidR="00844B88" w:rsidRPr="00AF0CC3" w:rsidRDefault="00844B88" w:rsidP="00E73C98">
            <w:pPr>
              <w:spacing w:after="0" w:line="240" w:lineRule="auto"/>
              <w:jc w:val="right"/>
              <w:rPr>
                <w:rFonts w:ascii="Times New Roman" w:eastAsia="Times New Roman" w:hAnsi="Times New Roman" w:cs="Times New Roman"/>
                <w:color w:val="000000" w:themeColor="text1"/>
                <w:kern w:val="0"/>
                <w14:ligatures w14:val="none"/>
              </w:rPr>
            </w:pPr>
            <w:r w:rsidRPr="00AF0CC3">
              <w:rPr>
                <w:rFonts w:ascii="Times New Roman" w:eastAsia="Times New Roman" w:hAnsi="Times New Roman" w:cs="Times New Roman"/>
                <w:color w:val="000000" w:themeColor="text1"/>
                <w:kern w:val="0"/>
                <w14:ligatures w14:val="none"/>
              </w:rPr>
              <w:t>0.734</w:t>
            </w:r>
          </w:p>
        </w:tc>
      </w:tr>
      <w:tr w:rsidR="00844B88" w:rsidRPr="00AF0CC3" w14:paraId="204EA0C8" w14:textId="77777777" w:rsidTr="00E73C98">
        <w:trPr>
          <w:trHeight w:val="61"/>
          <w:tblCellSpacing w:w="15" w:type="dxa"/>
        </w:trPr>
        <w:tc>
          <w:tcPr>
            <w:tcW w:w="0" w:type="auto"/>
            <w:vAlign w:val="center"/>
            <w:hideMark/>
          </w:tcPr>
          <w:p w14:paraId="3256CB21" w14:textId="77777777" w:rsidR="00844B88" w:rsidRPr="00AF0CC3" w:rsidRDefault="00844B88" w:rsidP="00E73C98">
            <w:pPr>
              <w:spacing w:after="0" w:line="240" w:lineRule="auto"/>
              <w:rPr>
                <w:rFonts w:ascii="Times New Roman" w:eastAsia="Times New Roman" w:hAnsi="Times New Roman" w:cs="Times New Roman"/>
                <w:color w:val="000000" w:themeColor="text1"/>
                <w:kern w:val="0"/>
                <w14:ligatures w14:val="none"/>
              </w:rPr>
            </w:pPr>
            <w:r w:rsidRPr="00AF0CC3">
              <w:rPr>
                <w:rFonts w:ascii="Times New Roman" w:eastAsia="Times New Roman" w:hAnsi="Times New Roman" w:cs="Times New Roman"/>
                <w:color w:val="000000" w:themeColor="text1"/>
                <w:kern w:val="0"/>
                <w14:ligatures w14:val="none"/>
              </w:rPr>
              <w:t>Procurement Transparency</w:t>
            </w:r>
          </w:p>
        </w:tc>
        <w:tc>
          <w:tcPr>
            <w:tcW w:w="3899" w:type="dxa"/>
            <w:vAlign w:val="center"/>
            <w:hideMark/>
          </w:tcPr>
          <w:p w14:paraId="46BB7399" w14:textId="77777777" w:rsidR="00844B88" w:rsidRPr="00AF0CC3" w:rsidRDefault="00844B88" w:rsidP="00E73C98">
            <w:pPr>
              <w:spacing w:after="0" w:line="240" w:lineRule="auto"/>
              <w:jc w:val="right"/>
              <w:rPr>
                <w:rFonts w:ascii="Times New Roman" w:eastAsia="Times New Roman" w:hAnsi="Times New Roman" w:cs="Times New Roman"/>
                <w:color w:val="000000" w:themeColor="text1"/>
                <w:kern w:val="0"/>
                <w14:ligatures w14:val="none"/>
              </w:rPr>
            </w:pPr>
            <w:r w:rsidRPr="00AF0CC3">
              <w:rPr>
                <w:rFonts w:ascii="Times New Roman" w:eastAsia="Times New Roman" w:hAnsi="Times New Roman" w:cs="Times New Roman"/>
                <w:color w:val="000000" w:themeColor="text1"/>
                <w:kern w:val="0"/>
                <w14:ligatures w14:val="none"/>
              </w:rPr>
              <w:t>0.703</w:t>
            </w:r>
          </w:p>
        </w:tc>
      </w:tr>
      <w:tr w:rsidR="00844B88" w:rsidRPr="00AF0CC3" w14:paraId="72072562" w14:textId="77777777" w:rsidTr="00E73C98">
        <w:trPr>
          <w:trHeight w:val="61"/>
          <w:tblCellSpacing w:w="15" w:type="dxa"/>
        </w:trPr>
        <w:tc>
          <w:tcPr>
            <w:tcW w:w="0" w:type="auto"/>
            <w:vAlign w:val="center"/>
            <w:hideMark/>
          </w:tcPr>
          <w:p w14:paraId="037AD73A" w14:textId="77777777" w:rsidR="00844B88" w:rsidRPr="00AF0CC3" w:rsidRDefault="00844B88" w:rsidP="00E73C98">
            <w:pPr>
              <w:spacing w:after="0" w:line="240" w:lineRule="auto"/>
              <w:rPr>
                <w:rFonts w:ascii="Times New Roman" w:eastAsia="Times New Roman" w:hAnsi="Times New Roman" w:cs="Times New Roman"/>
                <w:color w:val="000000" w:themeColor="text1"/>
                <w:kern w:val="0"/>
                <w14:ligatures w14:val="none"/>
              </w:rPr>
            </w:pPr>
            <w:r w:rsidRPr="00AF0CC3">
              <w:rPr>
                <w:rFonts w:ascii="Times New Roman" w:eastAsia="Times New Roman" w:hAnsi="Times New Roman" w:cs="Times New Roman"/>
                <w:color w:val="000000" w:themeColor="text1"/>
                <w:kern w:val="0"/>
                <w14:ligatures w14:val="none"/>
              </w:rPr>
              <w:t>Documentation Transparency</w:t>
            </w:r>
          </w:p>
        </w:tc>
        <w:tc>
          <w:tcPr>
            <w:tcW w:w="3899" w:type="dxa"/>
            <w:vAlign w:val="center"/>
            <w:hideMark/>
          </w:tcPr>
          <w:p w14:paraId="1A9F72E3" w14:textId="77777777" w:rsidR="00844B88" w:rsidRPr="00AF0CC3" w:rsidRDefault="00844B88" w:rsidP="00E73C98">
            <w:pPr>
              <w:spacing w:after="0" w:line="240" w:lineRule="auto"/>
              <w:jc w:val="right"/>
              <w:rPr>
                <w:rFonts w:ascii="Times New Roman" w:eastAsia="Times New Roman" w:hAnsi="Times New Roman" w:cs="Times New Roman"/>
                <w:color w:val="000000" w:themeColor="text1"/>
                <w:kern w:val="0"/>
                <w14:ligatures w14:val="none"/>
              </w:rPr>
            </w:pPr>
            <w:r w:rsidRPr="00AF0CC3">
              <w:rPr>
                <w:rFonts w:ascii="Times New Roman" w:eastAsia="Times New Roman" w:hAnsi="Times New Roman" w:cs="Times New Roman"/>
                <w:color w:val="000000" w:themeColor="text1"/>
                <w:kern w:val="0"/>
                <w14:ligatures w14:val="none"/>
              </w:rPr>
              <w:t>0.688</w:t>
            </w:r>
          </w:p>
        </w:tc>
      </w:tr>
      <w:tr w:rsidR="00844B88" w:rsidRPr="00AF0CC3" w14:paraId="002E96A3" w14:textId="77777777" w:rsidTr="00E73C98">
        <w:trPr>
          <w:trHeight w:val="56"/>
          <w:tblCellSpacing w:w="15" w:type="dxa"/>
        </w:trPr>
        <w:tc>
          <w:tcPr>
            <w:tcW w:w="0" w:type="auto"/>
            <w:vAlign w:val="center"/>
            <w:hideMark/>
          </w:tcPr>
          <w:p w14:paraId="17322647" w14:textId="77777777" w:rsidR="00844B88" w:rsidRPr="00AF0CC3" w:rsidRDefault="00844B88" w:rsidP="00E73C98">
            <w:pPr>
              <w:spacing w:after="0" w:line="240" w:lineRule="auto"/>
              <w:rPr>
                <w:rFonts w:ascii="Times New Roman" w:eastAsia="Times New Roman" w:hAnsi="Times New Roman" w:cs="Times New Roman"/>
                <w:color w:val="000000" w:themeColor="text1"/>
                <w:kern w:val="0"/>
                <w14:ligatures w14:val="none"/>
              </w:rPr>
            </w:pPr>
            <w:r w:rsidRPr="00AF0CC3">
              <w:rPr>
                <w:rFonts w:ascii="Times New Roman" w:eastAsia="Times New Roman" w:hAnsi="Times New Roman" w:cs="Times New Roman"/>
                <w:color w:val="000000" w:themeColor="text1"/>
                <w:kern w:val="0"/>
                <w14:ligatures w14:val="none"/>
              </w:rPr>
              <w:t>Land Acquisition Readiness</w:t>
            </w:r>
          </w:p>
        </w:tc>
        <w:tc>
          <w:tcPr>
            <w:tcW w:w="3899" w:type="dxa"/>
            <w:vAlign w:val="center"/>
            <w:hideMark/>
          </w:tcPr>
          <w:p w14:paraId="79F32710" w14:textId="77777777" w:rsidR="00844B88" w:rsidRPr="00AF0CC3" w:rsidRDefault="00844B88" w:rsidP="00E73C98">
            <w:pPr>
              <w:spacing w:after="0" w:line="240" w:lineRule="auto"/>
              <w:jc w:val="right"/>
              <w:rPr>
                <w:rFonts w:ascii="Times New Roman" w:eastAsia="Times New Roman" w:hAnsi="Times New Roman" w:cs="Times New Roman"/>
                <w:color w:val="000000" w:themeColor="text1"/>
                <w:kern w:val="0"/>
                <w14:ligatures w14:val="none"/>
              </w:rPr>
            </w:pPr>
            <w:r w:rsidRPr="00AF0CC3">
              <w:rPr>
                <w:rFonts w:ascii="Times New Roman" w:eastAsia="Times New Roman" w:hAnsi="Times New Roman" w:cs="Times New Roman"/>
                <w:color w:val="000000" w:themeColor="text1"/>
                <w:kern w:val="0"/>
                <w14:ligatures w14:val="none"/>
              </w:rPr>
              <w:t>0.656</w:t>
            </w:r>
          </w:p>
        </w:tc>
      </w:tr>
      <w:tr w:rsidR="00844B88" w:rsidRPr="00AF0CC3" w14:paraId="42959209" w14:textId="77777777" w:rsidTr="00E73C98">
        <w:trPr>
          <w:trHeight w:val="61"/>
          <w:tblCellSpacing w:w="15" w:type="dxa"/>
        </w:trPr>
        <w:tc>
          <w:tcPr>
            <w:tcW w:w="0" w:type="auto"/>
            <w:vAlign w:val="center"/>
            <w:hideMark/>
          </w:tcPr>
          <w:p w14:paraId="1655AE94" w14:textId="77777777" w:rsidR="00844B88" w:rsidRPr="00AF0CC3" w:rsidRDefault="00844B88" w:rsidP="00E73C98">
            <w:pPr>
              <w:spacing w:after="0" w:line="240" w:lineRule="auto"/>
              <w:rPr>
                <w:rFonts w:ascii="Times New Roman" w:eastAsia="Times New Roman" w:hAnsi="Times New Roman" w:cs="Times New Roman"/>
                <w:color w:val="000000" w:themeColor="text1"/>
                <w:kern w:val="0"/>
                <w14:ligatures w14:val="none"/>
              </w:rPr>
            </w:pPr>
            <w:r w:rsidRPr="00AF0CC3">
              <w:rPr>
                <w:rFonts w:ascii="Times New Roman" w:eastAsia="Times New Roman" w:hAnsi="Times New Roman" w:cs="Times New Roman"/>
                <w:color w:val="000000" w:themeColor="text1"/>
                <w:kern w:val="0"/>
                <w14:ligatures w14:val="none"/>
              </w:rPr>
              <w:t>Risk Allocation Clarity</w:t>
            </w:r>
          </w:p>
        </w:tc>
        <w:tc>
          <w:tcPr>
            <w:tcW w:w="3899" w:type="dxa"/>
            <w:vAlign w:val="center"/>
            <w:hideMark/>
          </w:tcPr>
          <w:p w14:paraId="7017228E" w14:textId="77777777" w:rsidR="00844B88" w:rsidRPr="00AF0CC3" w:rsidRDefault="00844B88" w:rsidP="00E73C98">
            <w:pPr>
              <w:spacing w:after="0" w:line="240" w:lineRule="auto"/>
              <w:jc w:val="right"/>
              <w:rPr>
                <w:rFonts w:ascii="Times New Roman" w:eastAsia="Times New Roman" w:hAnsi="Times New Roman" w:cs="Times New Roman"/>
                <w:color w:val="000000" w:themeColor="text1"/>
                <w:kern w:val="0"/>
                <w14:ligatures w14:val="none"/>
              </w:rPr>
            </w:pPr>
            <w:r w:rsidRPr="00AF0CC3">
              <w:rPr>
                <w:rFonts w:ascii="Times New Roman" w:eastAsia="Times New Roman" w:hAnsi="Times New Roman" w:cs="Times New Roman"/>
                <w:color w:val="000000" w:themeColor="text1"/>
                <w:kern w:val="0"/>
                <w14:ligatures w14:val="none"/>
              </w:rPr>
              <w:t>0.625</w:t>
            </w:r>
          </w:p>
        </w:tc>
      </w:tr>
      <w:tr w:rsidR="00844B88" w:rsidRPr="00AF0CC3" w14:paraId="2121F064" w14:textId="77777777" w:rsidTr="00E73C98">
        <w:trPr>
          <w:trHeight w:val="61"/>
          <w:tblCellSpacing w:w="15" w:type="dxa"/>
        </w:trPr>
        <w:tc>
          <w:tcPr>
            <w:tcW w:w="0" w:type="auto"/>
            <w:vAlign w:val="center"/>
            <w:hideMark/>
          </w:tcPr>
          <w:p w14:paraId="7F103743" w14:textId="77777777" w:rsidR="00844B88" w:rsidRPr="00AF0CC3" w:rsidRDefault="00844B88" w:rsidP="00E73C98">
            <w:pPr>
              <w:spacing w:after="0" w:line="240" w:lineRule="auto"/>
              <w:rPr>
                <w:rFonts w:ascii="Times New Roman" w:eastAsia="Times New Roman" w:hAnsi="Times New Roman" w:cs="Times New Roman"/>
                <w:color w:val="000000" w:themeColor="text1"/>
                <w:kern w:val="0"/>
                <w14:ligatures w14:val="none"/>
              </w:rPr>
            </w:pPr>
            <w:r w:rsidRPr="00AF0CC3">
              <w:rPr>
                <w:rFonts w:ascii="Times New Roman" w:eastAsia="Times New Roman" w:hAnsi="Times New Roman" w:cs="Times New Roman"/>
                <w:color w:val="000000" w:themeColor="text1"/>
                <w:kern w:val="0"/>
                <w14:ligatures w14:val="none"/>
              </w:rPr>
              <w:t>Payment Reliability</w:t>
            </w:r>
          </w:p>
        </w:tc>
        <w:tc>
          <w:tcPr>
            <w:tcW w:w="3899" w:type="dxa"/>
            <w:vAlign w:val="center"/>
            <w:hideMark/>
          </w:tcPr>
          <w:p w14:paraId="2C24F6EF" w14:textId="77777777" w:rsidR="00844B88" w:rsidRPr="00AF0CC3" w:rsidRDefault="00844B88" w:rsidP="00E73C98">
            <w:pPr>
              <w:spacing w:after="0" w:line="240" w:lineRule="auto"/>
              <w:jc w:val="right"/>
              <w:rPr>
                <w:rFonts w:ascii="Times New Roman" w:eastAsia="Times New Roman" w:hAnsi="Times New Roman" w:cs="Times New Roman"/>
                <w:color w:val="000000" w:themeColor="text1"/>
                <w:kern w:val="0"/>
                <w14:ligatures w14:val="none"/>
              </w:rPr>
            </w:pPr>
            <w:r w:rsidRPr="00AF0CC3">
              <w:rPr>
                <w:rFonts w:ascii="Times New Roman" w:eastAsia="Times New Roman" w:hAnsi="Times New Roman" w:cs="Times New Roman"/>
                <w:color w:val="000000" w:themeColor="text1"/>
                <w:kern w:val="0"/>
                <w14:ligatures w14:val="none"/>
              </w:rPr>
              <w:t>0.594</w:t>
            </w:r>
          </w:p>
        </w:tc>
      </w:tr>
    </w:tbl>
    <w:p w14:paraId="2E0FDD55" w14:textId="77777777" w:rsidR="00844B88" w:rsidRPr="00AF0CC3" w:rsidRDefault="00844B88" w:rsidP="00844B88">
      <w:pPr>
        <w:rPr>
          <w:rFonts w:ascii="Times New Roman" w:hAnsi="Times New Roman" w:cs="Times New Roman"/>
          <w:color w:val="000000" w:themeColor="text1"/>
        </w:rPr>
      </w:pPr>
    </w:p>
    <w:p w14:paraId="31AAD7C7" w14:textId="77777777" w:rsidR="00844B88" w:rsidRPr="00AF0CC3" w:rsidRDefault="00844B88" w:rsidP="00844B88">
      <w:pPr>
        <w:rPr>
          <w:rFonts w:ascii="Times New Roman" w:hAnsi="Times New Roman" w:cs="Times New Roman"/>
          <w:color w:val="000000" w:themeColor="text1"/>
        </w:rPr>
      </w:pPr>
      <w:r w:rsidRPr="00AF0CC3">
        <w:rPr>
          <w:rFonts w:ascii="Times New Roman" w:hAnsi="Times New Roman" w:cs="Times New Roman"/>
          <w:color w:val="000000" w:themeColor="text1"/>
        </w:rPr>
        <w:t>Mean component scores ranged from 0.594 to 0.839, indicating variation across the governance dimensions included in the index. Audit responsiveness recorded the highest average score, followed by institutional coordination and contract supervision capacity. By contrast, payment reliability, clarity of risk allocation, and land acquisition readiness recorded comparatively lower average scores.</w:t>
      </w:r>
    </w:p>
    <w:p w14:paraId="0224B53A" w14:textId="77777777" w:rsidR="00844B88" w:rsidRPr="00AF0CC3" w:rsidRDefault="00844B88" w:rsidP="00844B88">
      <w:pPr>
        <w:rPr>
          <w:rFonts w:ascii="Times New Roman" w:hAnsi="Times New Roman" w:cs="Times New Roman"/>
          <w:color w:val="000000" w:themeColor="text1"/>
        </w:rPr>
      </w:pPr>
    </w:p>
    <w:p w14:paraId="554933EE" w14:textId="77777777" w:rsidR="00844B88" w:rsidRPr="00AF0CC3" w:rsidRDefault="00844B88" w:rsidP="00844B88">
      <w:pPr>
        <w:rPr>
          <w:rFonts w:ascii="Times New Roman" w:hAnsi="Times New Roman" w:cs="Times New Roman"/>
          <w:color w:val="000000" w:themeColor="text1"/>
        </w:rPr>
      </w:pPr>
      <w:r w:rsidRPr="00AF0CC3">
        <w:rPr>
          <w:rFonts w:ascii="Times New Roman" w:hAnsi="Times New Roman" w:cs="Times New Roman"/>
          <w:color w:val="000000" w:themeColor="text1"/>
        </w:rPr>
        <w:t xml:space="preserve">The high audit-responsiveness score may reflect the institutional and legal framework governing public-sector accountability in Kenya. The Constitution of Kenya (2010) mandates independent </w:t>
      </w:r>
      <w:r w:rsidRPr="00AF0CC3">
        <w:rPr>
          <w:rFonts w:ascii="Times New Roman" w:hAnsi="Times New Roman" w:cs="Times New Roman"/>
          <w:color w:val="000000" w:themeColor="text1"/>
        </w:rPr>
        <w:lastRenderedPageBreak/>
        <w:t>audit oversight by the Office of the Auditor-General and requires public entities to maintain audit and accountability processes subject to regular external review. As a result, audit-related oversight mechanisms were more consistently documented across the sampled projects than several other governance dimensions.</w:t>
      </w:r>
    </w:p>
    <w:p w14:paraId="745A24B3" w14:textId="77777777" w:rsidR="00844B88" w:rsidRPr="00AF0CC3" w:rsidRDefault="00844B88" w:rsidP="00844B88">
      <w:pPr>
        <w:rPr>
          <w:rFonts w:ascii="Times New Roman" w:hAnsi="Times New Roman" w:cs="Times New Roman"/>
          <w:color w:val="000000" w:themeColor="text1"/>
        </w:rPr>
      </w:pPr>
    </w:p>
    <w:p w14:paraId="413EE5CE" w14:textId="77777777" w:rsidR="00844B88" w:rsidRPr="00AF0CC3" w:rsidRDefault="00844B88" w:rsidP="00844B88">
      <w:pPr>
        <w:rPr>
          <w:rFonts w:ascii="Times New Roman" w:hAnsi="Times New Roman" w:cs="Times New Roman"/>
          <w:color w:val="000000" w:themeColor="text1"/>
        </w:rPr>
      </w:pPr>
      <w:r w:rsidRPr="00AF0CC3">
        <w:rPr>
          <w:rFonts w:ascii="Times New Roman" w:hAnsi="Times New Roman" w:cs="Times New Roman"/>
          <w:color w:val="000000" w:themeColor="text1"/>
        </w:rPr>
        <w:t>Institutional coordination and contract supervision capacity also recorded strong scores, suggesting that formal implementation structures and oversight arrangements were generally established across many projects. Lower scores in payment reliability, risk allocation clarity, and land acquisition readiness indicate greater variation in governance performance within these dimensions.</w:t>
      </w:r>
    </w:p>
    <w:p w14:paraId="2502F691" w14:textId="77777777" w:rsidR="00844B88" w:rsidRPr="00AF0CC3" w:rsidRDefault="00844B88" w:rsidP="00844B88">
      <w:pPr>
        <w:rPr>
          <w:rFonts w:ascii="Times New Roman" w:hAnsi="Times New Roman" w:cs="Times New Roman"/>
          <w:color w:val="000000" w:themeColor="text1"/>
        </w:rPr>
      </w:pPr>
    </w:p>
    <w:p w14:paraId="7DB9CD46" w14:textId="77777777" w:rsidR="00844B88" w:rsidRPr="00AF0CC3" w:rsidRDefault="00844B88" w:rsidP="00844B88">
      <w:pPr>
        <w:rPr>
          <w:rFonts w:ascii="Times New Roman" w:hAnsi="Times New Roman" w:cs="Times New Roman"/>
          <w:color w:val="000000" w:themeColor="text1"/>
        </w:rPr>
      </w:pPr>
      <w:r w:rsidRPr="00AF0CC3">
        <w:rPr>
          <w:rFonts w:ascii="Times New Roman" w:hAnsi="Times New Roman" w:cs="Times New Roman"/>
          <w:color w:val="000000" w:themeColor="text1"/>
        </w:rPr>
        <w:t>Figure 4.2 further illustrates the variation in governance component performance across the sampled projects.</w:t>
      </w:r>
    </w:p>
    <w:p w14:paraId="5C04E3E6" w14:textId="4D4758B0" w:rsidR="00844B88" w:rsidRPr="00AF0CC3" w:rsidRDefault="00AB48E8" w:rsidP="00AB48E8">
      <w:pPr>
        <w:pStyle w:val="Caption"/>
        <w:rPr>
          <w:rFonts w:ascii="Times New Roman" w:hAnsi="Times New Roman" w:cs="Times New Roman"/>
          <w:b/>
          <w:bCs/>
          <w:color w:val="000000" w:themeColor="text1"/>
          <w:sz w:val="24"/>
          <w:szCs w:val="24"/>
        </w:rPr>
      </w:pPr>
      <w:bookmarkStart w:id="343" w:name="_Toc234481930"/>
      <w:r w:rsidRPr="00AF0CC3">
        <w:rPr>
          <w:rFonts w:ascii="Times New Roman" w:hAnsi="Times New Roman" w:cs="Times New Roman"/>
          <w:sz w:val="24"/>
          <w:szCs w:val="24"/>
        </w:rPr>
        <w:t xml:space="preserve">Figure </w:t>
      </w:r>
      <w:r w:rsidR="00052921" w:rsidRPr="00AF0CC3">
        <w:rPr>
          <w:rFonts w:ascii="Times New Roman" w:hAnsi="Times New Roman" w:cs="Times New Roman"/>
          <w:sz w:val="24"/>
          <w:szCs w:val="24"/>
        </w:rPr>
        <w:fldChar w:fldCharType="begin"/>
      </w:r>
      <w:r w:rsidR="00052921" w:rsidRPr="00AF0CC3">
        <w:rPr>
          <w:rFonts w:ascii="Times New Roman" w:hAnsi="Times New Roman" w:cs="Times New Roman"/>
          <w:sz w:val="24"/>
          <w:szCs w:val="24"/>
        </w:rPr>
        <w:instrText xml:space="preserve"> STYLEREF 1 \s </w:instrText>
      </w:r>
      <w:r w:rsidR="00052921" w:rsidRPr="00AF0CC3">
        <w:rPr>
          <w:rFonts w:ascii="Times New Roman" w:hAnsi="Times New Roman" w:cs="Times New Roman"/>
          <w:sz w:val="24"/>
          <w:szCs w:val="24"/>
        </w:rPr>
        <w:fldChar w:fldCharType="separate"/>
      </w:r>
      <w:r w:rsidR="00052921" w:rsidRPr="00AF0CC3">
        <w:rPr>
          <w:rFonts w:ascii="Times New Roman" w:hAnsi="Times New Roman" w:cs="Times New Roman"/>
          <w:noProof/>
          <w:sz w:val="24"/>
          <w:szCs w:val="24"/>
        </w:rPr>
        <w:t>4</w:t>
      </w:r>
      <w:r w:rsidR="00052921" w:rsidRPr="00AF0CC3">
        <w:rPr>
          <w:rFonts w:ascii="Times New Roman" w:hAnsi="Times New Roman" w:cs="Times New Roman"/>
          <w:noProof/>
          <w:sz w:val="24"/>
          <w:szCs w:val="24"/>
        </w:rPr>
        <w:fldChar w:fldCharType="end"/>
      </w:r>
      <w:r w:rsidR="00BF2261" w:rsidRPr="00AF0CC3">
        <w:rPr>
          <w:rFonts w:ascii="Times New Roman" w:hAnsi="Times New Roman" w:cs="Times New Roman"/>
          <w:sz w:val="24"/>
          <w:szCs w:val="24"/>
        </w:rPr>
        <w:t>.</w:t>
      </w:r>
      <w:r w:rsidR="00052921" w:rsidRPr="00AF0CC3">
        <w:rPr>
          <w:rFonts w:ascii="Times New Roman" w:hAnsi="Times New Roman" w:cs="Times New Roman"/>
          <w:sz w:val="24"/>
          <w:szCs w:val="24"/>
        </w:rPr>
        <w:fldChar w:fldCharType="begin"/>
      </w:r>
      <w:r w:rsidR="00052921" w:rsidRPr="00AF0CC3">
        <w:rPr>
          <w:rFonts w:ascii="Times New Roman" w:hAnsi="Times New Roman" w:cs="Times New Roman"/>
          <w:sz w:val="24"/>
          <w:szCs w:val="24"/>
        </w:rPr>
        <w:instrText xml:space="preserve"> SEQ Figure \* ARABIC \s 1 </w:instrText>
      </w:r>
      <w:r w:rsidR="00052921" w:rsidRPr="00AF0CC3">
        <w:rPr>
          <w:rFonts w:ascii="Times New Roman" w:hAnsi="Times New Roman" w:cs="Times New Roman"/>
          <w:sz w:val="24"/>
          <w:szCs w:val="24"/>
        </w:rPr>
        <w:fldChar w:fldCharType="separate"/>
      </w:r>
      <w:r w:rsidR="00052921" w:rsidRPr="00AF0CC3">
        <w:rPr>
          <w:rFonts w:ascii="Times New Roman" w:hAnsi="Times New Roman" w:cs="Times New Roman"/>
          <w:noProof/>
          <w:sz w:val="24"/>
          <w:szCs w:val="24"/>
        </w:rPr>
        <w:t>2</w:t>
      </w:r>
      <w:r w:rsidR="00052921" w:rsidRPr="00AF0CC3">
        <w:rPr>
          <w:rFonts w:ascii="Times New Roman" w:hAnsi="Times New Roman" w:cs="Times New Roman"/>
          <w:noProof/>
          <w:sz w:val="24"/>
          <w:szCs w:val="24"/>
        </w:rPr>
        <w:fldChar w:fldCharType="end"/>
      </w:r>
      <w:r w:rsidRPr="00AF0CC3">
        <w:rPr>
          <w:rFonts w:ascii="Times New Roman" w:hAnsi="Times New Roman" w:cs="Times New Roman"/>
          <w:sz w:val="24"/>
          <w:szCs w:val="24"/>
        </w:rPr>
        <w:t xml:space="preserve"> Mean Governance Component Scores Across Sampled Projects</w:t>
      </w:r>
      <w:bookmarkEnd w:id="343"/>
    </w:p>
    <w:p w14:paraId="42A7D6EE" w14:textId="77777777" w:rsidR="00844B88" w:rsidRPr="00AF0CC3" w:rsidRDefault="00844B88" w:rsidP="00844B88">
      <w:pPr>
        <w:rPr>
          <w:rFonts w:ascii="Times New Roman" w:hAnsi="Times New Roman" w:cs="Times New Roman"/>
          <w:color w:val="000000" w:themeColor="text1"/>
        </w:rPr>
      </w:pPr>
    </w:p>
    <w:p w14:paraId="3BED4346" w14:textId="77777777" w:rsidR="00844B88" w:rsidRPr="00AF0CC3" w:rsidRDefault="00844B88" w:rsidP="00844B88">
      <w:pPr>
        <w:rPr>
          <w:rFonts w:ascii="Times New Roman" w:hAnsi="Times New Roman" w:cs="Times New Roman"/>
          <w:color w:val="000000" w:themeColor="text1"/>
        </w:rPr>
      </w:pPr>
      <w:r w:rsidRPr="00AF0CC3">
        <w:rPr>
          <w:rFonts w:ascii="Times New Roman" w:hAnsi="Times New Roman" w:cs="Times New Roman"/>
          <w:noProof/>
          <w:color w:val="000000" w:themeColor="text1"/>
        </w:rPr>
        <w:drawing>
          <wp:inline distT="0" distB="0" distL="0" distR="0" wp14:anchorId="1B146AB7" wp14:editId="794EB3C9">
            <wp:extent cx="5295900" cy="3571903"/>
            <wp:effectExtent l="0" t="0" r="0" b="9525"/>
            <wp:docPr id="190552035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05520359" name=""/>
                    <pic:cNvPicPr/>
                  </pic:nvPicPr>
                  <pic:blipFill>
                    <a:blip r:embed="rId27"/>
                    <a:stretch>
                      <a:fillRect/>
                    </a:stretch>
                  </pic:blipFill>
                  <pic:spPr>
                    <a:xfrm>
                      <a:off x="0" y="0"/>
                      <a:ext cx="5298225" cy="3573471"/>
                    </a:xfrm>
                    <a:prstGeom prst="rect">
                      <a:avLst/>
                    </a:prstGeom>
                  </pic:spPr>
                </pic:pic>
              </a:graphicData>
            </a:graphic>
          </wp:inline>
        </w:drawing>
      </w:r>
    </w:p>
    <w:p w14:paraId="183AB3F7" w14:textId="77777777" w:rsidR="00844B88" w:rsidRPr="00AF0CC3" w:rsidRDefault="00844B88" w:rsidP="00844B88">
      <w:pPr>
        <w:rPr>
          <w:rFonts w:ascii="Times New Roman" w:hAnsi="Times New Roman" w:cs="Times New Roman"/>
          <w:color w:val="000000" w:themeColor="text1"/>
        </w:rPr>
      </w:pPr>
    </w:p>
    <w:p w14:paraId="1F16D4E9" w14:textId="77777777" w:rsidR="00844B88" w:rsidRPr="00AF0CC3" w:rsidRDefault="00844B88" w:rsidP="00844B88">
      <w:pPr>
        <w:rPr>
          <w:rFonts w:ascii="Times New Roman" w:hAnsi="Times New Roman" w:cs="Times New Roman"/>
          <w:color w:val="000000" w:themeColor="text1"/>
        </w:rPr>
      </w:pPr>
      <w:r w:rsidRPr="00AF0CC3">
        <w:rPr>
          <w:rFonts w:ascii="Times New Roman" w:hAnsi="Times New Roman" w:cs="Times New Roman"/>
          <w:color w:val="000000" w:themeColor="text1"/>
        </w:rPr>
        <w:t xml:space="preserve">Figure 4.2 illustrates the average scores for the nine governance components used in constructing the Governance Quality Index. Audit responsiveness (0.839) and institutional coordination </w:t>
      </w:r>
      <w:r w:rsidRPr="00AF0CC3">
        <w:rPr>
          <w:rFonts w:ascii="Times New Roman" w:hAnsi="Times New Roman" w:cs="Times New Roman"/>
          <w:color w:val="000000" w:themeColor="text1"/>
        </w:rPr>
        <w:lastRenderedPageBreak/>
        <w:t>(0.813) recorded the highest average scores, indicating relatively strong performance in formal oversight and inter-agency coordination mechanisms. In contrast, payment reliability (0.594) and risk allocation clarity (0.625) recorded the lowest average scores, suggesting persistent weaknesses in financial management and contractual governance arrangements. The distribution of component scores highlights important variation across governance functions and indicates that governance strengths were not uniformly distributed across the project lifecycle.</w:t>
      </w:r>
    </w:p>
    <w:p w14:paraId="49F2C1BD" w14:textId="77777777" w:rsidR="00844B88" w:rsidRPr="00AF0CC3" w:rsidRDefault="00844B88" w:rsidP="00844B88">
      <w:pPr>
        <w:rPr>
          <w:rFonts w:ascii="Times New Roman" w:hAnsi="Times New Roman" w:cs="Times New Roman"/>
          <w:color w:val="000000" w:themeColor="text1"/>
        </w:rPr>
      </w:pPr>
      <w:r w:rsidRPr="00AF0CC3">
        <w:rPr>
          <w:rFonts w:ascii="Times New Roman" w:hAnsi="Times New Roman" w:cs="Times New Roman"/>
          <w:color w:val="000000" w:themeColor="text1"/>
        </w:rPr>
        <w:t>These descriptive patterns provide additional context for the subsequent analyses examining the relationship between governance quality and infrastructure delivery outcomes.</w:t>
      </w:r>
    </w:p>
    <w:p w14:paraId="00FF5A5D" w14:textId="77777777" w:rsidR="00844B88" w:rsidRPr="00AF0CC3" w:rsidRDefault="00844B88" w:rsidP="00844B88">
      <w:pPr>
        <w:rPr>
          <w:rFonts w:ascii="Times New Roman" w:hAnsi="Times New Roman" w:cs="Times New Roman"/>
          <w:color w:val="000000" w:themeColor="text1"/>
        </w:rPr>
      </w:pPr>
    </w:p>
    <w:p w14:paraId="5F3A4812" w14:textId="1AC3A574" w:rsidR="00844B88" w:rsidRPr="00AF0CC3" w:rsidRDefault="00844B88" w:rsidP="00844B88">
      <w:pPr>
        <w:pStyle w:val="Heading2"/>
        <w:rPr>
          <w:rFonts w:cs="Times New Roman"/>
          <w:b w:val="0"/>
          <w:bCs/>
          <w:color w:val="000000" w:themeColor="text1"/>
          <w:szCs w:val="24"/>
        </w:rPr>
      </w:pPr>
      <w:bookmarkStart w:id="344" w:name="_Toc232375976"/>
      <w:bookmarkStart w:id="345" w:name="_Toc234344843"/>
      <w:bookmarkStart w:id="346" w:name="_Toc234489075"/>
      <w:r w:rsidRPr="00AF0CC3">
        <w:rPr>
          <w:rFonts w:cs="Times New Roman"/>
          <w:bCs/>
          <w:color w:val="000000" w:themeColor="text1"/>
          <w:szCs w:val="24"/>
        </w:rPr>
        <w:t>Research Question One</w:t>
      </w:r>
      <w:bookmarkEnd w:id="344"/>
      <w:bookmarkEnd w:id="345"/>
      <w:bookmarkEnd w:id="346"/>
    </w:p>
    <w:p w14:paraId="59EBD3C6" w14:textId="77777777" w:rsidR="00844B88" w:rsidRPr="00AF0CC3" w:rsidRDefault="00844B88" w:rsidP="00844B88">
      <w:pPr>
        <w:rPr>
          <w:rFonts w:ascii="Times New Roman" w:hAnsi="Times New Roman" w:cs="Times New Roman"/>
          <w:b/>
          <w:bCs/>
          <w:color w:val="000000" w:themeColor="text1"/>
        </w:rPr>
      </w:pPr>
      <w:r w:rsidRPr="00AF0CC3">
        <w:rPr>
          <w:rFonts w:ascii="Times New Roman" w:hAnsi="Times New Roman" w:cs="Times New Roman"/>
          <w:b/>
          <w:bCs/>
          <w:color w:val="000000" w:themeColor="text1"/>
        </w:rPr>
        <w:t>Research Question 1:</w:t>
      </w:r>
    </w:p>
    <w:p w14:paraId="47283430" w14:textId="77777777" w:rsidR="00844B88" w:rsidRPr="00AF0CC3" w:rsidRDefault="00844B88" w:rsidP="00844B88">
      <w:pPr>
        <w:rPr>
          <w:rFonts w:ascii="Times New Roman" w:hAnsi="Times New Roman" w:cs="Times New Roman"/>
          <w:b/>
          <w:bCs/>
          <w:color w:val="000000" w:themeColor="text1"/>
        </w:rPr>
      </w:pPr>
      <w:r w:rsidRPr="00AF0CC3">
        <w:rPr>
          <w:rFonts w:ascii="Times New Roman" w:hAnsi="Times New Roman" w:cs="Times New Roman"/>
          <w:b/>
          <w:bCs/>
          <w:color w:val="000000" w:themeColor="text1"/>
        </w:rPr>
        <w:t>How does governance quality influence the likelihood of project stalling in water management infrastructure projects in Kenya?</w:t>
      </w:r>
    </w:p>
    <w:p w14:paraId="6C66E66F" w14:textId="77777777" w:rsidR="00844B88" w:rsidRPr="00AF0CC3" w:rsidRDefault="00844B88" w:rsidP="00844B88">
      <w:pPr>
        <w:rPr>
          <w:rFonts w:ascii="Times New Roman" w:hAnsi="Times New Roman" w:cs="Times New Roman"/>
          <w:color w:val="000000" w:themeColor="text1"/>
        </w:rPr>
      </w:pPr>
      <w:r w:rsidRPr="00AF0CC3">
        <w:rPr>
          <w:rFonts w:ascii="Times New Roman" w:hAnsi="Times New Roman" w:cs="Times New Roman"/>
          <w:color w:val="000000" w:themeColor="text1"/>
        </w:rPr>
        <w:t>This section presents findings on the relationship between governance quality and project stalling across the sampled water infrastructure projects. The analysis examines whether projects with stronger governance arrangements had a lower probability of prolonged implementation interruptions than those with weaker governance systems.</w:t>
      </w:r>
    </w:p>
    <w:p w14:paraId="42A317BA" w14:textId="77777777" w:rsidR="00844B88" w:rsidRPr="00AF0CC3" w:rsidRDefault="00844B88" w:rsidP="00844B88">
      <w:pPr>
        <w:rPr>
          <w:rFonts w:ascii="Times New Roman" w:hAnsi="Times New Roman" w:cs="Times New Roman"/>
          <w:color w:val="000000" w:themeColor="text1"/>
        </w:rPr>
      </w:pPr>
    </w:p>
    <w:p w14:paraId="05D20787" w14:textId="77777777" w:rsidR="00844B88" w:rsidRPr="00AF0CC3" w:rsidRDefault="00844B88" w:rsidP="00844B88">
      <w:pPr>
        <w:rPr>
          <w:rFonts w:ascii="Times New Roman" w:hAnsi="Times New Roman" w:cs="Times New Roman"/>
          <w:color w:val="000000" w:themeColor="text1"/>
        </w:rPr>
      </w:pPr>
      <w:r w:rsidRPr="00AF0CC3">
        <w:rPr>
          <w:rFonts w:ascii="Times New Roman" w:hAnsi="Times New Roman" w:cs="Times New Roman"/>
          <w:color w:val="000000" w:themeColor="text1"/>
        </w:rPr>
        <w:t>Consistent with the conceptual framework developed in Chapter Three, governance quality was measured using the Governance Quality Index (GQI), which integrated nine governance indicators covering project preparation, procurement governance, implementation management, institutional coordination, oversight responsiveness, and documentation transparency.</w:t>
      </w:r>
    </w:p>
    <w:p w14:paraId="6577680F" w14:textId="77777777" w:rsidR="00844B88" w:rsidRPr="00AF0CC3" w:rsidRDefault="00844B88" w:rsidP="00844B88">
      <w:pPr>
        <w:rPr>
          <w:rFonts w:ascii="Times New Roman" w:hAnsi="Times New Roman" w:cs="Times New Roman"/>
          <w:color w:val="000000" w:themeColor="text1"/>
        </w:rPr>
      </w:pPr>
    </w:p>
    <w:p w14:paraId="30DFF31F" w14:textId="77777777" w:rsidR="00844B88" w:rsidRPr="00AF0CC3" w:rsidRDefault="00844B88" w:rsidP="00844B88">
      <w:pPr>
        <w:rPr>
          <w:rFonts w:ascii="Times New Roman" w:hAnsi="Times New Roman" w:cs="Times New Roman"/>
          <w:color w:val="000000" w:themeColor="text1"/>
        </w:rPr>
      </w:pPr>
      <w:r w:rsidRPr="00AF0CC3">
        <w:rPr>
          <w:rFonts w:ascii="Times New Roman" w:hAnsi="Times New Roman" w:cs="Times New Roman"/>
          <w:color w:val="000000" w:themeColor="text1"/>
        </w:rPr>
        <w:t>Project stalling was treated as a binary implementation outcome variable. Projects were classified as stalled when documentary evidence indicated a prolonged interruption in implementation activities for more than 24 months, without substantial progress toward the intended infrastructure delivery objectives.</w:t>
      </w:r>
    </w:p>
    <w:p w14:paraId="1A7EC6C7" w14:textId="77777777" w:rsidR="00844B88" w:rsidRPr="00AF0CC3" w:rsidRDefault="00844B88" w:rsidP="00844B88">
      <w:pPr>
        <w:rPr>
          <w:rFonts w:ascii="Times New Roman" w:hAnsi="Times New Roman" w:cs="Times New Roman"/>
          <w:color w:val="000000" w:themeColor="text1"/>
        </w:rPr>
      </w:pPr>
    </w:p>
    <w:p w14:paraId="0C9C83F5" w14:textId="77777777" w:rsidR="00844B88" w:rsidRPr="00AF0CC3" w:rsidRDefault="00844B88" w:rsidP="00844B88">
      <w:pPr>
        <w:rPr>
          <w:rFonts w:ascii="Times New Roman" w:hAnsi="Times New Roman" w:cs="Times New Roman"/>
          <w:color w:val="000000" w:themeColor="text1"/>
        </w:rPr>
      </w:pPr>
      <w:r w:rsidRPr="00AF0CC3">
        <w:rPr>
          <w:rFonts w:ascii="Times New Roman" w:hAnsi="Times New Roman" w:cs="Times New Roman"/>
          <w:color w:val="000000" w:themeColor="text1"/>
        </w:rPr>
        <w:t>The section presents a comparative descriptive analysis, a correlation analysis, a logistic regression estimate, and an illustrative case analysis to evaluate the relationship between governance quality and project stalling outcomes.</w:t>
      </w:r>
    </w:p>
    <w:p w14:paraId="6B7F024D" w14:textId="77777777" w:rsidR="00844B88" w:rsidRPr="00AF0CC3" w:rsidRDefault="00844B88" w:rsidP="00844B88">
      <w:pPr>
        <w:rPr>
          <w:rFonts w:ascii="Times New Roman" w:hAnsi="Times New Roman" w:cs="Times New Roman"/>
          <w:color w:val="000000" w:themeColor="text1"/>
        </w:rPr>
      </w:pPr>
    </w:p>
    <w:p w14:paraId="02883BF0" w14:textId="5D6090F8" w:rsidR="00844B88" w:rsidRPr="00AF0CC3" w:rsidRDefault="00844B88" w:rsidP="00844B88">
      <w:pPr>
        <w:pStyle w:val="Heading3"/>
        <w:rPr>
          <w:rFonts w:cs="Times New Roman"/>
          <w:b w:val="0"/>
          <w:bCs/>
          <w:color w:val="000000" w:themeColor="text1"/>
          <w:szCs w:val="24"/>
        </w:rPr>
      </w:pPr>
      <w:bookmarkStart w:id="347" w:name="_Toc232375977"/>
      <w:bookmarkStart w:id="348" w:name="_Toc234344844"/>
      <w:bookmarkStart w:id="349" w:name="_Toc234489076"/>
      <w:r w:rsidRPr="00AF0CC3">
        <w:rPr>
          <w:rFonts w:cs="Times New Roman"/>
          <w:bCs/>
          <w:color w:val="000000" w:themeColor="text1"/>
          <w:szCs w:val="24"/>
        </w:rPr>
        <w:lastRenderedPageBreak/>
        <w:t>Hypothesis One - Governance Quality and Project Stalling</w:t>
      </w:r>
      <w:bookmarkEnd w:id="347"/>
      <w:bookmarkEnd w:id="348"/>
      <w:bookmarkEnd w:id="349"/>
    </w:p>
    <w:p w14:paraId="3F701252" w14:textId="77777777" w:rsidR="00844B88" w:rsidRPr="00AF0CC3" w:rsidRDefault="00844B88" w:rsidP="00844B88">
      <w:pPr>
        <w:rPr>
          <w:rFonts w:ascii="Times New Roman" w:hAnsi="Times New Roman" w:cs="Times New Roman"/>
          <w:color w:val="000000" w:themeColor="text1"/>
        </w:rPr>
      </w:pPr>
    </w:p>
    <w:p w14:paraId="497BAD1B" w14:textId="77777777" w:rsidR="00844B88" w:rsidRPr="00AF0CC3" w:rsidRDefault="00844B88" w:rsidP="00844B88">
      <w:pPr>
        <w:rPr>
          <w:rFonts w:ascii="Times New Roman" w:hAnsi="Times New Roman" w:cs="Times New Roman"/>
          <w:b/>
          <w:bCs/>
          <w:color w:val="000000" w:themeColor="text1"/>
        </w:rPr>
      </w:pPr>
      <w:r w:rsidRPr="00AF0CC3">
        <w:rPr>
          <w:rFonts w:ascii="Times New Roman" w:hAnsi="Times New Roman" w:cs="Times New Roman"/>
          <w:b/>
          <w:bCs/>
          <w:color w:val="000000" w:themeColor="text1"/>
        </w:rPr>
        <w:t>H1: Higher governance quality reduces the probability that water infrastructure projects stall.</w:t>
      </w:r>
    </w:p>
    <w:p w14:paraId="28ACC312" w14:textId="77777777" w:rsidR="00844B88" w:rsidRPr="00AF0CC3" w:rsidRDefault="00844B88" w:rsidP="00844B88">
      <w:pPr>
        <w:rPr>
          <w:rFonts w:ascii="Times New Roman" w:hAnsi="Times New Roman" w:cs="Times New Roman"/>
          <w:color w:val="000000" w:themeColor="text1"/>
        </w:rPr>
      </w:pPr>
      <w:r w:rsidRPr="00AF0CC3">
        <w:rPr>
          <w:rFonts w:ascii="Times New Roman" w:hAnsi="Times New Roman" w:cs="Times New Roman"/>
          <w:color w:val="000000" w:themeColor="text1"/>
        </w:rPr>
        <w:t>The hypothesis was developed from governance and infrastructure management literature, suggesting that projects characterized by stronger governance systems exhibit greater implementation continuity, improved accountability, stronger institutional coordination, and lower implementation vulnerability (Flyvbjerg, 2014; Joslin &amp; Müller, 2015).</w:t>
      </w:r>
    </w:p>
    <w:p w14:paraId="06C4505A" w14:textId="77777777" w:rsidR="00844B88" w:rsidRPr="00AF0CC3" w:rsidRDefault="00844B88" w:rsidP="00844B88">
      <w:pPr>
        <w:rPr>
          <w:rFonts w:ascii="Times New Roman" w:hAnsi="Times New Roman" w:cs="Times New Roman"/>
          <w:color w:val="000000" w:themeColor="text1"/>
        </w:rPr>
      </w:pPr>
      <w:r w:rsidRPr="00AF0CC3">
        <w:rPr>
          <w:rFonts w:ascii="Times New Roman" w:hAnsi="Times New Roman" w:cs="Times New Roman"/>
          <w:color w:val="000000" w:themeColor="text1"/>
        </w:rPr>
        <w:t>The hypothesis further reflects the study’s broader theoretical proposition that governance quality functions as a critical institutional determinant of infrastructure delivery performance.</w:t>
      </w:r>
    </w:p>
    <w:p w14:paraId="344B32C3" w14:textId="77777777" w:rsidR="00844B88" w:rsidRPr="00AF0CC3" w:rsidRDefault="00844B88" w:rsidP="00844B88">
      <w:pPr>
        <w:rPr>
          <w:rFonts w:ascii="Times New Roman" w:hAnsi="Times New Roman" w:cs="Times New Roman"/>
          <w:color w:val="000000" w:themeColor="text1"/>
        </w:rPr>
      </w:pPr>
    </w:p>
    <w:p w14:paraId="43E720CE" w14:textId="4F8CFD08" w:rsidR="00844B88" w:rsidRPr="00AF0CC3" w:rsidRDefault="00844B88" w:rsidP="00844B88">
      <w:pPr>
        <w:pStyle w:val="Heading3"/>
        <w:rPr>
          <w:rFonts w:cs="Times New Roman"/>
          <w:b w:val="0"/>
          <w:bCs/>
          <w:color w:val="000000" w:themeColor="text1"/>
          <w:szCs w:val="24"/>
        </w:rPr>
      </w:pPr>
      <w:r w:rsidRPr="00AF0CC3">
        <w:rPr>
          <w:rFonts w:cs="Times New Roman"/>
          <w:color w:val="000000" w:themeColor="text1"/>
          <w:szCs w:val="24"/>
        </w:rPr>
        <w:t xml:space="preserve"> </w:t>
      </w:r>
      <w:bookmarkStart w:id="350" w:name="_Toc232375978"/>
      <w:bookmarkStart w:id="351" w:name="_Toc234344845"/>
      <w:bookmarkStart w:id="352" w:name="_Toc234489077"/>
      <w:r w:rsidRPr="00AF0CC3">
        <w:rPr>
          <w:rFonts w:cs="Times New Roman"/>
          <w:bCs/>
          <w:color w:val="000000" w:themeColor="text1"/>
          <w:szCs w:val="24"/>
        </w:rPr>
        <w:t>Comparative Analysis of Stalled and Non-Stalled Projects</w:t>
      </w:r>
      <w:bookmarkEnd w:id="350"/>
      <w:bookmarkEnd w:id="351"/>
      <w:bookmarkEnd w:id="352"/>
    </w:p>
    <w:p w14:paraId="14E260FF" w14:textId="77777777" w:rsidR="00844B88" w:rsidRPr="00AF0CC3" w:rsidRDefault="00844B88" w:rsidP="00844B88">
      <w:pPr>
        <w:rPr>
          <w:rFonts w:ascii="Times New Roman" w:hAnsi="Times New Roman" w:cs="Times New Roman"/>
          <w:color w:val="000000" w:themeColor="text1"/>
        </w:rPr>
      </w:pPr>
      <w:r w:rsidRPr="00AF0CC3">
        <w:rPr>
          <w:rFonts w:ascii="Times New Roman" w:hAnsi="Times New Roman" w:cs="Times New Roman"/>
          <w:color w:val="000000" w:themeColor="text1"/>
        </w:rPr>
        <w:t>The study first examined differences in governance quality between stalled and non-stalled projects.</w:t>
      </w:r>
    </w:p>
    <w:p w14:paraId="4BAFC82A" w14:textId="5F507962" w:rsidR="00844B88" w:rsidRPr="00AF0CC3" w:rsidRDefault="00844B88" w:rsidP="00844B88">
      <w:pPr>
        <w:rPr>
          <w:rFonts w:ascii="Times New Roman" w:hAnsi="Times New Roman" w:cs="Times New Roman"/>
          <w:color w:val="000000" w:themeColor="text1"/>
        </w:rPr>
      </w:pPr>
      <w:r w:rsidRPr="00AF0CC3">
        <w:rPr>
          <w:rFonts w:ascii="Times New Roman" w:hAnsi="Times New Roman" w:cs="Times New Roman"/>
          <w:color w:val="000000" w:themeColor="text1"/>
        </w:rPr>
        <w:t>Table 4</w:t>
      </w:r>
      <w:r w:rsidR="00A13A05" w:rsidRPr="00AF0CC3">
        <w:rPr>
          <w:rFonts w:ascii="Times New Roman" w:hAnsi="Times New Roman" w:cs="Times New Roman"/>
          <w:color w:val="000000" w:themeColor="text1"/>
        </w:rPr>
        <w:t>-</w:t>
      </w:r>
      <w:r w:rsidRPr="00AF0CC3">
        <w:rPr>
          <w:rFonts w:ascii="Times New Roman" w:hAnsi="Times New Roman" w:cs="Times New Roman"/>
          <w:color w:val="000000" w:themeColor="text1"/>
        </w:rPr>
        <w:t>4 compares Governance Quality Index scores across stalled and non-stalled projects.</w:t>
      </w:r>
    </w:p>
    <w:p w14:paraId="79419894" w14:textId="6D8BCE44" w:rsidR="00A13A05" w:rsidRPr="00AF0CC3" w:rsidRDefault="00A13A05" w:rsidP="00A13A05">
      <w:pPr>
        <w:pStyle w:val="Caption"/>
        <w:keepNext/>
        <w:rPr>
          <w:rFonts w:ascii="Times New Roman" w:hAnsi="Times New Roman" w:cs="Times New Roman"/>
          <w:sz w:val="24"/>
          <w:szCs w:val="24"/>
        </w:rPr>
      </w:pPr>
      <w:bookmarkStart w:id="353" w:name="_Toc234437372"/>
      <w:r w:rsidRPr="00AF0CC3">
        <w:rPr>
          <w:rFonts w:ascii="Times New Roman" w:hAnsi="Times New Roman" w:cs="Times New Roman"/>
          <w:sz w:val="24"/>
          <w:szCs w:val="24"/>
        </w:rPr>
        <w:t xml:space="preserve">Table </w:t>
      </w:r>
      <w:r w:rsidR="007F4206" w:rsidRPr="00AF0CC3">
        <w:rPr>
          <w:rFonts w:ascii="Times New Roman" w:hAnsi="Times New Roman" w:cs="Times New Roman"/>
          <w:sz w:val="24"/>
          <w:szCs w:val="24"/>
        </w:rPr>
        <w:fldChar w:fldCharType="begin"/>
      </w:r>
      <w:r w:rsidR="007F4206" w:rsidRPr="00AF0CC3">
        <w:rPr>
          <w:rFonts w:ascii="Times New Roman" w:hAnsi="Times New Roman" w:cs="Times New Roman"/>
          <w:sz w:val="24"/>
          <w:szCs w:val="24"/>
        </w:rPr>
        <w:instrText xml:space="preserve"> STYLEREF 1 \s </w:instrText>
      </w:r>
      <w:r w:rsidR="007F4206" w:rsidRPr="00AF0CC3">
        <w:rPr>
          <w:rFonts w:ascii="Times New Roman" w:hAnsi="Times New Roman" w:cs="Times New Roman"/>
          <w:sz w:val="24"/>
          <w:szCs w:val="24"/>
        </w:rPr>
        <w:fldChar w:fldCharType="separate"/>
      </w:r>
      <w:r w:rsidR="007F4206" w:rsidRPr="00AF0CC3">
        <w:rPr>
          <w:rFonts w:ascii="Times New Roman" w:hAnsi="Times New Roman" w:cs="Times New Roman"/>
          <w:noProof/>
          <w:sz w:val="24"/>
          <w:szCs w:val="24"/>
        </w:rPr>
        <w:t>4</w:t>
      </w:r>
      <w:r w:rsidR="007F4206" w:rsidRPr="00AF0CC3">
        <w:rPr>
          <w:rFonts w:ascii="Times New Roman" w:hAnsi="Times New Roman" w:cs="Times New Roman"/>
          <w:noProof/>
          <w:sz w:val="24"/>
          <w:szCs w:val="24"/>
        </w:rPr>
        <w:fldChar w:fldCharType="end"/>
      </w:r>
      <w:r w:rsidR="007F4206" w:rsidRPr="00AF0CC3">
        <w:rPr>
          <w:rFonts w:ascii="Times New Roman" w:hAnsi="Times New Roman" w:cs="Times New Roman"/>
          <w:sz w:val="24"/>
          <w:szCs w:val="24"/>
        </w:rPr>
        <w:noBreakHyphen/>
      </w:r>
      <w:r w:rsidR="007F4206" w:rsidRPr="00AF0CC3">
        <w:rPr>
          <w:rFonts w:ascii="Times New Roman" w:hAnsi="Times New Roman" w:cs="Times New Roman"/>
          <w:sz w:val="24"/>
          <w:szCs w:val="24"/>
        </w:rPr>
        <w:fldChar w:fldCharType="begin"/>
      </w:r>
      <w:r w:rsidR="007F4206" w:rsidRPr="00AF0CC3">
        <w:rPr>
          <w:rFonts w:ascii="Times New Roman" w:hAnsi="Times New Roman" w:cs="Times New Roman"/>
          <w:sz w:val="24"/>
          <w:szCs w:val="24"/>
        </w:rPr>
        <w:instrText xml:space="preserve"> SEQ Table \* ARABIC \s 1 </w:instrText>
      </w:r>
      <w:r w:rsidR="007F4206" w:rsidRPr="00AF0CC3">
        <w:rPr>
          <w:rFonts w:ascii="Times New Roman" w:hAnsi="Times New Roman" w:cs="Times New Roman"/>
          <w:sz w:val="24"/>
          <w:szCs w:val="24"/>
        </w:rPr>
        <w:fldChar w:fldCharType="separate"/>
      </w:r>
      <w:r w:rsidR="007F4206" w:rsidRPr="00AF0CC3">
        <w:rPr>
          <w:rFonts w:ascii="Times New Roman" w:hAnsi="Times New Roman" w:cs="Times New Roman"/>
          <w:noProof/>
          <w:sz w:val="24"/>
          <w:szCs w:val="24"/>
        </w:rPr>
        <w:t>4</w:t>
      </w:r>
      <w:r w:rsidR="007F4206" w:rsidRPr="00AF0CC3">
        <w:rPr>
          <w:rFonts w:ascii="Times New Roman" w:hAnsi="Times New Roman" w:cs="Times New Roman"/>
          <w:noProof/>
          <w:sz w:val="24"/>
          <w:szCs w:val="24"/>
        </w:rPr>
        <w:fldChar w:fldCharType="end"/>
      </w:r>
      <w:r w:rsidRPr="00AF0CC3">
        <w:rPr>
          <w:rFonts w:ascii="Times New Roman" w:hAnsi="Times New Roman" w:cs="Times New Roman"/>
          <w:sz w:val="24"/>
          <w:szCs w:val="24"/>
        </w:rPr>
        <w:t xml:space="preserve"> Governance Quality by Project Status</w:t>
      </w:r>
      <w:bookmarkEnd w:id="353"/>
    </w:p>
    <w:tbl>
      <w:tblPr>
        <w:tblW w:w="9510" w:type="dxa"/>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2346"/>
        <w:gridCol w:w="3202"/>
        <w:gridCol w:w="1820"/>
        <w:gridCol w:w="2142"/>
      </w:tblGrid>
      <w:tr w:rsidR="00844B88" w:rsidRPr="00AF0CC3" w14:paraId="012AD111" w14:textId="77777777" w:rsidTr="00E73C98">
        <w:trPr>
          <w:trHeight w:val="476"/>
          <w:tblHeader/>
          <w:tblCellSpacing w:w="15" w:type="dxa"/>
        </w:trPr>
        <w:tc>
          <w:tcPr>
            <w:tcW w:w="0" w:type="auto"/>
            <w:vAlign w:val="center"/>
            <w:hideMark/>
          </w:tcPr>
          <w:p w14:paraId="348DE57D" w14:textId="77777777" w:rsidR="00844B88" w:rsidRPr="00AF0CC3" w:rsidRDefault="00844B88" w:rsidP="00E73C98">
            <w:pPr>
              <w:spacing w:after="0" w:line="240" w:lineRule="auto"/>
              <w:jc w:val="center"/>
              <w:rPr>
                <w:rFonts w:ascii="Times New Roman" w:eastAsia="Times New Roman" w:hAnsi="Times New Roman" w:cs="Times New Roman"/>
                <w:b/>
                <w:bCs/>
                <w:color w:val="000000" w:themeColor="text1"/>
                <w:kern w:val="0"/>
                <w14:ligatures w14:val="none"/>
              </w:rPr>
            </w:pPr>
            <w:r w:rsidRPr="00AF0CC3">
              <w:rPr>
                <w:rFonts w:ascii="Times New Roman" w:eastAsia="Times New Roman" w:hAnsi="Times New Roman" w:cs="Times New Roman"/>
                <w:b/>
                <w:bCs/>
                <w:color w:val="000000" w:themeColor="text1"/>
                <w:kern w:val="0"/>
                <w14:ligatures w14:val="none"/>
              </w:rPr>
              <w:t>Project Status</w:t>
            </w:r>
          </w:p>
        </w:tc>
        <w:tc>
          <w:tcPr>
            <w:tcW w:w="0" w:type="auto"/>
            <w:vAlign w:val="center"/>
            <w:hideMark/>
          </w:tcPr>
          <w:p w14:paraId="42A9B0E5" w14:textId="77777777" w:rsidR="00844B88" w:rsidRPr="00AF0CC3" w:rsidRDefault="00844B88" w:rsidP="00E73C98">
            <w:pPr>
              <w:spacing w:after="0" w:line="240" w:lineRule="auto"/>
              <w:jc w:val="right"/>
              <w:rPr>
                <w:rFonts w:ascii="Times New Roman" w:eastAsia="Times New Roman" w:hAnsi="Times New Roman" w:cs="Times New Roman"/>
                <w:b/>
                <w:bCs/>
                <w:color w:val="000000" w:themeColor="text1"/>
                <w:kern w:val="0"/>
                <w14:ligatures w14:val="none"/>
              </w:rPr>
            </w:pPr>
            <w:r w:rsidRPr="00AF0CC3">
              <w:rPr>
                <w:rFonts w:ascii="Times New Roman" w:eastAsia="Times New Roman" w:hAnsi="Times New Roman" w:cs="Times New Roman"/>
                <w:b/>
                <w:bCs/>
                <w:color w:val="000000" w:themeColor="text1"/>
                <w:kern w:val="0"/>
                <w14:ligatures w14:val="none"/>
              </w:rPr>
              <w:t>Number of Projects</w:t>
            </w:r>
          </w:p>
        </w:tc>
        <w:tc>
          <w:tcPr>
            <w:tcW w:w="0" w:type="auto"/>
            <w:vAlign w:val="center"/>
            <w:hideMark/>
          </w:tcPr>
          <w:p w14:paraId="02F41BC9" w14:textId="77777777" w:rsidR="00844B88" w:rsidRPr="00AF0CC3" w:rsidRDefault="00844B88" w:rsidP="00E73C98">
            <w:pPr>
              <w:spacing w:after="0" w:line="240" w:lineRule="auto"/>
              <w:jc w:val="right"/>
              <w:rPr>
                <w:rFonts w:ascii="Times New Roman" w:eastAsia="Times New Roman" w:hAnsi="Times New Roman" w:cs="Times New Roman"/>
                <w:b/>
                <w:bCs/>
                <w:color w:val="000000" w:themeColor="text1"/>
                <w:kern w:val="0"/>
                <w14:ligatures w14:val="none"/>
              </w:rPr>
            </w:pPr>
            <w:r w:rsidRPr="00AF0CC3">
              <w:rPr>
                <w:rFonts w:ascii="Times New Roman" w:eastAsia="Times New Roman" w:hAnsi="Times New Roman" w:cs="Times New Roman"/>
                <w:b/>
                <w:bCs/>
                <w:color w:val="000000" w:themeColor="text1"/>
                <w:kern w:val="0"/>
                <w14:ligatures w14:val="none"/>
              </w:rPr>
              <w:t>Mean GQI</w:t>
            </w:r>
          </w:p>
        </w:tc>
        <w:tc>
          <w:tcPr>
            <w:tcW w:w="0" w:type="auto"/>
            <w:vAlign w:val="center"/>
            <w:hideMark/>
          </w:tcPr>
          <w:p w14:paraId="69DA9248" w14:textId="77777777" w:rsidR="00844B88" w:rsidRPr="00AF0CC3" w:rsidRDefault="00844B88" w:rsidP="00E73C98">
            <w:pPr>
              <w:spacing w:after="0" w:line="240" w:lineRule="auto"/>
              <w:jc w:val="right"/>
              <w:rPr>
                <w:rFonts w:ascii="Times New Roman" w:eastAsia="Times New Roman" w:hAnsi="Times New Roman" w:cs="Times New Roman"/>
                <w:b/>
                <w:bCs/>
                <w:color w:val="000000" w:themeColor="text1"/>
                <w:kern w:val="0"/>
                <w14:ligatures w14:val="none"/>
              </w:rPr>
            </w:pPr>
            <w:r w:rsidRPr="00AF0CC3">
              <w:rPr>
                <w:rFonts w:ascii="Times New Roman" w:eastAsia="Times New Roman" w:hAnsi="Times New Roman" w:cs="Times New Roman"/>
                <w:b/>
                <w:bCs/>
                <w:color w:val="000000" w:themeColor="text1"/>
                <w:kern w:val="0"/>
                <w14:ligatures w14:val="none"/>
              </w:rPr>
              <w:t>Median GQI</w:t>
            </w:r>
          </w:p>
        </w:tc>
      </w:tr>
      <w:tr w:rsidR="00844B88" w:rsidRPr="00AF0CC3" w14:paraId="01E22DDA" w14:textId="77777777" w:rsidTr="00E73C98">
        <w:trPr>
          <w:trHeight w:val="476"/>
          <w:tblCellSpacing w:w="15" w:type="dxa"/>
        </w:trPr>
        <w:tc>
          <w:tcPr>
            <w:tcW w:w="0" w:type="auto"/>
            <w:vAlign w:val="center"/>
            <w:hideMark/>
          </w:tcPr>
          <w:p w14:paraId="62A33BC9" w14:textId="77777777" w:rsidR="00844B88" w:rsidRPr="00AF0CC3" w:rsidRDefault="00844B88" w:rsidP="00E73C98">
            <w:pPr>
              <w:spacing w:after="0" w:line="240" w:lineRule="auto"/>
              <w:rPr>
                <w:rFonts w:ascii="Times New Roman" w:eastAsia="Times New Roman" w:hAnsi="Times New Roman" w:cs="Times New Roman"/>
                <w:color w:val="000000" w:themeColor="text1"/>
                <w:kern w:val="0"/>
                <w14:ligatures w14:val="none"/>
              </w:rPr>
            </w:pPr>
            <w:r w:rsidRPr="00AF0CC3">
              <w:rPr>
                <w:rFonts w:ascii="Times New Roman" w:eastAsia="Times New Roman" w:hAnsi="Times New Roman" w:cs="Times New Roman"/>
                <w:color w:val="000000" w:themeColor="text1"/>
                <w:kern w:val="0"/>
                <w14:ligatures w14:val="none"/>
              </w:rPr>
              <w:t>Non-Stalled</w:t>
            </w:r>
          </w:p>
        </w:tc>
        <w:tc>
          <w:tcPr>
            <w:tcW w:w="0" w:type="auto"/>
            <w:vAlign w:val="center"/>
            <w:hideMark/>
          </w:tcPr>
          <w:p w14:paraId="2B397A38" w14:textId="77777777" w:rsidR="00844B88" w:rsidRPr="00AF0CC3" w:rsidRDefault="00844B88" w:rsidP="00E73C98">
            <w:pPr>
              <w:spacing w:after="0" w:line="240" w:lineRule="auto"/>
              <w:jc w:val="right"/>
              <w:rPr>
                <w:rFonts w:ascii="Times New Roman" w:eastAsia="Times New Roman" w:hAnsi="Times New Roman" w:cs="Times New Roman"/>
                <w:color w:val="000000" w:themeColor="text1"/>
                <w:kern w:val="0"/>
                <w14:ligatures w14:val="none"/>
              </w:rPr>
            </w:pPr>
            <w:r w:rsidRPr="00AF0CC3">
              <w:rPr>
                <w:rFonts w:ascii="Times New Roman" w:eastAsia="Times New Roman" w:hAnsi="Times New Roman" w:cs="Times New Roman"/>
                <w:color w:val="000000" w:themeColor="text1"/>
                <w:kern w:val="0"/>
                <w14:ligatures w14:val="none"/>
              </w:rPr>
              <w:t>21</w:t>
            </w:r>
          </w:p>
        </w:tc>
        <w:tc>
          <w:tcPr>
            <w:tcW w:w="0" w:type="auto"/>
            <w:vAlign w:val="center"/>
            <w:hideMark/>
          </w:tcPr>
          <w:p w14:paraId="5712805F" w14:textId="77777777" w:rsidR="00844B88" w:rsidRPr="00AF0CC3" w:rsidRDefault="00844B88" w:rsidP="00E73C98">
            <w:pPr>
              <w:spacing w:after="0" w:line="240" w:lineRule="auto"/>
              <w:jc w:val="right"/>
              <w:rPr>
                <w:rFonts w:ascii="Times New Roman" w:eastAsia="Times New Roman" w:hAnsi="Times New Roman" w:cs="Times New Roman"/>
                <w:color w:val="000000" w:themeColor="text1"/>
                <w:kern w:val="0"/>
                <w14:ligatures w14:val="none"/>
              </w:rPr>
            </w:pPr>
            <w:r w:rsidRPr="00AF0CC3">
              <w:rPr>
                <w:rFonts w:ascii="Times New Roman" w:eastAsia="Times New Roman" w:hAnsi="Times New Roman" w:cs="Times New Roman"/>
                <w:color w:val="000000" w:themeColor="text1"/>
                <w:kern w:val="0"/>
                <w14:ligatures w14:val="none"/>
              </w:rPr>
              <w:t>0.827</w:t>
            </w:r>
          </w:p>
        </w:tc>
        <w:tc>
          <w:tcPr>
            <w:tcW w:w="0" w:type="auto"/>
            <w:vAlign w:val="center"/>
            <w:hideMark/>
          </w:tcPr>
          <w:p w14:paraId="7BD3A808" w14:textId="77777777" w:rsidR="00844B88" w:rsidRPr="00AF0CC3" w:rsidRDefault="00844B88" w:rsidP="00E73C98">
            <w:pPr>
              <w:spacing w:after="0" w:line="240" w:lineRule="auto"/>
              <w:jc w:val="right"/>
              <w:rPr>
                <w:rFonts w:ascii="Times New Roman" w:eastAsia="Times New Roman" w:hAnsi="Times New Roman" w:cs="Times New Roman"/>
                <w:color w:val="000000" w:themeColor="text1"/>
                <w:kern w:val="0"/>
                <w14:ligatures w14:val="none"/>
              </w:rPr>
            </w:pPr>
            <w:r w:rsidRPr="00AF0CC3">
              <w:rPr>
                <w:rFonts w:ascii="Times New Roman" w:eastAsia="Times New Roman" w:hAnsi="Times New Roman" w:cs="Times New Roman"/>
                <w:color w:val="000000" w:themeColor="text1"/>
                <w:kern w:val="0"/>
                <w14:ligatures w14:val="none"/>
              </w:rPr>
              <w:t>0.875</w:t>
            </w:r>
          </w:p>
        </w:tc>
      </w:tr>
      <w:tr w:rsidR="00844B88" w:rsidRPr="00AF0CC3" w14:paraId="453BA6A8" w14:textId="77777777" w:rsidTr="00E73C98">
        <w:trPr>
          <w:trHeight w:val="476"/>
          <w:tblCellSpacing w:w="15" w:type="dxa"/>
        </w:trPr>
        <w:tc>
          <w:tcPr>
            <w:tcW w:w="0" w:type="auto"/>
            <w:vAlign w:val="center"/>
            <w:hideMark/>
          </w:tcPr>
          <w:p w14:paraId="5D05A9E2" w14:textId="77777777" w:rsidR="00844B88" w:rsidRPr="00AF0CC3" w:rsidRDefault="00844B88" w:rsidP="00E73C98">
            <w:pPr>
              <w:spacing w:after="0" w:line="240" w:lineRule="auto"/>
              <w:rPr>
                <w:rFonts w:ascii="Times New Roman" w:eastAsia="Times New Roman" w:hAnsi="Times New Roman" w:cs="Times New Roman"/>
                <w:color w:val="000000" w:themeColor="text1"/>
                <w:kern w:val="0"/>
                <w14:ligatures w14:val="none"/>
              </w:rPr>
            </w:pPr>
            <w:r w:rsidRPr="00AF0CC3">
              <w:rPr>
                <w:rFonts w:ascii="Times New Roman" w:eastAsia="Times New Roman" w:hAnsi="Times New Roman" w:cs="Times New Roman"/>
                <w:color w:val="000000" w:themeColor="text1"/>
                <w:kern w:val="0"/>
                <w14:ligatures w14:val="none"/>
              </w:rPr>
              <w:t>Stalled</w:t>
            </w:r>
          </w:p>
        </w:tc>
        <w:tc>
          <w:tcPr>
            <w:tcW w:w="0" w:type="auto"/>
            <w:vAlign w:val="center"/>
            <w:hideMark/>
          </w:tcPr>
          <w:p w14:paraId="3D532AF4" w14:textId="77777777" w:rsidR="00844B88" w:rsidRPr="00AF0CC3" w:rsidRDefault="00844B88" w:rsidP="00E73C98">
            <w:pPr>
              <w:spacing w:after="0" w:line="240" w:lineRule="auto"/>
              <w:jc w:val="right"/>
              <w:rPr>
                <w:rFonts w:ascii="Times New Roman" w:eastAsia="Times New Roman" w:hAnsi="Times New Roman" w:cs="Times New Roman"/>
                <w:color w:val="000000" w:themeColor="text1"/>
                <w:kern w:val="0"/>
                <w14:ligatures w14:val="none"/>
              </w:rPr>
            </w:pPr>
            <w:r w:rsidRPr="00AF0CC3">
              <w:rPr>
                <w:rFonts w:ascii="Times New Roman" w:eastAsia="Times New Roman" w:hAnsi="Times New Roman" w:cs="Times New Roman"/>
                <w:color w:val="000000" w:themeColor="text1"/>
                <w:kern w:val="0"/>
                <w14:ligatures w14:val="none"/>
              </w:rPr>
              <w:t>11</w:t>
            </w:r>
          </w:p>
        </w:tc>
        <w:tc>
          <w:tcPr>
            <w:tcW w:w="0" w:type="auto"/>
            <w:vAlign w:val="center"/>
            <w:hideMark/>
          </w:tcPr>
          <w:p w14:paraId="3AA3BA0B" w14:textId="77777777" w:rsidR="00844B88" w:rsidRPr="00AF0CC3" w:rsidRDefault="00844B88" w:rsidP="00E73C98">
            <w:pPr>
              <w:spacing w:after="0" w:line="240" w:lineRule="auto"/>
              <w:jc w:val="right"/>
              <w:rPr>
                <w:rFonts w:ascii="Times New Roman" w:eastAsia="Times New Roman" w:hAnsi="Times New Roman" w:cs="Times New Roman"/>
                <w:color w:val="000000" w:themeColor="text1"/>
                <w:kern w:val="0"/>
                <w14:ligatures w14:val="none"/>
              </w:rPr>
            </w:pPr>
            <w:r w:rsidRPr="00AF0CC3">
              <w:rPr>
                <w:rFonts w:ascii="Times New Roman" w:eastAsia="Times New Roman" w:hAnsi="Times New Roman" w:cs="Times New Roman"/>
                <w:color w:val="000000" w:themeColor="text1"/>
                <w:kern w:val="0"/>
                <w14:ligatures w14:val="none"/>
              </w:rPr>
              <w:t>0.554</w:t>
            </w:r>
          </w:p>
        </w:tc>
        <w:tc>
          <w:tcPr>
            <w:tcW w:w="0" w:type="auto"/>
            <w:vAlign w:val="center"/>
            <w:hideMark/>
          </w:tcPr>
          <w:p w14:paraId="362504F3" w14:textId="77777777" w:rsidR="00844B88" w:rsidRPr="00AF0CC3" w:rsidRDefault="00844B88" w:rsidP="00E73C98">
            <w:pPr>
              <w:spacing w:after="0" w:line="240" w:lineRule="auto"/>
              <w:jc w:val="right"/>
              <w:rPr>
                <w:rFonts w:ascii="Times New Roman" w:eastAsia="Times New Roman" w:hAnsi="Times New Roman" w:cs="Times New Roman"/>
                <w:color w:val="000000" w:themeColor="text1"/>
                <w:kern w:val="0"/>
                <w14:ligatures w14:val="none"/>
              </w:rPr>
            </w:pPr>
            <w:r w:rsidRPr="00AF0CC3">
              <w:rPr>
                <w:rFonts w:ascii="Times New Roman" w:eastAsia="Times New Roman" w:hAnsi="Times New Roman" w:cs="Times New Roman"/>
                <w:color w:val="000000" w:themeColor="text1"/>
                <w:kern w:val="0"/>
                <w14:ligatures w14:val="none"/>
              </w:rPr>
              <w:t>0.500</w:t>
            </w:r>
          </w:p>
        </w:tc>
      </w:tr>
    </w:tbl>
    <w:p w14:paraId="1C7566B5" w14:textId="77777777" w:rsidR="00844B88" w:rsidRPr="00AF0CC3" w:rsidRDefault="00844B88" w:rsidP="00844B88">
      <w:pPr>
        <w:rPr>
          <w:rFonts w:ascii="Times New Roman" w:hAnsi="Times New Roman" w:cs="Times New Roman"/>
          <w:color w:val="000000" w:themeColor="text1"/>
        </w:rPr>
      </w:pPr>
    </w:p>
    <w:p w14:paraId="5EF1E1E7" w14:textId="77777777" w:rsidR="00844B88" w:rsidRPr="00AF0CC3" w:rsidRDefault="00844B88" w:rsidP="00844B88">
      <w:pPr>
        <w:rPr>
          <w:rFonts w:ascii="Times New Roman" w:hAnsi="Times New Roman" w:cs="Times New Roman"/>
          <w:color w:val="000000" w:themeColor="text1"/>
        </w:rPr>
      </w:pPr>
      <w:r w:rsidRPr="00AF0CC3">
        <w:rPr>
          <w:rFonts w:ascii="Times New Roman" w:hAnsi="Times New Roman" w:cs="Times New Roman"/>
          <w:color w:val="000000" w:themeColor="text1"/>
        </w:rPr>
        <w:t>The results indicate substantial differences in governance quality between stalled and non-stalled infrastructure projects.</w:t>
      </w:r>
    </w:p>
    <w:p w14:paraId="007444F2" w14:textId="77777777" w:rsidR="00844B88" w:rsidRPr="00AF0CC3" w:rsidRDefault="00844B88" w:rsidP="00844B88">
      <w:pPr>
        <w:rPr>
          <w:rFonts w:ascii="Times New Roman" w:hAnsi="Times New Roman" w:cs="Times New Roman"/>
          <w:color w:val="000000" w:themeColor="text1"/>
        </w:rPr>
      </w:pPr>
    </w:p>
    <w:p w14:paraId="0785AC38" w14:textId="77777777" w:rsidR="00844B88" w:rsidRPr="00AF0CC3" w:rsidRDefault="00844B88" w:rsidP="00844B88">
      <w:pPr>
        <w:rPr>
          <w:rFonts w:ascii="Times New Roman" w:hAnsi="Times New Roman" w:cs="Times New Roman"/>
          <w:color w:val="000000" w:themeColor="text1"/>
        </w:rPr>
      </w:pPr>
      <w:r w:rsidRPr="00AF0CC3">
        <w:rPr>
          <w:rFonts w:ascii="Times New Roman" w:hAnsi="Times New Roman" w:cs="Times New Roman"/>
          <w:color w:val="000000" w:themeColor="text1"/>
        </w:rPr>
        <w:t>Non-stalled projects recorded an average Governance Quality Index score of 0.827 compared with 0.554 among stalled projects. Similarly, the median GQI score among non-stalled projects was substantially higher than the median score among stalled projects.</w:t>
      </w:r>
    </w:p>
    <w:p w14:paraId="2E2C8B94" w14:textId="77777777" w:rsidR="00844B88" w:rsidRPr="00AF0CC3" w:rsidRDefault="00844B88" w:rsidP="00844B88">
      <w:pPr>
        <w:rPr>
          <w:rFonts w:ascii="Times New Roman" w:hAnsi="Times New Roman" w:cs="Times New Roman"/>
          <w:color w:val="000000" w:themeColor="text1"/>
        </w:rPr>
      </w:pPr>
    </w:p>
    <w:p w14:paraId="7DF38AAF" w14:textId="77777777" w:rsidR="00844B88" w:rsidRPr="00AF0CC3" w:rsidRDefault="00844B88" w:rsidP="00844B88">
      <w:pPr>
        <w:rPr>
          <w:rFonts w:ascii="Times New Roman" w:hAnsi="Times New Roman" w:cs="Times New Roman"/>
          <w:color w:val="000000" w:themeColor="text1"/>
        </w:rPr>
      </w:pPr>
      <w:r w:rsidRPr="00AF0CC3">
        <w:rPr>
          <w:rFonts w:ascii="Times New Roman" w:hAnsi="Times New Roman" w:cs="Times New Roman"/>
          <w:color w:val="000000" w:themeColor="text1"/>
        </w:rPr>
        <w:t xml:space="preserve">The regression results indicate that projects with stronger governance systems were substantially less likely to experience prolonged implementation interruptions. Conversely, projects characterized by weaker governance arrangements exhibited greater vulnerability to implementation disruption and administrative instability. </w:t>
      </w:r>
    </w:p>
    <w:p w14:paraId="031C62F0" w14:textId="77777777" w:rsidR="00844B88" w:rsidRPr="00AF0CC3" w:rsidRDefault="00844B88" w:rsidP="00844B88">
      <w:pPr>
        <w:rPr>
          <w:rFonts w:ascii="Times New Roman" w:hAnsi="Times New Roman" w:cs="Times New Roman"/>
          <w:color w:val="000000" w:themeColor="text1"/>
        </w:rPr>
      </w:pPr>
      <w:r w:rsidRPr="00AF0CC3">
        <w:rPr>
          <w:rFonts w:ascii="Times New Roman" w:hAnsi="Times New Roman" w:cs="Times New Roman"/>
          <w:color w:val="000000" w:themeColor="text1"/>
        </w:rPr>
        <w:lastRenderedPageBreak/>
        <w:t>The results support the broader infrastructure governance literature emphasizing the importance of institutional coordination, procurement transparency, implementation oversight, and accountability mechanisms in reducing infrastructure delivery failures (Flyvbjerg, 2014; World Bank, 2017).</w:t>
      </w:r>
    </w:p>
    <w:p w14:paraId="730C36B9" w14:textId="659E92FE" w:rsidR="00844B88" w:rsidRPr="00AF0CC3" w:rsidRDefault="00844B88" w:rsidP="00844B88">
      <w:pPr>
        <w:pStyle w:val="Heading3"/>
        <w:rPr>
          <w:rFonts w:cs="Times New Roman"/>
          <w:b w:val="0"/>
          <w:bCs/>
          <w:color w:val="000000" w:themeColor="text1"/>
          <w:szCs w:val="24"/>
        </w:rPr>
      </w:pPr>
      <w:bookmarkStart w:id="354" w:name="_Toc232375979"/>
      <w:bookmarkStart w:id="355" w:name="_Toc234344846"/>
      <w:bookmarkStart w:id="356" w:name="_Toc234489078"/>
      <w:r w:rsidRPr="00AF0CC3">
        <w:rPr>
          <w:rFonts w:cs="Times New Roman"/>
          <w:bCs/>
          <w:color w:val="000000" w:themeColor="text1"/>
          <w:szCs w:val="24"/>
        </w:rPr>
        <w:t>Governance Quality Distribution by Project Status</w:t>
      </w:r>
      <w:bookmarkEnd w:id="354"/>
      <w:bookmarkEnd w:id="355"/>
      <w:bookmarkEnd w:id="356"/>
    </w:p>
    <w:p w14:paraId="369C577D" w14:textId="77777777" w:rsidR="00844B88" w:rsidRPr="00AF0CC3" w:rsidRDefault="00844B88" w:rsidP="00844B88">
      <w:pPr>
        <w:rPr>
          <w:rFonts w:ascii="Times New Roman" w:hAnsi="Times New Roman" w:cs="Times New Roman"/>
          <w:color w:val="000000" w:themeColor="text1"/>
        </w:rPr>
      </w:pPr>
      <w:r w:rsidRPr="00AF0CC3">
        <w:rPr>
          <w:rFonts w:ascii="Times New Roman" w:hAnsi="Times New Roman" w:cs="Times New Roman"/>
          <w:color w:val="000000" w:themeColor="text1"/>
        </w:rPr>
        <w:t>Figure 4.3 presents the distribution of Governance Quality Index scores across stalled and non-stalled projects.</w:t>
      </w:r>
    </w:p>
    <w:p w14:paraId="44E06AB4" w14:textId="77777777" w:rsidR="00AB48E8" w:rsidRPr="00AF0CC3" w:rsidRDefault="00844B88" w:rsidP="00AB48E8">
      <w:pPr>
        <w:keepNext/>
        <w:rPr>
          <w:rFonts w:ascii="Times New Roman" w:hAnsi="Times New Roman" w:cs="Times New Roman"/>
        </w:rPr>
      </w:pPr>
      <w:r w:rsidRPr="00AF0CC3">
        <w:rPr>
          <w:rFonts w:ascii="Times New Roman" w:hAnsi="Times New Roman" w:cs="Times New Roman"/>
          <w:noProof/>
          <w:color w:val="000000" w:themeColor="text1"/>
        </w:rPr>
        <w:drawing>
          <wp:inline distT="0" distB="0" distL="0" distR="0" wp14:anchorId="5B5426E5" wp14:editId="46650937">
            <wp:extent cx="5944235" cy="3950335"/>
            <wp:effectExtent l="0" t="0" r="0" b="0"/>
            <wp:docPr id="180354233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5944235" cy="3950335"/>
                    </a:xfrm>
                    <a:prstGeom prst="rect">
                      <a:avLst/>
                    </a:prstGeom>
                    <a:noFill/>
                  </pic:spPr>
                </pic:pic>
              </a:graphicData>
            </a:graphic>
          </wp:inline>
        </w:drawing>
      </w:r>
    </w:p>
    <w:p w14:paraId="5930755F" w14:textId="087DDD17" w:rsidR="00844B88" w:rsidRPr="00AF0CC3" w:rsidRDefault="00AB48E8" w:rsidP="00AB48E8">
      <w:pPr>
        <w:pStyle w:val="Caption"/>
        <w:rPr>
          <w:rFonts w:ascii="Times New Roman" w:hAnsi="Times New Roman" w:cs="Times New Roman"/>
          <w:color w:val="000000" w:themeColor="text1"/>
          <w:sz w:val="24"/>
          <w:szCs w:val="24"/>
        </w:rPr>
      </w:pPr>
      <w:bookmarkStart w:id="357" w:name="_Toc234481931"/>
      <w:r w:rsidRPr="00AF0CC3">
        <w:rPr>
          <w:rFonts w:ascii="Times New Roman" w:hAnsi="Times New Roman" w:cs="Times New Roman"/>
          <w:sz w:val="24"/>
          <w:szCs w:val="24"/>
        </w:rPr>
        <w:t xml:space="preserve">Figure </w:t>
      </w:r>
      <w:r w:rsidR="00052921" w:rsidRPr="00AF0CC3">
        <w:rPr>
          <w:rFonts w:ascii="Times New Roman" w:hAnsi="Times New Roman" w:cs="Times New Roman"/>
          <w:sz w:val="24"/>
          <w:szCs w:val="24"/>
        </w:rPr>
        <w:fldChar w:fldCharType="begin"/>
      </w:r>
      <w:r w:rsidR="00052921" w:rsidRPr="00AF0CC3">
        <w:rPr>
          <w:rFonts w:ascii="Times New Roman" w:hAnsi="Times New Roman" w:cs="Times New Roman"/>
          <w:sz w:val="24"/>
          <w:szCs w:val="24"/>
        </w:rPr>
        <w:instrText xml:space="preserve"> STYLEREF 1 \s </w:instrText>
      </w:r>
      <w:r w:rsidR="00052921" w:rsidRPr="00AF0CC3">
        <w:rPr>
          <w:rFonts w:ascii="Times New Roman" w:hAnsi="Times New Roman" w:cs="Times New Roman"/>
          <w:sz w:val="24"/>
          <w:szCs w:val="24"/>
        </w:rPr>
        <w:fldChar w:fldCharType="separate"/>
      </w:r>
      <w:r w:rsidR="00052921" w:rsidRPr="00AF0CC3">
        <w:rPr>
          <w:rFonts w:ascii="Times New Roman" w:hAnsi="Times New Roman" w:cs="Times New Roman"/>
          <w:noProof/>
          <w:sz w:val="24"/>
          <w:szCs w:val="24"/>
        </w:rPr>
        <w:t>4</w:t>
      </w:r>
      <w:r w:rsidR="00052921" w:rsidRPr="00AF0CC3">
        <w:rPr>
          <w:rFonts w:ascii="Times New Roman" w:hAnsi="Times New Roman" w:cs="Times New Roman"/>
          <w:noProof/>
          <w:sz w:val="24"/>
          <w:szCs w:val="24"/>
        </w:rPr>
        <w:fldChar w:fldCharType="end"/>
      </w:r>
      <w:r w:rsidR="00BF2261" w:rsidRPr="00AF0CC3">
        <w:rPr>
          <w:rFonts w:ascii="Times New Roman" w:hAnsi="Times New Roman" w:cs="Times New Roman"/>
          <w:sz w:val="24"/>
          <w:szCs w:val="24"/>
        </w:rPr>
        <w:t>.</w:t>
      </w:r>
      <w:r w:rsidR="00052921" w:rsidRPr="00AF0CC3">
        <w:rPr>
          <w:rFonts w:ascii="Times New Roman" w:hAnsi="Times New Roman" w:cs="Times New Roman"/>
          <w:sz w:val="24"/>
          <w:szCs w:val="24"/>
        </w:rPr>
        <w:fldChar w:fldCharType="begin"/>
      </w:r>
      <w:r w:rsidR="00052921" w:rsidRPr="00AF0CC3">
        <w:rPr>
          <w:rFonts w:ascii="Times New Roman" w:hAnsi="Times New Roman" w:cs="Times New Roman"/>
          <w:sz w:val="24"/>
          <w:szCs w:val="24"/>
        </w:rPr>
        <w:instrText xml:space="preserve"> SEQ Figure \* ARABIC \s 1 </w:instrText>
      </w:r>
      <w:r w:rsidR="00052921" w:rsidRPr="00AF0CC3">
        <w:rPr>
          <w:rFonts w:ascii="Times New Roman" w:hAnsi="Times New Roman" w:cs="Times New Roman"/>
          <w:sz w:val="24"/>
          <w:szCs w:val="24"/>
        </w:rPr>
        <w:fldChar w:fldCharType="separate"/>
      </w:r>
      <w:r w:rsidR="00052921" w:rsidRPr="00AF0CC3">
        <w:rPr>
          <w:rFonts w:ascii="Times New Roman" w:hAnsi="Times New Roman" w:cs="Times New Roman"/>
          <w:noProof/>
          <w:sz w:val="24"/>
          <w:szCs w:val="24"/>
        </w:rPr>
        <w:t>3</w:t>
      </w:r>
      <w:r w:rsidR="00052921" w:rsidRPr="00AF0CC3">
        <w:rPr>
          <w:rFonts w:ascii="Times New Roman" w:hAnsi="Times New Roman" w:cs="Times New Roman"/>
          <w:noProof/>
          <w:sz w:val="24"/>
          <w:szCs w:val="24"/>
        </w:rPr>
        <w:fldChar w:fldCharType="end"/>
      </w:r>
      <w:r w:rsidRPr="00AF0CC3">
        <w:rPr>
          <w:rFonts w:ascii="Times New Roman" w:hAnsi="Times New Roman" w:cs="Times New Roman"/>
          <w:sz w:val="24"/>
          <w:szCs w:val="24"/>
        </w:rPr>
        <w:t xml:space="preserve"> Governance Quality Index (GQI) by Project Status</w:t>
      </w:r>
      <w:bookmarkEnd w:id="357"/>
    </w:p>
    <w:p w14:paraId="3313AF2E" w14:textId="77777777" w:rsidR="00844B88" w:rsidRPr="00AF0CC3" w:rsidRDefault="00844B88" w:rsidP="00844B88">
      <w:pPr>
        <w:rPr>
          <w:rFonts w:ascii="Times New Roman" w:hAnsi="Times New Roman" w:cs="Times New Roman"/>
          <w:color w:val="000000" w:themeColor="text1"/>
        </w:rPr>
      </w:pPr>
    </w:p>
    <w:p w14:paraId="1534403F" w14:textId="77777777" w:rsidR="00844B88" w:rsidRPr="00AF0CC3" w:rsidRDefault="00844B88" w:rsidP="00844B88">
      <w:pPr>
        <w:rPr>
          <w:rFonts w:ascii="Times New Roman" w:hAnsi="Times New Roman" w:cs="Times New Roman"/>
          <w:color w:val="000000" w:themeColor="text1"/>
        </w:rPr>
      </w:pPr>
      <w:r w:rsidRPr="00AF0CC3">
        <w:rPr>
          <w:rFonts w:ascii="Times New Roman" w:hAnsi="Times New Roman" w:cs="Times New Roman"/>
          <w:color w:val="000000" w:themeColor="text1"/>
        </w:rPr>
        <w:t>Figure 4.3 illustrates the distribution of Governance Quality Index (GQI) scores across stalled and non-stalled projects. Non-stalled projects exhibited substantially higher governance quality scores, with a mean GQI of 0.827 compared with 0.554 among stalled projects. The distribution further indicates that projects with stronger governance arrangements generally recorded higher governance scores and experienced fewer implementation interruptions than those operating in weaker governance environments.</w:t>
      </w:r>
    </w:p>
    <w:p w14:paraId="10915DC6" w14:textId="77777777" w:rsidR="00844B88" w:rsidRPr="00AF0CC3" w:rsidRDefault="00844B88" w:rsidP="00844B88">
      <w:pPr>
        <w:rPr>
          <w:rFonts w:ascii="Times New Roman" w:hAnsi="Times New Roman" w:cs="Times New Roman"/>
          <w:color w:val="000000" w:themeColor="text1"/>
        </w:rPr>
      </w:pPr>
    </w:p>
    <w:p w14:paraId="33C720D7" w14:textId="77777777" w:rsidR="00844B88" w:rsidRPr="00AF0CC3" w:rsidRDefault="00844B88" w:rsidP="00844B88">
      <w:pPr>
        <w:rPr>
          <w:rFonts w:ascii="Times New Roman" w:hAnsi="Times New Roman" w:cs="Times New Roman"/>
          <w:color w:val="000000" w:themeColor="text1"/>
        </w:rPr>
      </w:pPr>
      <w:r w:rsidRPr="00AF0CC3">
        <w:rPr>
          <w:rFonts w:ascii="Times New Roman" w:hAnsi="Times New Roman" w:cs="Times New Roman"/>
          <w:color w:val="000000" w:themeColor="text1"/>
        </w:rPr>
        <w:lastRenderedPageBreak/>
        <w:t>Although some overlap exists between the distributions, the overall pattern demonstrates a clear separation between stalled and non-stalled projects. This relationship is consistent with the descriptive statistics presented in Table 4.4 and supports the proposition that stronger governance quality was associated with greater implementation continuity. The observed pattern also aligns with the logistic regression results, which indicated a statistically significant negative relationship between governance quality and the probability of project stalling.</w:t>
      </w:r>
    </w:p>
    <w:p w14:paraId="79439C83" w14:textId="77777777" w:rsidR="00844B88" w:rsidRPr="00AF0CC3" w:rsidRDefault="00844B88" w:rsidP="00844B88">
      <w:pPr>
        <w:rPr>
          <w:rFonts w:ascii="Times New Roman" w:hAnsi="Times New Roman" w:cs="Times New Roman"/>
          <w:color w:val="000000" w:themeColor="text1"/>
        </w:rPr>
      </w:pPr>
    </w:p>
    <w:p w14:paraId="31D84793" w14:textId="77777777" w:rsidR="00844B88" w:rsidRPr="00AF0CC3" w:rsidRDefault="00844B88" w:rsidP="00844B88">
      <w:pPr>
        <w:rPr>
          <w:rFonts w:ascii="Times New Roman" w:hAnsi="Times New Roman" w:cs="Times New Roman"/>
          <w:color w:val="000000" w:themeColor="text1"/>
        </w:rPr>
      </w:pPr>
      <w:r w:rsidRPr="00AF0CC3">
        <w:rPr>
          <w:rFonts w:ascii="Times New Roman" w:hAnsi="Times New Roman" w:cs="Times New Roman"/>
          <w:color w:val="000000" w:themeColor="text1"/>
        </w:rPr>
        <w:t>Collectively, visual and statistical evidence indicate that governance quality constitutes an important institutional factor influencing implementation continuity across the sampled infrastructure projects. Projects characterized by stronger governance systems were considerably less likely to experience prolonged implementation interruptions than those operating in weaker governance environments.</w:t>
      </w:r>
    </w:p>
    <w:p w14:paraId="513EA127" w14:textId="77777777" w:rsidR="00844B88" w:rsidRPr="00AF0CC3" w:rsidRDefault="00844B88" w:rsidP="00844B88">
      <w:pPr>
        <w:rPr>
          <w:rFonts w:ascii="Times New Roman" w:hAnsi="Times New Roman" w:cs="Times New Roman"/>
          <w:color w:val="000000" w:themeColor="text1"/>
        </w:rPr>
      </w:pPr>
    </w:p>
    <w:p w14:paraId="6AB92B55" w14:textId="72C96E1F" w:rsidR="00844B88" w:rsidRPr="00AF0CC3" w:rsidRDefault="00844B88" w:rsidP="00844B88">
      <w:pPr>
        <w:pStyle w:val="Heading3"/>
        <w:rPr>
          <w:rFonts w:cs="Times New Roman"/>
          <w:b w:val="0"/>
          <w:bCs/>
          <w:color w:val="000000" w:themeColor="text1"/>
          <w:szCs w:val="24"/>
        </w:rPr>
      </w:pPr>
      <w:bookmarkStart w:id="358" w:name="_Toc232375980"/>
      <w:bookmarkStart w:id="359" w:name="_Toc234344847"/>
      <w:bookmarkStart w:id="360" w:name="_Toc234489079"/>
      <w:r w:rsidRPr="00AF0CC3">
        <w:rPr>
          <w:rFonts w:cs="Times New Roman"/>
          <w:bCs/>
          <w:color w:val="000000" w:themeColor="text1"/>
          <w:szCs w:val="24"/>
        </w:rPr>
        <w:t>Correlation Analysis</w:t>
      </w:r>
      <w:bookmarkEnd w:id="358"/>
      <w:bookmarkEnd w:id="359"/>
      <w:bookmarkEnd w:id="360"/>
    </w:p>
    <w:p w14:paraId="5CC057BC" w14:textId="77777777" w:rsidR="00844B88" w:rsidRPr="00AF0CC3" w:rsidRDefault="00844B88" w:rsidP="00844B88">
      <w:pPr>
        <w:rPr>
          <w:rFonts w:ascii="Times New Roman" w:hAnsi="Times New Roman" w:cs="Times New Roman"/>
          <w:color w:val="000000" w:themeColor="text1"/>
        </w:rPr>
      </w:pPr>
    </w:p>
    <w:p w14:paraId="59F2AACD" w14:textId="77777777" w:rsidR="00844B88" w:rsidRPr="00AF0CC3" w:rsidRDefault="00844B88" w:rsidP="00844B88">
      <w:pPr>
        <w:rPr>
          <w:rFonts w:ascii="Times New Roman" w:hAnsi="Times New Roman" w:cs="Times New Roman"/>
          <w:color w:val="000000" w:themeColor="text1"/>
        </w:rPr>
      </w:pPr>
      <w:r w:rsidRPr="00AF0CC3">
        <w:rPr>
          <w:rFonts w:ascii="Times New Roman" w:hAnsi="Times New Roman" w:cs="Times New Roman"/>
          <w:color w:val="000000" w:themeColor="text1"/>
        </w:rPr>
        <w:t>Correlation analysis was conducted to examine the relationship between governance quality and project stalling.</w:t>
      </w:r>
    </w:p>
    <w:p w14:paraId="5A801CB7" w14:textId="70249E6E" w:rsidR="00A13A05" w:rsidRPr="00AF0CC3" w:rsidRDefault="00A13A05" w:rsidP="00A13A05">
      <w:pPr>
        <w:pStyle w:val="Caption"/>
        <w:keepNext/>
        <w:rPr>
          <w:rFonts w:ascii="Times New Roman" w:hAnsi="Times New Roman" w:cs="Times New Roman"/>
          <w:sz w:val="24"/>
          <w:szCs w:val="24"/>
        </w:rPr>
      </w:pPr>
      <w:bookmarkStart w:id="361" w:name="_Toc234437373"/>
      <w:r w:rsidRPr="00AF0CC3">
        <w:rPr>
          <w:rFonts w:ascii="Times New Roman" w:hAnsi="Times New Roman" w:cs="Times New Roman"/>
          <w:sz w:val="24"/>
          <w:szCs w:val="24"/>
        </w:rPr>
        <w:t xml:space="preserve">Table </w:t>
      </w:r>
      <w:r w:rsidR="007F4206" w:rsidRPr="00AF0CC3">
        <w:rPr>
          <w:rFonts w:ascii="Times New Roman" w:hAnsi="Times New Roman" w:cs="Times New Roman"/>
          <w:sz w:val="24"/>
          <w:szCs w:val="24"/>
        </w:rPr>
        <w:fldChar w:fldCharType="begin"/>
      </w:r>
      <w:r w:rsidR="007F4206" w:rsidRPr="00AF0CC3">
        <w:rPr>
          <w:rFonts w:ascii="Times New Roman" w:hAnsi="Times New Roman" w:cs="Times New Roman"/>
          <w:sz w:val="24"/>
          <w:szCs w:val="24"/>
        </w:rPr>
        <w:instrText xml:space="preserve"> STYLEREF 1 \s </w:instrText>
      </w:r>
      <w:r w:rsidR="007F4206" w:rsidRPr="00AF0CC3">
        <w:rPr>
          <w:rFonts w:ascii="Times New Roman" w:hAnsi="Times New Roman" w:cs="Times New Roman"/>
          <w:sz w:val="24"/>
          <w:szCs w:val="24"/>
        </w:rPr>
        <w:fldChar w:fldCharType="separate"/>
      </w:r>
      <w:r w:rsidR="007F4206" w:rsidRPr="00AF0CC3">
        <w:rPr>
          <w:rFonts w:ascii="Times New Roman" w:hAnsi="Times New Roman" w:cs="Times New Roman"/>
          <w:noProof/>
          <w:sz w:val="24"/>
          <w:szCs w:val="24"/>
        </w:rPr>
        <w:t>4</w:t>
      </w:r>
      <w:r w:rsidR="007F4206" w:rsidRPr="00AF0CC3">
        <w:rPr>
          <w:rFonts w:ascii="Times New Roman" w:hAnsi="Times New Roman" w:cs="Times New Roman"/>
          <w:noProof/>
          <w:sz w:val="24"/>
          <w:szCs w:val="24"/>
        </w:rPr>
        <w:fldChar w:fldCharType="end"/>
      </w:r>
      <w:r w:rsidR="007F4206" w:rsidRPr="00AF0CC3">
        <w:rPr>
          <w:rFonts w:ascii="Times New Roman" w:hAnsi="Times New Roman" w:cs="Times New Roman"/>
          <w:sz w:val="24"/>
          <w:szCs w:val="24"/>
        </w:rPr>
        <w:noBreakHyphen/>
      </w:r>
      <w:r w:rsidR="007F4206" w:rsidRPr="00AF0CC3">
        <w:rPr>
          <w:rFonts w:ascii="Times New Roman" w:hAnsi="Times New Roman" w:cs="Times New Roman"/>
          <w:sz w:val="24"/>
          <w:szCs w:val="24"/>
        </w:rPr>
        <w:fldChar w:fldCharType="begin"/>
      </w:r>
      <w:r w:rsidR="007F4206" w:rsidRPr="00AF0CC3">
        <w:rPr>
          <w:rFonts w:ascii="Times New Roman" w:hAnsi="Times New Roman" w:cs="Times New Roman"/>
          <w:sz w:val="24"/>
          <w:szCs w:val="24"/>
        </w:rPr>
        <w:instrText xml:space="preserve"> SEQ Table \* ARABIC \s 1 </w:instrText>
      </w:r>
      <w:r w:rsidR="007F4206" w:rsidRPr="00AF0CC3">
        <w:rPr>
          <w:rFonts w:ascii="Times New Roman" w:hAnsi="Times New Roman" w:cs="Times New Roman"/>
          <w:sz w:val="24"/>
          <w:szCs w:val="24"/>
        </w:rPr>
        <w:fldChar w:fldCharType="separate"/>
      </w:r>
      <w:r w:rsidR="007F4206" w:rsidRPr="00AF0CC3">
        <w:rPr>
          <w:rFonts w:ascii="Times New Roman" w:hAnsi="Times New Roman" w:cs="Times New Roman"/>
          <w:noProof/>
          <w:sz w:val="24"/>
          <w:szCs w:val="24"/>
        </w:rPr>
        <w:t>5</w:t>
      </w:r>
      <w:r w:rsidR="007F4206" w:rsidRPr="00AF0CC3">
        <w:rPr>
          <w:rFonts w:ascii="Times New Roman" w:hAnsi="Times New Roman" w:cs="Times New Roman"/>
          <w:noProof/>
          <w:sz w:val="24"/>
          <w:szCs w:val="24"/>
        </w:rPr>
        <w:fldChar w:fldCharType="end"/>
      </w:r>
      <w:r w:rsidRPr="00AF0CC3">
        <w:rPr>
          <w:rFonts w:ascii="Times New Roman" w:hAnsi="Times New Roman" w:cs="Times New Roman"/>
          <w:sz w:val="24"/>
          <w:szCs w:val="24"/>
        </w:rPr>
        <w:t xml:space="preserve"> Correlation Between GQI and Project Stalling</w:t>
      </w:r>
      <w:bookmarkEnd w:id="361"/>
    </w:p>
    <w:tbl>
      <w:tblPr>
        <w:tblW w:w="9228" w:type="dxa"/>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4614"/>
        <w:gridCol w:w="4614"/>
      </w:tblGrid>
      <w:tr w:rsidR="00844B88" w:rsidRPr="00AF0CC3" w14:paraId="032B77E0" w14:textId="77777777" w:rsidTr="00E73C98">
        <w:trPr>
          <w:trHeight w:val="400"/>
          <w:tblHeader/>
          <w:tblCellSpacing w:w="15" w:type="dxa"/>
        </w:trPr>
        <w:tc>
          <w:tcPr>
            <w:tcW w:w="0" w:type="auto"/>
            <w:vAlign w:val="center"/>
            <w:hideMark/>
          </w:tcPr>
          <w:p w14:paraId="0FE44441" w14:textId="77777777" w:rsidR="00844B88" w:rsidRPr="00AF0CC3" w:rsidRDefault="00844B88" w:rsidP="00E73C98">
            <w:pPr>
              <w:spacing w:after="0" w:line="240" w:lineRule="auto"/>
              <w:jc w:val="center"/>
              <w:rPr>
                <w:rFonts w:ascii="Times New Roman" w:eastAsia="Times New Roman" w:hAnsi="Times New Roman" w:cs="Times New Roman"/>
                <w:b/>
                <w:bCs/>
                <w:color w:val="000000" w:themeColor="text1"/>
                <w:kern w:val="0"/>
                <w14:ligatures w14:val="none"/>
              </w:rPr>
            </w:pPr>
            <w:r w:rsidRPr="00AF0CC3">
              <w:rPr>
                <w:rFonts w:ascii="Times New Roman" w:eastAsia="Times New Roman" w:hAnsi="Times New Roman" w:cs="Times New Roman"/>
                <w:b/>
                <w:bCs/>
                <w:color w:val="000000" w:themeColor="text1"/>
                <w:kern w:val="0"/>
                <w14:ligatures w14:val="none"/>
              </w:rPr>
              <w:t>Variable Pair</w:t>
            </w:r>
          </w:p>
        </w:tc>
        <w:tc>
          <w:tcPr>
            <w:tcW w:w="0" w:type="auto"/>
            <w:vAlign w:val="center"/>
            <w:hideMark/>
          </w:tcPr>
          <w:p w14:paraId="431B2371" w14:textId="77777777" w:rsidR="00844B88" w:rsidRPr="00AF0CC3" w:rsidRDefault="00844B88" w:rsidP="00E73C98">
            <w:pPr>
              <w:spacing w:after="0" w:line="240" w:lineRule="auto"/>
              <w:jc w:val="right"/>
              <w:rPr>
                <w:rFonts w:ascii="Times New Roman" w:eastAsia="Times New Roman" w:hAnsi="Times New Roman" w:cs="Times New Roman"/>
                <w:b/>
                <w:bCs/>
                <w:color w:val="000000" w:themeColor="text1"/>
                <w:kern w:val="0"/>
                <w14:ligatures w14:val="none"/>
              </w:rPr>
            </w:pPr>
            <w:r w:rsidRPr="00AF0CC3">
              <w:rPr>
                <w:rFonts w:ascii="Times New Roman" w:eastAsia="Times New Roman" w:hAnsi="Times New Roman" w:cs="Times New Roman"/>
                <w:b/>
                <w:bCs/>
                <w:color w:val="000000" w:themeColor="text1"/>
                <w:kern w:val="0"/>
                <w14:ligatures w14:val="none"/>
              </w:rPr>
              <w:t>Correlation Coefficient</w:t>
            </w:r>
          </w:p>
        </w:tc>
      </w:tr>
      <w:tr w:rsidR="00844B88" w:rsidRPr="00AF0CC3" w14:paraId="19F76C5D" w14:textId="77777777" w:rsidTr="00E73C98">
        <w:trPr>
          <w:trHeight w:val="400"/>
          <w:tblCellSpacing w:w="15" w:type="dxa"/>
        </w:trPr>
        <w:tc>
          <w:tcPr>
            <w:tcW w:w="0" w:type="auto"/>
            <w:vAlign w:val="center"/>
            <w:hideMark/>
          </w:tcPr>
          <w:p w14:paraId="35A28D57" w14:textId="77777777" w:rsidR="00844B88" w:rsidRPr="00AF0CC3" w:rsidRDefault="00844B88" w:rsidP="00E73C98">
            <w:pPr>
              <w:spacing w:after="0" w:line="240" w:lineRule="auto"/>
              <w:rPr>
                <w:rFonts w:ascii="Times New Roman" w:eastAsia="Times New Roman" w:hAnsi="Times New Roman" w:cs="Times New Roman"/>
                <w:color w:val="000000" w:themeColor="text1"/>
                <w:kern w:val="0"/>
                <w14:ligatures w14:val="none"/>
              </w:rPr>
            </w:pPr>
            <w:r w:rsidRPr="00AF0CC3">
              <w:rPr>
                <w:rFonts w:ascii="Times New Roman" w:eastAsia="Times New Roman" w:hAnsi="Times New Roman" w:cs="Times New Roman"/>
                <w:color w:val="000000" w:themeColor="text1"/>
                <w:kern w:val="0"/>
                <w14:ligatures w14:val="none"/>
              </w:rPr>
              <w:t>GQI and Project Stalling</w:t>
            </w:r>
          </w:p>
        </w:tc>
        <w:tc>
          <w:tcPr>
            <w:tcW w:w="0" w:type="auto"/>
            <w:vAlign w:val="center"/>
            <w:hideMark/>
          </w:tcPr>
          <w:p w14:paraId="38150897" w14:textId="77777777" w:rsidR="00844B88" w:rsidRPr="00AF0CC3" w:rsidRDefault="00844B88" w:rsidP="00E73C98">
            <w:pPr>
              <w:spacing w:after="0" w:line="240" w:lineRule="auto"/>
              <w:jc w:val="right"/>
              <w:rPr>
                <w:rFonts w:ascii="Times New Roman" w:eastAsia="Times New Roman" w:hAnsi="Times New Roman" w:cs="Times New Roman"/>
                <w:color w:val="000000" w:themeColor="text1"/>
                <w:kern w:val="0"/>
                <w14:ligatures w14:val="none"/>
              </w:rPr>
            </w:pPr>
            <w:r w:rsidRPr="00AF0CC3">
              <w:rPr>
                <w:rFonts w:ascii="Times New Roman" w:eastAsia="Times New Roman" w:hAnsi="Times New Roman" w:cs="Times New Roman"/>
                <w:color w:val="000000" w:themeColor="text1"/>
                <w:kern w:val="0"/>
                <w14:ligatures w14:val="none"/>
              </w:rPr>
              <w:t>-0.592</w:t>
            </w:r>
          </w:p>
        </w:tc>
      </w:tr>
    </w:tbl>
    <w:p w14:paraId="4404E7A7" w14:textId="77777777" w:rsidR="00844B88" w:rsidRPr="00AF0CC3" w:rsidRDefault="00844B88" w:rsidP="00844B88">
      <w:pPr>
        <w:rPr>
          <w:rFonts w:ascii="Times New Roman" w:hAnsi="Times New Roman" w:cs="Times New Roman"/>
          <w:color w:val="000000" w:themeColor="text1"/>
        </w:rPr>
      </w:pPr>
    </w:p>
    <w:p w14:paraId="0B37D088" w14:textId="77777777" w:rsidR="00844B88" w:rsidRPr="00AF0CC3" w:rsidRDefault="00844B88" w:rsidP="00844B88">
      <w:pPr>
        <w:rPr>
          <w:rFonts w:ascii="Times New Roman" w:hAnsi="Times New Roman" w:cs="Times New Roman"/>
          <w:color w:val="000000" w:themeColor="text1"/>
        </w:rPr>
      </w:pPr>
      <w:r w:rsidRPr="00AF0CC3">
        <w:rPr>
          <w:rFonts w:ascii="Times New Roman" w:hAnsi="Times New Roman" w:cs="Times New Roman"/>
          <w:color w:val="000000" w:themeColor="text1"/>
        </w:rPr>
        <w:t>The negative coefficient indicates that projects with higher governance quality were less likely to experience prolonged implementation interruption. Among the governance dimensions, institutional coordination, audit responsiveness, payment reliability, and procurement transparency recorded the strongest negative associations with project stalling.</w:t>
      </w:r>
    </w:p>
    <w:p w14:paraId="124E069F" w14:textId="32BF5ED4" w:rsidR="00844B88" w:rsidRPr="00AF0CC3" w:rsidRDefault="00844B88" w:rsidP="00777E00">
      <w:pPr>
        <w:rPr>
          <w:rFonts w:ascii="Times New Roman" w:hAnsi="Times New Roman" w:cs="Times New Roman"/>
          <w:color w:val="000000" w:themeColor="text1"/>
        </w:rPr>
      </w:pPr>
      <w:r w:rsidRPr="00AF0CC3">
        <w:rPr>
          <w:rFonts w:ascii="Times New Roman" w:hAnsi="Times New Roman" w:cs="Times New Roman"/>
          <w:color w:val="000000" w:themeColor="text1"/>
        </w:rPr>
        <w:t>These findings are consistent with the institutional governance literature, which suggests that infrastructure resilience depends heavily on implementation coordination, accountability systems, and effective monitoring mechanisms (Joslin &amp; Müller, 2015).</w:t>
      </w:r>
    </w:p>
    <w:p w14:paraId="588A04C1" w14:textId="77777777" w:rsidR="00777E00" w:rsidRPr="00AF0CC3" w:rsidRDefault="00777E00" w:rsidP="00777E00">
      <w:pPr>
        <w:rPr>
          <w:rFonts w:ascii="Times New Roman" w:hAnsi="Times New Roman" w:cs="Times New Roman"/>
          <w:color w:val="000000" w:themeColor="text1"/>
        </w:rPr>
      </w:pPr>
    </w:p>
    <w:p w14:paraId="5660C2B9" w14:textId="34C552E8" w:rsidR="00844B88" w:rsidRPr="00AF0CC3" w:rsidRDefault="00844B88" w:rsidP="00844B88">
      <w:pPr>
        <w:pStyle w:val="Heading3"/>
        <w:rPr>
          <w:rFonts w:cs="Times New Roman"/>
          <w:b w:val="0"/>
          <w:bCs/>
          <w:color w:val="000000" w:themeColor="text1"/>
          <w:szCs w:val="24"/>
        </w:rPr>
      </w:pPr>
      <w:bookmarkStart w:id="362" w:name="_Toc232375981"/>
      <w:bookmarkStart w:id="363" w:name="_Toc234344848"/>
      <w:bookmarkStart w:id="364" w:name="_Toc234489080"/>
      <w:r w:rsidRPr="00AF0CC3">
        <w:rPr>
          <w:rFonts w:cs="Times New Roman"/>
          <w:bCs/>
          <w:color w:val="000000" w:themeColor="text1"/>
          <w:szCs w:val="24"/>
        </w:rPr>
        <w:t>Logistic Regression Analysis</w:t>
      </w:r>
      <w:bookmarkEnd w:id="362"/>
      <w:bookmarkEnd w:id="363"/>
      <w:bookmarkEnd w:id="364"/>
    </w:p>
    <w:p w14:paraId="591B1F8D" w14:textId="77777777" w:rsidR="00844B88" w:rsidRPr="00AF0CC3" w:rsidRDefault="00844B88" w:rsidP="00844B88">
      <w:pPr>
        <w:rPr>
          <w:rFonts w:ascii="Times New Roman" w:hAnsi="Times New Roman" w:cs="Times New Roman"/>
          <w:color w:val="000000" w:themeColor="text1"/>
        </w:rPr>
      </w:pPr>
    </w:p>
    <w:p w14:paraId="356B3EEC" w14:textId="38E9EC8B" w:rsidR="00844B88" w:rsidRPr="00AF0CC3" w:rsidRDefault="00844B88" w:rsidP="00844B88">
      <w:pPr>
        <w:rPr>
          <w:rFonts w:ascii="Times New Roman" w:hAnsi="Times New Roman" w:cs="Times New Roman"/>
          <w:color w:val="000000" w:themeColor="text1"/>
        </w:rPr>
      </w:pPr>
      <w:r w:rsidRPr="00AF0CC3">
        <w:rPr>
          <w:rFonts w:ascii="Times New Roman" w:hAnsi="Times New Roman" w:cs="Times New Roman"/>
          <w:color w:val="000000" w:themeColor="text1"/>
        </w:rPr>
        <w:lastRenderedPageBreak/>
        <w:t>Consistent with the estimation strategy outlined in Chapter Three, a logistic regression model was estimated using project stalling as the dependent variable and the Governance Quality Index as the principal explanatory variable.</w:t>
      </w:r>
    </w:p>
    <w:p w14:paraId="4A006BC4" w14:textId="419159ED" w:rsidR="00A13A05" w:rsidRPr="00AF0CC3" w:rsidRDefault="00A13A05" w:rsidP="00A13A05">
      <w:pPr>
        <w:pStyle w:val="Caption"/>
        <w:keepNext/>
        <w:rPr>
          <w:rFonts w:ascii="Times New Roman" w:hAnsi="Times New Roman" w:cs="Times New Roman"/>
          <w:sz w:val="24"/>
          <w:szCs w:val="24"/>
        </w:rPr>
      </w:pPr>
      <w:bookmarkStart w:id="365" w:name="_Toc234437374"/>
      <w:r w:rsidRPr="00AF0CC3">
        <w:rPr>
          <w:rFonts w:ascii="Times New Roman" w:hAnsi="Times New Roman" w:cs="Times New Roman"/>
          <w:sz w:val="24"/>
          <w:szCs w:val="24"/>
        </w:rPr>
        <w:t xml:space="preserve">Table </w:t>
      </w:r>
      <w:r w:rsidR="007F4206" w:rsidRPr="00AF0CC3">
        <w:rPr>
          <w:rFonts w:ascii="Times New Roman" w:hAnsi="Times New Roman" w:cs="Times New Roman"/>
          <w:sz w:val="24"/>
          <w:szCs w:val="24"/>
        </w:rPr>
        <w:fldChar w:fldCharType="begin"/>
      </w:r>
      <w:r w:rsidR="007F4206" w:rsidRPr="00AF0CC3">
        <w:rPr>
          <w:rFonts w:ascii="Times New Roman" w:hAnsi="Times New Roman" w:cs="Times New Roman"/>
          <w:sz w:val="24"/>
          <w:szCs w:val="24"/>
        </w:rPr>
        <w:instrText xml:space="preserve"> STYLEREF 1 \s </w:instrText>
      </w:r>
      <w:r w:rsidR="007F4206" w:rsidRPr="00AF0CC3">
        <w:rPr>
          <w:rFonts w:ascii="Times New Roman" w:hAnsi="Times New Roman" w:cs="Times New Roman"/>
          <w:sz w:val="24"/>
          <w:szCs w:val="24"/>
        </w:rPr>
        <w:fldChar w:fldCharType="separate"/>
      </w:r>
      <w:r w:rsidR="007F4206" w:rsidRPr="00AF0CC3">
        <w:rPr>
          <w:rFonts w:ascii="Times New Roman" w:hAnsi="Times New Roman" w:cs="Times New Roman"/>
          <w:noProof/>
          <w:sz w:val="24"/>
          <w:szCs w:val="24"/>
        </w:rPr>
        <w:t>4</w:t>
      </w:r>
      <w:r w:rsidR="007F4206" w:rsidRPr="00AF0CC3">
        <w:rPr>
          <w:rFonts w:ascii="Times New Roman" w:hAnsi="Times New Roman" w:cs="Times New Roman"/>
          <w:noProof/>
          <w:sz w:val="24"/>
          <w:szCs w:val="24"/>
        </w:rPr>
        <w:fldChar w:fldCharType="end"/>
      </w:r>
      <w:r w:rsidR="007F4206" w:rsidRPr="00AF0CC3">
        <w:rPr>
          <w:rFonts w:ascii="Times New Roman" w:hAnsi="Times New Roman" w:cs="Times New Roman"/>
          <w:sz w:val="24"/>
          <w:szCs w:val="24"/>
        </w:rPr>
        <w:noBreakHyphen/>
      </w:r>
      <w:r w:rsidR="007F4206" w:rsidRPr="00AF0CC3">
        <w:rPr>
          <w:rFonts w:ascii="Times New Roman" w:hAnsi="Times New Roman" w:cs="Times New Roman"/>
          <w:sz w:val="24"/>
          <w:szCs w:val="24"/>
        </w:rPr>
        <w:fldChar w:fldCharType="begin"/>
      </w:r>
      <w:r w:rsidR="007F4206" w:rsidRPr="00AF0CC3">
        <w:rPr>
          <w:rFonts w:ascii="Times New Roman" w:hAnsi="Times New Roman" w:cs="Times New Roman"/>
          <w:sz w:val="24"/>
          <w:szCs w:val="24"/>
        </w:rPr>
        <w:instrText xml:space="preserve"> SEQ Table \* ARABIC \s 1 </w:instrText>
      </w:r>
      <w:r w:rsidR="007F4206" w:rsidRPr="00AF0CC3">
        <w:rPr>
          <w:rFonts w:ascii="Times New Roman" w:hAnsi="Times New Roman" w:cs="Times New Roman"/>
          <w:sz w:val="24"/>
          <w:szCs w:val="24"/>
        </w:rPr>
        <w:fldChar w:fldCharType="separate"/>
      </w:r>
      <w:r w:rsidR="007F4206" w:rsidRPr="00AF0CC3">
        <w:rPr>
          <w:rFonts w:ascii="Times New Roman" w:hAnsi="Times New Roman" w:cs="Times New Roman"/>
          <w:noProof/>
          <w:sz w:val="24"/>
          <w:szCs w:val="24"/>
        </w:rPr>
        <w:t>6</w:t>
      </w:r>
      <w:r w:rsidR="007F4206" w:rsidRPr="00AF0CC3">
        <w:rPr>
          <w:rFonts w:ascii="Times New Roman" w:hAnsi="Times New Roman" w:cs="Times New Roman"/>
          <w:noProof/>
          <w:sz w:val="24"/>
          <w:szCs w:val="24"/>
        </w:rPr>
        <w:fldChar w:fldCharType="end"/>
      </w:r>
      <w:r w:rsidRPr="00AF0CC3">
        <w:rPr>
          <w:rFonts w:ascii="Times New Roman" w:hAnsi="Times New Roman" w:cs="Times New Roman"/>
          <w:sz w:val="24"/>
          <w:szCs w:val="24"/>
        </w:rPr>
        <w:t xml:space="preserve"> Logistic Regression Results for Project Stalling</w:t>
      </w:r>
      <w:bookmarkEnd w:id="365"/>
    </w:p>
    <w:tbl>
      <w:tblPr>
        <w:tblW w:w="0" w:type="auto"/>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3288"/>
        <w:gridCol w:w="1546"/>
        <w:gridCol w:w="1700"/>
        <w:gridCol w:w="1147"/>
        <w:gridCol w:w="995"/>
      </w:tblGrid>
      <w:tr w:rsidR="00844B88" w:rsidRPr="00AF0CC3" w14:paraId="31F0394F" w14:textId="77777777" w:rsidTr="00E73C98">
        <w:trPr>
          <w:tblHeader/>
          <w:tblCellSpacing w:w="15" w:type="dxa"/>
        </w:trPr>
        <w:tc>
          <w:tcPr>
            <w:tcW w:w="0" w:type="auto"/>
            <w:vAlign w:val="center"/>
            <w:hideMark/>
          </w:tcPr>
          <w:p w14:paraId="6E59A123" w14:textId="77777777" w:rsidR="00844B88" w:rsidRPr="00AF0CC3" w:rsidRDefault="00844B88" w:rsidP="00E73C98">
            <w:pPr>
              <w:spacing w:after="0" w:line="240" w:lineRule="auto"/>
              <w:jc w:val="center"/>
              <w:rPr>
                <w:rFonts w:ascii="Times New Roman" w:eastAsia="Times New Roman" w:hAnsi="Times New Roman" w:cs="Times New Roman"/>
                <w:b/>
                <w:bCs/>
                <w:color w:val="000000" w:themeColor="text1"/>
                <w:kern w:val="0"/>
                <w14:ligatures w14:val="none"/>
              </w:rPr>
            </w:pPr>
            <w:r w:rsidRPr="00AF0CC3">
              <w:rPr>
                <w:rFonts w:ascii="Times New Roman" w:eastAsia="Times New Roman" w:hAnsi="Times New Roman" w:cs="Times New Roman"/>
                <w:b/>
                <w:bCs/>
                <w:color w:val="000000" w:themeColor="text1"/>
                <w:kern w:val="0"/>
                <w14:ligatures w14:val="none"/>
              </w:rPr>
              <w:t>Variable</w:t>
            </w:r>
          </w:p>
        </w:tc>
        <w:tc>
          <w:tcPr>
            <w:tcW w:w="0" w:type="auto"/>
            <w:vAlign w:val="center"/>
            <w:hideMark/>
          </w:tcPr>
          <w:p w14:paraId="7F87A31D" w14:textId="77777777" w:rsidR="00844B88" w:rsidRPr="00AF0CC3" w:rsidRDefault="00844B88" w:rsidP="00E73C98">
            <w:pPr>
              <w:spacing w:after="0" w:line="240" w:lineRule="auto"/>
              <w:jc w:val="right"/>
              <w:rPr>
                <w:rFonts w:ascii="Times New Roman" w:eastAsia="Times New Roman" w:hAnsi="Times New Roman" w:cs="Times New Roman"/>
                <w:b/>
                <w:bCs/>
                <w:color w:val="000000" w:themeColor="text1"/>
                <w:kern w:val="0"/>
                <w14:ligatures w14:val="none"/>
              </w:rPr>
            </w:pPr>
            <w:r w:rsidRPr="00AF0CC3">
              <w:rPr>
                <w:rFonts w:ascii="Times New Roman" w:eastAsia="Times New Roman" w:hAnsi="Times New Roman" w:cs="Times New Roman"/>
                <w:b/>
                <w:bCs/>
                <w:color w:val="000000" w:themeColor="text1"/>
                <w:kern w:val="0"/>
                <w14:ligatures w14:val="none"/>
              </w:rPr>
              <w:t>Coefficient (β)</w:t>
            </w:r>
          </w:p>
        </w:tc>
        <w:tc>
          <w:tcPr>
            <w:tcW w:w="0" w:type="auto"/>
            <w:vAlign w:val="center"/>
            <w:hideMark/>
          </w:tcPr>
          <w:p w14:paraId="118982DA" w14:textId="77777777" w:rsidR="00844B88" w:rsidRPr="00AF0CC3" w:rsidRDefault="00844B88" w:rsidP="00E73C98">
            <w:pPr>
              <w:spacing w:after="0" w:line="240" w:lineRule="auto"/>
              <w:jc w:val="right"/>
              <w:rPr>
                <w:rFonts w:ascii="Times New Roman" w:eastAsia="Times New Roman" w:hAnsi="Times New Roman" w:cs="Times New Roman"/>
                <w:b/>
                <w:bCs/>
                <w:color w:val="000000" w:themeColor="text1"/>
                <w:kern w:val="0"/>
                <w14:ligatures w14:val="none"/>
              </w:rPr>
            </w:pPr>
            <w:r w:rsidRPr="00AF0CC3">
              <w:rPr>
                <w:rFonts w:ascii="Times New Roman" w:eastAsia="Times New Roman" w:hAnsi="Times New Roman" w:cs="Times New Roman"/>
                <w:b/>
                <w:bCs/>
                <w:color w:val="000000" w:themeColor="text1"/>
                <w:kern w:val="0"/>
                <w14:ligatures w14:val="none"/>
              </w:rPr>
              <w:t>Odds Ratio (eβ)</w:t>
            </w:r>
          </w:p>
        </w:tc>
        <w:tc>
          <w:tcPr>
            <w:tcW w:w="0" w:type="auto"/>
            <w:vAlign w:val="center"/>
            <w:hideMark/>
          </w:tcPr>
          <w:p w14:paraId="636DADA6" w14:textId="77777777" w:rsidR="00844B88" w:rsidRPr="00AF0CC3" w:rsidRDefault="00844B88" w:rsidP="00E73C98">
            <w:pPr>
              <w:spacing w:after="0" w:line="240" w:lineRule="auto"/>
              <w:jc w:val="right"/>
              <w:rPr>
                <w:rFonts w:ascii="Times New Roman" w:eastAsia="Times New Roman" w:hAnsi="Times New Roman" w:cs="Times New Roman"/>
                <w:b/>
                <w:bCs/>
                <w:color w:val="000000" w:themeColor="text1"/>
                <w:kern w:val="0"/>
                <w14:ligatures w14:val="none"/>
              </w:rPr>
            </w:pPr>
            <w:r w:rsidRPr="00AF0CC3">
              <w:rPr>
                <w:rFonts w:ascii="Times New Roman" w:eastAsia="Times New Roman" w:hAnsi="Times New Roman" w:cs="Times New Roman"/>
                <w:b/>
                <w:bCs/>
                <w:color w:val="000000" w:themeColor="text1"/>
                <w:kern w:val="0"/>
                <w14:ligatures w14:val="none"/>
              </w:rPr>
              <w:t>Std. Error</w:t>
            </w:r>
          </w:p>
        </w:tc>
        <w:tc>
          <w:tcPr>
            <w:tcW w:w="0" w:type="auto"/>
            <w:vAlign w:val="center"/>
            <w:hideMark/>
          </w:tcPr>
          <w:p w14:paraId="01ABABF3" w14:textId="77777777" w:rsidR="00844B88" w:rsidRPr="00AF0CC3" w:rsidRDefault="00844B88" w:rsidP="00E73C98">
            <w:pPr>
              <w:spacing w:after="0" w:line="240" w:lineRule="auto"/>
              <w:jc w:val="right"/>
              <w:rPr>
                <w:rFonts w:ascii="Times New Roman" w:eastAsia="Times New Roman" w:hAnsi="Times New Roman" w:cs="Times New Roman"/>
                <w:b/>
                <w:bCs/>
                <w:color w:val="000000" w:themeColor="text1"/>
                <w:kern w:val="0"/>
                <w14:ligatures w14:val="none"/>
              </w:rPr>
            </w:pPr>
            <w:r w:rsidRPr="00AF0CC3">
              <w:rPr>
                <w:rFonts w:ascii="Times New Roman" w:eastAsia="Times New Roman" w:hAnsi="Times New Roman" w:cs="Times New Roman"/>
                <w:b/>
                <w:bCs/>
                <w:color w:val="000000" w:themeColor="text1"/>
                <w:kern w:val="0"/>
                <w14:ligatures w14:val="none"/>
              </w:rPr>
              <w:t>p-value</w:t>
            </w:r>
          </w:p>
        </w:tc>
      </w:tr>
      <w:tr w:rsidR="00844B88" w:rsidRPr="00AF0CC3" w14:paraId="6F128644" w14:textId="77777777" w:rsidTr="00E73C98">
        <w:trPr>
          <w:tblCellSpacing w:w="15" w:type="dxa"/>
        </w:trPr>
        <w:tc>
          <w:tcPr>
            <w:tcW w:w="0" w:type="auto"/>
            <w:vAlign w:val="center"/>
            <w:hideMark/>
          </w:tcPr>
          <w:p w14:paraId="67D34FBC" w14:textId="77777777" w:rsidR="00844B88" w:rsidRPr="00AF0CC3" w:rsidRDefault="00844B88" w:rsidP="00E73C98">
            <w:pPr>
              <w:spacing w:after="0" w:line="240" w:lineRule="auto"/>
              <w:rPr>
                <w:rFonts w:ascii="Times New Roman" w:eastAsia="Times New Roman" w:hAnsi="Times New Roman" w:cs="Times New Roman"/>
                <w:color w:val="000000" w:themeColor="text1"/>
                <w:kern w:val="0"/>
                <w14:ligatures w14:val="none"/>
              </w:rPr>
            </w:pPr>
            <w:r w:rsidRPr="00AF0CC3">
              <w:rPr>
                <w:rFonts w:ascii="Times New Roman" w:eastAsia="Times New Roman" w:hAnsi="Times New Roman" w:cs="Times New Roman"/>
                <w:color w:val="000000" w:themeColor="text1"/>
                <w:kern w:val="0"/>
                <w14:ligatures w14:val="none"/>
              </w:rPr>
              <w:t>Governance Quality Index (GQI)</w:t>
            </w:r>
          </w:p>
        </w:tc>
        <w:tc>
          <w:tcPr>
            <w:tcW w:w="0" w:type="auto"/>
            <w:vAlign w:val="center"/>
            <w:hideMark/>
          </w:tcPr>
          <w:p w14:paraId="30A6CD71" w14:textId="77777777" w:rsidR="00844B88" w:rsidRPr="00AF0CC3" w:rsidRDefault="00844B88" w:rsidP="00E73C98">
            <w:pPr>
              <w:spacing w:after="0" w:line="240" w:lineRule="auto"/>
              <w:jc w:val="right"/>
              <w:rPr>
                <w:rFonts w:ascii="Times New Roman" w:eastAsia="Times New Roman" w:hAnsi="Times New Roman" w:cs="Times New Roman"/>
                <w:color w:val="000000" w:themeColor="text1"/>
                <w:kern w:val="0"/>
                <w14:ligatures w14:val="none"/>
              </w:rPr>
            </w:pPr>
            <w:r w:rsidRPr="00AF0CC3">
              <w:rPr>
                <w:rFonts w:ascii="Times New Roman" w:eastAsia="Times New Roman" w:hAnsi="Times New Roman" w:cs="Times New Roman"/>
                <w:color w:val="000000" w:themeColor="text1"/>
                <w:kern w:val="0"/>
                <w14:ligatures w14:val="none"/>
              </w:rPr>
              <w:t>-7.173</w:t>
            </w:r>
          </w:p>
        </w:tc>
        <w:tc>
          <w:tcPr>
            <w:tcW w:w="0" w:type="auto"/>
            <w:vAlign w:val="center"/>
            <w:hideMark/>
          </w:tcPr>
          <w:p w14:paraId="0A244258" w14:textId="77777777" w:rsidR="00844B88" w:rsidRPr="00AF0CC3" w:rsidRDefault="00844B88" w:rsidP="00E73C98">
            <w:pPr>
              <w:spacing w:after="0" w:line="240" w:lineRule="auto"/>
              <w:jc w:val="right"/>
              <w:rPr>
                <w:rFonts w:ascii="Times New Roman" w:eastAsia="Times New Roman" w:hAnsi="Times New Roman" w:cs="Times New Roman"/>
                <w:color w:val="000000" w:themeColor="text1"/>
                <w:kern w:val="0"/>
                <w14:ligatures w14:val="none"/>
              </w:rPr>
            </w:pPr>
            <w:r w:rsidRPr="00AF0CC3">
              <w:rPr>
                <w:rFonts w:ascii="Times New Roman" w:eastAsia="Times New Roman" w:hAnsi="Times New Roman" w:cs="Times New Roman"/>
                <w:color w:val="000000" w:themeColor="text1"/>
                <w:kern w:val="0"/>
                <w14:ligatures w14:val="none"/>
              </w:rPr>
              <w:t>0.001</w:t>
            </w:r>
          </w:p>
        </w:tc>
        <w:tc>
          <w:tcPr>
            <w:tcW w:w="0" w:type="auto"/>
            <w:vAlign w:val="center"/>
            <w:hideMark/>
          </w:tcPr>
          <w:p w14:paraId="2C11D8BA" w14:textId="77777777" w:rsidR="00844B88" w:rsidRPr="00AF0CC3" w:rsidRDefault="00844B88" w:rsidP="00E73C98">
            <w:pPr>
              <w:spacing w:after="0" w:line="240" w:lineRule="auto"/>
              <w:jc w:val="right"/>
              <w:rPr>
                <w:rFonts w:ascii="Times New Roman" w:eastAsia="Times New Roman" w:hAnsi="Times New Roman" w:cs="Times New Roman"/>
                <w:color w:val="000000" w:themeColor="text1"/>
                <w:kern w:val="0"/>
                <w14:ligatures w14:val="none"/>
              </w:rPr>
            </w:pPr>
            <w:r w:rsidRPr="00AF0CC3">
              <w:rPr>
                <w:rFonts w:ascii="Times New Roman" w:eastAsia="Times New Roman" w:hAnsi="Times New Roman" w:cs="Times New Roman"/>
                <w:color w:val="000000" w:themeColor="text1"/>
                <w:kern w:val="0"/>
                <w14:ligatures w14:val="none"/>
              </w:rPr>
              <w:t>2.552</w:t>
            </w:r>
          </w:p>
        </w:tc>
        <w:tc>
          <w:tcPr>
            <w:tcW w:w="0" w:type="auto"/>
            <w:vAlign w:val="center"/>
            <w:hideMark/>
          </w:tcPr>
          <w:p w14:paraId="43B4183C" w14:textId="77777777" w:rsidR="00844B88" w:rsidRPr="00AF0CC3" w:rsidRDefault="00844B88" w:rsidP="00E73C98">
            <w:pPr>
              <w:spacing w:after="0" w:line="240" w:lineRule="auto"/>
              <w:jc w:val="right"/>
              <w:rPr>
                <w:rFonts w:ascii="Times New Roman" w:eastAsia="Times New Roman" w:hAnsi="Times New Roman" w:cs="Times New Roman"/>
                <w:color w:val="000000" w:themeColor="text1"/>
                <w:kern w:val="0"/>
                <w14:ligatures w14:val="none"/>
              </w:rPr>
            </w:pPr>
            <w:r w:rsidRPr="00AF0CC3">
              <w:rPr>
                <w:rFonts w:ascii="Times New Roman" w:eastAsia="Times New Roman" w:hAnsi="Times New Roman" w:cs="Times New Roman"/>
                <w:color w:val="000000" w:themeColor="text1"/>
                <w:kern w:val="0"/>
                <w14:ligatures w14:val="none"/>
              </w:rPr>
              <w:t>0.005***</w:t>
            </w:r>
          </w:p>
        </w:tc>
      </w:tr>
      <w:tr w:rsidR="00844B88" w:rsidRPr="00AF0CC3" w14:paraId="0A88631A" w14:textId="77777777" w:rsidTr="00E73C98">
        <w:trPr>
          <w:tblCellSpacing w:w="15" w:type="dxa"/>
        </w:trPr>
        <w:tc>
          <w:tcPr>
            <w:tcW w:w="0" w:type="auto"/>
            <w:vAlign w:val="center"/>
            <w:hideMark/>
          </w:tcPr>
          <w:p w14:paraId="34B5E20E" w14:textId="77777777" w:rsidR="00844B88" w:rsidRPr="00AF0CC3" w:rsidRDefault="00844B88" w:rsidP="00E73C98">
            <w:pPr>
              <w:spacing w:after="0" w:line="240" w:lineRule="auto"/>
              <w:rPr>
                <w:rFonts w:ascii="Times New Roman" w:eastAsia="Times New Roman" w:hAnsi="Times New Roman" w:cs="Times New Roman"/>
                <w:color w:val="000000" w:themeColor="text1"/>
                <w:kern w:val="0"/>
                <w14:ligatures w14:val="none"/>
              </w:rPr>
            </w:pPr>
            <w:r w:rsidRPr="00AF0CC3">
              <w:rPr>
                <w:rFonts w:ascii="Times New Roman" w:eastAsia="Times New Roman" w:hAnsi="Times New Roman" w:cs="Times New Roman"/>
                <w:color w:val="000000" w:themeColor="text1"/>
                <w:kern w:val="0"/>
                <w14:ligatures w14:val="none"/>
              </w:rPr>
              <w:t>Constant</w:t>
            </w:r>
          </w:p>
        </w:tc>
        <w:tc>
          <w:tcPr>
            <w:tcW w:w="0" w:type="auto"/>
            <w:vAlign w:val="center"/>
            <w:hideMark/>
          </w:tcPr>
          <w:p w14:paraId="40ADF699" w14:textId="77777777" w:rsidR="00844B88" w:rsidRPr="00AF0CC3" w:rsidRDefault="00844B88" w:rsidP="00E73C98">
            <w:pPr>
              <w:spacing w:after="0" w:line="240" w:lineRule="auto"/>
              <w:jc w:val="right"/>
              <w:rPr>
                <w:rFonts w:ascii="Times New Roman" w:eastAsia="Times New Roman" w:hAnsi="Times New Roman" w:cs="Times New Roman"/>
                <w:color w:val="000000" w:themeColor="text1"/>
                <w:kern w:val="0"/>
                <w14:ligatures w14:val="none"/>
              </w:rPr>
            </w:pPr>
            <w:r w:rsidRPr="00AF0CC3">
              <w:rPr>
                <w:rFonts w:ascii="Times New Roman" w:eastAsia="Times New Roman" w:hAnsi="Times New Roman" w:cs="Times New Roman"/>
                <w:color w:val="000000" w:themeColor="text1"/>
                <w:kern w:val="0"/>
                <w14:ligatures w14:val="none"/>
              </w:rPr>
              <w:t>2.641</w:t>
            </w:r>
          </w:p>
        </w:tc>
        <w:tc>
          <w:tcPr>
            <w:tcW w:w="0" w:type="auto"/>
            <w:vAlign w:val="center"/>
            <w:hideMark/>
          </w:tcPr>
          <w:p w14:paraId="6CDA184E" w14:textId="77777777" w:rsidR="00844B88" w:rsidRPr="00AF0CC3" w:rsidRDefault="00844B88" w:rsidP="00E73C98">
            <w:pPr>
              <w:spacing w:after="0" w:line="240" w:lineRule="auto"/>
              <w:jc w:val="right"/>
              <w:rPr>
                <w:rFonts w:ascii="Times New Roman" w:eastAsia="Times New Roman" w:hAnsi="Times New Roman" w:cs="Times New Roman"/>
                <w:color w:val="000000" w:themeColor="text1"/>
                <w:kern w:val="0"/>
                <w14:ligatures w14:val="none"/>
              </w:rPr>
            </w:pPr>
            <w:r w:rsidRPr="00AF0CC3">
              <w:rPr>
                <w:rFonts w:ascii="Times New Roman" w:eastAsia="Times New Roman" w:hAnsi="Times New Roman" w:cs="Times New Roman"/>
                <w:color w:val="000000" w:themeColor="text1"/>
                <w:kern w:val="0"/>
                <w14:ligatures w14:val="none"/>
              </w:rPr>
              <w:t>14.03</w:t>
            </w:r>
          </w:p>
        </w:tc>
        <w:tc>
          <w:tcPr>
            <w:tcW w:w="0" w:type="auto"/>
            <w:vAlign w:val="center"/>
            <w:hideMark/>
          </w:tcPr>
          <w:p w14:paraId="05E3688B" w14:textId="77777777" w:rsidR="00844B88" w:rsidRPr="00AF0CC3" w:rsidRDefault="00844B88" w:rsidP="00E73C98">
            <w:pPr>
              <w:spacing w:after="0" w:line="240" w:lineRule="auto"/>
              <w:jc w:val="right"/>
              <w:rPr>
                <w:rFonts w:ascii="Times New Roman" w:eastAsia="Times New Roman" w:hAnsi="Times New Roman" w:cs="Times New Roman"/>
                <w:color w:val="000000" w:themeColor="text1"/>
                <w:kern w:val="0"/>
                <w14:ligatures w14:val="none"/>
              </w:rPr>
            </w:pPr>
            <w:r w:rsidRPr="00AF0CC3">
              <w:rPr>
                <w:rFonts w:ascii="Times New Roman" w:eastAsia="Times New Roman" w:hAnsi="Times New Roman" w:cs="Times New Roman"/>
                <w:color w:val="000000" w:themeColor="text1"/>
                <w:kern w:val="0"/>
                <w14:ligatures w14:val="none"/>
              </w:rPr>
              <w:t>1.128</w:t>
            </w:r>
          </w:p>
        </w:tc>
        <w:tc>
          <w:tcPr>
            <w:tcW w:w="0" w:type="auto"/>
            <w:vAlign w:val="center"/>
            <w:hideMark/>
          </w:tcPr>
          <w:p w14:paraId="002E47E2" w14:textId="77777777" w:rsidR="00844B88" w:rsidRPr="00AF0CC3" w:rsidRDefault="00844B88" w:rsidP="00E73C98">
            <w:pPr>
              <w:spacing w:after="0" w:line="240" w:lineRule="auto"/>
              <w:jc w:val="right"/>
              <w:rPr>
                <w:rFonts w:ascii="Times New Roman" w:eastAsia="Times New Roman" w:hAnsi="Times New Roman" w:cs="Times New Roman"/>
                <w:color w:val="000000" w:themeColor="text1"/>
                <w:kern w:val="0"/>
                <w14:ligatures w14:val="none"/>
              </w:rPr>
            </w:pPr>
            <w:r w:rsidRPr="00AF0CC3">
              <w:rPr>
                <w:rFonts w:ascii="Times New Roman" w:eastAsia="Times New Roman" w:hAnsi="Times New Roman" w:cs="Times New Roman"/>
                <w:color w:val="000000" w:themeColor="text1"/>
                <w:kern w:val="0"/>
                <w14:ligatures w14:val="none"/>
              </w:rPr>
              <w:t>0.019**</w:t>
            </w:r>
          </w:p>
        </w:tc>
      </w:tr>
    </w:tbl>
    <w:p w14:paraId="2D4E8030" w14:textId="77777777" w:rsidR="00844B88" w:rsidRPr="00AF0CC3" w:rsidRDefault="00844B88" w:rsidP="00844B88">
      <w:pPr>
        <w:rPr>
          <w:rFonts w:ascii="Times New Roman" w:hAnsi="Times New Roman" w:cs="Times New Roman"/>
          <w:b/>
          <w:bCs/>
          <w:color w:val="000000" w:themeColor="text1"/>
        </w:rPr>
      </w:pPr>
    </w:p>
    <w:p w14:paraId="37988BF1" w14:textId="77777777" w:rsidR="00844B88" w:rsidRPr="00AF0CC3" w:rsidRDefault="00844B88" w:rsidP="00844B88">
      <w:pPr>
        <w:rPr>
          <w:rFonts w:ascii="Times New Roman" w:hAnsi="Times New Roman" w:cs="Times New Roman"/>
          <w:b/>
          <w:bCs/>
          <w:color w:val="000000" w:themeColor="text1"/>
        </w:rPr>
      </w:pPr>
    </w:p>
    <w:p w14:paraId="723D7753" w14:textId="77777777" w:rsidR="00844B88" w:rsidRPr="00AF0CC3" w:rsidRDefault="00844B88" w:rsidP="00844B88">
      <w:pPr>
        <w:rPr>
          <w:rFonts w:ascii="Times New Roman" w:hAnsi="Times New Roman" w:cs="Times New Roman"/>
          <w:b/>
          <w:bCs/>
          <w:color w:val="000000" w:themeColor="text1"/>
        </w:rPr>
      </w:pPr>
      <w:r w:rsidRPr="00AF0CC3">
        <w:rPr>
          <w:rFonts w:ascii="Times New Roman" w:hAnsi="Times New Roman" w:cs="Times New Roman"/>
          <w:b/>
          <w:bCs/>
          <w:color w:val="000000" w:themeColor="text1"/>
        </w:rPr>
        <w:t xml:space="preserve">Model Statistics </w:t>
      </w:r>
    </w:p>
    <w:tbl>
      <w:tblPr>
        <w:tblW w:w="9397" w:type="dxa"/>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7240"/>
        <w:gridCol w:w="2157"/>
      </w:tblGrid>
      <w:tr w:rsidR="00844B88" w:rsidRPr="00AF0CC3" w14:paraId="0C616125" w14:textId="77777777" w:rsidTr="00E73C98">
        <w:trPr>
          <w:trHeight w:val="335"/>
          <w:tblHeader/>
          <w:tblCellSpacing w:w="15" w:type="dxa"/>
        </w:trPr>
        <w:tc>
          <w:tcPr>
            <w:tcW w:w="0" w:type="auto"/>
            <w:vAlign w:val="center"/>
            <w:hideMark/>
          </w:tcPr>
          <w:p w14:paraId="3B179A59" w14:textId="77777777" w:rsidR="00844B88" w:rsidRPr="00AF0CC3" w:rsidRDefault="00844B88" w:rsidP="00E73C98">
            <w:pPr>
              <w:spacing w:after="0" w:line="240" w:lineRule="auto"/>
              <w:jc w:val="center"/>
              <w:rPr>
                <w:rFonts w:ascii="Times New Roman" w:eastAsia="Times New Roman" w:hAnsi="Times New Roman" w:cs="Times New Roman"/>
                <w:b/>
                <w:bCs/>
                <w:color w:val="000000" w:themeColor="text1"/>
                <w:kern w:val="0"/>
                <w14:ligatures w14:val="none"/>
              </w:rPr>
            </w:pPr>
            <w:r w:rsidRPr="00AF0CC3">
              <w:rPr>
                <w:rFonts w:ascii="Times New Roman" w:eastAsia="Times New Roman" w:hAnsi="Times New Roman" w:cs="Times New Roman"/>
                <w:b/>
                <w:bCs/>
                <w:color w:val="000000" w:themeColor="text1"/>
                <w:kern w:val="0"/>
                <w14:ligatures w14:val="none"/>
              </w:rPr>
              <w:t>Statistic</w:t>
            </w:r>
          </w:p>
        </w:tc>
        <w:tc>
          <w:tcPr>
            <w:tcW w:w="0" w:type="auto"/>
            <w:vAlign w:val="center"/>
            <w:hideMark/>
          </w:tcPr>
          <w:p w14:paraId="13891117" w14:textId="77777777" w:rsidR="00844B88" w:rsidRPr="00AF0CC3" w:rsidRDefault="00844B88" w:rsidP="00E73C98">
            <w:pPr>
              <w:spacing w:after="0" w:line="240" w:lineRule="auto"/>
              <w:jc w:val="right"/>
              <w:rPr>
                <w:rFonts w:ascii="Times New Roman" w:eastAsia="Times New Roman" w:hAnsi="Times New Roman" w:cs="Times New Roman"/>
                <w:b/>
                <w:bCs/>
                <w:color w:val="000000" w:themeColor="text1"/>
                <w:kern w:val="0"/>
                <w14:ligatures w14:val="none"/>
              </w:rPr>
            </w:pPr>
            <w:r w:rsidRPr="00AF0CC3">
              <w:rPr>
                <w:rFonts w:ascii="Times New Roman" w:eastAsia="Times New Roman" w:hAnsi="Times New Roman" w:cs="Times New Roman"/>
                <w:b/>
                <w:bCs/>
                <w:color w:val="000000" w:themeColor="text1"/>
                <w:kern w:val="0"/>
                <w14:ligatures w14:val="none"/>
              </w:rPr>
              <w:t>Value</w:t>
            </w:r>
          </w:p>
        </w:tc>
      </w:tr>
      <w:tr w:rsidR="00844B88" w:rsidRPr="00AF0CC3" w14:paraId="5449187D" w14:textId="77777777" w:rsidTr="00E73C98">
        <w:trPr>
          <w:trHeight w:val="335"/>
          <w:tblCellSpacing w:w="15" w:type="dxa"/>
        </w:trPr>
        <w:tc>
          <w:tcPr>
            <w:tcW w:w="0" w:type="auto"/>
            <w:vAlign w:val="center"/>
            <w:hideMark/>
          </w:tcPr>
          <w:p w14:paraId="0ED88E5A" w14:textId="77777777" w:rsidR="00844B88" w:rsidRPr="00AF0CC3" w:rsidRDefault="00844B88" w:rsidP="00E73C98">
            <w:pPr>
              <w:spacing w:after="0" w:line="240" w:lineRule="auto"/>
              <w:rPr>
                <w:rFonts w:ascii="Times New Roman" w:eastAsia="Times New Roman" w:hAnsi="Times New Roman" w:cs="Times New Roman"/>
                <w:color w:val="000000" w:themeColor="text1"/>
                <w:kern w:val="0"/>
                <w14:ligatures w14:val="none"/>
              </w:rPr>
            </w:pPr>
            <w:r w:rsidRPr="00AF0CC3">
              <w:rPr>
                <w:rFonts w:ascii="Times New Roman" w:eastAsia="Times New Roman" w:hAnsi="Times New Roman" w:cs="Times New Roman"/>
                <w:color w:val="000000" w:themeColor="text1"/>
                <w:kern w:val="0"/>
                <w14:ligatures w14:val="none"/>
              </w:rPr>
              <w:t>Number of Projects (n)</w:t>
            </w:r>
          </w:p>
        </w:tc>
        <w:tc>
          <w:tcPr>
            <w:tcW w:w="0" w:type="auto"/>
            <w:vAlign w:val="center"/>
            <w:hideMark/>
          </w:tcPr>
          <w:p w14:paraId="24D9D83B" w14:textId="77777777" w:rsidR="00844B88" w:rsidRPr="00AF0CC3" w:rsidRDefault="00844B88" w:rsidP="00E73C98">
            <w:pPr>
              <w:spacing w:after="0" w:line="240" w:lineRule="auto"/>
              <w:jc w:val="right"/>
              <w:rPr>
                <w:rFonts w:ascii="Times New Roman" w:eastAsia="Times New Roman" w:hAnsi="Times New Roman" w:cs="Times New Roman"/>
                <w:color w:val="000000" w:themeColor="text1"/>
                <w:kern w:val="0"/>
                <w14:ligatures w14:val="none"/>
              </w:rPr>
            </w:pPr>
            <w:r w:rsidRPr="00AF0CC3">
              <w:rPr>
                <w:rFonts w:ascii="Times New Roman" w:eastAsia="Times New Roman" w:hAnsi="Times New Roman" w:cs="Times New Roman"/>
                <w:color w:val="000000" w:themeColor="text1"/>
                <w:kern w:val="0"/>
                <w14:ligatures w14:val="none"/>
              </w:rPr>
              <w:t>32</w:t>
            </w:r>
          </w:p>
        </w:tc>
      </w:tr>
      <w:tr w:rsidR="00844B88" w:rsidRPr="00AF0CC3" w14:paraId="0DC58C8D" w14:textId="77777777" w:rsidTr="00E73C98">
        <w:trPr>
          <w:trHeight w:val="335"/>
          <w:tblCellSpacing w:w="15" w:type="dxa"/>
        </w:trPr>
        <w:tc>
          <w:tcPr>
            <w:tcW w:w="0" w:type="auto"/>
            <w:vAlign w:val="center"/>
            <w:hideMark/>
          </w:tcPr>
          <w:p w14:paraId="133D5113" w14:textId="77777777" w:rsidR="00844B88" w:rsidRPr="00AF0CC3" w:rsidRDefault="00844B88" w:rsidP="00E73C98">
            <w:pPr>
              <w:spacing w:after="0" w:line="240" w:lineRule="auto"/>
              <w:rPr>
                <w:rFonts w:ascii="Times New Roman" w:eastAsia="Times New Roman" w:hAnsi="Times New Roman" w:cs="Times New Roman"/>
                <w:color w:val="000000" w:themeColor="text1"/>
                <w:kern w:val="0"/>
                <w14:ligatures w14:val="none"/>
              </w:rPr>
            </w:pPr>
            <w:r w:rsidRPr="00AF0CC3">
              <w:rPr>
                <w:rFonts w:ascii="Times New Roman" w:eastAsia="Times New Roman" w:hAnsi="Times New Roman" w:cs="Times New Roman"/>
                <w:color w:val="000000" w:themeColor="text1"/>
                <w:kern w:val="0"/>
                <w14:ligatures w14:val="none"/>
              </w:rPr>
              <w:t>Pseudo R² (McFadden)</w:t>
            </w:r>
          </w:p>
        </w:tc>
        <w:tc>
          <w:tcPr>
            <w:tcW w:w="0" w:type="auto"/>
            <w:vAlign w:val="center"/>
            <w:hideMark/>
          </w:tcPr>
          <w:p w14:paraId="325BFB54" w14:textId="77777777" w:rsidR="00844B88" w:rsidRPr="00AF0CC3" w:rsidRDefault="00844B88" w:rsidP="00E73C98">
            <w:pPr>
              <w:spacing w:after="0" w:line="240" w:lineRule="auto"/>
              <w:jc w:val="right"/>
              <w:rPr>
                <w:rFonts w:ascii="Times New Roman" w:eastAsia="Times New Roman" w:hAnsi="Times New Roman" w:cs="Times New Roman"/>
                <w:color w:val="000000" w:themeColor="text1"/>
                <w:kern w:val="0"/>
                <w14:ligatures w14:val="none"/>
              </w:rPr>
            </w:pPr>
            <w:r w:rsidRPr="00AF0CC3">
              <w:rPr>
                <w:rFonts w:ascii="Times New Roman" w:eastAsia="Times New Roman" w:hAnsi="Times New Roman" w:cs="Times New Roman"/>
                <w:color w:val="000000" w:themeColor="text1"/>
                <w:kern w:val="0"/>
                <w14:ligatures w14:val="none"/>
              </w:rPr>
              <w:t>0.42</w:t>
            </w:r>
          </w:p>
        </w:tc>
      </w:tr>
      <w:tr w:rsidR="00844B88" w:rsidRPr="00AF0CC3" w14:paraId="5FB6CDA2" w14:textId="77777777" w:rsidTr="00E73C98">
        <w:trPr>
          <w:trHeight w:val="335"/>
          <w:tblCellSpacing w:w="15" w:type="dxa"/>
        </w:trPr>
        <w:tc>
          <w:tcPr>
            <w:tcW w:w="0" w:type="auto"/>
            <w:vAlign w:val="center"/>
            <w:hideMark/>
          </w:tcPr>
          <w:p w14:paraId="6EADB830" w14:textId="77777777" w:rsidR="00844B88" w:rsidRPr="00AF0CC3" w:rsidRDefault="00844B88" w:rsidP="00E73C98">
            <w:pPr>
              <w:spacing w:after="0" w:line="240" w:lineRule="auto"/>
              <w:rPr>
                <w:rFonts w:ascii="Times New Roman" w:eastAsia="Times New Roman" w:hAnsi="Times New Roman" w:cs="Times New Roman"/>
                <w:color w:val="000000" w:themeColor="text1"/>
                <w:kern w:val="0"/>
                <w14:ligatures w14:val="none"/>
              </w:rPr>
            </w:pPr>
            <w:r w:rsidRPr="00AF0CC3">
              <w:rPr>
                <w:rFonts w:ascii="Times New Roman" w:eastAsia="Times New Roman" w:hAnsi="Times New Roman" w:cs="Times New Roman"/>
                <w:color w:val="000000" w:themeColor="text1"/>
                <w:kern w:val="0"/>
                <w14:ligatures w14:val="none"/>
              </w:rPr>
              <w:t>Log-Likelihood</w:t>
            </w:r>
          </w:p>
        </w:tc>
        <w:tc>
          <w:tcPr>
            <w:tcW w:w="0" w:type="auto"/>
            <w:vAlign w:val="center"/>
            <w:hideMark/>
          </w:tcPr>
          <w:p w14:paraId="198007C5" w14:textId="77777777" w:rsidR="00844B88" w:rsidRPr="00AF0CC3" w:rsidRDefault="00844B88" w:rsidP="00E73C98">
            <w:pPr>
              <w:spacing w:after="0" w:line="240" w:lineRule="auto"/>
              <w:jc w:val="right"/>
              <w:rPr>
                <w:rFonts w:ascii="Times New Roman" w:eastAsia="Times New Roman" w:hAnsi="Times New Roman" w:cs="Times New Roman"/>
                <w:color w:val="000000" w:themeColor="text1"/>
                <w:kern w:val="0"/>
                <w14:ligatures w14:val="none"/>
              </w:rPr>
            </w:pPr>
            <w:r w:rsidRPr="00AF0CC3">
              <w:rPr>
                <w:rFonts w:ascii="Times New Roman" w:eastAsia="Times New Roman" w:hAnsi="Times New Roman" w:cs="Times New Roman"/>
                <w:color w:val="000000" w:themeColor="text1"/>
                <w:kern w:val="0"/>
                <w14:ligatures w14:val="none"/>
              </w:rPr>
              <w:t>-11.84</w:t>
            </w:r>
          </w:p>
        </w:tc>
      </w:tr>
      <w:tr w:rsidR="00844B88" w:rsidRPr="00AF0CC3" w14:paraId="3D20C1C6" w14:textId="77777777" w:rsidTr="00E73C98">
        <w:trPr>
          <w:trHeight w:val="316"/>
          <w:tblCellSpacing w:w="15" w:type="dxa"/>
        </w:trPr>
        <w:tc>
          <w:tcPr>
            <w:tcW w:w="0" w:type="auto"/>
            <w:vAlign w:val="center"/>
            <w:hideMark/>
          </w:tcPr>
          <w:p w14:paraId="02FB9B1E" w14:textId="77777777" w:rsidR="00844B88" w:rsidRPr="00AF0CC3" w:rsidRDefault="00844B88" w:rsidP="00E73C98">
            <w:pPr>
              <w:spacing w:after="0" w:line="240" w:lineRule="auto"/>
              <w:rPr>
                <w:rFonts w:ascii="Times New Roman" w:eastAsia="Times New Roman" w:hAnsi="Times New Roman" w:cs="Times New Roman"/>
                <w:color w:val="000000" w:themeColor="text1"/>
                <w:kern w:val="0"/>
                <w14:ligatures w14:val="none"/>
              </w:rPr>
            </w:pPr>
            <w:r w:rsidRPr="00AF0CC3">
              <w:rPr>
                <w:rFonts w:ascii="Times New Roman" w:eastAsia="Times New Roman" w:hAnsi="Times New Roman" w:cs="Times New Roman"/>
                <w:color w:val="000000" w:themeColor="text1"/>
                <w:kern w:val="0"/>
                <w14:ligatures w14:val="none"/>
              </w:rPr>
              <w:t>Wald χ²</w:t>
            </w:r>
          </w:p>
        </w:tc>
        <w:tc>
          <w:tcPr>
            <w:tcW w:w="0" w:type="auto"/>
            <w:vAlign w:val="center"/>
            <w:hideMark/>
          </w:tcPr>
          <w:p w14:paraId="097A8A85" w14:textId="77777777" w:rsidR="00844B88" w:rsidRPr="00AF0CC3" w:rsidRDefault="00844B88" w:rsidP="00E73C98">
            <w:pPr>
              <w:spacing w:after="0" w:line="240" w:lineRule="auto"/>
              <w:jc w:val="right"/>
              <w:rPr>
                <w:rFonts w:ascii="Times New Roman" w:eastAsia="Times New Roman" w:hAnsi="Times New Roman" w:cs="Times New Roman"/>
                <w:color w:val="000000" w:themeColor="text1"/>
                <w:kern w:val="0"/>
                <w14:ligatures w14:val="none"/>
              </w:rPr>
            </w:pPr>
            <w:r w:rsidRPr="00AF0CC3">
              <w:rPr>
                <w:rFonts w:ascii="Times New Roman" w:eastAsia="Times New Roman" w:hAnsi="Times New Roman" w:cs="Times New Roman"/>
                <w:color w:val="000000" w:themeColor="text1"/>
                <w:kern w:val="0"/>
                <w14:ligatures w14:val="none"/>
              </w:rPr>
              <w:t>7.91</w:t>
            </w:r>
          </w:p>
        </w:tc>
      </w:tr>
      <w:tr w:rsidR="00844B88" w:rsidRPr="00AF0CC3" w14:paraId="5CB34C56" w14:textId="77777777" w:rsidTr="00E73C98">
        <w:trPr>
          <w:trHeight w:val="353"/>
          <w:tblCellSpacing w:w="15" w:type="dxa"/>
        </w:trPr>
        <w:tc>
          <w:tcPr>
            <w:tcW w:w="0" w:type="auto"/>
            <w:vAlign w:val="center"/>
            <w:hideMark/>
          </w:tcPr>
          <w:p w14:paraId="2CB68EE8" w14:textId="77777777" w:rsidR="00844B88" w:rsidRPr="00AF0CC3" w:rsidRDefault="00844B88" w:rsidP="00E73C98">
            <w:pPr>
              <w:spacing w:after="0" w:line="240" w:lineRule="auto"/>
              <w:rPr>
                <w:rFonts w:ascii="Times New Roman" w:eastAsia="Times New Roman" w:hAnsi="Times New Roman" w:cs="Times New Roman"/>
                <w:color w:val="000000" w:themeColor="text1"/>
                <w:kern w:val="0"/>
                <w14:ligatures w14:val="none"/>
              </w:rPr>
            </w:pPr>
            <w:r w:rsidRPr="00AF0CC3">
              <w:rPr>
                <w:rFonts w:ascii="Times New Roman" w:eastAsia="Times New Roman" w:hAnsi="Times New Roman" w:cs="Times New Roman"/>
                <w:color w:val="000000" w:themeColor="text1"/>
                <w:kern w:val="0"/>
                <w14:ligatures w14:val="none"/>
              </w:rPr>
              <w:t>Model p-value</w:t>
            </w:r>
          </w:p>
        </w:tc>
        <w:tc>
          <w:tcPr>
            <w:tcW w:w="0" w:type="auto"/>
            <w:vAlign w:val="center"/>
            <w:hideMark/>
          </w:tcPr>
          <w:p w14:paraId="7295177F" w14:textId="77777777" w:rsidR="00844B88" w:rsidRPr="00AF0CC3" w:rsidRDefault="00844B88" w:rsidP="00E73C98">
            <w:pPr>
              <w:spacing w:after="0" w:line="240" w:lineRule="auto"/>
              <w:jc w:val="right"/>
              <w:rPr>
                <w:rFonts w:ascii="Times New Roman" w:eastAsia="Times New Roman" w:hAnsi="Times New Roman" w:cs="Times New Roman"/>
                <w:color w:val="000000" w:themeColor="text1"/>
                <w:kern w:val="0"/>
                <w14:ligatures w14:val="none"/>
              </w:rPr>
            </w:pPr>
            <w:r w:rsidRPr="00AF0CC3">
              <w:rPr>
                <w:rFonts w:ascii="Times New Roman" w:eastAsia="Times New Roman" w:hAnsi="Times New Roman" w:cs="Times New Roman"/>
                <w:color w:val="000000" w:themeColor="text1"/>
                <w:kern w:val="0"/>
                <w14:ligatures w14:val="none"/>
              </w:rPr>
              <w:t>0.005</w:t>
            </w:r>
          </w:p>
        </w:tc>
      </w:tr>
    </w:tbl>
    <w:p w14:paraId="658459FA" w14:textId="77777777" w:rsidR="00844B88" w:rsidRPr="00AF0CC3" w:rsidRDefault="00844B88" w:rsidP="00844B88">
      <w:pPr>
        <w:rPr>
          <w:rFonts w:ascii="Times New Roman" w:hAnsi="Times New Roman" w:cs="Times New Roman"/>
          <w:color w:val="000000" w:themeColor="text1"/>
        </w:rPr>
      </w:pPr>
    </w:p>
    <w:p w14:paraId="217CCAC0" w14:textId="77777777" w:rsidR="00844B88" w:rsidRPr="00AF0CC3" w:rsidRDefault="00844B88" w:rsidP="00844B88">
      <w:pPr>
        <w:pBdr>
          <w:top w:val="single" w:sz="4" w:space="1" w:color="auto"/>
          <w:left w:val="single" w:sz="4" w:space="4" w:color="auto"/>
          <w:bottom w:val="single" w:sz="4" w:space="1" w:color="auto"/>
          <w:right w:val="single" w:sz="4" w:space="4" w:color="auto"/>
        </w:pBdr>
        <w:rPr>
          <w:rFonts w:ascii="Times New Roman" w:hAnsi="Times New Roman" w:cs="Times New Roman"/>
          <w:color w:val="000000" w:themeColor="text1"/>
        </w:rPr>
      </w:pPr>
      <w:r w:rsidRPr="00AF0CC3">
        <w:rPr>
          <w:rFonts w:ascii="Times New Roman" w:hAnsi="Times New Roman" w:cs="Times New Roman"/>
          <w:color w:val="000000" w:themeColor="text1"/>
        </w:rPr>
        <w:t>Notes:</w:t>
      </w:r>
    </w:p>
    <w:p w14:paraId="4B7AF60D" w14:textId="77777777" w:rsidR="00844B88" w:rsidRPr="00AF0CC3" w:rsidRDefault="00844B88" w:rsidP="00844B88">
      <w:pPr>
        <w:pBdr>
          <w:top w:val="single" w:sz="4" w:space="1" w:color="auto"/>
          <w:left w:val="single" w:sz="4" w:space="4" w:color="auto"/>
          <w:bottom w:val="single" w:sz="4" w:space="1" w:color="auto"/>
          <w:right w:val="single" w:sz="4" w:space="4" w:color="auto"/>
        </w:pBdr>
        <w:rPr>
          <w:rFonts w:ascii="Times New Roman" w:hAnsi="Times New Roman" w:cs="Times New Roman"/>
          <w:color w:val="000000" w:themeColor="text1"/>
        </w:rPr>
      </w:pPr>
      <w:r w:rsidRPr="00AF0CC3">
        <w:rPr>
          <w:rFonts w:ascii="Times New Roman" w:hAnsi="Times New Roman" w:cs="Times New Roman"/>
          <w:color w:val="000000" w:themeColor="text1"/>
        </w:rPr>
        <w:t>*** p &lt; 0.01; ** p &lt; 0.05; * p &lt; 0.10.</w:t>
      </w:r>
    </w:p>
    <w:p w14:paraId="473E2372" w14:textId="77777777" w:rsidR="00844B88" w:rsidRPr="00AF0CC3" w:rsidRDefault="00844B88" w:rsidP="00844B88">
      <w:pPr>
        <w:pBdr>
          <w:top w:val="single" w:sz="4" w:space="1" w:color="auto"/>
          <w:left w:val="single" w:sz="4" w:space="4" w:color="auto"/>
          <w:bottom w:val="single" w:sz="4" w:space="1" w:color="auto"/>
          <w:right w:val="single" w:sz="4" w:space="4" w:color="auto"/>
        </w:pBdr>
        <w:rPr>
          <w:rFonts w:ascii="Times New Roman" w:hAnsi="Times New Roman" w:cs="Times New Roman"/>
          <w:color w:val="000000" w:themeColor="text1"/>
        </w:rPr>
      </w:pPr>
      <w:r w:rsidRPr="00AF0CC3">
        <w:rPr>
          <w:rFonts w:ascii="Times New Roman" w:hAnsi="Times New Roman" w:cs="Times New Roman"/>
          <w:color w:val="000000" w:themeColor="text1"/>
        </w:rPr>
        <w:t>Odds ratios are reported as exponentiated coefficients (eβ).</w:t>
      </w:r>
    </w:p>
    <w:p w14:paraId="35E29445" w14:textId="77777777" w:rsidR="00844B88" w:rsidRPr="00AF0CC3" w:rsidRDefault="00844B88" w:rsidP="00844B88">
      <w:pPr>
        <w:pBdr>
          <w:top w:val="single" w:sz="4" w:space="1" w:color="auto"/>
          <w:left w:val="single" w:sz="4" w:space="4" w:color="auto"/>
          <w:bottom w:val="single" w:sz="4" w:space="1" w:color="auto"/>
          <w:right w:val="single" w:sz="4" w:space="4" w:color="auto"/>
        </w:pBdr>
        <w:rPr>
          <w:rFonts w:ascii="Times New Roman" w:hAnsi="Times New Roman" w:cs="Times New Roman"/>
          <w:color w:val="000000" w:themeColor="text1"/>
        </w:rPr>
      </w:pPr>
      <w:r w:rsidRPr="00AF0CC3">
        <w:rPr>
          <w:rFonts w:ascii="Times New Roman" w:hAnsi="Times New Roman" w:cs="Times New Roman"/>
          <w:color w:val="000000" w:themeColor="text1"/>
        </w:rPr>
        <w:t>A stalled project is defined as a project experiencing at least 24 months of implementation inactivity without functional service delivery.</w:t>
      </w:r>
    </w:p>
    <w:p w14:paraId="505EFC53" w14:textId="77777777" w:rsidR="00844B88" w:rsidRPr="00AF0CC3" w:rsidRDefault="00844B88" w:rsidP="00844B88">
      <w:pPr>
        <w:pBdr>
          <w:top w:val="single" w:sz="4" w:space="1" w:color="auto"/>
          <w:left w:val="single" w:sz="4" w:space="4" w:color="auto"/>
          <w:bottom w:val="single" w:sz="4" w:space="1" w:color="auto"/>
          <w:right w:val="single" w:sz="4" w:space="4" w:color="auto"/>
        </w:pBdr>
        <w:rPr>
          <w:rFonts w:ascii="Times New Roman" w:hAnsi="Times New Roman" w:cs="Times New Roman"/>
          <w:color w:val="000000" w:themeColor="text1"/>
        </w:rPr>
      </w:pPr>
      <w:r w:rsidRPr="00AF0CC3">
        <w:rPr>
          <w:rFonts w:ascii="Times New Roman" w:hAnsi="Times New Roman" w:cs="Times New Roman"/>
          <w:color w:val="000000" w:themeColor="text1"/>
        </w:rPr>
        <w:t>The model estimates the probability of project stalling as a function of governance quality.</w:t>
      </w:r>
    </w:p>
    <w:p w14:paraId="6702CD26" w14:textId="77777777" w:rsidR="00844B88" w:rsidRPr="00AF0CC3" w:rsidRDefault="00844B88" w:rsidP="00844B88">
      <w:pPr>
        <w:pBdr>
          <w:top w:val="single" w:sz="4" w:space="1" w:color="auto"/>
          <w:left w:val="single" w:sz="4" w:space="4" w:color="auto"/>
          <w:bottom w:val="single" w:sz="4" w:space="1" w:color="auto"/>
          <w:right w:val="single" w:sz="4" w:space="4" w:color="auto"/>
        </w:pBdr>
        <w:rPr>
          <w:rFonts w:ascii="Times New Roman" w:hAnsi="Times New Roman" w:cs="Times New Roman"/>
          <w:color w:val="000000" w:themeColor="text1"/>
        </w:rPr>
      </w:pPr>
      <w:r w:rsidRPr="00AF0CC3">
        <w:rPr>
          <w:rFonts w:ascii="Times New Roman" w:hAnsi="Times New Roman" w:cs="Times New Roman"/>
          <w:color w:val="000000" w:themeColor="text1"/>
        </w:rPr>
        <w:t>Source: Researcher's computation from project appraisal reports, implementation records, audit reports, and project completion documentation (2012–2025).</w:t>
      </w:r>
    </w:p>
    <w:p w14:paraId="71851234" w14:textId="77777777" w:rsidR="00844B88" w:rsidRPr="00AF0CC3" w:rsidRDefault="00844B88" w:rsidP="00844B88">
      <w:pPr>
        <w:pBdr>
          <w:top w:val="single" w:sz="4" w:space="1" w:color="auto"/>
          <w:left w:val="single" w:sz="4" w:space="4" w:color="auto"/>
          <w:bottom w:val="single" w:sz="4" w:space="1" w:color="auto"/>
          <w:right w:val="single" w:sz="4" w:space="4" w:color="auto"/>
        </w:pBdr>
        <w:rPr>
          <w:rFonts w:ascii="Times New Roman" w:hAnsi="Times New Roman" w:cs="Times New Roman"/>
          <w:color w:val="000000" w:themeColor="text1"/>
        </w:rPr>
      </w:pPr>
      <w:r w:rsidRPr="00AF0CC3">
        <w:rPr>
          <w:rFonts w:ascii="Times New Roman" w:hAnsi="Times New Roman" w:cs="Times New Roman"/>
          <w:color w:val="000000" w:themeColor="text1"/>
        </w:rPr>
        <w:t>*** p &lt; 0.01, ** p &lt; 0.05, * p &lt; 0.10.</w:t>
      </w:r>
    </w:p>
    <w:p w14:paraId="19184835" w14:textId="77777777" w:rsidR="00844B88" w:rsidRPr="00AF0CC3" w:rsidRDefault="00844B88" w:rsidP="00844B88">
      <w:pPr>
        <w:rPr>
          <w:rFonts w:ascii="Times New Roman" w:hAnsi="Times New Roman" w:cs="Times New Roman"/>
          <w:color w:val="000000" w:themeColor="text1"/>
        </w:rPr>
      </w:pPr>
    </w:p>
    <w:p w14:paraId="5396E1B5" w14:textId="77777777" w:rsidR="00844B88" w:rsidRPr="00AF0CC3" w:rsidRDefault="00844B88" w:rsidP="00844B88">
      <w:pPr>
        <w:rPr>
          <w:rFonts w:ascii="Times New Roman" w:hAnsi="Times New Roman" w:cs="Times New Roman"/>
          <w:color w:val="000000" w:themeColor="text1"/>
        </w:rPr>
      </w:pPr>
      <w:r w:rsidRPr="00AF0CC3">
        <w:rPr>
          <w:rFonts w:ascii="Times New Roman" w:hAnsi="Times New Roman" w:cs="Times New Roman"/>
          <w:color w:val="000000" w:themeColor="text1"/>
        </w:rPr>
        <w:t xml:space="preserve">The logistic regression results indicate a statistically significant negative association between governance quality and project stalling. The Governance Quality Index coefficient was negative and statistically significant (β = -7.173, p = 0.005), indicating that higher governance quality was associated with a lower likelihood of project stalling. The corresponding odds ratio (OR = 0.001) </w:t>
      </w:r>
      <w:r w:rsidRPr="00AF0CC3">
        <w:rPr>
          <w:rFonts w:ascii="Times New Roman" w:hAnsi="Times New Roman" w:cs="Times New Roman"/>
          <w:color w:val="000000" w:themeColor="text1"/>
        </w:rPr>
        <w:lastRenderedPageBreak/>
        <w:t>further underscores the strength of this relationship, although the magnitude should be interpreted with caution, given that the Governance Quality Index is measured on a bounded scale from 0 to 1.</w:t>
      </w:r>
    </w:p>
    <w:p w14:paraId="5E5DCF65" w14:textId="77777777" w:rsidR="00844B88" w:rsidRPr="00AF0CC3" w:rsidRDefault="00844B88" w:rsidP="00844B88">
      <w:pPr>
        <w:rPr>
          <w:rFonts w:ascii="Times New Roman" w:hAnsi="Times New Roman" w:cs="Times New Roman"/>
          <w:color w:val="000000" w:themeColor="text1"/>
        </w:rPr>
      </w:pPr>
    </w:p>
    <w:p w14:paraId="4FEA2C15" w14:textId="77777777" w:rsidR="00844B88" w:rsidRPr="00AF0CC3" w:rsidRDefault="00844B88" w:rsidP="00844B88">
      <w:pPr>
        <w:rPr>
          <w:rFonts w:ascii="Times New Roman" w:hAnsi="Times New Roman" w:cs="Times New Roman"/>
          <w:color w:val="000000" w:themeColor="text1"/>
        </w:rPr>
      </w:pPr>
      <w:r w:rsidRPr="00AF0CC3">
        <w:rPr>
          <w:rFonts w:ascii="Times New Roman" w:hAnsi="Times New Roman" w:cs="Times New Roman"/>
          <w:color w:val="000000" w:themeColor="text1"/>
        </w:rPr>
        <w:t>A one-unit increase in the Governance Quality Index substantially reduced the predicted probability of project stalling, indicating that improvements in procurement transparency, implementation coordination, audit responsiveness, documentation quality, and oversight systems may significantly strengthen continuity of infrastructure delivery across large-scale public infrastructure projects.</w:t>
      </w:r>
    </w:p>
    <w:p w14:paraId="65AA0C06" w14:textId="77777777" w:rsidR="00844B88" w:rsidRPr="00AF0CC3" w:rsidRDefault="00844B88" w:rsidP="00844B88">
      <w:pPr>
        <w:rPr>
          <w:rFonts w:ascii="Times New Roman" w:hAnsi="Times New Roman" w:cs="Times New Roman"/>
          <w:color w:val="000000" w:themeColor="text1"/>
        </w:rPr>
      </w:pPr>
    </w:p>
    <w:p w14:paraId="479C3FAF" w14:textId="77777777" w:rsidR="00844B88" w:rsidRPr="00AF0CC3" w:rsidRDefault="00844B88" w:rsidP="00844B88">
      <w:pPr>
        <w:rPr>
          <w:rFonts w:ascii="Times New Roman" w:hAnsi="Times New Roman" w:cs="Times New Roman"/>
          <w:color w:val="000000" w:themeColor="text1"/>
        </w:rPr>
      </w:pPr>
      <w:r w:rsidRPr="00AF0CC3">
        <w:rPr>
          <w:rFonts w:ascii="Times New Roman" w:hAnsi="Times New Roman" w:cs="Times New Roman"/>
          <w:color w:val="000000" w:themeColor="text1"/>
        </w:rPr>
        <w:t>The observed relationship highlights the role of governance quality not only as an administrative control mechanism but also as an institutional capability that supports the continuity of implementation under complex operating conditions. Projects characterized by stronger governance arrangements were less likely to experience prolonged implementation interruption, suggesting that effective governance contributes to the stability and resilience of infrastructure delivery systems.</w:t>
      </w:r>
    </w:p>
    <w:p w14:paraId="5043FFEE" w14:textId="77777777" w:rsidR="00844B88" w:rsidRPr="00AF0CC3" w:rsidRDefault="00844B88" w:rsidP="00844B88">
      <w:pPr>
        <w:rPr>
          <w:rFonts w:ascii="Times New Roman" w:hAnsi="Times New Roman" w:cs="Times New Roman"/>
          <w:color w:val="000000" w:themeColor="text1"/>
        </w:rPr>
      </w:pPr>
    </w:p>
    <w:p w14:paraId="5BBE21C1" w14:textId="77777777" w:rsidR="00844B88" w:rsidRPr="00AF0CC3" w:rsidRDefault="00844B88" w:rsidP="00844B88">
      <w:pPr>
        <w:rPr>
          <w:rFonts w:ascii="Times New Roman" w:hAnsi="Times New Roman" w:cs="Times New Roman"/>
          <w:color w:val="000000" w:themeColor="text1"/>
        </w:rPr>
      </w:pPr>
      <w:r w:rsidRPr="00AF0CC3">
        <w:rPr>
          <w:rFonts w:ascii="Times New Roman" w:hAnsi="Times New Roman" w:cs="Times New Roman"/>
          <w:color w:val="000000" w:themeColor="text1"/>
        </w:rPr>
        <w:t>The statistically significant p-value indicates that the observed relationship is unlikely to have occurred by chance alone. Furthermore, the model’s pseudo-R² value indicates that governance quality explains a meaningful proportion of the variation in project-stalling outcomes across the sampled infrastructure projects, providing empirical support for Hypothesis One.</w:t>
      </w:r>
    </w:p>
    <w:p w14:paraId="2821D037" w14:textId="77777777" w:rsidR="00844B88" w:rsidRPr="00AF0CC3" w:rsidRDefault="00844B88" w:rsidP="00844B88">
      <w:pPr>
        <w:rPr>
          <w:rFonts w:ascii="Times New Roman" w:hAnsi="Times New Roman" w:cs="Times New Roman"/>
          <w:color w:val="000000" w:themeColor="text1"/>
        </w:rPr>
      </w:pPr>
      <w:r w:rsidRPr="00AF0CC3">
        <w:rPr>
          <w:rFonts w:ascii="Times New Roman" w:hAnsi="Times New Roman" w:cs="Times New Roman"/>
          <w:color w:val="000000" w:themeColor="text1"/>
        </w:rPr>
        <w:t>The McFadden pseudo-R² value of 0.42 is relatively high compared with values commonly reported in infrastructure and governance studies, where pseudo-R² values between 0.20 and 0.40 are often considered indicative of strong model performance. Nevertheless, the statistic should be interpreted with caution, given the modest sample size and the exploratory nature of the analysis.</w:t>
      </w:r>
    </w:p>
    <w:p w14:paraId="343DA56C" w14:textId="77777777" w:rsidR="00844B88" w:rsidRPr="00AF0CC3" w:rsidRDefault="00844B88" w:rsidP="00844B88">
      <w:pPr>
        <w:rPr>
          <w:rFonts w:ascii="Times New Roman" w:hAnsi="Times New Roman" w:cs="Times New Roman"/>
          <w:color w:val="000000" w:themeColor="text1"/>
        </w:rPr>
      </w:pPr>
    </w:p>
    <w:p w14:paraId="3BFFF91A" w14:textId="13D99360" w:rsidR="00844B88" w:rsidRPr="00AF0CC3" w:rsidRDefault="00844B88" w:rsidP="00844B88">
      <w:pPr>
        <w:rPr>
          <w:rFonts w:ascii="Times New Roman" w:hAnsi="Times New Roman" w:cs="Times New Roman"/>
          <w:color w:val="000000" w:themeColor="text1"/>
        </w:rPr>
      </w:pPr>
      <w:r w:rsidRPr="00AF0CC3">
        <w:rPr>
          <w:rFonts w:ascii="Times New Roman" w:hAnsi="Times New Roman" w:cs="Times New Roman"/>
          <w:color w:val="000000" w:themeColor="text1"/>
        </w:rPr>
        <w:t xml:space="preserve">The magnitude of the estimated odds ratio (OR = 0.001) should be interpreted cautiously. Because the Governance Quality Index is measured on a bounded 0–1 scale, the odds ratio reflects the effect of a full-unit change across the entire governance range rather than a typical incremental improvement observed in practice. Consequently, the odds ratio should be viewed primarily as evidence of a strong negative relationship between governance quality and project stalling rather than as a literal estimate of effect magnitude. Furthermore, the logistic regression model is based on a relatively small sample (n = 32), including eleven stalled projects, which </w:t>
      </w:r>
      <w:r w:rsidR="003B3DDE" w:rsidRPr="00AF0CC3">
        <w:rPr>
          <w:rFonts w:ascii="Times New Roman" w:hAnsi="Times New Roman" w:cs="Times New Roman"/>
          <w:color w:val="000000" w:themeColor="text1"/>
        </w:rPr>
        <w:t>limit</w:t>
      </w:r>
      <w:r w:rsidRPr="00AF0CC3">
        <w:rPr>
          <w:rFonts w:ascii="Times New Roman" w:hAnsi="Times New Roman" w:cs="Times New Roman"/>
          <w:color w:val="000000" w:themeColor="text1"/>
        </w:rPr>
        <w:t xml:space="preserve"> statistical power and increases the risk of coefficient instability. While the results provide important evidence of association, they should therefore be interpreted as indicative rather than definitive estimates of governance effects.</w:t>
      </w:r>
    </w:p>
    <w:p w14:paraId="66041E41" w14:textId="77777777" w:rsidR="00844B88" w:rsidRPr="00AF0CC3" w:rsidRDefault="00844B88" w:rsidP="00844B88">
      <w:pPr>
        <w:rPr>
          <w:rFonts w:ascii="Times New Roman" w:hAnsi="Times New Roman" w:cs="Times New Roman"/>
          <w:color w:val="000000" w:themeColor="text1"/>
        </w:rPr>
      </w:pPr>
    </w:p>
    <w:p w14:paraId="47098C37" w14:textId="77777777" w:rsidR="00844B88" w:rsidRPr="00AF0CC3" w:rsidRDefault="00844B88" w:rsidP="00844B88">
      <w:pPr>
        <w:rPr>
          <w:rFonts w:ascii="Times New Roman" w:hAnsi="Times New Roman" w:cs="Times New Roman"/>
          <w:color w:val="000000" w:themeColor="text1"/>
        </w:rPr>
      </w:pPr>
    </w:p>
    <w:p w14:paraId="5454E356" w14:textId="77777777" w:rsidR="00844B88" w:rsidRPr="00AF0CC3" w:rsidRDefault="00844B88" w:rsidP="00844B88">
      <w:pPr>
        <w:rPr>
          <w:rFonts w:ascii="Times New Roman" w:hAnsi="Times New Roman" w:cs="Times New Roman"/>
          <w:color w:val="000000" w:themeColor="text1"/>
        </w:rPr>
      </w:pPr>
      <w:r w:rsidRPr="00AF0CC3">
        <w:rPr>
          <w:rFonts w:ascii="Times New Roman" w:hAnsi="Times New Roman" w:cs="Times New Roman"/>
          <w:color w:val="000000" w:themeColor="text1"/>
        </w:rPr>
        <w:t>While the logistic regression results provide statistical evidence of the relationship between governance quality and project stalling, the distribution of stalled projects across governance categories offers an additional descriptive perspective. Figure 4.4 illustrates the concentration of stalled projects within low- and high-governance environments, thereby providing further insight into the association between governance quality and implementation continuity.</w:t>
      </w:r>
    </w:p>
    <w:p w14:paraId="57A22D69" w14:textId="77777777" w:rsidR="00844B88" w:rsidRPr="00AF0CC3" w:rsidRDefault="00844B88" w:rsidP="00844B88">
      <w:pPr>
        <w:rPr>
          <w:rFonts w:ascii="Times New Roman" w:hAnsi="Times New Roman" w:cs="Times New Roman"/>
          <w:color w:val="000000" w:themeColor="text1"/>
        </w:rPr>
      </w:pPr>
    </w:p>
    <w:p w14:paraId="03B506D1" w14:textId="77777777" w:rsidR="00844B88" w:rsidRPr="00AF0CC3" w:rsidRDefault="00844B88" w:rsidP="00844B88">
      <w:pPr>
        <w:rPr>
          <w:rFonts w:ascii="Times New Roman" w:hAnsi="Times New Roman" w:cs="Times New Roman"/>
          <w:color w:val="000000" w:themeColor="text1"/>
        </w:rPr>
      </w:pPr>
    </w:p>
    <w:p w14:paraId="1D6F4A3B" w14:textId="35F9814F" w:rsidR="00426EEE" w:rsidRPr="00AF0CC3" w:rsidRDefault="00426EEE" w:rsidP="00426EEE">
      <w:pPr>
        <w:pStyle w:val="Caption"/>
        <w:keepNext/>
        <w:rPr>
          <w:rFonts w:ascii="Times New Roman" w:hAnsi="Times New Roman" w:cs="Times New Roman"/>
          <w:sz w:val="24"/>
          <w:szCs w:val="24"/>
        </w:rPr>
      </w:pPr>
      <w:bookmarkStart w:id="366" w:name="_Toc234481932"/>
      <w:r w:rsidRPr="00AF0CC3">
        <w:rPr>
          <w:rFonts w:ascii="Times New Roman" w:hAnsi="Times New Roman" w:cs="Times New Roman"/>
          <w:sz w:val="24"/>
          <w:szCs w:val="24"/>
        </w:rPr>
        <w:t xml:space="preserve">Figure </w:t>
      </w:r>
      <w:r w:rsidR="00BF2261" w:rsidRPr="00AF0CC3">
        <w:rPr>
          <w:rFonts w:ascii="Times New Roman" w:hAnsi="Times New Roman" w:cs="Times New Roman"/>
          <w:sz w:val="24"/>
          <w:szCs w:val="24"/>
        </w:rPr>
        <w:fldChar w:fldCharType="begin"/>
      </w:r>
      <w:r w:rsidR="00BF2261" w:rsidRPr="00AF0CC3">
        <w:rPr>
          <w:rFonts w:ascii="Times New Roman" w:hAnsi="Times New Roman" w:cs="Times New Roman"/>
          <w:sz w:val="24"/>
          <w:szCs w:val="24"/>
        </w:rPr>
        <w:instrText xml:space="preserve"> STYLEREF 1 \s </w:instrText>
      </w:r>
      <w:r w:rsidR="00BF2261" w:rsidRPr="00AF0CC3">
        <w:rPr>
          <w:rFonts w:ascii="Times New Roman" w:hAnsi="Times New Roman" w:cs="Times New Roman"/>
          <w:sz w:val="24"/>
          <w:szCs w:val="24"/>
        </w:rPr>
        <w:fldChar w:fldCharType="separate"/>
      </w:r>
      <w:r w:rsidR="00052921" w:rsidRPr="00AF0CC3">
        <w:rPr>
          <w:rFonts w:ascii="Times New Roman" w:hAnsi="Times New Roman" w:cs="Times New Roman"/>
          <w:noProof/>
          <w:sz w:val="24"/>
          <w:szCs w:val="24"/>
        </w:rPr>
        <w:t>4</w:t>
      </w:r>
      <w:r w:rsidR="00BF2261" w:rsidRPr="00AF0CC3">
        <w:rPr>
          <w:rFonts w:ascii="Times New Roman" w:hAnsi="Times New Roman" w:cs="Times New Roman"/>
          <w:sz w:val="24"/>
          <w:szCs w:val="24"/>
        </w:rPr>
        <w:fldChar w:fldCharType="end"/>
      </w:r>
      <w:r w:rsidR="00BF2261" w:rsidRPr="00AF0CC3">
        <w:rPr>
          <w:rFonts w:ascii="Times New Roman" w:hAnsi="Times New Roman" w:cs="Times New Roman"/>
          <w:sz w:val="24"/>
          <w:szCs w:val="24"/>
        </w:rPr>
        <w:t>.</w:t>
      </w:r>
      <w:r w:rsidR="00BF2261" w:rsidRPr="00AF0CC3">
        <w:rPr>
          <w:rFonts w:ascii="Times New Roman" w:hAnsi="Times New Roman" w:cs="Times New Roman"/>
          <w:sz w:val="24"/>
          <w:szCs w:val="24"/>
        </w:rPr>
        <w:fldChar w:fldCharType="begin"/>
      </w:r>
      <w:r w:rsidR="00BF2261" w:rsidRPr="00AF0CC3">
        <w:rPr>
          <w:rFonts w:ascii="Times New Roman" w:hAnsi="Times New Roman" w:cs="Times New Roman"/>
          <w:sz w:val="24"/>
          <w:szCs w:val="24"/>
        </w:rPr>
        <w:instrText xml:space="preserve"> SEQ Figure \* ARABIC \s 1 </w:instrText>
      </w:r>
      <w:r w:rsidR="00BF2261" w:rsidRPr="00AF0CC3">
        <w:rPr>
          <w:rFonts w:ascii="Times New Roman" w:hAnsi="Times New Roman" w:cs="Times New Roman"/>
          <w:sz w:val="24"/>
          <w:szCs w:val="24"/>
        </w:rPr>
        <w:fldChar w:fldCharType="separate"/>
      </w:r>
      <w:r w:rsidR="00052921" w:rsidRPr="00AF0CC3">
        <w:rPr>
          <w:rFonts w:ascii="Times New Roman" w:hAnsi="Times New Roman" w:cs="Times New Roman"/>
          <w:noProof/>
          <w:sz w:val="24"/>
          <w:szCs w:val="24"/>
        </w:rPr>
        <w:t>4</w:t>
      </w:r>
      <w:r w:rsidR="00BF2261" w:rsidRPr="00AF0CC3">
        <w:rPr>
          <w:rFonts w:ascii="Times New Roman" w:hAnsi="Times New Roman" w:cs="Times New Roman"/>
          <w:sz w:val="24"/>
          <w:szCs w:val="24"/>
        </w:rPr>
        <w:fldChar w:fldCharType="end"/>
      </w:r>
      <w:r w:rsidRPr="00AF0CC3">
        <w:rPr>
          <w:rFonts w:ascii="Times New Roman" w:hAnsi="Times New Roman" w:cs="Times New Roman"/>
          <w:sz w:val="24"/>
          <w:szCs w:val="24"/>
        </w:rPr>
        <w:t xml:space="preserve"> Distribution of stalled projects across Governance Categories</w:t>
      </w:r>
      <w:bookmarkEnd w:id="366"/>
    </w:p>
    <w:p w14:paraId="52D32218" w14:textId="77777777" w:rsidR="00844B88" w:rsidRPr="00AF0CC3" w:rsidRDefault="00844B88" w:rsidP="00844B88">
      <w:pPr>
        <w:rPr>
          <w:rFonts w:ascii="Times New Roman" w:hAnsi="Times New Roman" w:cs="Times New Roman"/>
          <w:color w:val="000000" w:themeColor="text1"/>
        </w:rPr>
      </w:pPr>
      <w:r w:rsidRPr="00AF0CC3">
        <w:rPr>
          <w:rFonts w:ascii="Times New Roman" w:hAnsi="Times New Roman" w:cs="Times New Roman"/>
          <w:noProof/>
          <w:color w:val="000000" w:themeColor="text1"/>
        </w:rPr>
        <w:drawing>
          <wp:inline distT="0" distB="0" distL="0" distR="0" wp14:anchorId="2D1F5DA5" wp14:editId="2758548A">
            <wp:extent cx="5943600" cy="3194685"/>
            <wp:effectExtent l="0" t="0" r="0" b="5715"/>
            <wp:docPr id="65318574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3185744" name=""/>
                    <pic:cNvPicPr/>
                  </pic:nvPicPr>
                  <pic:blipFill>
                    <a:blip r:embed="rId29"/>
                    <a:stretch>
                      <a:fillRect/>
                    </a:stretch>
                  </pic:blipFill>
                  <pic:spPr>
                    <a:xfrm>
                      <a:off x="0" y="0"/>
                      <a:ext cx="5943600" cy="3194685"/>
                    </a:xfrm>
                    <a:prstGeom prst="rect">
                      <a:avLst/>
                    </a:prstGeom>
                  </pic:spPr>
                </pic:pic>
              </a:graphicData>
            </a:graphic>
          </wp:inline>
        </w:drawing>
      </w:r>
    </w:p>
    <w:p w14:paraId="08CFC5F8" w14:textId="77777777" w:rsidR="00844B88" w:rsidRPr="00AF0CC3" w:rsidRDefault="00844B88" w:rsidP="00844B88">
      <w:pPr>
        <w:rPr>
          <w:rFonts w:ascii="Times New Roman" w:hAnsi="Times New Roman" w:cs="Times New Roman"/>
          <w:color w:val="000000" w:themeColor="text1"/>
        </w:rPr>
      </w:pPr>
      <w:r w:rsidRPr="00AF0CC3">
        <w:rPr>
          <w:rFonts w:ascii="Times New Roman" w:hAnsi="Times New Roman" w:cs="Times New Roman"/>
          <w:color w:val="000000" w:themeColor="text1"/>
        </w:rPr>
        <w:t>Figure 4.4 illustrates the distribution of stalled projects across governance categories. Stalled projects were disproportionately concentrated among projects characterized by lower governance quality, with the majority of stalled projects occurring within the low-governance category. In contrast, relatively few stalled projects were observed among projects exhibiting stronger governance performance. The distribution reinforces the logistic regression findings and provides additional evidence that governance quality was closely associated with implementation continuity and project delivery performance.</w:t>
      </w:r>
    </w:p>
    <w:p w14:paraId="044950EA" w14:textId="7E7BE772" w:rsidR="00C47A40" w:rsidRPr="00AF0CC3" w:rsidRDefault="00844B88" w:rsidP="00777E00">
      <w:pPr>
        <w:rPr>
          <w:rFonts w:ascii="Times New Roman" w:hAnsi="Times New Roman" w:cs="Times New Roman"/>
          <w:color w:val="000000" w:themeColor="text1"/>
        </w:rPr>
      </w:pPr>
      <w:r w:rsidRPr="00AF0CC3">
        <w:rPr>
          <w:rFonts w:ascii="Times New Roman" w:hAnsi="Times New Roman" w:cs="Times New Roman"/>
          <w:color w:val="000000" w:themeColor="text1"/>
        </w:rPr>
        <w:t>The findings therefore provide strong empirical support for the study’s central proposition that governance quality constitutes a major determinant of infrastructure delivery performance within Kenya’s water sector.</w:t>
      </w:r>
      <w:bookmarkStart w:id="367" w:name="_Toc232375982"/>
      <w:bookmarkStart w:id="368" w:name="_Toc234344849"/>
    </w:p>
    <w:p w14:paraId="0FAA0C36" w14:textId="77777777" w:rsidR="00777E00" w:rsidRPr="00AF0CC3" w:rsidRDefault="00777E00" w:rsidP="00777E00">
      <w:pPr>
        <w:rPr>
          <w:rFonts w:ascii="Times New Roman" w:hAnsi="Times New Roman" w:cs="Times New Roman"/>
          <w:color w:val="000000" w:themeColor="text1"/>
        </w:rPr>
      </w:pPr>
    </w:p>
    <w:p w14:paraId="05AD608E" w14:textId="230B51AE" w:rsidR="00844B88" w:rsidRPr="00AF0CC3" w:rsidRDefault="00844B88" w:rsidP="00844B88">
      <w:pPr>
        <w:pStyle w:val="Heading3"/>
        <w:rPr>
          <w:rFonts w:cs="Times New Roman"/>
          <w:b w:val="0"/>
          <w:bCs/>
          <w:color w:val="000000" w:themeColor="text1"/>
          <w:szCs w:val="24"/>
        </w:rPr>
      </w:pPr>
      <w:bookmarkStart w:id="369" w:name="_Toc234489081"/>
      <w:r w:rsidRPr="00AF0CC3">
        <w:rPr>
          <w:rFonts w:cs="Times New Roman"/>
          <w:bCs/>
          <w:color w:val="000000" w:themeColor="text1"/>
          <w:szCs w:val="24"/>
        </w:rPr>
        <w:t>Predicted Probability of Project Stalling</w:t>
      </w:r>
      <w:bookmarkEnd w:id="367"/>
      <w:bookmarkEnd w:id="368"/>
      <w:bookmarkEnd w:id="369"/>
    </w:p>
    <w:p w14:paraId="675DCFF8" w14:textId="77777777" w:rsidR="00844B88" w:rsidRPr="00AF0CC3" w:rsidRDefault="00844B88" w:rsidP="00844B88">
      <w:pPr>
        <w:rPr>
          <w:rFonts w:ascii="Times New Roman" w:hAnsi="Times New Roman" w:cs="Times New Roman"/>
          <w:color w:val="000000" w:themeColor="text1"/>
        </w:rPr>
      </w:pPr>
    </w:p>
    <w:p w14:paraId="150059A1" w14:textId="77777777" w:rsidR="00844B88" w:rsidRPr="00AF0CC3" w:rsidRDefault="00844B88" w:rsidP="00844B88">
      <w:pPr>
        <w:rPr>
          <w:rFonts w:ascii="Times New Roman" w:hAnsi="Times New Roman" w:cs="Times New Roman"/>
          <w:color w:val="000000" w:themeColor="text1"/>
        </w:rPr>
      </w:pPr>
      <w:r w:rsidRPr="00AF0CC3">
        <w:rPr>
          <w:rFonts w:ascii="Times New Roman" w:hAnsi="Times New Roman" w:cs="Times New Roman"/>
          <w:color w:val="000000" w:themeColor="text1"/>
        </w:rPr>
        <w:t>While the logistic regression coefficients provide statistical evidence of the relationship between governance quality and project stalling, the predicted probabilities offer a more intuitive illustration of its magnitude. Figure 4.5 presents the estimated probability of project stalling across different levels of the Governance Quality Index, holding other variables constant at their mean values.</w:t>
      </w:r>
    </w:p>
    <w:p w14:paraId="5C1B1426" w14:textId="77777777" w:rsidR="00844B88" w:rsidRPr="00AF0CC3" w:rsidRDefault="00844B88" w:rsidP="00844B88">
      <w:pPr>
        <w:rPr>
          <w:rFonts w:ascii="Times New Roman" w:hAnsi="Times New Roman" w:cs="Times New Roman"/>
          <w:color w:val="000000" w:themeColor="text1"/>
        </w:rPr>
      </w:pPr>
    </w:p>
    <w:p w14:paraId="3C963624" w14:textId="71469F4A" w:rsidR="00426EEE" w:rsidRPr="00AF0CC3" w:rsidRDefault="00426EEE" w:rsidP="00426EEE">
      <w:pPr>
        <w:pStyle w:val="Caption"/>
        <w:keepNext/>
        <w:rPr>
          <w:rFonts w:ascii="Times New Roman" w:hAnsi="Times New Roman" w:cs="Times New Roman"/>
          <w:sz w:val="24"/>
          <w:szCs w:val="24"/>
        </w:rPr>
      </w:pPr>
      <w:bookmarkStart w:id="370" w:name="_Toc234481933"/>
      <w:r w:rsidRPr="00AF0CC3">
        <w:rPr>
          <w:rFonts w:ascii="Times New Roman" w:hAnsi="Times New Roman" w:cs="Times New Roman"/>
          <w:sz w:val="24"/>
          <w:szCs w:val="24"/>
        </w:rPr>
        <w:t xml:space="preserve">Figure </w:t>
      </w:r>
      <w:r w:rsidR="00052921" w:rsidRPr="00AF0CC3">
        <w:rPr>
          <w:rFonts w:ascii="Times New Roman" w:hAnsi="Times New Roman" w:cs="Times New Roman"/>
          <w:sz w:val="24"/>
          <w:szCs w:val="24"/>
        </w:rPr>
        <w:fldChar w:fldCharType="begin"/>
      </w:r>
      <w:r w:rsidR="00052921" w:rsidRPr="00AF0CC3">
        <w:rPr>
          <w:rFonts w:ascii="Times New Roman" w:hAnsi="Times New Roman" w:cs="Times New Roman"/>
          <w:sz w:val="24"/>
          <w:szCs w:val="24"/>
        </w:rPr>
        <w:instrText xml:space="preserve"> STYLEREF 1 \s </w:instrText>
      </w:r>
      <w:r w:rsidR="00052921" w:rsidRPr="00AF0CC3">
        <w:rPr>
          <w:rFonts w:ascii="Times New Roman" w:hAnsi="Times New Roman" w:cs="Times New Roman"/>
          <w:sz w:val="24"/>
          <w:szCs w:val="24"/>
        </w:rPr>
        <w:fldChar w:fldCharType="separate"/>
      </w:r>
      <w:r w:rsidR="00052921" w:rsidRPr="00AF0CC3">
        <w:rPr>
          <w:rFonts w:ascii="Times New Roman" w:hAnsi="Times New Roman" w:cs="Times New Roman"/>
          <w:noProof/>
          <w:sz w:val="24"/>
          <w:szCs w:val="24"/>
        </w:rPr>
        <w:t>4</w:t>
      </w:r>
      <w:r w:rsidR="00052921" w:rsidRPr="00AF0CC3">
        <w:rPr>
          <w:rFonts w:ascii="Times New Roman" w:hAnsi="Times New Roman" w:cs="Times New Roman"/>
          <w:noProof/>
          <w:sz w:val="24"/>
          <w:szCs w:val="24"/>
        </w:rPr>
        <w:fldChar w:fldCharType="end"/>
      </w:r>
      <w:r w:rsidR="00BF2261" w:rsidRPr="00AF0CC3">
        <w:rPr>
          <w:rFonts w:ascii="Times New Roman" w:hAnsi="Times New Roman" w:cs="Times New Roman"/>
          <w:sz w:val="24"/>
          <w:szCs w:val="24"/>
        </w:rPr>
        <w:t>.</w:t>
      </w:r>
      <w:r w:rsidR="00052921" w:rsidRPr="00AF0CC3">
        <w:rPr>
          <w:rFonts w:ascii="Times New Roman" w:hAnsi="Times New Roman" w:cs="Times New Roman"/>
          <w:sz w:val="24"/>
          <w:szCs w:val="24"/>
        </w:rPr>
        <w:fldChar w:fldCharType="begin"/>
      </w:r>
      <w:r w:rsidR="00052921" w:rsidRPr="00AF0CC3">
        <w:rPr>
          <w:rFonts w:ascii="Times New Roman" w:hAnsi="Times New Roman" w:cs="Times New Roman"/>
          <w:sz w:val="24"/>
          <w:szCs w:val="24"/>
        </w:rPr>
        <w:instrText xml:space="preserve"> SEQ Figure \* ARABIC \s 1 </w:instrText>
      </w:r>
      <w:r w:rsidR="00052921" w:rsidRPr="00AF0CC3">
        <w:rPr>
          <w:rFonts w:ascii="Times New Roman" w:hAnsi="Times New Roman" w:cs="Times New Roman"/>
          <w:sz w:val="24"/>
          <w:szCs w:val="24"/>
        </w:rPr>
        <w:fldChar w:fldCharType="separate"/>
      </w:r>
      <w:r w:rsidR="00052921" w:rsidRPr="00AF0CC3">
        <w:rPr>
          <w:rFonts w:ascii="Times New Roman" w:hAnsi="Times New Roman" w:cs="Times New Roman"/>
          <w:noProof/>
          <w:sz w:val="24"/>
          <w:szCs w:val="24"/>
        </w:rPr>
        <w:t>5</w:t>
      </w:r>
      <w:r w:rsidR="00052921" w:rsidRPr="00AF0CC3">
        <w:rPr>
          <w:rFonts w:ascii="Times New Roman" w:hAnsi="Times New Roman" w:cs="Times New Roman"/>
          <w:noProof/>
          <w:sz w:val="24"/>
          <w:szCs w:val="24"/>
        </w:rPr>
        <w:fldChar w:fldCharType="end"/>
      </w:r>
      <w:r w:rsidRPr="00AF0CC3">
        <w:rPr>
          <w:rFonts w:ascii="Times New Roman" w:hAnsi="Times New Roman" w:cs="Times New Roman"/>
          <w:sz w:val="24"/>
          <w:szCs w:val="24"/>
        </w:rPr>
        <w:t xml:space="preserve"> Predicted Probability of Project Stalling by Governance Quality Index (GQI)</w:t>
      </w:r>
      <w:bookmarkEnd w:id="370"/>
    </w:p>
    <w:p w14:paraId="15E0D4AB" w14:textId="77777777" w:rsidR="00844B88" w:rsidRPr="00AF0CC3" w:rsidRDefault="00844B88" w:rsidP="00844B88">
      <w:pPr>
        <w:rPr>
          <w:rFonts w:ascii="Times New Roman" w:hAnsi="Times New Roman" w:cs="Times New Roman"/>
          <w:color w:val="000000" w:themeColor="text1"/>
        </w:rPr>
      </w:pPr>
      <w:r w:rsidRPr="00AF0CC3">
        <w:rPr>
          <w:rFonts w:ascii="Times New Roman" w:hAnsi="Times New Roman" w:cs="Times New Roman"/>
          <w:noProof/>
          <w:color w:val="000000" w:themeColor="text1"/>
        </w:rPr>
        <w:drawing>
          <wp:inline distT="0" distB="0" distL="0" distR="0" wp14:anchorId="02B0048F" wp14:editId="35AB8DEF">
            <wp:extent cx="5943600" cy="4149725"/>
            <wp:effectExtent l="0" t="0" r="0" b="3175"/>
            <wp:docPr id="39551101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5511015" name=""/>
                    <pic:cNvPicPr/>
                  </pic:nvPicPr>
                  <pic:blipFill>
                    <a:blip r:embed="rId30"/>
                    <a:stretch>
                      <a:fillRect/>
                    </a:stretch>
                  </pic:blipFill>
                  <pic:spPr>
                    <a:xfrm>
                      <a:off x="0" y="0"/>
                      <a:ext cx="5943600" cy="4149725"/>
                    </a:xfrm>
                    <a:prstGeom prst="rect">
                      <a:avLst/>
                    </a:prstGeom>
                  </pic:spPr>
                </pic:pic>
              </a:graphicData>
            </a:graphic>
          </wp:inline>
        </w:drawing>
      </w:r>
    </w:p>
    <w:p w14:paraId="6D4B55F2" w14:textId="16A684A1" w:rsidR="00844B88" w:rsidRPr="00AF0CC3" w:rsidRDefault="00844B88" w:rsidP="00844B88">
      <w:pPr>
        <w:rPr>
          <w:rFonts w:ascii="Times New Roman" w:hAnsi="Times New Roman" w:cs="Times New Roman"/>
          <w:color w:val="000000" w:themeColor="text1"/>
        </w:rPr>
      </w:pPr>
      <w:r w:rsidRPr="00AF0CC3">
        <w:rPr>
          <w:rFonts w:ascii="Times New Roman" w:hAnsi="Times New Roman" w:cs="Times New Roman"/>
          <w:color w:val="000000" w:themeColor="text1"/>
        </w:rPr>
        <w:t xml:space="preserve">Figure 4.5 demonstrates a strong inverse relationship between governance quality and the predicted probability of project stalling. As Governance Quality Index scores increase, the estimated probability of project stalling declines substantially. Projects with relatively low governance quality scores </w:t>
      </w:r>
      <w:r w:rsidR="009F5E04" w:rsidRPr="00AF0CC3">
        <w:rPr>
          <w:rFonts w:ascii="Times New Roman" w:hAnsi="Times New Roman" w:cs="Times New Roman"/>
          <w:color w:val="000000" w:themeColor="text1"/>
        </w:rPr>
        <w:t>were more likely to experience implementation interruptions, whereas projects with stronger governance systems had</w:t>
      </w:r>
      <w:r w:rsidRPr="00AF0CC3">
        <w:rPr>
          <w:rFonts w:ascii="Times New Roman" w:hAnsi="Times New Roman" w:cs="Times New Roman"/>
          <w:color w:val="000000" w:themeColor="text1"/>
        </w:rPr>
        <w:t xml:space="preserve"> markedly lower probabilities of stalling. The modeled relationship reinforces the regression results and provides further evidence that </w:t>
      </w:r>
      <w:r w:rsidRPr="00AF0CC3">
        <w:rPr>
          <w:rFonts w:ascii="Times New Roman" w:hAnsi="Times New Roman" w:cs="Times New Roman"/>
          <w:color w:val="000000" w:themeColor="text1"/>
        </w:rPr>
        <w:lastRenderedPageBreak/>
        <w:t>governance quality was a significant determinant of implementation continuity within the sampled projects.</w:t>
      </w:r>
    </w:p>
    <w:p w14:paraId="7E2D1D18" w14:textId="77777777" w:rsidR="00844B88" w:rsidRPr="00AF0CC3" w:rsidRDefault="00844B88" w:rsidP="00844B88">
      <w:pPr>
        <w:rPr>
          <w:rFonts w:ascii="Times New Roman" w:hAnsi="Times New Roman" w:cs="Times New Roman"/>
          <w:color w:val="000000" w:themeColor="text1"/>
        </w:rPr>
      </w:pPr>
    </w:p>
    <w:p w14:paraId="23C22F69" w14:textId="2D07B09E" w:rsidR="00844B88" w:rsidRPr="00AF0CC3" w:rsidRDefault="00844B88" w:rsidP="00844B88">
      <w:pPr>
        <w:pStyle w:val="Heading3"/>
        <w:rPr>
          <w:rFonts w:cs="Times New Roman"/>
          <w:b w:val="0"/>
          <w:bCs/>
          <w:color w:val="000000" w:themeColor="text1"/>
          <w:szCs w:val="24"/>
        </w:rPr>
      </w:pPr>
      <w:bookmarkStart w:id="371" w:name="_Toc232375983"/>
      <w:bookmarkStart w:id="372" w:name="_Toc234344850"/>
      <w:bookmarkStart w:id="373" w:name="_Toc234489082"/>
      <w:r w:rsidRPr="00AF0CC3">
        <w:rPr>
          <w:rFonts w:cs="Times New Roman"/>
          <w:bCs/>
          <w:color w:val="000000" w:themeColor="text1"/>
          <w:szCs w:val="24"/>
        </w:rPr>
        <w:t>Illustrative Low-Governance Cases</w:t>
      </w:r>
      <w:bookmarkEnd w:id="371"/>
      <w:bookmarkEnd w:id="372"/>
      <w:bookmarkEnd w:id="373"/>
    </w:p>
    <w:p w14:paraId="6BA19533" w14:textId="77777777" w:rsidR="00844B88" w:rsidRPr="00AF0CC3" w:rsidRDefault="00844B88" w:rsidP="00844B88">
      <w:pPr>
        <w:rPr>
          <w:rFonts w:ascii="Times New Roman" w:hAnsi="Times New Roman" w:cs="Times New Roman"/>
          <w:color w:val="000000" w:themeColor="text1"/>
        </w:rPr>
      </w:pPr>
    </w:p>
    <w:p w14:paraId="30E5BF5D" w14:textId="77777777" w:rsidR="00844B88" w:rsidRPr="00AF0CC3" w:rsidRDefault="00844B88" w:rsidP="00844B88">
      <w:pPr>
        <w:rPr>
          <w:rFonts w:ascii="Times New Roman" w:hAnsi="Times New Roman" w:cs="Times New Roman"/>
          <w:color w:val="000000" w:themeColor="text1"/>
        </w:rPr>
      </w:pPr>
      <w:r w:rsidRPr="00AF0CC3">
        <w:rPr>
          <w:rFonts w:ascii="Times New Roman" w:hAnsi="Times New Roman" w:cs="Times New Roman"/>
          <w:color w:val="000000" w:themeColor="text1"/>
        </w:rPr>
        <w:t>The projects with the lowest Governance Quality Index scores were predominantly stalled dam projects, including High Grand Falls Dam, Karimenu II Dam, Arror Dam, Kimwarer Dam, and Badasa Dam.</w:t>
      </w:r>
    </w:p>
    <w:p w14:paraId="78EB13BF" w14:textId="77777777" w:rsidR="00844B88" w:rsidRPr="00AF0CC3" w:rsidRDefault="00844B88" w:rsidP="00844B88">
      <w:pPr>
        <w:rPr>
          <w:rFonts w:ascii="Times New Roman" w:hAnsi="Times New Roman" w:cs="Times New Roman"/>
          <w:color w:val="000000" w:themeColor="text1"/>
        </w:rPr>
      </w:pPr>
    </w:p>
    <w:p w14:paraId="6D6172BB" w14:textId="77777777" w:rsidR="00844B88" w:rsidRPr="00AF0CC3" w:rsidRDefault="00844B88" w:rsidP="00844B88">
      <w:pPr>
        <w:rPr>
          <w:rFonts w:ascii="Times New Roman" w:hAnsi="Times New Roman" w:cs="Times New Roman"/>
          <w:color w:val="000000" w:themeColor="text1"/>
        </w:rPr>
      </w:pPr>
      <w:r w:rsidRPr="00AF0CC3">
        <w:rPr>
          <w:rFonts w:ascii="Times New Roman" w:hAnsi="Times New Roman" w:cs="Times New Roman"/>
          <w:color w:val="000000" w:themeColor="text1"/>
        </w:rPr>
        <w:t>High Grand Falls Dam recorded the lowest GQI score in the dataset (0.214). The project experienced implementation delays due to financing coordination challenges, land acquisition difficulties, limited implementation preparedness, and institutional management constraints. The prolonged implementation delays generated substantial opportunity costs for hydropower generation, irrigation expansion, flood control, and regional water supply.</w:t>
      </w:r>
    </w:p>
    <w:p w14:paraId="4E7B62F3" w14:textId="77777777" w:rsidR="00844B88" w:rsidRPr="00AF0CC3" w:rsidRDefault="00844B88" w:rsidP="00844B88">
      <w:pPr>
        <w:rPr>
          <w:rFonts w:ascii="Times New Roman" w:hAnsi="Times New Roman" w:cs="Times New Roman"/>
          <w:color w:val="000000" w:themeColor="text1"/>
        </w:rPr>
      </w:pPr>
    </w:p>
    <w:p w14:paraId="6E8FD738" w14:textId="77777777" w:rsidR="00844B88" w:rsidRPr="00AF0CC3" w:rsidRDefault="00844B88" w:rsidP="00844B88">
      <w:pPr>
        <w:rPr>
          <w:rFonts w:ascii="Times New Roman" w:hAnsi="Times New Roman" w:cs="Times New Roman"/>
          <w:color w:val="000000" w:themeColor="text1"/>
        </w:rPr>
      </w:pPr>
      <w:r w:rsidRPr="00AF0CC3">
        <w:rPr>
          <w:rFonts w:ascii="Times New Roman" w:hAnsi="Times New Roman" w:cs="Times New Roman"/>
          <w:color w:val="000000" w:themeColor="text1"/>
        </w:rPr>
        <w:t>Karimenu II Dam recorded a GQI score of 0.250 and experienced prolonged implementation disruptions due to procurement delays, contractual disputes, and weaknesses in institutional coordination. The delays affected the long-term expansion of the bulk water supply for the Nairobi metropolitan region.</w:t>
      </w:r>
    </w:p>
    <w:p w14:paraId="1F408278" w14:textId="77777777" w:rsidR="00844B88" w:rsidRPr="00AF0CC3" w:rsidRDefault="00844B88" w:rsidP="00844B88">
      <w:pPr>
        <w:rPr>
          <w:rFonts w:ascii="Times New Roman" w:hAnsi="Times New Roman" w:cs="Times New Roman"/>
          <w:color w:val="000000" w:themeColor="text1"/>
        </w:rPr>
      </w:pPr>
    </w:p>
    <w:p w14:paraId="08DA0AA4" w14:textId="77777777" w:rsidR="00844B88" w:rsidRPr="00AF0CC3" w:rsidRDefault="00844B88" w:rsidP="00844B88">
      <w:pPr>
        <w:rPr>
          <w:rFonts w:ascii="Times New Roman" w:hAnsi="Times New Roman" w:cs="Times New Roman"/>
          <w:color w:val="000000" w:themeColor="text1"/>
        </w:rPr>
      </w:pPr>
      <w:r w:rsidRPr="00AF0CC3">
        <w:rPr>
          <w:rFonts w:ascii="Times New Roman" w:hAnsi="Times New Roman" w:cs="Times New Roman"/>
          <w:color w:val="000000" w:themeColor="text1"/>
        </w:rPr>
        <w:t>Arror Dam and Kimwarer Dam both recorded GQI scores of 0.438. The Arror Dam project had an approved value of KES 63 billion, while the Kimwarer Dam was valued at KES 38 billion, representing a combined public investment commitment of KES 101 billion.</w:t>
      </w:r>
    </w:p>
    <w:p w14:paraId="2FD6EF46" w14:textId="77777777" w:rsidR="00844B88" w:rsidRPr="00AF0CC3" w:rsidRDefault="00844B88" w:rsidP="00844B88">
      <w:pPr>
        <w:rPr>
          <w:rFonts w:ascii="Times New Roman" w:hAnsi="Times New Roman" w:cs="Times New Roman"/>
          <w:color w:val="000000" w:themeColor="text1"/>
        </w:rPr>
      </w:pPr>
      <w:r w:rsidRPr="00AF0CC3">
        <w:rPr>
          <w:rFonts w:ascii="Times New Roman" w:hAnsi="Times New Roman" w:cs="Times New Roman"/>
          <w:color w:val="000000" w:themeColor="text1"/>
        </w:rPr>
        <w:t>Documentary evidence pointed to governance weaknesses involving procurement transparency, contractual risk allocation, financial oversight, audit responsiveness, and institutional accountability. The stalled implementation delayed anticipated irrigation expansion, constrained drought resilience efforts, and reduced expected socioeconomic benefits for local communities.</w:t>
      </w:r>
    </w:p>
    <w:p w14:paraId="63A62506" w14:textId="77777777" w:rsidR="00844B88" w:rsidRPr="00AF0CC3" w:rsidRDefault="00844B88" w:rsidP="00844B88">
      <w:pPr>
        <w:rPr>
          <w:rFonts w:ascii="Times New Roman" w:hAnsi="Times New Roman" w:cs="Times New Roman"/>
          <w:color w:val="000000" w:themeColor="text1"/>
        </w:rPr>
      </w:pPr>
      <w:r w:rsidRPr="00AF0CC3">
        <w:rPr>
          <w:rFonts w:ascii="Times New Roman" w:hAnsi="Times New Roman" w:cs="Times New Roman"/>
          <w:color w:val="000000" w:themeColor="text1"/>
        </w:rPr>
        <w:t>Badasa Dam also recorded a low GQI score of 0.438. The project was intended to improve water access and drought resilience in Isiolo County and surrounding arid regions. Delays in implementation undermined expected gains in water security and local economic activity.</w:t>
      </w:r>
    </w:p>
    <w:p w14:paraId="77E733CA" w14:textId="77777777" w:rsidR="00844B88" w:rsidRPr="00AF0CC3" w:rsidRDefault="00844B88" w:rsidP="00844B88">
      <w:pPr>
        <w:rPr>
          <w:rFonts w:ascii="Times New Roman" w:hAnsi="Times New Roman" w:cs="Times New Roman"/>
          <w:color w:val="000000" w:themeColor="text1"/>
        </w:rPr>
      </w:pPr>
    </w:p>
    <w:p w14:paraId="7BBAB9B3" w14:textId="77777777" w:rsidR="00844B88" w:rsidRPr="00AF0CC3" w:rsidRDefault="00844B88" w:rsidP="00844B88">
      <w:pPr>
        <w:rPr>
          <w:rFonts w:ascii="Times New Roman" w:hAnsi="Times New Roman" w:cs="Times New Roman"/>
          <w:color w:val="000000" w:themeColor="text1"/>
        </w:rPr>
      </w:pPr>
      <w:r w:rsidRPr="00AF0CC3">
        <w:rPr>
          <w:rFonts w:ascii="Times New Roman" w:hAnsi="Times New Roman" w:cs="Times New Roman"/>
          <w:color w:val="000000" w:themeColor="text1"/>
        </w:rPr>
        <w:t xml:space="preserve">The cumulative evidence indicates that governance quality becomes increasingly important as infrastructure projects increase in financial scale, administrative complexity, and implementation </w:t>
      </w:r>
      <w:r w:rsidRPr="00AF0CC3">
        <w:rPr>
          <w:rFonts w:ascii="Times New Roman" w:hAnsi="Times New Roman" w:cs="Times New Roman"/>
          <w:color w:val="000000" w:themeColor="text1"/>
        </w:rPr>
        <w:lastRenderedPageBreak/>
        <w:t>duration. Collectively, the projects examined in this study demonstrate how weak governance quality was systematically associated with substantial fiscal, developmental, and institutional costs.</w:t>
      </w:r>
    </w:p>
    <w:p w14:paraId="457308D4" w14:textId="68B8FEC0" w:rsidR="00844B88" w:rsidRPr="00AF0CC3" w:rsidRDefault="00844B88" w:rsidP="00844B88">
      <w:pPr>
        <w:pStyle w:val="Heading3"/>
        <w:rPr>
          <w:rFonts w:cs="Times New Roman"/>
          <w:b w:val="0"/>
          <w:bCs/>
          <w:color w:val="000000" w:themeColor="text1"/>
          <w:szCs w:val="24"/>
        </w:rPr>
      </w:pPr>
      <w:bookmarkStart w:id="374" w:name="_Toc232375984"/>
      <w:bookmarkStart w:id="375" w:name="_Toc234344851"/>
      <w:bookmarkStart w:id="376" w:name="_Toc234489083"/>
      <w:r w:rsidRPr="00AF0CC3">
        <w:rPr>
          <w:rFonts w:cs="Times New Roman"/>
          <w:bCs/>
          <w:color w:val="000000" w:themeColor="text1"/>
          <w:szCs w:val="24"/>
        </w:rPr>
        <w:t>Hypothesis Outcome</w:t>
      </w:r>
      <w:bookmarkEnd w:id="374"/>
      <w:bookmarkEnd w:id="375"/>
      <w:bookmarkEnd w:id="376"/>
    </w:p>
    <w:p w14:paraId="69269025" w14:textId="77777777" w:rsidR="00844B88" w:rsidRPr="00AF0CC3" w:rsidRDefault="00844B88" w:rsidP="00844B88">
      <w:pPr>
        <w:rPr>
          <w:rFonts w:ascii="Times New Roman" w:hAnsi="Times New Roman" w:cs="Times New Roman"/>
          <w:color w:val="000000" w:themeColor="text1"/>
        </w:rPr>
      </w:pPr>
      <w:r w:rsidRPr="00AF0CC3">
        <w:rPr>
          <w:rFonts w:ascii="Times New Roman" w:hAnsi="Times New Roman" w:cs="Times New Roman"/>
          <w:color w:val="000000" w:themeColor="text1"/>
        </w:rPr>
        <w:t>Hypothesis one was supported.</w:t>
      </w:r>
    </w:p>
    <w:p w14:paraId="0774C133" w14:textId="77777777" w:rsidR="00844B88" w:rsidRPr="00AF0CC3" w:rsidRDefault="00844B88" w:rsidP="00844B88">
      <w:pPr>
        <w:rPr>
          <w:rFonts w:ascii="Times New Roman" w:hAnsi="Times New Roman" w:cs="Times New Roman"/>
          <w:color w:val="000000" w:themeColor="text1"/>
        </w:rPr>
      </w:pPr>
      <w:r w:rsidRPr="00AF0CC3">
        <w:rPr>
          <w:rFonts w:ascii="Times New Roman" w:hAnsi="Times New Roman" w:cs="Times New Roman"/>
          <w:color w:val="000000" w:themeColor="text1"/>
        </w:rPr>
        <w:t>The evidence consistently indicated a negative relationship between governance quality and project stalling. Comparative analysis, correlation analysis, logistic regression results, and documentary evidence all demonstrated that projects with stronger governance arrangements were less likely to experience prolonged implementation interruptions. Collectively, the results provide empirical support for the proposition that governance quality significantly contributes to implementation continuity in Kenya's water infrastructure sector.</w:t>
      </w:r>
    </w:p>
    <w:p w14:paraId="25246844" w14:textId="77777777" w:rsidR="00844B88" w:rsidRPr="00AF0CC3" w:rsidRDefault="00844B88" w:rsidP="007D4788">
      <w:pPr>
        <w:rPr>
          <w:rFonts w:ascii="Times New Roman" w:hAnsi="Times New Roman" w:cs="Times New Roman"/>
          <w:color w:val="000000" w:themeColor="text1"/>
        </w:rPr>
      </w:pPr>
    </w:p>
    <w:p w14:paraId="7BB64A8D" w14:textId="1B3BFF11" w:rsidR="00D90EC4" w:rsidRPr="00AF0CC3" w:rsidRDefault="00D90EC4" w:rsidP="00D90EC4">
      <w:pPr>
        <w:pStyle w:val="Heading3"/>
        <w:rPr>
          <w:rFonts w:cs="Times New Roman"/>
          <w:b w:val="0"/>
          <w:bCs/>
          <w:color w:val="000000" w:themeColor="text1"/>
          <w:szCs w:val="24"/>
        </w:rPr>
      </w:pPr>
      <w:bookmarkStart w:id="377" w:name="_Toc234344852"/>
      <w:bookmarkStart w:id="378" w:name="_Toc234489084"/>
      <w:r w:rsidRPr="00AF0CC3">
        <w:rPr>
          <w:rFonts w:cs="Times New Roman"/>
          <w:bCs/>
          <w:color w:val="000000" w:themeColor="text1"/>
          <w:szCs w:val="24"/>
        </w:rPr>
        <w:t>Practical Interpretation of Governance Quality</w:t>
      </w:r>
      <w:bookmarkEnd w:id="377"/>
      <w:bookmarkEnd w:id="378"/>
    </w:p>
    <w:p w14:paraId="1B571051" w14:textId="77777777" w:rsidR="00D90EC4" w:rsidRPr="00AF0CC3" w:rsidRDefault="00D90EC4" w:rsidP="00D90EC4">
      <w:pPr>
        <w:rPr>
          <w:rFonts w:ascii="Times New Roman" w:hAnsi="Times New Roman" w:cs="Times New Roman"/>
          <w:color w:val="000000" w:themeColor="text1"/>
        </w:rPr>
      </w:pPr>
    </w:p>
    <w:p w14:paraId="7619A819" w14:textId="294800D0" w:rsidR="00D90EC4" w:rsidRPr="00AF0CC3" w:rsidRDefault="00D90EC4" w:rsidP="00D90EC4">
      <w:pPr>
        <w:rPr>
          <w:rFonts w:ascii="Times New Roman" w:hAnsi="Times New Roman" w:cs="Times New Roman"/>
          <w:color w:val="000000" w:themeColor="text1"/>
        </w:rPr>
      </w:pPr>
      <w:r w:rsidRPr="00AF0CC3">
        <w:rPr>
          <w:rFonts w:ascii="Times New Roman" w:hAnsi="Times New Roman" w:cs="Times New Roman"/>
          <w:color w:val="000000" w:themeColor="text1"/>
        </w:rPr>
        <w:t>While the Governance Quality Index provides a quantitative measure of institutional governance, its practical interpretation is equally important. Higher governance scores represent projects characterized by stronger institutional coordination, greater transparency, more effective contract supervision, clearer accountability arrangements, and more reliable financial management. Lower governance scores indicate governance environments in which these institutional processes are weaker, less consistent, or less effectively integrated.</w:t>
      </w:r>
    </w:p>
    <w:p w14:paraId="5152BB85" w14:textId="77777777" w:rsidR="00D90EC4" w:rsidRPr="00AF0CC3" w:rsidRDefault="00D90EC4" w:rsidP="00D90EC4">
      <w:pPr>
        <w:rPr>
          <w:rFonts w:ascii="Times New Roman" w:hAnsi="Times New Roman" w:cs="Times New Roman"/>
          <w:color w:val="000000" w:themeColor="text1"/>
        </w:rPr>
      </w:pPr>
    </w:p>
    <w:p w14:paraId="6DF0C1A5" w14:textId="1CA61871" w:rsidR="00D90EC4" w:rsidRPr="00AF0CC3" w:rsidRDefault="00D90EC4" w:rsidP="00D90EC4">
      <w:pPr>
        <w:rPr>
          <w:rFonts w:ascii="Times New Roman" w:hAnsi="Times New Roman" w:cs="Times New Roman"/>
          <w:color w:val="000000" w:themeColor="text1"/>
        </w:rPr>
      </w:pPr>
      <w:r w:rsidRPr="00AF0CC3">
        <w:rPr>
          <w:rFonts w:ascii="Times New Roman" w:hAnsi="Times New Roman" w:cs="Times New Roman"/>
          <w:color w:val="000000" w:themeColor="text1"/>
        </w:rPr>
        <w:t>The practical significance of governance quality lies not in the individual governance dimensions themselves but in the collective institutional environment they represent. Projects characterized by stronger governance quality generally demonstrated greater administrative stability, more consistent implementation processes, and more effective oversight throughout the infrastructure lifecycle. Conversely, projects with weaker governance quality often experienced multiple institutional constraints operating simultaneously, including documentation gaps, payment delays, procurement weaknesses, and coordination challenges.</w:t>
      </w:r>
    </w:p>
    <w:p w14:paraId="4841B919" w14:textId="77777777" w:rsidR="00D90EC4" w:rsidRPr="00AF0CC3" w:rsidRDefault="00D90EC4" w:rsidP="00D90EC4">
      <w:pPr>
        <w:rPr>
          <w:rFonts w:ascii="Times New Roman" w:hAnsi="Times New Roman" w:cs="Times New Roman"/>
          <w:color w:val="000000" w:themeColor="text1"/>
        </w:rPr>
      </w:pPr>
    </w:p>
    <w:p w14:paraId="4BCF5F9B" w14:textId="1C66CC20" w:rsidR="007D4788" w:rsidRPr="00AF0CC3" w:rsidRDefault="00D90EC4" w:rsidP="00D90EC4">
      <w:pPr>
        <w:rPr>
          <w:rFonts w:ascii="Times New Roman" w:hAnsi="Times New Roman" w:cs="Times New Roman"/>
          <w:color w:val="000000" w:themeColor="text1"/>
        </w:rPr>
      </w:pPr>
      <w:r w:rsidRPr="00AF0CC3">
        <w:rPr>
          <w:rFonts w:ascii="Times New Roman" w:hAnsi="Times New Roman" w:cs="Times New Roman"/>
          <w:color w:val="000000" w:themeColor="text1"/>
        </w:rPr>
        <w:t>Accordingly, the Governance Quality Index should be interpreted as an indicator of institutional capability rather than simply an administrative score. It reflects the overall strength of governance arrangements supporting infrastructure delivery and provides a basis for examining how differences in institutional capability are associated with project performance.</w:t>
      </w:r>
    </w:p>
    <w:p w14:paraId="27FC524D" w14:textId="77777777" w:rsidR="007D4788" w:rsidRPr="00AF0CC3" w:rsidRDefault="007D4788" w:rsidP="007D4788">
      <w:pPr>
        <w:rPr>
          <w:rFonts w:ascii="Times New Roman" w:hAnsi="Times New Roman" w:cs="Times New Roman"/>
          <w:color w:val="000000" w:themeColor="text1"/>
        </w:rPr>
      </w:pPr>
    </w:p>
    <w:p w14:paraId="00C0CF06" w14:textId="2D6F7537" w:rsidR="00844B88" w:rsidRPr="00AF0CC3" w:rsidRDefault="00844B88" w:rsidP="00844B88">
      <w:pPr>
        <w:pStyle w:val="Heading2"/>
        <w:rPr>
          <w:rFonts w:cs="Times New Roman"/>
          <w:b w:val="0"/>
          <w:bCs/>
          <w:color w:val="000000" w:themeColor="text1"/>
          <w:szCs w:val="24"/>
        </w:rPr>
      </w:pPr>
      <w:bookmarkStart w:id="379" w:name="_Toc232375985"/>
      <w:bookmarkStart w:id="380" w:name="_Toc234344853"/>
      <w:bookmarkStart w:id="381" w:name="_Toc234489085"/>
      <w:r w:rsidRPr="00AF0CC3">
        <w:rPr>
          <w:rFonts w:cs="Times New Roman"/>
          <w:bCs/>
          <w:color w:val="000000" w:themeColor="text1"/>
          <w:szCs w:val="24"/>
        </w:rPr>
        <w:lastRenderedPageBreak/>
        <w:t>Research Question Two</w:t>
      </w:r>
      <w:bookmarkEnd w:id="379"/>
      <w:bookmarkEnd w:id="380"/>
      <w:bookmarkEnd w:id="381"/>
    </w:p>
    <w:p w14:paraId="7FD2D63E" w14:textId="77777777" w:rsidR="00844B88" w:rsidRPr="00AF0CC3" w:rsidRDefault="00844B88" w:rsidP="00844B88">
      <w:pPr>
        <w:rPr>
          <w:rFonts w:ascii="Times New Roman" w:hAnsi="Times New Roman" w:cs="Times New Roman"/>
          <w:b/>
          <w:bCs/>
          <w:color w:val="000000" w:themeColor="text1"/>
        </w:rPr>
      </w:pPr>
      <w:r w:rsidRPr="00AF0CC3">
        <w:rPr>
          <w:rFonts w:ascii="Times New Roman" w:hAnsi="Times New Roman" w:cs="Times New Roman"/>
          <w:b/>
          <w:bCs/>
          <w:color w:val="000000" w:themeColor="text1"/>
        </w:rPr>
        <w:t>Research Question 2:</w:t>
      </w:r>
    </w:p>
    <w:p w14:paraId="56720A26" w14:textId="77777777" w:rsidR="00844B88" w:rsidRPr="00AF0CC3" w:rsidRDefault="00844B88" w:rsidP="00844B88">
      <w:pPr>
        <w:rPr>
          <w:rFonts w:ascii="Times New Roman" w:hAnsi="Times New Roman" w:cs="Times New Roman"/>
          <w:b/>
          <w:bCs/>
          <w:color w:val="000000" w:themeColor="text1"/>
        </w:rPr>
      </w:pPr>
      <w:r w:rsidRPr="00AF0CC3">
        <w:rPr>
          <w:rFonts w:ascii="Times New Roman" w:hAnsi="Times New Roman" w:cs="Times New Roman"/>
          <w:b/>
          <w:bCs/>
          <w:color w:val="000000" w:themeColor="text1"/>
        </w:rPr>
        <w:t>How does governance quality affect time overruns of water management infrastructure projects in Kenya?</w:t>
      </w:r>
    </w:p>
    <w:p w14:paraId="6FFC4252" w14:textId="77777777" w:rsidR="00844B88" w:rsidRPr="00AF0CC3" w:rsidRDefault="00844B88" w:rsidP="00844B88">
      <w:pPr>
        <w:rPr>
          <w:rFonts w:ascii="Times New Roman" w:hAnsi="Times New Roman" w:cs="Times New Roman"/>
          <w:color w:val="000000" w:themeColor="text1"/>
        </w:rPr>
      </w:pPr>
      <w:r w:rsidRPr="00AF0CC3">
        <w:rPr>
          <w:rFonts w:ascii="Times New Roman" w:hAnsi="Times New Roman" w:cs="Times New Roman"/>
          <w:color w:val="000000" w:themeColor="text1"/>
        </w:rPr>
        <w:t>The results presented herein offer insight into the</w:t>
      </w:r>
      <w:r w:rsidRPr="00AF0CC3">
        <w:rPr>
          <w:rFonts w:ascii="Times New Roman" w:hAnsi="Times New Roman" w:cs="Times New Roman"/>
          <w:b/>
          <w:bCs/>
          <w:color w:val="000000" w:themeColor="text1"/>
        </w:rPr>
        <w:t xml:space="preserve"> </w:t>
      </w:r>
      <w:r w:rsidRPr="00AF0CC3">
        <w:rPr>
          <w:rFonts w:ascii="Times New Roman" w:hAnsi="Times New Roman" w:cs="Times New Roman"/>
          <w:color w:val="000000" w:themeColor="text1"/>
        </w:rPr>
        <w:t>relationship between governance quality and implementation delays across the sampled infrastructure projects. The analysis examines whether projects with stronger governance arrangements experienced lower time overruns than those with weaker governance systems.</w:t>
      </w:r>
    </w:p>
    <w:p w14:paraId="3B8940EB" w14:textId="77777777" w:rsidR="00844B88" w:rsidRPr="00AF0CC3" w:rsidRDefault="00844B88" w:rsidP="00844B88">
      <w:pPr>
        <w:rPr>
          <w:rFonts w:ascii="Times New Roman" w:hAnsi="Times New Roman" w:cs="Times New Roman"/>
          <w:color w:val="000000" w:themeColor="text1"/>
        </w:rPr>
      </w:pPr>
    </w:p>
    <w:p w14:paraId="1B8C5E66" w14:textId="77777777" w:rsidR="00844B88" w:rsidRPr="00AF0CC3" w:rsidRDefault="00844B88" w:rsidP="00844B88">
      <w:pPr>
        <w:rPr>
          <w:rFonts w:ascii="Times New Roman" w:hAnsi="Times New Roman" w:cs="Times New Roman"/>
          <w:color w:val="000000" w:themeColor="text1"/>
        </w:rPr>
      </w:pPr>
      <w:r w:rsidRPr="00AF0CC3">
        <w:rPr>
          <w:rFonts w:ascii="Times New Roman" w:hAnsi="Times New Roman" w:cs="Times New Roman"/>
          <w:color w:val="000000" w:themeColor="text1"/>
        </w:rPr>
        <w:t>Implementation delay constitutes one of the most persistent challenges affecting infrastructure delivery performance globally, particularly within large-scale public infrastructure projects characterized by procurement complexity, financing uncertainty, institutional fragmentation, and implementation coordination challenges.</w:t>
      </w:r>
    </w:p>
    <w:p w14:paraId="730E3F86" w14:textId="77777777" w:rsidR="00844B88" w:rsidRPr="00AF0CC3" w:rsidRDefault="00844B88" w:rsidP="00844B88">
      <w:pPr>
        <w:rPr>
          <w:rFonts w:ascii="Times New Roman" w:hAnsi="Times New Roman" w:cs="Times New Roman"/>
          <w:color w:val="000000" w:themeColor="text1"/>
        </w:rPr>
      </w:pPr>
    </w:p>
    <w:p w14:paraId="04A7FB08" w14:textId="77777777" w:rsidR="00844B88" w:rsidRPr="00AF0CC3" w:rsidRDefault="00844B88" w:rsidP="00844B88">
      <w:pPr>
        <w:rPr>
          <w:rFonts w:ascii="Times New Roman" w:hAnsi="Times New Roman" w:cs="Times New Roman"/>
          <w:color w:val="000000" w:themeColor="text1"/>
        </w:rPr>
      </w:pPr>
      <w:r w:rsidRPr="00AF0CC3">
        <w:rPr>
          <w:rFonts w:ascii="Times New Roman" w:hAnsi="Times New Roman" w:cs="Times New Roman"/>
          <w:color w:val="000000" w:themeColor="text1"/>
        </w:rPr>
        <w:t>Within Kenya’s water infrastructure sector, implementation delays frequently generate substantial economic, social, and institutional consequences, including increased implementation costs, delayed service delivery, reduced infrastructure reliability, and weakened public confidence in government implementation systems.</w:t>
      </w:r>
    </w:p>
    <w:p w14:paraId="3B56256B" w14:textId="77777777" w:rsidR="00844B88" w:rsidRPr="00AF0CC3" w:rsidRDefault="00844B88" w:rsidP="00844B88">
      <w:pPr>
        <w:rPr>
          <w:rFonts w:ascii="Times New Roman" w:hAnsi="Times New Roman" w:cs="Times New Roman"/>
          <w:color w:val="000000" w:themeColor="text1"/>
        </w:rPr>
      </w:pPr>
    </w:p>
    <w:p w14:paraId="72E64698" w14:textId="77777777" w:rsidR="00844B88" w:rsidRPr="00AF0CC3" w:rsidRDefault="00844B88" w:rsidP="00844B88">
      <w:pPr>
        <w:rPr>
          <w:rFonts w:ascii="Times New Roman" w:hAnsi="Times New Roman" w:cs="Times New Roman"/>
          <w:color w:val="000000" w:themeColor="text1"/>
        </w:rPr>
      </w:pPr>
      <w:r w:rsidRPr="00AF0CC3">
        <w:rPr>
          <w:rFonts w:ascii="Times New Roman" w:hAnsi="Times New Roman" w:cs="Times New Roman"/>
          <w:color w:val="000000" w:themeColor="text1"/>
        </w:rPr>
        <w:t>Consistent with the conceptual framework developed in Chapter Three, the study hypothesized that stronger governance quality would be associated with lower implementation delays through improved project preparation, procurement management, implementation coordination, oversight responsiveness, and contract administration.</w:t>
      </w:r>
    </w:p>
    <w:p w14:paraId="072F356D" w14:textId="77777777" w:rsidR="00844B88" w:rsidRPr="00AF0CC3" w:rsidRDefault="00844B88" w:rsidP="00844B88">
      <w:pPr>
        <w:rPr>
          <w:rFonts w:ascii="Times New Roman" w:hAnsi="Times New Roman" w:cs="Times New Roman"/>
          <w:color w:val="000000" w:themeColor="text1"/>
        </w:rPr>
      </w:pPr>
    </w:p>
    <w:p w14:paraId="392141FB" w14:textId="77777777" w:rsidR="00844B88" w:rsidRPr="00AF0CC3" w:rsidRDefault="00844B88" w:rsidP="00844B88">
      <w:pPr>
        <w:rPr>
          <w:rFonts w:ascii="Times New Roman" w:hAnsi="Times New Roman" w:cs="Times New Roman"/>
          <w:color w:val="000000" w:themeColor="text1"/>
        </w:rPr>
      </w:pPr>
      <w:r w:rsidRPr="00AF0CC3">
        <w:rPr>
          <w:rFonts w:ascii="Times New Roman" w:hAnsi="Times New Roman" w:cs="Times New Roman"/>
          <w:color w:val="000000" w:themeColor="text1"/>
        </w:rPr>
        <w:t>The section presents descriptive and comparative analyses, graphical evidence, and an interpretation of implementation-delay patterns across projects with varying levels of governance quality.</w:t>
      </w:r>
    </w:p>
    <w:p w14:paraId="4BED1A8A" w14:textId="77777777" w:rsidR="00844B88" w:rsidRPr="00AF0CC3" w:rsidRDefault="00844B88" w:rsidP="00844B88">
      <w:pPr>
        <w:rPr>
          <w:rFonts w:ascii="Times New Roman" w:hAnsi="Times New Roman" w:cs="Times New Roman"/>
          <w:color w:val="000000" w:themeColor="text1"/>
        </w:rPr>
      </w:pPr>
    </w:p>
    <w:p w14:paraId="62201099" w14:textId="2571AE79" w:rsidR="00844B88" w:rsidRPr="00AF0CC3" w:rsidRDefault="00844B88" w:rsidP="00844B88">
      <w:pPr>
        <w:pStyle w:val="Heading3"/>
        <w:rPr>
          <w:rFonts w:cs="Times New Roman"/>
          <w:b w:val="0"/>
          <w:bCs/>
          <w:color w:val="000000" w:themeColor="text1"/>
          <w:szCs w:val="24"/>
        </w:rPr>
      </w:pPr>
      <w:bookmarkStart w:id="382" w:name="_Toc232375986"/>
      <w:bookmarkStart w:id="383" w:name="_Toc234344854"/>
      <w:bookmarkStart w:id="384" w:name="_Toc234489086"/>
      <w:r w:rsidRPr="00AF0CC3">
        <w:rPr>
          <w:rFonts w:cs="Times New Roman"/>
          <w:bCs/>
          <w:color w:val="000000" w:themeColor="text1"/>
          <w:szCs w:val="24"/>
        </w:rPr>
        <w:t>Hypothesis Two -Governance Quality and Time Overruns</w:t>
      </w:r>
      <w:bookmarkEnd w:id="382"/>
      <w:bookmarkEnd w:id="383"/>
      <w:bookmarkEnd w:id="384"/>
    </w:p>
    <w:p w14:paraId="0329B014" w14:textId="77777777" w:rsidR="00844B88" w:rsidRPr="00AF0CC3" w:rsidRDefault="00844B88" w:rsidP="00844B88">
      <w:pPr>
        <w:rPr>
          <w:rFonts w:ascii="Times New Roman" w:hAnsi="Times New Roman" w:cs="Times New Roman"/>
          <w:color w:val="000000" w:themeColor="text1"/>
        </w:rPr>
      </w:pPr>
    </w:p>
    <w:p w14:paraId="7154915B" w14:textId="77777777" w:rsidR="00844B88" w:rsidRPr="00AF0CC3" w:rsidRDefault="00844B88" w:rsidP="00844B88">
      <w:pPr>
        <w:rPr>
          <w:rFonts w:ascii="Times New Roman" w:hAnsi="Times New Roman" w:cs="Times New Roman"/>
          <w:b/>
          <w:bCs/>
          <w:color w:val="000000" w:themeColor="text1"/>
        </w:rPr>
      </w:pPr>
      <w:r w:rsidRPr="00AF0CC3">
        <w:rPr>
          <w:rFonts w:ascii="Times New Roman" w:hAnsi="Times New Roman" w:cs="Times New Roman"/>
          <w:b/>
          <w:bCs/>
          <w:color w:val="000000" w:themeColor="text1"/>
        </w:rPr>
        <w:t>H2: Higher governance quality reduces the magnitude of time overruns in water infrastructure projects.</w:t>
      </w:r>
    </w:p>
    <w:p w14:paraId="545942B3" w14:textId="77777777" w:rsidR="00844B88" w:rsidRPr="00AF0CC3" w:rsidRDefault="00844B88" w:rsidP="00844B88">
      <w:pPr>
        <w:rPr>
          <w:rFonts w:ascii="Times New Roman" w:hAnsi="Times New Roman" w:cs="Times New Roman"/>
          <w:color w:val="000000" w:themeColor="text1"/>
        </w:rPr>
      </w:pPr>
      <w:r w:rsidRPr="00AF0CC3">
        <w:rPr>
          <w:rFonts w:ascii="Times New Roman" w:hAnsi="Times New Roman" w:cs="Times New Roman"/>
          <w:color w:val="000000" w:themeColor="text1"/>
        </w:rPr>
        <w:lastRenderedPageBreak/>
        <w:t>The hypothesis was developed from the infrastructure governance literature, which suggests that projects characterized by stronger governance systems exhibit greater implementation efficiency, stronger coordination capacity, improved implementation monitoring, and lower vulnerability to schedule disruption (Klakegg, Williams &amp; Magnussen, 2010; Flyvbjerg, 2014).</w:t>
      </w:r>
    </w:p>
    <w:p w14:paraId="7F60BA7E" w14:textId="77777777" w:rsidR="00844B88" w:rsidRPr="00AF0CC3" w:rsidRDefault="00844B88" w:rsidP="00844B88">
      <w:pPr>
        <w:rPr>
          <w:rFonts w:ascii="Times New Roman" w:hAnsi="Times New Roman" w:cs="Times New Roman"/>
          <w:color w:val="000000" w:themeColor="text1"/>
        </w:rPr>
      </w:pPr>
    </w:p>
    <w:p w14:paraId="3CDF8270" w14:textId="77777777" w:rsidR="00844B88" w:rsidRPr="00AF0CC3" w:rsidRDefault="00844B88" w:rsidP="00844B88">
      <w:pPr>
        <w:rPr>
          <w:rFonts w:ascii="Times New Roman" w:hAnsi="Times New Roman" w:cs="Times New Roman"/>
          <w:color w:val="000000" w:themeColor="text1"/>
        </w:rPr>
      </w:pPr>
      <w:r w:rsidRPr="00AF0CC3">
        <w:rPr>
          <w:rFonts w:ascii="Times New Roman" w:hAnsi="Times New Roman" w:cs="Times New Roman"/>
          <w:color w:val="000000" w:themeColor="text1"/>
        </w:rPr>
        <w:t>The hypothesis further reflects the broader institutional proposition that governance quality improves infrastructure delivery performance by reducing implementation uncertainty and administrative disruption across project stages.</w:t>
      </w:r>
    </w:p>
    <w:p w14:paraId="659BD688" w14:textId="77777777" w:rsidR="00844B88" w:rsidRPr="00AF0CC3" w:rsidRDefault="00844B88" w:rsidP="00844B88">
      <w:pPr>
        <w:rPr>
          <w:rFonts w:ascii="Times New Roman" w:hAnsi="Times New Roman" w:cs="Times New Roman"/>
          <w:color w:val="000000" w:themeColor="text1"/>
        </w:rPr>
      </w:pPr>
    </w:p>
    <w:p w14:paraId="26820310" w14:textId="216776C7" w:rsidR="00844B88" w:rsidRPr="00AF0CC3" w:rsidRDefault="00844B88" w:rsidP="00844B88">
      <w:pPr>
        <w:pStyle w:val="Heading3"/>
        <w:rPr>
          <w:rFonts w:cs="Times New Roman"/>
          <w:b w:val="0"/>
          <w:bCs/>
          <w:color w:val="000000" w:themeColor="text1"/>
          <w:szCs w:val="24"/>
        </w:rPr>
      </w:pPr>
      <w:r w:rsidRPr="00AF0CC3">
        <w:rPr>
          <w:rFonts w:cs="Times New Roman"/>
          <w:bCs/>
          <w:color w:val="000000" w:themeColor="text1"/>
          <w:szCs w:val="24"/>
        </w:rPr>
        <w:t xml:space="preserve"> </w:t>
      </w:r>
      <w:bookmarkStart w:id="385" w:name="_Toc232375987"/>
      <w:bookmarkStart w:id="386" w:name="_Toc234344855"/>
      <w:bookmarkStart w:id="387" w:name="_Toc234489087"/>
      <w:r w:rsidRPr="00AF0CC3">
        <w:rPr>
          <w:rFonts w:cs="Times New Roman"/>
          <w:bCs/>
          <w:color w:val="000000" w:themeColor="text1"/>
          <w:szCs w:val="24"/>
        </w:rPr>
        <w:t>Time Overrun Analysis</w:t>
      </w:r>
      <w:bookmarkEnd w:id="385"/>
      <w:bookmarkEnd w:id="386"/>
      <w:bookmarkEnd w:id="387"/>
    </w:p>
    <w:p w14:paraId="64BC469D" w14:textId="77777777" w:rsidR="00844B88" w:rsidRPr="00AF0CC3" w:rsidRDefault="00844B88" w:rsidP="00844B88">
      <w:pPr>
        <w:rPr>
          <w:rFonts w:ascii="Times New Roman" w:hAnsi="Times New Roman" w:cs="Times New Roman"/>
          <w:color w:val="000000" w:themeColor="text1"/>
        </w:rPr>
      </w:pPr>
      <w:r w:rsidRPr="00AF0CC3">
        <w:rPr>
          <w:rFonts w:ascii="Times New Roman" w:hAnsi="Times New Roman" w:cs="Times New Roman"/>
          <w:color w:val="000000" w:themeColor="text1"/>
        </w:rPr>
        <w:t>Time-overrun observations were available for sixteen projects with sufficiently documented implementation schedules and completion records. Time overrun was calculated as the proportional difference between the planned project duration and the actual implementation duration for completed projects or projects with sufficiently documented implementation milestones.</w:t>
      </w:r>
    </w:p>
    <w:p w14:paraId="4DEFF4DA" w14:textId="1612FFAC" w:rsidR="001762A4" w:rsidRPr="00AF0CC3" w:rsidRDefault="001762A4" w:rsidP="001762A4">
      <w:pPr>
        <w:pStyle w:val="Caption"/>
        <w:keepNext/>
        <w:rPr>
          <w:rFonts w:ascii="Times New Roman" w:hAnsi="Times New Roman" w:cs="Times New Roman"/>
          <w:sz w:val="24"/>
          <w:szCs w:val="24"/>
        </w:rPr>
      </w:pPr>
      <w:bookmarkStart w:id="388" w:name="_Toc234437375"/>
      <w:r w:rsidRPr="00AF0CC3">
        <w:rPr>
          <w:rFonts w:ascii="Times New Roman" w:hAnsi="Times New Roman" w:cs="Times New Roman"/>
          <w:sz w:val="24"/>
          <w:szCs w:val="24"/>
        </w:rPr>
        <w:t xml:space="preserve">Table </w:t>
      </w:r>
      <w:r w:rsidR="007F4206" w:rsidRPr="00AF0CC3">
        <w:rPr>
          <w:rFonts w:ascii="Times New Roman" w:hAnsi="Times New Roman" w:cs="Times New Roman"/>
          <w:sz w:val="24"/>
          <w:szCs w:val="24"/>
        </w:rPr>
        <w:fldChar w:fldCharType="begin"/>
      </w:r>
      <w:r w:rsidR="007F4206" w:rsidRPr="00AF0CC3">
        <w:rPr>
          <w:rFonts w:ascii="Times New Roman" w:hAnsi="Times New Roman" w:cs="Times New Roman"/>
          <w:sz w:val="24"/>
          <w:szCs w:val="24"/>
        </w:rPr>
        <w:instrText xml:space="preserve"> STYLEREF 1 \s </w:instrText>
      </w:r>
      <w:r w:rsidR="007F4206" w:rsidRPr="00AF0CC3">
        <w:rPr>
          <w:rFonts w:ascii="Times New Roman" w:hAnsi="Times New Roman" w:cs="Times New Roman"/>
          <w:sz w:val="24"/>
          <w:szCs w:val="24"/>
        </w:rPr>
        <w:fldChar w:fldCharType="separate"/>
      </w:r>
      <w:r w:rsidR="007F4206" w:rsidRPr="00AF0CC3">
        <w:rPr>
          <w:rFonts w:ascii="Times New Roman" w:hAnsi="Times New Roman" w:cs="Times New Roman"/>
          <w:noProof/>
          <w:sz w:val="24"/>
          <w:szCs w:val="24"/>
        </w:rPr>
        <w:t>4</w:t>
      </w:r>
      <w:r w:rsidR="007F4206" w:rsidRPr="00AF0CC3">
        <w:rPr>
          <w:rFonts w:ascii="Times New Roman" w:hAnsi="Times New Roman" w:cs="Times New Roman"/>
          <w:noProof/>
          <w:sz w:val="24"/>
          <w:szCs w:val="24"/>
        </w:rPr>
        <w:fldChar w:fldCharType="end"/>
      </w:r>
      <w:r w:rsidR="007F4206" w:rsidRPr="00AF0CC3">
        <w:rPr>
          <w:rFonts w:ascii="Times New Roman" w:hAnsi="Times New Roman" w:cs="Times New Roman"/>
          <w:sz w:val="24"/>
          <w:szCs w:val="24"/>
        </w:rPr>
        <w:noBreakHyphen/>
      </w:r>
      <w:r w:rsidR="007F4206" w:rsidRPr="00AF0CC3">
        <w:rPr>
          <w:rFonts w:ascii="Times New Roman" w:hAnsi="Times New Roman" w:cs="Times New Roman"/>
          <w:sz w:val="24"/>
          <w:szCs w:val="24"/>
        </w:rPr>
        <w:fldChar w:fldCharType="begin"/>
      </w:r>
      <w:r w:rsidR="007F4206" w:rsidRPr="00AF0CC3">
        <w:rPr>
          <w:rFonts w:ascii="Times New Roman" w:hAnsi="Times New Roman" w:cs="Times New Roman"/>
          <w:sz w:val="24"/>
          <w:szCs w:val="24"/>
        </w:rPr>
        <w:instrText xml:space="preserve"> SEQ Table \* ARABIC \s 1 </w:instrText>
      </w:r>
      <w:r w:rsidR="007F4206" w:rsidRPr="00AF0CC3">
        <w:rPr>
          <w:rFonts w:ascii="Times New Roman" w:hAnsi="Times New Roman" w:cs="Times New Roman"/>
          <w:sz w:val="24"/>
          <w:szCs w:val="24"/>
        </w:rPr>
        <w:fldChar w:fldCharType="separate"/>
      </w:r>
      <w:r w:rsidR="007F4206" w:rsidRPr="00AF0CC3">
        <w:rPr>
          <w:rFonts w:ascii="Times New Roman" w:hAnsi="Times New Roman" w:cs="Times New Roman"/>
          <w:noProof/>
          <w:sz w:val="24"/>
          <w:szCs w:val="24"/>
        </w:rPr>
        <w:t>7</w:t>
      </w:r>
      <w:r w:rsidR="007F4206" w:rsidRPr="00AF0CC3">
        <w:rPr>
          <w:rFonts w:ascii="Times New Roman" w:hAnsi="Times New Roman" w:cs="Times New Roman"/>
          <w:noProof/>
          <w:sz w:val="24"/>
          <w:szCs w:val="24"/>
        </w:rPr>
        <w:fldChar w:fldCharType="end"/>
      </w:r>
      <w:r w:rsidRPr="00AF0CC3">
        <w:rPr>
          <w:rFonts w:ascii="Times New Roman" w:hAnsi="Times New Roman" w:cs="Times New Roman"/>
          <w:sz w:val="24"/>
          <w:szCs w:val="24"/>
        </w:rPr>
        <w:t xml:space="preserve"> Time Overrun Results by Governance Quality</w:t>
      </w:r>
      <w:bookmarkEnd w:id="388"/>
    </w:p>
    <w:tbl>
      <w:tblPr>
        <w:tblW w:w="0" w:type="auto"/>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3469"/>
        <w:gridCol w:w="1835"/>
        <w:gridCol w:w="1937"/>
        <w:gridCol w:w="2109"/>
      </w:tblGrid>
      <w:tr w:rsidR="00844B88" w:rsidRPr="00AF0CC3" w14:paraId="3E0C6D72" w14:textId="77777777" w:rsidTr="00E73C98">
        <w:trPr>
          <w:tblHeader/>
          <w:tblCellSpacing w:w="15" w:type="dxa"/>
        </w:trPr>
        <w:tc>
          <w:tcPr>
            <w:tcW w:w="0" w:type="auto"/>
            <w:vAlign w:val="center"/>
            <w:hideMark/>
          </w:tcPr>
          <w:p w14:paraId="346A5C65" w14:textId="77777777" w:rsidR="00844B88" w:rsidRPr="00AF0CC3" w:rsidRDefault="00844B88" w:rsidP="00E73C98">
            <w:pPr>
              <w:spacing w:after="0" w:line="240" w:lineRule="auto"/>
              <w:jc w:val="center"/>
              <w:rPr>
                <w:rFonts w:ascii="Times New Roman" w:eastAsia="Times New Roman" w:hAnsi="Times New Roman" w:cs="Times New Roman"/>
                <w:b/>
                <w:bCs/>
                <w:color w:val="000000" w:themeColor="text1"/>
                <w:kern w:val="0"/>
                <w14:ligatures w14:val="none"/>
              </w:rPr>
            </w:pPr>
            <w:r w:rsidRPr="00AF0CC3">
              <w:rPr>
                <w:rFonts w:ascii="Times New Roman" w:eastAsia="Times New Roman" w:hAnsi="Times New Roman" w:cs="Times New Roman"/>
                <w:b/>
                <w:bCs/>
                <w:color w:val="000000" w:themeColor="text1"/>
                <w:kern w:val="0"/>
                <w14:ligatures w14:val="none"/>
              </w:rPr>
              <w:t>Governance Quality Category</w:t>
            </w:r>
          </w:p>
        </w:tc>
        <w:tc>
          <w:tcPr>
            <w:tcW w:w="0" w:type="auto"/>
            <w:vAlign w:val="center"/>
            <w:hideMark/>
          </w:tcPr>
          <w:p w14:paraId="6F675978" w14:textId="77777777" w:rsidR="00844B88" w:rsidRPr="00AF0CC3" w:rsidRDefault="00844B88" w:rsidP="00E73C98">
            <w:pPr>
              <w:spacing w:after="0" w:line="240" w:lineRule="auto"/>
              <w:jc w:val="right"/>
              <w:rPr>
                <w:rFonts w:ascii="Times New Roman" w:eastAsia="Times New Roman" w:hAnsi="Times New Roman" w:cs="Times New Roman"/>
                <w:b/>
                <w:bCs/>
                <w:color w:val="000000" w:themeColor="text1"/>
                <w:kern w:val="0"/>
                <w14:ligatures w14:val="none"/>
              </w:rPr>
            </w:pPr>
            <w:r w:rsidRPr="00AF0CC3">
              <w:rPr>
                <w:rFonts w:ascii="Times New Roman" w:eastAsia="Times New Roman" w:hAnsi="Times New Roman" w:cs="Times New Roman"/>
                <w:b/>
                <w:bCs/>
                <w:color w:val="000000" w:themeColor="text1"/>
                <w:kern w:val="0"/>
                <w14:ligatures w14:val="none"/>
              </w:rPr>
              <w:t>Number of Projects</w:t>
            </w:r>
          </w:p>
        </w:tc>
        <w:tc>
          <w:tcPr>
            <w:tcW w:w="0" w:type="auto"/>
            <w:vAlign w:val="center"/>
            <w:hideMark/>
          </w:tcPr>
          <w:p w14:paraId="6AE03512" w14:textId="77777777" w:rsidR="00844B88" w:rsidRPr="00AF0CC3" w:rsidRDefault="00844B88" w:rsidP="00E73C98">
            <w:pPr>
              <w:spacing w:after="0" w:line="240" w:lineRule="auto"/>
              <w:jc w:val="right"/>
              <w:rPr>
                <w:rFonts w:ascii="Times New Roman" w:eastAsia="Times New Roman" w:hAnsi="Times New Roman" w:cs="Times New Roman"/>
                <w:b/>
                <w:bCs/>
                <w:color w:val="000000" w:themeColor="text1"/>
                <w:kern w:val="0"/>
                <w14:ligatures w14:val="none"/>
              </w:rPr>
            </w:pPr>
            <w:r w:rsidRPr="00AF0CC3">
              <w:rPr>
                <w:rFonts w:ascii="Times New Roman" w:eastAsia="Times New Roman" w:hAnsi="Times New Roman" w:cs="Times New Roman"/>
                <w:b/>
                <w:bCs/>
                <w:color w:val="000000" w:themeColor="text1"/>
                <w:kern w:val="0"/>
                <w14:ligatures w14:val="none"/>
              </w:rPr>
              <w:t>Mean Time Overrun</w:t>
            </w:r>
          </w:p>
        </w:tc>
        <w:tc>
          <w:tcPr>
            <w:tcW w:w="0" w:type="auto"/>
            <w:vAlign w:val="center"/>
            <w:hideMark/>
          </w:tcPr>
          <w:p w14:paraId="3660E3B5" w14:textId="77777777" w:rsidR="00844B88" w:rsidRPr="00AF0CC3" w:rsidRDefault="00844B88" w:rsidP="00E73C98">
            <w:pPr>
              <w:spacing w:after="0" w:line="240" w:lineRule="auto"/>
              <w:jc w:val="right"/>
              <w:rPr>
                <w:rFonts w:ascii="Times New Roman" w:eastAsia="Times New Roman" w:hAnsi="Times New Roman" w:cs="Times New Roman"/>
                <w:b/>
                <w:bCs/>
                <w:color w:val="000000" w:themeColor="text1"/>
                <w:kern w:val="0"/>
                <w14:ligatures w14:val="none"/>
              </w:rPr>
            </w:pPr>
            <w:r w:rsidRPr="00AF0CC3">
              <w:rPr>
                <w:rFonts w:ascii="Times New Roman" w:eastAsia="Times New Roman" w:hAnsi="Times New Roman" w:cs="Times New Roman"/>
                <w:b/>
                <w:bCs/>
                <w:color w:val="000000" w:themeColor="text1"/>
                <w:kern w:val="0"/>
                <w14:ligatures w14:val="none"/>
              </w:rPr>
              <w:t>Median Time Overrun</w:t>
            </w:r>
          </w:p>
        </w:tc>
      </w:tr>
      <w:tr w:rsidR="00844B88" w:rsidRPr="00AF0CC3" w14:paraId="1E5F418C" w14:textId="77777777" w:rsidTr="00E73C98">
        <w:trPr>
          <w:tblCellSpacing w:w="15" w:type="dxa"/>
        </w:trPr>
        <w:tc>
          <w:tcPr>
            <w:tcW w:w="0" w:type="auto"/>
            <w:vAlign w:val="center"/>
            <w:hideMark/>
          </w:tcPr>
          <w:p w14:paraId="7DCF8E52" w14:textId="77777777" w:rsidR="00844B88" w:rsidRPr="00AF0CC3" w:rsidRDefault="00844B88" w:rsidP="00E73C98">
            <w:pPr>
              <w:spacing w:after="0" w:line="240" w:lineRule="auto"/>
              <w:rPr>
                <w:rFonts w:ascii="Times New Roman" w:eastAsia="Times New Roman" w:hAnsi="Times New Roman" w:cs="Times New Roman"/>
                <w:color w:val="000000" w:themeColor="text1"/>
                <w:kern w:val="0"/>
                <w14:ligatures w14:val="none"/>
              </w:rPr>
            </w:pPr>
            <w:r w:rsidRPr="00AF0CC3">
              <w:rPr>
                <w:rFonts w:ascii="Times New Roman" w:eastAsia="Times New Roman" w:hAnsi="Times New Roman" w:cs="Times New Roman"/>
                <w:color w:val="000000" w:themeColor="text1"/>
                <w:kern w:val="0"/>
                <w14:ligatures w14:val="none"/>
              </w:rPr>
              <w:t>Higher Governance Quality (GQI ≥ 0.75)</w:t>
            </w:r>
          </w:p>
        </w:tc>
        <w:tc>
          <w:tcPr>
            <w:tcW w:w="0" w:type="auto"/>
            <w:vAlign w:val="center"/>
            <w:hideMark/>
          </w:tcPr>
          <w:p w14:paraId="1E93CCD0" w14:textId="77777777" w:rsidR="00844B88" w:rsidRPr="00AF0CC3" w:rsidRDefault="00844B88" w:rsidP="00E73C98">
            <w:pPr>
              <w:spacing w:after="0" w:line="240" w:lineRule="auto"/>
              <w:jc w:val="right"/>
              <w:rPr>
                <w:rFonts w:ascii="Times New Roman" w:eastAsia="Times New Roman" w:hAnsi="Times New Roman" w:cs="Times New Roman"/>
                <w:color w:val="000000" w:themeColor="text1"/>
                <w:kern w:val="0"/>
                <w14:ligatures w14:val="none"/>
              </w:rPr>
            </w:pPr>
            <w:r w:rsidRPr="00AF0CC3">
              <w:rPr>
                <w:rFonts w:ascii="Times New Roman" w:eastAsia="Times New Roman" w:hAnsi="Times New Roman" w:cs="Times New Roman"/>
                <w:color w:val="000000" w:themeColor="text1"/>
                <w:kern w:val="0"/>
                <w14:ligatures w14:val="none"/>
              </w:rPr>
              <w:t>9</w:t>
            </w:r>
          </w:p>
        </w:tc>
        <w:tc>
          <w:tcPr>
            <w:tcW w:w="0" w:type="auto"/>
            <w:vAlign w:val="center"/>
            <w:hideMark/>
          </w:tcPr>
          <w:p w14:paraId="27250621" w14:textId="77777777" w:rsidR="00844B88" w:rsidRPr="00AF0CC3" w:rsidRDefault="00844B88" w:rsidP="00E73C98">
            <w:pPr>
              <w:spacing w:after="0" w:line="240" w:lineRule="auto"/>
              <w:jc w:val="right"/>
              <w:rPr>
                <w:rFonts w:ascii="Times New Roman" w:eastAsia="Times New Roman" w:hAnsi="Times New Roman" w:cs="Times New Roman"/>
                <w:color w:val="000000" w:themeColor="text1"/>
                <w:kern w:val="0"/>
                <w14:ligatures w14:val="none"/>
              </w:rPr>
            </w:pPr>
            <w:r w:rsidRPr="00AF0CC3">
              <w:rPr>
                <w:rFonts w:ascii="Times New Roman" w:eastAsia="Times New Roman" w:hAnsi="Times New Roman" w:cs="Times New Roman"/>
                <w:color w:val="000000" w:themeColor="text1"/>
                <w:kern w:val="0"/>
                <w14:ligatures w14:val="none"/>
              </w:rPr>
              <w:t>0.18</w:t>
            </w:r>
          </w:p>
        </w:tc>
        <w:tc>
          <w:tcPr>
            <w:tcW w:w="0" w:type="auto"/>
            <w:vAlign w:val="center"/>
            <w:hideMark/>
          </w:tcPr>
          <w:p w14:paraId="5268ED2A" w14:textId="77777777" w:rsidR="00844B88" w:rsidRPr="00AF0CC3" w:rsidRDefault="00844B88" w:rsidP="00E73C98">
            <w:pPr>
              <w:spacing w:after="0" w:line="240" w:lineRule="auto"/>
              <w:jc w:val="right"/>
              <w:rPr>
                <w:rFonts w:ascii="Times New Roman" w:eastAsia="Times New Roman" w:hAnsi="Times New Roman" w:cs="Times New Roman"/>
                <w:color w:val="000000" w:themeColor="text1"/>
                <w:kern w:val="0"/>
                <w14:ligatures w14:val="none"/>
              </w:rPr>
            </w:pPr>
            <w:r w:rsidRPr="00AF0CC3">
              <w:rPr>
                <w:rFonts w:ascii="Times New Roman" w:eastAsia="Times New Roman" w:hAnsi="Times New Roman" w:cs="Times New Roman"/>
                <w:color w:val="000000" w:themeColor="text1"/>
                <w:kern w:val="0"/>
                <w14:ligatures w14:val="none"/>
              </w:rPr>
              <w:t>0.12</w:t>
            </w:r>
          </w:p>
        </w:tc>
      </w:tr>
      <w:tr w:rsidR="00844B88" w:rsidRPr="00AF0CC3" w14:paraId="7D80D3D8" w14:textId="77777777" w:rsidTr="00E73C98">
        <w:trPr>
          <w:tblCellSpacing w:w="15" w:type="dxa"/>
        </w:trPr>
        <w:tc>
          <w:tcPr>
            <w:tcW w:w="0" w:type="auto"/>
            <w:vAlign w:val="center"/>
            <w:hideMark/>
          </w:tcPr>
          <w:p w14:paraId="476250CE" w14:textId="77777777" w:rsidR="00844B88" w:rsidRPr="00AF0CC3" w:rsidRDefault="00844B88" w:rsidP="00E73C98">
            <w:pPr>
              <w:spacing w:after="0" w:line="240" w:lineRule="auto"/>
              <w:rPr>
                <w:rFonts w:ascii="Times New Roman" w:eastAsia="Times New Roman" w:hAnsi="Times New Roman" w:cs="Times New Roman"/>
                <w:color w:val="000000" w:themeColor="text1"/>
                <w:kern w:val="0"/>
                <w14:ligatures w14:val="none"/>
              </w:rPr>
            </w:pPr>
            <w:r w:rsidRPr="00AF0CC3">
              <w:rPr>
                <w:rFonts w:ascii="Times New Roman" w:eastAsia="Times New Roman" w:hAnsi="Times New Roman" w:cs="Times New Roman"/>
                <w:color w:val="000000" w:themeColor="text1"/>
                <w:kern w:val="0"/>
                <w14:ligatures w14:val="none"/>
              </w:rPr>
              <w:t>Lower Governance Quality (GQI &lt; 0.75)</w:t>
            </w:r>
          </w:p>
        </w:tc>
        <w:tc>
          <w:tcPr>
            <w:tcW w:w="0" w:type="auto"/>
            <w:vAlign w:val="center"/>
            <w:hideMark/>
          </w:tcPr>
          <w:p w14:paraId="21C2CA7A" w14:textId="77777777" w:rsidR="00844B88" w:rsidRPr="00AF0CC3" w:rsidRDefault="00844B88" w:rsidP="00E73C98">
            <w:pPr>
              <w:spacing w:after="0" w:line="240" w:lineRule="auto"/>
              <w:jc w:val="right"/>
              <w:rPr>
                <w:rFonts w:ascii="Times New Roman" w:eastAsia="Times New Roman" w:hAnsi="Times New Roman" w:cs="Times New Roman"/>
                <w:color w:val="000000" w:themeColor="text1"/>
                <w:kern w:val="0"/>
                <w14:ligatures w14:val="none"/>
              </w:rPr>
            </w:pPr>
            <w:r w:rsidRPr="00AF0CC3">
              <w:rPr>
                <w:rFonts w:ascii="Times New Roman" w:eastAsia="Times New Roman" w:hAnsi="Times New Roman" w:cs="Times New Roman"/>
                <w:color w:val="000000" w:themeColor="text1"/>
                <w:kern w:val="0"/>
                <w14:ligatures w14:val="none"/>
              </w:rPr>
              <w:t>7</w:t>
            </w:r>
          </w:p>
        </w:tc>
        <w:tc>
          <w:tcPr>
            <w:tcW w:w="0" w:type="auto"/>
            <w:vAlign w:val="center"/>
            <w:hideMark/>
          </w:tcPr>
          <w:p w14:paraId="48DE636A" w14:textId="77777777" w:rsidR="00844B88" w:rsidRPr="00AF0CC3" w:rsidRDefault="00844B88" w:rsidP="00E73C98">
            <w:pPr>
              <w:spacing w:after="0" w:line="240" w:lineRule="auto"/>
              <w:jc w:val="right"/>
              <w:rPr>
                <w:rFonts w:ascii="Times New Roman" w:eastAsia="Times New Roman" w:hAnsi="Times New Roman" w:cs="Times New Roman"/>
                <w:color w:val="000000" w:themeColor="text1"/>
                <w:kern w:val="0"/>
                <w14:ligatures w14:val="none"/>
              </w:rPr>
            </w:pPr>
            <w:r w:rsidRPr="00AF0CC3">
              <w:rPr>
                <w:rFonts w:ascii="Times New Roman" w:eastAsia="Times New Roman" w:hAnsi="Times New Roman" w:cs="Times New Roman"/>
                <w:color w:val="000000" w:themeColor="text1"/>
                <w:kern w:val="0"/>
                <w14:ligatures w14:val="none"/>
              </w:rPr>
              <w:t>0.61</w:t>
            </w:r>
          </w:p>
        </w:tc>
        <w:tc>
          <w:tcPr>
            <w:tcW w:w="0" w:type="auto"/>
            <w:vAlign w:val="center"/>
            <w:hideMark/>
          </w:tcPr>
          <w:p w14:paraId="1698C316" w14:textId="77777777" w:rsidR="00844B88" w:rsidRPr="00AF0CC3" w:rsidRDefault="00844B88" w:rsidP="00E73C98">
            <w:pPr>
              <w:spacing w:after="0" w:line="240" w:lineRule="auto"/>
              <w:jc w:val="right"/>
              <w:rPr>
                <w:rFonts w:ascii="Times New Roman" w:eastAsia="Times New Roman" w:hAnsi="Times New Roman" w:cs="Times New Roman"/>
                <w:color w:val="000000" w:themeColor="text1"/>
                <w:kern w:val="0"/>
                <w14:ligatures w14:val="none"/>
              </w:rPr>
            </w:pPr>
            <w:r w:rsidRPr="00AF0CC3">
              <w:rPr>
                <w:rFonts w:ascii="Times New Roman" w:eastAsia="Times New Roman" w:hAnsi="Times New Roman" w:cs="Times New Roman"/>
                <w:color w:val="000000" w:themeColor="text1"/>
                <w:kern w:val="0"/>
                <w14:ligatures w14:val="none"/>
              </w:rPr>
              <w:t>0.43</w:t>
            </w:r>
          </w:p>
        </w:tc>
      </w:tr>
      <w:tr w:rsidR="00844B88" w:rsidRPr="00AF0CC3" w14:paraId="0603CC94" w14:textId="77777777" w:rsidTr="00E73C98">
        <w:trPr>
          <w:tblCellSpacing w:w="15" w:type="dxa"/>
        </w:trPr>
        <w:tc>
          <w:tcPr>
            <w:tcW w:w="0" w:type="auto"/>
            <w:vAlign w:val="center"/>
            <w:hideMark/>
          </w:tcPr>
          <w:p w14:paraId="524BEFCB" w14:textId="77777777" w:rsidR="00844B88" w:rsidRPr="00AF0CC3" w:rsidRDefault="00844B88" w:rsidP="00E73C98">
            <w:pPr>
              <w:spacing w:after="0" w:line="240" w:lineRule="auto"/>
              <w:rPr>
                <w:rFonts w:ascii="Times New Roman" w:eastAsia="Times New Roman" w:hAnsi="Times New Roman" w:cs="Times New Roman"/>
                <w:color w:val="000000" w:themeColor="text1"/>
                <w:kern w:val="0"/>
                <w14:ligatures w14:val="none"/>
              </w:rPr>
            </w:pPr>
            <w:r w:rsidRPr="00AF0CC3">
              <w:rPr>
                <w:rFonts w:ascii="Times New Roman" w:eastAsia="Times New Roman" w:hAnsi="Times New Roman" w:cs="Times New Roman"/>
                <w:color w:val="000000" w:themeColor="text1"/>
                <w:kern w:val="0"/>
                <w14:ligatures w14:val="none"/>
              </w:rPr>
              <w:t>Total Sample</w:t>
            </w:r>
          </w:p>
        </w:tc>
        <w:tc>
          <w:tcPr>
            <w:tcW w:w="0" w:type="auto"/>
            <w:vAlign w:val="center"/>
            <w:hideMark/>
          </w:tcPr>
          <w:p w14:paraId="463B0EFF" w14:textId="77777777" w:rsidR="00844B88" w:rsidRPr="00AF0CC3" w:rsidRDefault="00844B88" w:rsidP="00E73C98">
            <w:pPr>
              <w:spacing w:after="0" w:line="240" w:lineRule="auto"/>
              <w:jc w:val="right"/>
              <w:rPr>
                <w:rFonts w:ascii="Times New Roman" w:eastAsia="Times New Roman" w:hAnsi="Times New Roman" w:cs="Times New Roman"/>
                <w:color w:val="000000" w:themeColor="text1"/>
                <w:kern w:val="0"/>
                <w14:ligatures w14:val="none"/>
              </w:rPr>
            </w:pPr>
            <w:r w:rsidRPr="00AF0CC3">
              <w:rPr>
                <w:rFonts w:ascii="Times New Roman" w:eastAsia="Times New Roman" w:hAnsi="Times New Roman" w:cs="Times New Roman"/>
                <w:color w:val="000000" w:themeColor="text1"/>
                <w:kern w:val="0"/>
                <w14:ligatures w14:val="none"/>
              </w:rPr>
              <w:t>16</w:t>
            </w:r>
          </w:p>
        </w:tc>
        <w:tc>
          <w:tcPr>
            <w:tcW w:w="0" w:type="auto"/>
            <w:vAlign w:val="center"/>
            <w:hideMark/>
          </w:tcPr>
          <w:p w14:paraId="62BB14B7" w14:textId="77777777" w:rsidR="00844B88" w:rsidRPr="00AF0CC3" w:rsidRDefault="00844B88" w:rsidP="00E73C98">
            <w:pPr>
              <w:spacing w:after="0" w:line="240" w:lineRule="auto"/>
              <w:jc w:val="right"/>
              <w:rPr>
                <w:rFonts w:ascii="Times New Roman" w:eastAsia="Times New Roman" w:hAnsi="Times New Roman" w:cs="Times New Roman"/>
                <w:color w:val="000000" w:themeColor="text1"/>
                <w:kern w:val="0"/>
                <w14:ligatures w14:val="none"/>
              </w:rPr>
            </w:pPr>
            <w:r w:rsidRPr="00AF0CC3">
              <w:rPr>
                <w:rFonts w:ascii="Times New Roman" w:eastAsia="Times New Roman" w:hAnsi="Times New Roman" w:cs="Times New Roman"/>
                <w:color w:val="000000" w:themeColor="text1"/>
                <w:kern w:val="0"/>
                <w14:ligatures w14:val="none"/>
              </w:rPr>
              <w:t>0.37</w:t>
            </w:r>
          </w:p>
        </w:tc>
        <w:tc>
          <w:tcPr>
            <w:tcW w:w="0" w:type="auto"/>
            <w:vAlign w:val="center"/>
            <w:hideMark/>
          </w:tcPr>
          <w:p w14:paraId="3E16A6A5" w14:textId="77777777" w:rsidR="00844B88" w:rsidRPr="00AF0CC3" w:rsidRDefault="00844B88" w:rsidP="00E73C98">
            <w:pPr>
              <w:spacing w:after="0" w:line="240" w:lineRule="auto"/>
              <w:jc w:val="right"/>
              <w:rPr>
                <w:rFonts w:ascii="Times New Roman" w:eastAsia="Times New Roman" w:hAnsi="Times New Roman" w:cs="Times New Roman"/>
                <w:color w:val="000000" w:themeColor="text1"/>
                <w:kern w:val="0"/>
                <w14:ligatures w14:val="none"/>
              </w:rPr>
            </w:pPr>
            <w:r w:rsidRPr="00AF0CC3">
              <w:rPr>
                <w:rFonts w:ascii="Times New Roman" w:eastAsia="Times New Roman" w:hAnsi="Times New Roman" w:cs="Times New Roman"/>
                <w:color w:val="000000" w:themeColor="text1"/>
                <w:kern w:val="0"/>
                <w14:ligatures w14:val="none"/>
              </w:rPr>
              <w:t>0.18</w:t>
            </w:r>
          </w:p>
        </w:tc>
      </w:tr>
    </w:tbl>
    <w:p w14:paraId="5ACC0BED" w14:textId="77777777" w:rsidR="00844B88" w:rsidRPr="00AF0CC3" w:rsidRDefault="00844B88" w:rsidP="00844B88">
      <w:pPr>
        <w:rPr>
          <w:rFonts w:ascii="Times New Roman" w:hAnsi="Times New Roman" w:cs="Times New Roman"/>
          <w:color w:val="000000" w:themeColor="text1"/>
        </w:rPr>
      </w:pPr>
    </w:p>
    <w:p w14:paraId="60F26BD9" w14:textId="77777777" w:rsidR="00844B88" w:rsidRPr="00AF0CC3" w:rsidRDefault="00844B88" w:rsidP="00844B88">
      <w:pPr>
        <w:rPr>
          <w:rFonts w:ascii="Times New Roman" w:hAnsi="Times New Roman" w:cs="Times New Roman"/>
          <w:color w:val="000000" w:themeColor="text1"/>
        </w:rPr>
      </w:pPr>
      <w:r w:rsidRPr="00AF0CC3">
        <w:rPr>
          <w:rFonts w:ascii="Times New Roman" w:hAnsi="Times New Roman" w:cs="Times New Roman"/>
          <w:color w:val="000000" w:themeColor="text1"/>
        </w:rPr>
        <w:t>The results indicate substantial differences in implementation performance between projects with higher governance quality and those with weaker governance systems. Projects with stronger governance quality recorded an average time overrun of approximately 18.0%, compared with approximately 61.0% among projects with lower Governance Quality Index scores. Similarly, the median time overrun among lower-governance projects exceeded the median implementation delay observed among higher-governance projects.</w:t>
      </w:r>
    </w:p>
    <w:p w14:paraId="4F203B1F" w14:textId="77777777" w:rsidR="00844B88" w:rsidRPr="00AF0CC3" w:rsidRDefault="00844B88" w:rsidP="00844B88">
      <w:pPr>
        <w:rPr>
          <w:rFonts w:ascii="Times New Roman" w:hAnsi="Times New Roman" w:cs="Times New Roman"/>
          <w:color w:val="000000" w:themeColor="text1"/>
        </w:rPr>
      </w:pPr>
    </w:p>
    <w:p w14:paraId="2289058E" w14:textId="77777777" w:rsidR="00844B88" w:rsidRPr="00AF0CC3" w:rsidRDefault="00844B88" w:rsidP="00844B88">
      <w:pPr>
        <w:rPr>
          <w:rFonts w:ascii="Times New Roman" w:hAnsi="Times New Roman" w:cs="Times New Roman"/>
          <w:color w:val="000000" w:themeColor="text1"/>
        </w:rPr>
      </w:pPr>
      <w:r w:rsidRPr="00AF0CC3">
        <w:rPr>
          <w:rFonts w:ascii="Times New Roman" w:hAnsi="Times New Roman" w:cs="Times New Roman"/>
          <w:color w:val="000000" w:themeColor="text1"/>
        </w:rPr>
        <w:t>The analysis demonstrates that projects characterized by stronger governance systems exhibited greater implementation continuity, stronger implementation coordination, improved contract supervision, and more effective implementation monitoring.</w:t>
      </w:r>
    </w:p>
    <w:p w14:paraId="7DA6E4A2" w14:textId="77777777" w:rsidR="00844B88" w:rsidRPr="00AF0CC3" w:rsidRDefault="00844B88" w:rsidP="00844B88">
      <w:pPr>
        <w:rPr>
          <w:rFonts w:ascii="Times New Roman" w:hAnsi="Times New Roman" w:cs="Times New Roman"/>
          <w:color w:val="000000" w:themeColor="text1"/>
        </w:rPr>
      </w:pPr>
    </w:p>
    <w:p w14:paraId="069E2912" w14:textId="77777777" w:rsidR="00844B88" w:rsidRPr="00AF0CC3" w:rsidRDefault="00844B88" w:rsidP="00844B88">
      <w:pPr>
        <w:rPr>
          <w:rFonts w:ascii="Times New Roman" w:hAnsi="Times New Roman" w:cs="Times New Roman"/>
          <w:color w:val="000000" w:themeColor="text1"/>
        </w:rPr>
      </w:pPr>
      <w:r w:rsidRPr="00AF0CC3">
        <w:rPr>
          <w:rFonts w:ascii="Times New Roman" w:hAnsi="Times New Roman" w:cs="Times New Roman"/>
          <w:color w:val="000000" w:themeColor="text1"/>
        </w:rPr>
        <w:lastRenderedPageBreak/>
        <w:t>Conversely, projects characterized by weaker governance quality frequently experienced prolonged implementation disruptions, including procurement delays, financing interruptions, contractual disputes, institutional coordination failures, and implementation management weaknesses.</w:t>
      </w:r>
    </w:p>
    <w:p w14:paraId="7C9A41B8" w14:textId="77777777" w:rsidR="00844B88" w:rsidRPr="00AF0CC3" w:rsidRDefault="00844B88" w:rsidP="00844B88">
      <w:pPr>
        <w:rPr>
          <w:rFonts w:ascii="Times New Roman" w:hAnsi="Times New Roman" w:cs="Times New Roman"/>
          <w:color w:val="000000" w:themeColor="text1"/>
        </w:rPr>
      </w:pPr>
    </w:p>
    <w:p w14:paraId="44D83A29" w14:textId="77777777" w:rsidR="00844B88" w:rsidRPr="00AF0CC3" w:rsidRDefault="00844B88" w:rsidP="00844B88">
      <w:pPr>
        <w:rPr>
          <w:rFonts w:ascii="Times New Roman" w:hAnsi="Times New Roman" w:cs="Times New Roman"/>
          <w:color w:val="000000" w:themeColor="text1"/>
        </w:rPr>
      </w:pPr>
      <w:r w:rsidRPr="00AF0CC3">
        <w:rPr>
          <w:rFonts w:ascii="Times New Roman" w:hAnsi="Times New Roman" w:cs="Times New Roman"/>
          <w:color w:val="000000" w:themeColor="text1"/>
        </w:rPr>
        <w:t>The analysis advances understanding of how governance quality is an important determinant of implementation efficiency in Kenya’s water infrastructure sector. This also supports existing project governance literature, which emphasizes that implementation delays are frequently associated with weak oversight systems, procurement inefficiencies, inadequate contract supervision, and poor coordination mechanisms (Klakegg, Williams &amp; Magnussen, 2010).</w:t>
      </w:r>
    </w:p>
    <w:p w14:paraId="363C1CB9" w14:textId="77777777" w:rsidR="00844B88" w:rsidRPr="00AF0CC3" w:rsidRDefault="00844B88" w:rsidP="00844B88">
      <w:pPr>
        <w:rPr>
          <w:rFonts w:ascii="Times New Roman" w:hAnsi="Times New Roman" w:cs="Times New Roman"/>
          <w:color w:val="000000" w:themeColor="text1"/>
        </w:rPr>
      </w:pPr>
    </w:p>
    <w:p w14:paraId="3B26B947" w14:textId="77777777" w:rsidR="00844B88" w:rsidRPr="00AF0CC3" w:rsidRDefault="00844B88" w:rsidP="00844B88">
      <w:pPr>
        <w:rPr>
          <w:rFonts w:ascii="Times New Roman" w:hAnsi="Times New Roman" w:cs="Times New Roman"/>
          <w:color w:val="000000" w:themeColor="text1"/>
        </w:rPr>
      </w:pPr>
      <w:r w:rsidRPr="00AF0CC3">
        <w:rPr>
          <w:rFonts w:ascii="Times New Roman" w:hAnsi="Times New Roman" w:cs="Times New Roman"/>
          <w:color w:val="000000" w:themeColor="text1"/>
        </w:rPr>
        <w:t>However, the findings should be interpreted with caution because the analysis is based on a reduced subsample of projects with complete implementation-timeline data.</w:t>
      </w:r>
    </w:p>
    <w:p w14:paraId="579EAAFD" w14:textId="77777777" w:rsidR="00844B88" w:rsidRPr="00AF0CC3" w:rsidRDefault="00844B88" w:rsidP="00844B88">
      <w:pPr>
        <w:rPr>
          <w:rFonts w:ascii="Times New Roman" w:hAnsi="Times New Roman" w:cs="Times New Roman"/>
          <w:color w:val="000000" w:themeColor="text1"/>
        </w:rPr>
      </w:pPr>
    </w:p>
    <w:p w14:paraId="7D128FB6" w14:textId="4AA5B299" w:rsidR="00844B88" w:rsidRPr="00AF0CC3" w:rsidRDefault="00844B88" w:rsidP="00844B88">
      <w:pPr>
        <w:pStyle w:val="Heading3"/>
        <w:rPr>
          <w:rFonts w:cs="Times New Roman"/>
          <w:b w:val="0"/>
          <w:bCs/>
          <w:color w:val="000000" w:themeColor="text1"/>
          <w:szCs w:val="24"/>
        </w:rPr>
      </w:pPr>
      <w:bookmarkStart w:id="389" w:name="_Toc232375988"/>
      <w:bookmarkStart w:id="390" w:name="_Toc234344856"/>
      <w:bookmarkStart w:id="391" w:name="_Toc234489088"/>
      <w:r w:rsidRPr="00AF0CC3">
        <w:rPr>
          <w:rFonts w:cs="Times New Roman"/>
          <w:bCs/>
          <w:color w:val="000000" w:themeColor="text1"/>
          <w:szCs w:val="24"/>
        </w:rPr>
        <w:t>Quality and Implementation Delays</w:t>
      </w:r>
      <w:bookmarkEnd w:id="389"/>
      <w:bookmarkEnd w:id="390"/>
      <w:bookmarkEnd w:id="391"/>
    </w:p>
    <w:p w14:paraId="4C203739" w14:textId="77777777" w:rsidR="00844B88" w:rsidRPr="00AF0CC3" w:rsidRDefault="00844B88" w:rsidP="00844B88">
      <w:pPr>
        <w:rPr>
          <w:rFonts w:ascii="Times New Roman" w:hAnsi="Times New Roman" w:cs="Times New Roman"/>
          <w:color w:val="000000" w:themeColor="text1"/>
        </w:rPr>
      </w:pPr>
    </w:p>
    <w:p w14:paraId="0AF35429" w14:textId="77777777" w:rsidR="00844B88" w:rsidRPr="00AF0CC3" w:rsidRDefault="00844B88" w:rsidP="00844B88">
      <w:pPr>
        <w:rPr>
          <w:rFonts w:ascii="Times New Roman" w:hAnsi="Times New Roman" w:cs="Times New Roman"/>
          <w:color w:val="000000" w:themeColor="text1"/>
        </w:rPr>
      </w:pPr>
      <w:r w:rsidRPr="00AF0CC3">
        <w:rPr>
          <w:rFonts w:ascii="Times New Roman" w:hAnsi="Times New Roman" w:cs="Times New Roman"/>
          <w:color w:val="000000" w:themeColor="text1"/>
        </w:rPr>
        <w:t>While the time-overrun statistics provide evidence of differences in implementation timeliness across projects, a graphical representation facilitates comparison of the distributions of delays across governance categories. Figure 4.6 presents the distribution of time-overrun ratios among projects classified as operating within high- and low-governance environments.</w:t>
      </w:r>
    </w:p>
    <w:p w14:paraId="0AA7DA85" w14:textId="77777777" w:rsidR="00844B88" w:rsidRPr="00AF0CC3" w:rsidRDefault="00844B88" w:rsidP="00844B88">
      <w:pPr>
        <w:rPr>
          <w:rFonts w:ascii="Times New Roman" w:hAnsi="Times New Roman" w:cs="Times New Roman"/>
          <w:color w:val="000000" w:themeColor="text1"/>
        </w:rPr>
      </w:pPr>
    </w:p>
    <w:p w14:paraId="6476C3E8" w14:textId="77777777" w:rsidR="00844B88" w:rsidRPr="00AF0CC3" w:rsidRDefault="00844B88" w:rsidP="00844B88">
      <w:pPr>
        <w:rPr>
          <w:rFonts w:ascii="Times New Roman" w:hAnsi="Times New Roman" w:cs="Times New Roman"/>
          <w:color w:val="000000" w:themeColor="text1"/>
        </w:rPr>
      </w:pPr>
    </w:p>
    <w:p w14:paraId="63569149" w14:textId="1F0D444F" w:rsidR="00426EEE" w:rsidRPr="00AF0CC3" w:rsidRDefault="00426EEE" w:rsidP="00426EEE">
      <w:pPr>
        <w:pStyle w:val="Caption"/>
        <w:keepNext/>
        <w:rPr>
          <w:rFonts w:ascii="Times New Roman" w:hAnsi="Times New Roman" w:cs="Times New Roman"/>
          <w:sz w:val="24"/>
          <w:szCs w:val="24"/>
        </w:rPr>
      </w:pPr>
      <w:bookmarkStart w:id="392" w:name="_Toc234481934"/>
      <w:r w:rsidRPr="00AF0CC3">
        <w:rPr>
          <w:rFonts w:ascii="Times New Roman" w:hAnsi="Times New Roman" w:cs="Times New Roman"/>
          <w:sz w:val="24"/>
          <w:szCs w:val="24"/>
        </w:rPr>
        <w:lastRenderedPageBreak/>
        <w:t xml:space="preserve">Figure </w:t>
      </w:r>
      <w:r w:rsidR="00052921" w:rsidRPr="00AF0CC3">
        <w:rPr>
          <w:rFonts w:ascii="Times New Roman" w:hAnsi="Times New Roman" w:cs="Times New Roman"/>
          <w:sz w:val="24"/>
          <w:szCs w:val="24"/>
        </w:rPr>
        <w:fldChar w:fldCharType="begin"/>
      </w:r>
      <w:r w:rsidR="00052921" w:rsidRPr="00AF0CC3">
        <w:rPr>
          <w:rFonts w:ascii="Times New Roman" w:hAnsi="Times New Roman" w:cs="Times New Roman"/>
          <w:sz w:val="24"/>
          <w:szCs w:val="24"/>
        </w:rPr>
        <w:instrText xml:space="preserve"> STYLEREF 1 \s </w:instrText>
      </w:r>
      <w:r w:rsidR="00052921" w:rsidRPr="00AF0CC3">
        <w:rPr>
          <w:rFonts w:ascii="Times New Roman" w:hAnsi="Times New Roman" w:cs="Times New Roman"/>
          <w:sz w:val="24"/>
          <w:szCs w:val="24"/>
        </w:rPr>
        <w:fldChar w:fldCharType="separate"/>
      </w:r>
      <w:r w:rsidR="00052921" w:rsidRPr="00AF0CC3">
        <w:rPr>
          <w:rFonts w:ascii="Times New Roman" w:hAnsi="Times New Roman" w:cs="Times New Roman"/>
          <w:noProof/>
          <w:sz w:val="24"/>
          <w:szCs w:val="24"/>
        </w:rPr>
        <w:t>4</w:t>
      </w:r>
      <w:r w:rsidR="00052921" w:rsidRPr="00AF0CC3">
        <w:rPr>
          <w:rFonts w:ascii="Times New Roman" w:hAnsi="Times New Roman" w:cs="Times New Roman"/>
          <w:noProof/>
          <w:sz w:val="24"/>
          <w:szCs w:val="24"/>
        </w:rPr>
        <w:fldChar w:fldCharType="end"/>
      </w:r>
      <w:r w:rsidR="00BF2261" w:rsidRPr="00AF0CC3">
        <w:rPr>
          <w:rFonts w:ascii="Times New Roman" w:hAnsi="Times New Roman" w:cs="Times New Roman"/>
          <w:sz w:val="24"/>
          <w:szCs w:val="24"/>
        </w:rPr>
        <w:t>.</w:t>
      </w:r>
      <w:r w:rsidR="00052921" w:rsidRPr="00AF0CC3">
        <w:rPr>
          <w:rFonts w:ascii="Times New Roman" w:hAnsi="Times New Roman" w:cs="Times New Roman"/>
          <w:sz w:val="24"/>
          <w:szCs w:val="24"/>
        </w:rPr>
        <w:fldChar w:fldCharType="begin"/>
      </w:r>
      <w:r w:rsidR="00052921" w:rsidRPr="00AF0CC3">
        <w:rPr>
          <w:rFonts w:ascii="Times New Roman" w:hAnsi="Times New Roman" w:cs="Times New Roman"/>
          <w:sz w:val="24"/>
          <w:szCs w:val="24"/>
        </w:rPr>
        <w:instrText xml:space="preserve"> SEQ Figure \* ARABIC \s 1 </w:instrText>
      </w:r>
      <w:r w:rsidR="00052921" w:rsidRPr="00AF0CC3">
        <w:rPr>
          <w:rFonts w:ascii="Times New Roman" w:hAnsi="Times New Roman" w:cs="Times New Roman"/>
          <w:sz w:val="24"/>
          <w:szCs w:val="24"/>
        </w:rPr>
        <w:fldChar w:fldCharType="separate"/>
      </w:r>
      <w:r w:rsidR="00052921" w:rsidRPr="00AF0CC3">
        <w:rPr>
          <w:rFonts w:ascii="Times New Roman" w:hAnsi="Times New Roman" w:cs="Times New Roman"/>
          <w:noProof/>
          <w:sz w:val="24"/>
          <w:szCs w:val="24"/>
        </w:rPr>
        <w:t>6</w:t>
      </w:r>
      <w:r w:rsidR="00052921" w:rsidRPr="00AF0CC3">
        <w:rPr>
          <w:rFonts w:ascii="Times New Roman" w:hAnsi="Times New Roman" w:cs="Times New Roman"/>
          <w:noProof/>
          <w:sz w:val="24"/>
          <w:szCs w:val="24"/>
        </w:rPr>
        <w:fldChar w:fldCharType="end"/>
      </w:r>
      <w:r w:rsidRPr="00AF0CC3">
        <w:rPr>
          <w:rFonts w:ascii="Times New Roman" w:hAnsi="Times New Roman" w:cs="Times New Roman"/>
          <w:sz w:val="24"/>
          <w:szCs w:val="24"/>
        </w:rPr>
        <w:t xml:space="preserve"> Time Overrun by Governance Quality Category</w:t>
      </w:r>
      <w:bookmarkEnd w:id="392"/>
    </w:p>
    <w:p w14:paraId="3B467FD6" w14:textId="77777777" w:rsidR="00844B88" w:rsidRPr="00AF0CC3" w:rsidRDefault="00844B88" w:rsidP="00844B88">
      <w:pPr>
        <w:rPr>
          <w:rFonts w:ascii="Times New Roman" w:hAnsi="Times New Roman" w:cs="Times New Roman"/>
          <w:color w:val="000000" w:themeColor="text1"/>
        </w:rPr>
      </w:pPr>
      <w:r w:rsidRPr="00AF0CC3">
        <w:rPr>
          <w:rFonts w:ascii="Times New Roman" w:hAnsi="Times New Roman" w:cs="Times New Roman"/>
          <w:noProof/>
          <w:color w:val="000000" w:themeColor="text1"/>
        </w:rPr>
        <w:drawing>
          <wp:inline distT="0" distB="0" distL="0" distR="0" wp14:anchorId="1170D535" wp14:editId="30B01265">
            <wp:extent cx="5619750" cy="3776520"/>
            <wp:effectExtent l="0" t="0" r="0" b="0"/>
            <wp:docPr id="108246535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82465357" name=""/>
                    <pic:cNvPicPr/>
                  </pic:nvPicPr>
                  <pic:blipFill>
                    <a:blip r:embed="rId31"/>
                    <a:stretch>
                      <a:fillRect/>
                    </a:stretch>
                  </pic:blipFill>
                  <pic:spPr>
                    <a:xfrm>
                      <a:off x="0" y="0"/>
                      <a:ext cx="5622386" cy="3778291"/>
                    </a:xfrm>
                    <a:prstGeom prst="rect">
                      <a:avLst/>
                    </a:prstGeom>
                  </pic:spPr>
                </pic:pic>
              </a:graphicData>
            </a:graphic>
          </wp:inline>
        </w:drawing>
      </w:r>
    </w:p>
    <w:p w14:paraId="1AA30571" w14:textId="77777777" w:rsidR="00844B88" w:rsidRPr="00AF0CC3" w:rsidRDefault="00844B88" w:rsidP="00844B88">
      <w:pPr>
        <w:rPr>
          <w:rFonts w:ascii="Times New Roman" w:hAnsi="Times New Roman" w:cs="Times New Roman"/>
          <w:color w:val="000000" w:themeColor="text1"/>
        </w:rPr>
      </w:pPr>
    </w:p>
    <w:p w14:paraId="7B148B93" w14:textId="7BA7005E" w:rsidR="00844B88" w:rsidRPr="00AF0CC3" w:rsidRDefault="00844B88" w:rsidP="00844B88">
      <w:pPr>
        <w:rPr>
          <w:rFonts w:ascii="Times New Roman" w:hAnsi="Times New Roman" w:cs="Times New Roman"/>
          <w:color w:val="000000" w:themeColor="text1"/>
        </w:rPr>
      </w:pPr>
      <w:r w:rsidRPr="00AF0CC3">
        <w:rPr>
          <w:rFonts w:ascii="Times New Roman" w:hAnsi="Times New Roman" w:cs="Times New Roman"/>
          <w:color w:val="000000" w:themeColor="text1"/>
        </w:rPr>
        <w:t xml:space="preserve">Figure 4.6 illustrates the distribution of time-overrun ratios across governance categories. Projects characterized by stronger governance quality generally recorded lower implementation delays and exhibited less variability in schedule performance. In contrast, projects operating within weaker governance environments </w:t>
      </w:r>
      <w:r w:rsidR="007E319C" w:rsidRPr="00AF0CC3">
        <w:rPr>
          <w:rFonts w:ascii="Times New Roman" w:hAnsi="Times New Roman" w:cs="Times New Roman"/>
          <w:color w:val="000000" w:themeColor="text1"/>
        </w:rPr>
        <w:t>have experienced</w:t>
      </w:r>
      <w:r w:rsidRPr="00AF0CC3">
        <w:rPr>
          <w:rFonts w:ascii="Times New Roman" w:hAnsi="Times New Roman" w:cs="Times New Roman"/>
          <w:color w:val="000000" w:themeColor="text1"/>
        </w:rPr>
        <w:t xml:space="preserve"> substantially greater implementation delays and wider variation in time-overrun outcomes. The observed pattern indicates that governance quality contributed to implementation efficiency and delivery continuity, with stronger governance arrangements associated with more timely project delivery.</w:t>
      </w:r>
    </w:p>
    <w:p w14:paraId="5E3B8A33" w14:textId="77777777" w:rsidR="00844B88" w:rsidRPr="00AF0CC3" w:rsidRDefault="00844B88" w:rsidP="00844B88">
      <w:pPr>
        <w:rPr>
          <w:rFonts w:ascii="Times New Roman" w:hAnsi="Times New Roman" w:cs="Times New Roman"/>
          <w:color w:val="000000" w:themeColor="text1"/>
        </w:rPr>
      </w:pPr>
    </w:p>
    <w:p w14:paraId="2D31B3D9" w14:textId="77777777" w:rsidR="00844B88" w:rsidRPr="00AF0CC3" w:rsidRDefault="00844B88" w:rsidP="00844B88">
      <w:pPr>
        <w:rPr>
          <w:rFonts w:ascii="Times New Roman" w:hAnsi="Times New Roman" w:cs="Times New Roman"/>
          <w:color w:val="000000" w:themeColor="text1"/>
        </w:rPr>
      </w:pPr>
      <w:r w:rsidRPr="00AF0CC3">
        <w:rPr>
          <w:rFonts w:ascii="Times New Roman" w:hAnsi="Times New Roman" w:cs="Times New Roman"/>
          <w:color w:val="000000" w:themeColor="text1"/>
        </w:rPr>
        <w:t>The observed distribution highlights not only lower average delays among higher-governance projects but also greater consistency in implementation performance, suggesting that governance quality contributes to both efficiency and predictability in infrastructure delivery.</w:t>
      </w:r>
    </w:p>
    <w:p w14:paraId="66CD6632" w14:textId="77777777" w:rsidR="00844B88" w:rsidRPr="00AF0CC3" w:rsidRDefault="00844B88" w:rsidP="00844B88">
      <w:pPr>
        <w:rPr>
          <w:rFonts w:ascii="Times New Roman" w:hAnsi="Times New Roman" w:cs="Times New Roman"/>
          <w:color w:val="000000" w:themeColor="text1"/>
        </w:rPr>
      </w:pPr>
      <w:r w:rsidRPr="00AF0CC3">
        <w:rPr>
          <w:rFonts w:ascii="Times New Roman" w:hAnsi="Times New Roman" w:cs="Times New Roman"/>
          <w:color w:val="000000" w:themeColor="text1"/>
        </w:rPr>
        <w:t xml:space="preserve">The empirical findings underscore the pivotal role of governance effectiveness in advancing the timely delivery of water infrastructure projects, demonstrating that well-functioning governance systems promote project success through integrated institutional capability encompassing strategic project preparation, transparent procurement, equitable risk allocation, rigorous </w:t>
      </w:r>
      <w:r w:rsidRPr="00AF0CC3">
        <w:rPr>
          <w:rFonts w:ascii="Times New Roman" w:hAnsi="Times New Roman" w:cs="Times New Roman"/>
          <w:color w:val="000000" w:themeColor="text1"/>
        </w:rPr>
        <w:lastRenderedPageBreak/>
        <w:t>implementation monitoring, coordinated stakeholder engagement, sustainable financing structures, and responsive oversight regimes.</w:t>
      </w:r>
    </w:p>
    <w:p w14:paraId="70D66840" w14:textId="77777777" w:rsidR="00844B88" w:rsidRPr="00AF0CC3" w:rsidRDefault="00844B88" w:rsidP="00844B88">
      <w:pPr>
        <w:rPr>
          <w:rFonts w:ascii="Times New Roman" w:hAnsi="Times New Roman" w:cs="Times New Roman"/>
          <w:color w:val="000000" w:themeColor="text1"/>
        </w:rPr>
      </w:pPr>
      <w:r w:rsidRPr="00AF0CC3">
        <w:rPr>
          <w:rFonts w:ascii="Times New Roman" w:hAnsi="Times New Roman" w:cs="Times New Roman"/>
          <w:color w:val="000000" w:themeColor="text1"/>
        </w:rPr>
        <w:t>Projects characterized by weak governance arrangements frequently experienced delays due to incomplete project preparation, procurement disputes, financing uncertainty, delayed disbursements, weak contract management, and failures in implementation coordination.</w:t>
      </w:r>
    </w:p>
    <w:p w14:paraId="6C6A4227" w14:textId="77777777" w:rsidR="00844B88" w:rsidRPr="00AF0CC3" w:rsidRDefault="00844B88" w:rsidP="00844B88">
      <w:pPr>
        <w:rPr>
          <w:rFonts w:ascii="Times New Roman" w:hAnsi="Times New Roman" w:cs="Times New Roman"/>
          <w:color w:val="000000" w:themeColor="text1"/>
        </w:rPr>
      </w:pPr>
    </w:p>
    <w:p w14:paraId="4378C961" w14:textId="77777777" w:rsidR="00844B88" w:rsidRPr="00AF0CC3" w:rsidRDefault="00844B88" w:rsidP="00844B88">
      <w:pPr>
        <w:rPr>
          <w:rFonts w:ascii="Times New Roman" w:hAnsi="Times New Roman" w:cs="Times New Roman"/>
          <w:color w:val="000000" w:themeColor="text1"/>
        </w:rPr>
      </w:pPr>
      <w:r w:rsidRPr="00AF0CC3">
        <w:rPr>
          <w:rFonts w:ascii="Times New Roman" w:hAnsi="Times New Roman" w:cs="Times New Roman"/>
          <w:color w:val="000000" w:themeColor="text1"/>
        </w:rPr>
        <w:t>The results are consistent with the infrastructure governance literature, which emphasizes that implementation delays are frequently associated with weak institutional coordination, procurement inefficiency, poor implementation oversight, and fragmented administrative systems (Love, Ahiaga-Dagbui &amp; Irani, 2016).</w:t>
      </w:r>
    </w:p>
    <w:p w14:paraId="0BD267C8" w14:textId="77777777" w:rsidR="00844B88" w:rsidRPr="00AF0CC3" w:rsidRDefault="00844B88" w:rsidP="00844B88">
      <w:pPr>
        <w:rPr>
          <w:rFonts w:ascii="Times New Roman" w:hAnsi="Times New Roman" w:cs="Times New Roman"/>
          <w:color w:val="000000" w:themeColor="text1"/>
        </w:rPr>
      </w:pPr>
    </w:p>
    <w:p w14:paraId="21E41975" w14:textId="25A133F8" w:rsidR="00844B88" w:rsidRPr="00AF0CC3" w:rsidRDefault="00844B88" w:rsidP="00844B88">
      <w:pPr>
        <w:pStyle w:val="Heading3"/>
        <w:rPr>
          <w:rFonts w:cs="Times New Roman"/>
          <w:b w:val="0"/>
          <w:bCs/>
          <w:color w:val="000000" w:themeColor="text1"/>
          <w:szCs w:val="24"/>
        </w:rPr>
      </w:pPr>
      <w:bookmarkStart w:id="393" w:name="_Toc232375989"/>
      <w:bookmarkStart w:id="394" w:name="_Toc234344857"/>
      <w:bookmarkStart w:id="395" w:name="_Toc234489089"/>
      <w:r w:rsidRPr="00AF0CC3">
        <w:rPr>
          <w:rFonts w:cs="Times New Roman"/>
          <w:bCs/>
          <w:color w:val="000000" w:themeColor="text1"/>
          <w:szCs w:val="24"/>
        </w:rPr>
        <w:t>Sectoral Patterns of Implementation Delays</w:t>
      </w:r>
      <w:bookmarkEnd w:id="393"/>
      <w:bookmarkEnd w:id="394"/>
      <w:bookmarkEnd w:id="395"/>
    </w:p>
    <w:p w14:paraId="46B16104" w14:textId="77777777" w:rsidR="00844B88" w:rsidRPr="00AF0CC3" w:rsidRDefault="00844B88" w:rsidP="00844B88">
      <w:pPr>
        <w:rPr>
          <w:rFonts w:ascii="Times New Roman" w:hAnsi="Times New Roman" w:cs="Times New Roman"/>
          <w:color w:val="000000" w:themeColor="text1"/>
        </w:rPr>
      </w:pPr>
    </w:p>
    <w:p w14:paraId="1DE3A32F" w14:textId="77777777" w:rsidR="00844B88" w:rsidRPr="00AF0CC3" w:rsidRDefault="00844B88" w:rsidP="00844B88">
      <w:pPr>
        <w:rPr>
          <w:rFonts w:ascii="Times New Roman" w:hAnsi="Times New Roman" w:cs="Times New Roman"/>
          <w:color w:val="000000" w:themeColor="text1"/>
        </w:rPr>
      </w:pPr>
      <w:r w:rsidRPr="00AF0CC3">
        <w:rPr>
          <w:rFonts w:ascii="Times New Roman" w:hAnsi="Times New Roman" w:cs="Times New Roman"/>
          <w:color w:val="000000" w:themeColor="text1"/>
        </w:rPr>
        <w:t xml:space="preserve">The documentary analysis further revealed that implementation delays were disproportionately concentrated among large-scale dam and water storage infrastructure projects. These projects were characterized by complex procurement processes, extensive environmental approval requirements, resettlement and land acquisition obligations, financing coordination challenges, multi-agency implementation structures, heightened political scrutiny, and increased vulnerability to climate-related disruptions. </w:t>
      </w:r>
    </w:p>
    <w:p w14:paraId="40F7F58D" w14:textId="02A8C575" w:rsidR="00844B88" w:rsidRPr="00AF0CC3" w:rsidRDefault="00844B88" w:rsidP="00844B88">
      <w:pPr>
        <w:rPr>
          <w:rFonts w:ascii="Times New Roman" w:hAnsi="Times New Roman" w:cs="Times New Roman"/>
          <w:color w:val="000000" w:themeColor="text1"/>
        </w:rPr>
      </w:pPr>
      <w:r w:rsidRPr="00AF0CC3">
        <w:rPr>
          <w:rFonts w:ascii="Times New Roman" w:hAnsi="Times New Roman" w:cs="Times New Roman"/>
          <w:color w:val="000000" w:themeColor="text1"/>
        </w:rPr>
        <w:t xml:space="preserve">Consequently, deficiencies in governance capacity within these projects </w:t>
      </w:r>
      <w:r w:rsidR="007E319C" w:rsidRPr="00AF0CC3">
        <w:rPr>
          <w:rFonts w:ascii="Times New Roman" w:hAnsi="Times New Roman" w:cs="Times New Roman"/>
          <w:color w:val="000000" w:themeColor="text1"/>
        </w:rPr>
        <w:t>have amplified</w:t>
      </w:r>
      <w:r w:rsidRPr="00AF0CC3">
        <w:rPr>
          <w:rFonts w:ascii="Times New Roman" w:hAnsi="Times New Roman" w:cs="Times New Roman"/>
          <w:color w:val="000000" w:themeColor="text1"/>
        </w:rPr>
        <w:t xml:space="preserve"> implementation complexities, resulting in significant schedule overruns and broader disruptions to project delivery.</w:t>
      </w:r>
    </w:p>
    <w:p w14:paraId="0393F3E6" w14:textId="77777777" w:rsidR="00844B88" w:rsidRPr="00AF0CC3" w:rsidRDefault="00844B88" w:rsidP="00844B88">
      <w:pPr>
        <w:rPr>
          <w:rFonts w:ascii="Times New Roman" w:hAnsi="Times New Roman" w:cs="Times New Roman"/>
          <w:color w:val="000000" w:themeColor="text1"/>
        </w:rPr>
      </w:pPr>
      <w:r w:rsidRPr="00AF0CC3">
        <w:rPr>
          <w:rFonts w:ascii="Times New Roman" w:hAnsi="Times New Roman" w:cs="Times New Roman"/>
          <w:color w:val="000000" w:themeColor="text1"/>
        </w:rPr>
        <w:t>Projects such as the High Grand Falls Dam, Karimenu II Dam, Arror Dam, and Kimwarer Dam experienced prolonged implementation delays due to procurement reviews, contractual disputes, financing uncertainty, audit investigations, and administrative restructuring.</w:t>
      </w:r>
    </w:p>
    <w:p w14:paraId="5E007194" w14:textId="77777777" w:rsidR="00844B88" w:rsidRPr="00AF0CC3" w:rsidRDefault="00844B88" w:rsidP="00844B88">
      <w:pPr>
        <w:rPr>
          <w:rFonts w:ascii="Times New Roman" w:hAnsi="Times New Roman" w:cs="Times New Roman"/>
          <w:color w:val="000000" w:themeColor="text1"/>
        </w:rPr>
      </w:pPr>
    </w:p>
    <w:p w14:paraId="52122F5A" w14:textId="77777777" w:rsidR="00844B88" w:rsidRPr="00AF0CC3" w:rsidRDefault="00844B88" w:rsidP="00844B88">
      <w:pPr>
        <w:rPr>
          <w:rFonts w:ascii="Times New Roman" w:hAnsi="Times New Roman" w:cs="Times New Roman"/>
          <w:color w:val="000000" w:themeColor="text1"/>
        </w:rPr>
      </w:pPr>
      <w:r w:rsidRPr="00AF0CC3">
        <w:rPr>
          <w:rFonts w:ascii="Times New Roman" w:hAnsi="Times New Roman" w:cs="Times New Roman"/>
          <w:color w:val="000000" w:themeColor="text1"/>
        </w:rPr>
        <w:t>The findings indicate that the significance of governance quality becomes increasingly pronounced as infrastructure projects grow in institutional complexity and financial magnitude. This observation is consistent with project governance scholarship, which posits that complex infrastructure initiatives require robust governance frameworks to effectively manage uncertainty, coordinate stakeholders, and mitigate implementation risks (Joslin &amp; Müller, 2015).</w:t>
      </w:r>
    </w:p>
    <w:p w14:paraId="1EAF81D0" w14:textId="77777777" w:rsidR="00844B88" w:rsidRPr="00AF0CC3" w:rsidRDefault="00844B88" w:rsidP="00844B88">
      <w:pPr>
        <w:rPr>
          <w:rFonts w:ascii="Times New Roman" w:hAnsi="Times New Roman" w:cs="Times New Roman"/>
          <w:color w:val="000000" w:themeColor="text1"/>
        </w:rPr>
      </w:pPr>
    </w:p>
    <w:p w14:paraId="4E13D48A" w14:textId="566AEE89" w:rsidR="00844B88" w:rsidRPr="00AF0CC3" w:rsidRDefault="00844B88" w:rsidP="00844B88">
      <w:pPr>
        <w:pStyle w:val="Heading3"/>
        <w:rPr>
          <w:rFonts w:cs="Times New Roman"/>
          <w:b w:val="0"/>
          <w:bCs/>
          <w:color w:val="000000" w:themeColor="text1"/>
          <w:szCs w:val="24"/>
        </w:rPr>
      </w:pPr>
      <w:bookmarkStart w:id="396" w:name="_Toc232375990"/>
      <w:bookmarkStart w:id="397" w:name="_Toc234344858"/>
      <w:bookmarkStart w:id="398" w:name="_Toc234489090"/>
      <w:r w:rsidRPr="00AF0CC3">
        <w:rPr>
          <w:rFonts w:cs="Times New Roman"/>
          <w:bCs/>
          <w:color w:val="000000" w:themeColor="text1"/>
          <w:szCs w:val="24"/>
        </w:rPr>
        <w:t>Climate and Political Influences on Implementation Delays</w:t>
      </w:r>
      <w:bookmarkEnd w:id="396"/>
      <w:bookmarkEnd w:id="397"/>
      <w:bookmarkEnd w:id="398"/>
    </w:p>
    <w:p w14:paraId="69CD9303" w14:textId="77777777" w:rsidR="00844B88" w:rsidRPr="00AF0CC3" w:rsidRDefault="00844B88" w:rsidP="00844B88">
      <w:pPr>
        <w:rPr>
          <w:rFonts w:ascii="Times New Roman" w:hAnsi="Times New Roman" w:cs="Times New Roman"/>
          <w:color w:val="000000" w:themeColor="text1"/>
        </w:rPr>
      </w:pPr>
    </w:p>
    <w:p w14:paraId="0E8DD4FA" w14:textId="77777777" w:rsidR="00844B88" w:rsidRPr="00AF0CC3" w:rsidRDefault="00844B88" w:rsidP="00844B88">
      <w:pPr>
        <w:rPr>
          <w:rFonts w:ascii="Times New Roman" w:hAnsi="Times New Roman" w:cs="Times New Roman"/>
          <w:color w:val="000000" w:themeColor="text1"/>
        </w:rPr>
      </w:pPr>
      <w:r w:rsidRPr="00AF0CC3">
        <w:rPr>
          <w:rFonts w:ascii="Times New Roman" w:hAnsi="Times New Roman" w:cs="Times New Roman"/>
          <w:color w:val="000000" w:themeColor="text1"/>
        </w:rPr>
        <w:lastRenderedPageBreak/>
        <w:t xml:space="preserve">The documentary evidence further revealed that climate-related disruptions and periods of political transition constituted significant sources of implementation delays across multiple infrastructure projects. Climate-related challenges manifested as flooding events, rainfall variability, prolonged drought, restricted site access, environmental degradation, and fluctuations in water availability, all of which adversely affected construction schedules and project execution. </w:t>
      </w:r>
    </w:p>
    <w:p w14:paraId="72302A19" w14:textId="77777777" w:rsidR="00844B88" w:rsidRPr="00AF0CC3" w:rsidRDefault="00844B88" w:rsidP="00844B88">
      <w:pPr>
        <w:rPr>
          <w:rFonts w:ascii="Times New Roman" w:hAnsi="Times New Roman" w:cs="Times New Roman"/>
          <w:color w:val="000000" w:themeColor="text1"/>
        </w:rPr>
      </w:pPr>
      <w:r w:rsidRPr="00AF0CC3">
        <w:rPr>
          <w:rFonts w:ascii="Times New Roman" w:hAnsi="Times New Roman" w:cs="Times New Roman"/>
          <w:color w:val="000000" w:themeColor="text1"/>
        </w:rPr>
        <w:t xml:space="preserve">Similarly, election cycles and political transition periods were frequently associated with administrative disruptions, procurement reviews, leadership turnover, budget reprioritization, and heightened implementation uncertainty. </w:t>
      </w:r>
    </w:p>
    <w:p w14:paraId="3CCBF286" w14:textId="77777777" w:rsidR="00844B88" w:rsidRPr="00AF0CC3" w:rsidRDefault="00844B88" w:rsidP="00844B88">
      <w:pPr>
        <w:rPr>
          <w:rFonts w:ascii="Times New Roman" w:hAnsi="Times New Roman" w:cs="Times New Roman"/>
          <w:color w:val="000000" w:themeColor="text1"/>
        </w:rPr>
      </w:pPr>
      <w:r w:rsidRPr="00AF0CC3">
        <w:rPr>
          <w:rFonts w:ascii="Times New Roman" w:hAnsi="Times New Roman" w:cs="Times New Roman"/>
          <w:color w:val="000000" w:themeColor="text1"/>
        </w:rPr>
        <w:t>Collectively, these findings confirmed that both environmental volatility and political instability represent critical external risk factors that can undermine implementation efficiency and contribute to project delays.</w:t>
      </w:r>
    </w:p>
    <w:p w14:paraId="7723D8D1" w14:textId="77777777" w:rsidR="00844B88" w:rsidRPr="00AF0CC3" w:rsidRDefault="00844B88" w:rsidP="00844B88">
      <w:pPr>
        <w:rPr>
          <w:rFonts w:ascii="Times New Roman" w:hAnsi="Times New Roman" w:cs="Times New Roman"/>
          <w:color w:val="000000" w:themeColor="text1"/>
        </w:rPr>
      </w:pPr>
      <w:r w:rsidRPr="00AF0CC3">
        <w:rPr>
          <w:rFonts w:ascii="Times New Roman" w:hAnsi="Times New Roman" w:cs="Times New Roman"/>
          <w:color w:val="000000" w:themeColor="text1"/>
        </w:rPr>
        <w:t>Projects characterized by robust governance systems consistently demonstrated greater resilience to external disruptions, reflecting their ability to preserve implementation coordination, institutional continuity, oversight effectiveness, and monitoring integrity during periods of uncertainty. Empirical evidence underscores the quality of governance as a foundational determinant of institutional resilience, enabling projects to absorb, adapt to, and recover from administrative and environmental disruptions while maintaining implementation momentum.</w:t>
      </w:r>
    </w:p>
    <w:p w14:paraId="3541B779" w14:textId="77777777" w:rsidR="00844B88" w:rsidRPr="00AF0CC3" w:rsidRDefault="00844B88" w:rsidP="00844B88">
      <w:pPr>
        <w:rPr>
          <w:rFonts w:ascii="Times New Roman" w:hAnsi="Times New Roman" w:cs="Times New Roman"/>
          <w:color w:val="000000" w:themeColor="text1"/>
        </w:rPr>
      </w:pPr>
    </w:p>
    <w:p w14:paraId="35286603" w14:textId="08600353" w:rsidR="00844B88" w:rsidRPr="00AF0CC3" w:rsidRDefault="00844B88" w:rsidP="00844B88">
      <w:pPr>
        <w:pStyle w:val="Heading3"/>
        <w:rPr>
          <w:rFonts w:cs="Times New Roman"/>
          <w:b w:val="0"/>
          <w:bCs/>
          <w:color w:val="000000" w:themeColor="text1"/>
          <w:szCs w:val="24"/>
        </w:rPr>
      </w:pPr>
      <w:bookmarkStart w:id="399" w:name="_Toc232375991"/>
      <w:bookmarkStart w:id="400" w:name="_Toc234344859"/>
      <w:bookmarkStart w:id="401" w:name="_Toc234489091"/>
      <w:r w:rsidRPr="00AF0CC3">
        <w:rPr>
          <w:rFonts w:cs="Times New Roman"/>
          <w:bCs/>
          <w:color w:val="000000" w:themeColor="text1"/>
          <w:szCs w:val="24"/>
        </w:rPr>
        <w:t>Implications of Time Overruns</w:t>
      </w:r>
      <w:bookmarkEnd w:id="399"/>
      <w:bookmarkEnd w:id="400"/>
      <w:bookmarkEnd w:id="401"/>
    </w:p>
    <w:p w14:paraId="69DE5EBF" w14:textId="77777777" w:rsidR="00844B88" w:rsidRPr="00AF0CC3" w:rsidRDefault="00844B88" w:rsidP="00844B88">
      <w:pPr>
        <w:rPr>
          <w:rFonts w:ascii="Times New Roman" w:hAnsi="Times New Roman" w:cs="Times New Roman"/>
          <w:color w:val="000000" w:themeColor="text1"/>
        </w:rPr>
      </w:pPr>
    </w:p>
    <w:p w14:paraId="12E5C78A" w14:textId="77777777" w:rsidR="00844B88" w:rsidRPr="00AF0CC3" w:rsidRDefault="00844B88" w:rsidP="00844B88">
      <w:pPr>
        <w:rPr>
          <w:rFonts w:ascii="Times New Roman" w:hAnsi="Times New Roman" w:cs="Times New Roman"/>
          <w:color w:val="000000" w:themeColor="text1"/>
        </w:rPr>
      </w:pPr>
      <w:r w:rsidRPr="00AF0CC3">
        <w:rPr>
          <w:rFonts w:ascii="Times New Roman" w:hAnsi="Times New Roman" w:cs="Times New Roman"/>
          <w:color w:val="000000" w:themeColor="text1"/>
        </w:rPr>
        <w:t>The findings underscore that implementation delays carry significant developmental, financial, and institutional consequences that extend well beyond schedule performance metrics. Delayed project execution frequently impeded the timely realization of infrastructure benefits, increased overall project expenditures, prolonged financing arrangements, and reduced the efficiency of service delivery. Moreover, persistent delays contributed to declining investor confidence, greater contractual uncertainty, and erosion of public trust in implementation institutions. These outcomes highlight the interconnected nature of project performance and institutional effectiveness, illustrating how implementation delays can undermine both developmental impact and the credibility of governance systems responsible for infrastructure delivery.</w:t>
      </w:r>
    </w:p>
    <w:p w14:paraId="1424C02B" w14:textId="77777777" w:rsidR="00844B88" w:rsidRPr="00AF0CC3" w:rsidRDefault="00844B88" w:rsidP="00844B88">
      <w:pPr>
        <w:rPr>
          <w:rFonts w:ascii="Times New Roman" w:hAnsi="Times New Roman" w:cs="Times New Roman"/>
          <w:color w:val="000000" w:themeColor="text1"/>
        </w:rPr>
      </w:pPr>
    </w:p>
    <w:p w14:paraId="60ECEC97" w14:textId="77777777" w:rsidR="00844B88" w:rsidRPr="00AF0CC3" w:rsidRDefault="00844B88" w:rsidP="00844B88">
      <w:pPr>
        <w:rPr>
          <w:rFonts w:ascii="Times New Roman" w:hAnsi="Times New Roman" w:cs="Times New Roman"/>
          <w:color w:val="000000" w:themeColor="text1"/>
        </w:rPr>
      </w:pPr>
      <w:r w:rsidRPr="00AF0CC3">
        <w:rPr>
          <w:rFonts w:ascii="Times New Roman" w:hAnsi="Times New Roman" w:cs="Times New Roman"/>
          <w:color w:val="000000" w:themeColor="text1"/>
        </w:rPr>
        <w:t xml:space="preserve">The findings further demonstrate that implementation delays in water infrastructure projects have consequences that extend well beyond project execution, affecting critical dimensions of socioeconomic development, including water security, irrigation expansion, flood-control effectiveness, urban water accessibility, drought resilience, agricultural productivity, and local economic development. </w:t>
      </w:r>
    </w:p>
    <w:p w14:paraId="7C3D34D1" w14:textId="77777777" w:rsidR="00844B88" w:rsidRPr="00AF0CC3" w:rsidRDefault="00844B88" w:rsidP="00844B88">
      <w:pPr>
        <w:rPr>
          <w:rFonts w:ascii="Times New Roman" w:hAnsi="Times New Roman" w:cs="Times New Roman"/>
          <w:color w:val="000000" w:themeColor="text1"/>
        </w:rPr>
      </w:pPr>
      <w:r w:rsidRPr="00AF0CC3">
        <w:rPr>
          <w:rFonts w:ascii="Times New Roman" w:hAnsi="Times New Roman" w:cs="Times New Roman"/>
          <w:color w:val="000000" w:themeColor="text1"/>
        </w:rPr>
        <w:lastRenderedPageBreak/>
        <w:t>Delayed infrastructure delivery frequently postponed the realization of anticipated developmental outcomes, thereby limiting the capacity of infrastructure investments to generate intended social and economic benefits. The empirical evidence underscores that implementation delays are not merely operational or scheduling challenges but are indicative of broader governance and institutional constraints that can undermine development effectiveness and long-term socioeconomic progress.</w:t>
      </w:r>
    </w:p>
    <w:p w14:paraId="53203F91" w14:textId="77777777" w:rsidR="00844B88" w:rsidRPr="00AF0CC3" w:rsidRDefault="00844B88" w:rsidP="00844B88">
      <w:pPr>
        <w:rPr>
          <w:rFonts w:ascii="Times New Roman" w:hAnsi="Times New Roman" w:cs="Times New Roman"/>
          <w:color w:val="000000" w:themeColor="text1"/>
        </w:rPr>
      </w:pPr>
    </w:p>
    <w:p w14:paraId="17339171" w14:textId="123BDDD8" w:rsidR="00844B88" w:rsidRPr="00AF0CC3" w:rsidRDefault="00844B88" w:rsidP="00844B88">
      <w:pPr>
        <w:pStyle w:val="Heading3"/>
        <w:rPr>
          <w:rFonts w:cs="Times New Roman"/>
          <w:b w:val="0"/>
          <w:bCs/>
          <w:color w:val="000000" w:themeColor="text1"/>
          <w:szCs w:val="24"/>
        </w:rPr>
      </w:pPr>
      <w:bookmarkStart w:id="402" w:name="_Toc232375992"/>
      <w:bookmarkStart w:id="403" w:name="_Toc234344860"/>
      <w:bookmarkStart w:id="404" w:name="_Toc234489092"/>
      <w:r w:rsidRPr="00AF0CC3">
        <w:rPr>
          <w:rFonts w:cs="Times New Roman"/>
          <w:bCs/>
          <w:color w:val="000000" w:themeColor="text1"/>
          <w:szCs w:val="24"/>
        </w:rPr>
        <w:t>Hypothesis Outcome</w:t>
      </w:r>
      <w:bookmarkEnd w:id="402"/>
      <w:bookmarkEnd w:id="403"/>
      <w:bookmarkEnd w:id="404"/>
    </w:p>
    <w:p w14:paraId="305F67E1" w14:textId="77777777" w:rsidR="00844B88" w:rsidRPr="00AF0CC3" w:rsidRDefault="00844B88" w:rsidP="00844B88">
      <w:pPr>
        <w:rPr>
          <w:rFonts w:ascii="Times New Roman" w:hAnsi="Times New Roman" w:cs="Times New Roman"/>
          <w:b/>
          <w:bCs/>
          <w:color w:val="000000" w:themeColor="text1"/>
        </w:rPr>
      </w:pPr>
      <w:r w:rsidRPr="00AF0CC3">
        <w:rPr>
          <w:rFonts w:ascii="Times New Roman" w:hAnsi="Times New Roman" w:cs="Times New Roman"/>
          <w:b/>
          <w:bCs/>
          <w:color w:val="000000" w:themeColor="text1"/>
        </w:rPr>
        <w:t>Hypothesis two was supported.</w:t>
      </w:r>
    </w:p>
    <w:p w14:paraId="5720F5AF" w14:textId="77777777" w:rsidR="00844B88" w:rsidRPr="00AF0CC3" w:rsidRDefault="00844B88" w:rsidP="00844B88">
      <w:pPr>
        <w:rPr>
          <w:rFonts w:ascii="Times New Roman" w:hAnsi="Times New Roman" w:cs="Times New Roman"/>
          <w:color w:val="000000" w:themeColor="text1"/>
        </w:rPr>
      </w:pPr>
    </w:p>
    <w:p w14:paraId="267E1756" w14:textId="77777777" w:rsidR="00844B88" w:rsidRPr="00AF0CC3" w:rsidRDefault="00844B88" w:rsidP="00844B88">
      <w:pPr>
        <w:rPr>
          <w:rFonts w:ascii="Times New Roman" w:hAnsi="Times New Roman" w:cs="Times New Roman"/>
          <w:color w:val="000000" w:themeColor="text1"/>
        </w:rPr>
      </w:pPr>
      <w:r w:rsidRPr="00AF0CC3">
        <w:rPr>
          <w:rFonts w:ascii="Times New Roman" w:hAnsi="Times New Roman" w:cs="Times New Roman"/>
          <w:color w:val="000000" w:themeColor="text1"/>
        </w:rPr>
        <w:t>Projects operating in stronger governance environments consistently exhibited lower time overruns and greater implementation stability than those in weaker governance environments. The evidence indicates that governance quality contributes to implementation efficiency through improved coordination, oversight, accountability, and project management practices, thereby supporting more timely infrastructure delivery.</w:t>
      </w:r>
    </w:p>
    <w:p w14:paraId="4E521323" w14:textId="77777777" w:rsidR="00844B88" w:rsidRPr="00AF0CC3" w:rsidRDefault="00844B88" w:rsidP="00844B88">
      <w:pPr>
        <w:rPr>
          <w:rFonts w:ascii="Times New Roman" w:hAnsi="Times New Roman" w:cs="Times New Roman"/>
          <w:color w:val="000000" w:themeColor="text1"/>
        </w:rPr>
      </w:pPr>
    </w:p>
    <w:p w14:paraId="3DB4F7D6" w14:textId="1C9AEF79" w:rsidR="00844B88" w:rsidRPr="00AF0CC3" w:rsidRDefault="00844B88" w:rsidP="00844B88">
      <w:pPr>
        <w:pStyle w:val="Heading2"/>
        <w:rPr>
          <w:rFonts w:cs="Times New Roman"/>
          <w:b w:val="0"/>
          <w:bCs/>
          <w:color w:val="000000" w:themeColor="text1"/>
          <w:szCs w:val="24"/>
        </w:rPr>
      </w:pPr>
      <w:bookmarkStart w:id="405" w:name="_Toc232375993"/>
      <w:bookmarkStart w:id="406" w:name="_Toc234344861"/>
      <w:bookmarkStart w:id="407" w:name="_Toc234489093"/>
      <w:r w:rsidRPr="00AF0CC3">
        <w:rPr>
          <w:rFonts w:cs="Times New Roman"/>
          <w:bCs/>
          <w:color w:val="000000" w:themeColor="text1"/>
          <w:szCs w:val="24"/>
        </w:rPr>
        <w:t>Research Question Three</w:t>
      </w:r>
      <w:bookmarkEnd w:id="405"/>
      <w:bookmarkEnd w:id="406"/>
      <w:bookmarkEnd w:id="407"/>
    </w:p>
    <w:p w14:paraId="6294A994" w14:textId="77777777" w:rsidR="00844B88" w:rsidRPr="00AF0CC3" w:rsidRDefault="00844B88" w:rsidP="00844B88">
      <w:pPr>
        <w:rPr>
          <w:rFonts w:ascii="Times New Roman" w:hAnsi="Times New Roman" w:cs="Times New Roman"/>
          <w:b/>
          <w:bCs/>
          <w:color w:val="000000" w:themeColor="text1"/>
        </w:rPr>
      </w:pPr>
      <w:r w:rsidRPr="00AF0CC3">
        <w:rPr>
          <w:rFonts w:ascii="Times New Roman" w:hAnsi="Times New Roman" w:cs="Times New Roman"/>
          <w:b/>
          <w:bCs/>
          <w:color w:val="000000" w:themeColor="text1"/>
        </w:rPr>
        <w:t>Research Question 3:</w:t>
      </w:r>
    </w:p>
    <w:p w14:paraId="7C3A6EA0" w14:textId="77777777" w:rsidR="00844B88" w:rsidRPr="00AF0CC3" w:rsidRDefault="00844B88" w:rsidP="00844B88">
      <w:pPr>
        <w:rPr>
          <w:rFonts w:ascii="Times New Roman" w:hAnsi="Times New Roman" w:cs="Times New Roman"/>
          <w:b/>
          <w:bCs/>
          <w:color w:val="000000" w:themeColor="text1"/>
        </w:rPr>
      </w:pPr>
      <w:r w:rsidRPr="00AF0CC3">
        <w:rPr>
          <w:rFonts w:ascii="Times New Roman" w:hAnsi="Times New Roman" w:cs="Times New Roman"/>
          <w:b/>
          <w:bCs/>
          <w:color w:val="000000" w:themeColor="text1"/>
        </w:rPr>
        <w:t>How does governance quality affect the cost overruns of water management infrastructure projects in Kenya?</w:t>
      </w:r>
    </w:p>
    <w:p w14:paraId="68B2E47D" w14:textId="77777777" w:rsidR="00844B88" w:rsidRPr="00AF0CC3" w:rsidRDefault="00844B88" w:rsidP="00844B88">
      <w:pPr>
        <w:rPr>
          <w:rFonts w:ascii="Times New Roman" w:hAnsi="Times New Roman" w:cs="Times New Roman"/>
          <w:color w:val="000000" w:themeColor="text1"/>
        </w:rPr>
      </w:pPr>
      <w:r w:rsidRPr="00AF0CC3">
        <w:rPr>
          <w:rFonts w:ascii="Times New Roman" w:hAnsi="Times New Roman" w:cs="Times New Roman"/>
          <w:color w:val="000000" w:themeColor="text1"/>
        </w:rPr>
        <w:t>This section advances the study by examining the relationship between governance quality and cost performance across the sampled infrastructure projects. The analysis investigates whether projects operating in stronger governance environments exhibited lower expenditure escalation, greater financial accountability, and improved budgetary control than those in weaker governance environments. Through this assessment, the study provides empirical evidence on the extent to which governance effectiveness is a critical determinant of financial efficiency and sustainable infrastructure delivery.</w:t>
      </w:r>
    </w:p>
    <w:p w14:paraId="31F46CB2" w14:textId="77777777" w:rsidR="00844B88" w:rsidRPr="00AF0CC3" w:rsidRDefault="00844B88" w:rsidP="00844B88">
      <w:pPr>
        <w:rPr>
          <w:rFonts w:ascii="Times New Roman" w:hAnsi="Times New Roman" w:cs="Times New Roman"/>
          <w:color w:val="000000" w:themeColor="text1"/>
        </w:rPr>
      </w:pPr>
      <w:r w:rsidRPr="00AF0CC3">
        <w:rPr>
          <w:rFonts w:ascii="Times New Roman" w:hAnsi="Times New Roman" w:cs="Times New Roman"/>
          <w:color w:val="000000" w:themeColor="text1"/>
        </w:rPr>
        <w:t>Cost overruns are among the most persistent challenges affecting large-scale infrastructure implementation globally. Public infrastructure projects frequently experience cost escalation due to procurement variations, implementation delays, contractual disputes, financing disruptions, inflationary pressures, weak implementation oversight, and administrative inefficiencies.</w:t>
      </w:r>
    </w:p>
    <w:p w14:paraId="08FAC7FA" w14:textId="77777777" w:rsidR="00844B88" w:rsidRPr="00AF0CC3" w:rsidRDefault="00844B88" w:rsidP="00844B88">
      <w:pPr>
        <w:rPr>
          <w:rFonts w:ascii="Times New Roman" w:hAnsi="Times New Roman" w:cs="Times New Roman"/>
          <w:color w:val="000000" w:themeColor="text1"/>
        </w:rPr>
      </w:pPr>
    </w:p>
    <w:p w14:paraId="17D67719" w14:textId="77777777" w:rsidR="00844B88" w:rsidRPr="00AF0CC3" w:rsidRDefault="00844B88" w:rsidP="00844B88">
      <w:pPr>
        <w:rPr>
          <w:rFonts w:ascii="Times New Roman" w:hAnsi="Times New Roman" w:cs="Times New Roman"/>
          <w:color w:val="000000" w:themeColor="text1"/>
        </w:rPr>
      </w:pPr>
      <w:r w:rsidRPr="00AF0CC3">
        <w:rPr>
          <w:rFonts w:ascii="Times New Roman" w:hAnsi="Times New Roman" w:cs="Times New Roman"/>
          <w:color w:val="000000" w:themeColor="text1"/>
        </w:rPr>
        <w:t xml:space="preserve">Within Kenya’s water infrastructure sector, cost overruns have significant developmental and fiscal consequences, as they increase public expenditure requirements, delay infrastructure </w:t>
      </w:r>
      <w:r w:rsidRPr="00AF0CC3">
        <w:rPr>
          <w:rFonts w:ascii="Times New Roman" w:hAnsi="Times New Roman" w:cs="Times New Roman"/>
          <w:color w:val="000000" w:themeColor="text1"/>
        </w:rPr>
        <w:lastRenderedPageBreak/>
        <w:t>delivery, reduce implementation efficiency, and constrain government institutions' ability to finance additional infrastructure investments.</w:t>
      </w:r>
    </w:p>
    <w:p w14:paraId="19A3B32E" w14:textId="77777777" w:rsidR="00844B88" w:rsidRPr="00AF0CC3" w:rsidRDefault="00844B88" w:rsidP="00844B88">
      <w:pPr>
        <w:rPr>
          <w:rFonts w:ascii="Times New Roman" w:hAnsi="Times New Roman" w:cs="Times New Roman"/>
          <w:color w:val="000000" w:themeColor="text1"/>
        </w:rPr>
      </w:pPr>
    </w:p>
    <w:p w14:paraId="381DAEEC" w14:textId="77777777" w:rsidR="00844B88" w:rsidRPr="00AF0CC3" w:rsidRDefault="00844B88" w:rsidP="00844B88">
      <w:pPr>
        <w:rPr>
          <w:rFonts w:ascii="Times New Roman" w:hAnsi="Times New Roman" w:cs="Times New Roman"/>
          <w:color w:val="000000" w:themeColor="text1"/>
        </w:rPr>
      </w:pPr>
      <w:r w:rsidRPr="00AF0CC3">
        <w:rPr>
          <w:rFonts w:ascii="Times New Roman" w:hAnsi="Times New Roman" w:cs="Times New Roman"/>
          <w:color w:val="000000" w:themeColor="text1"/>
        </w:rPr>
        <w:t>Consistent with the conceptual framework developed in Chapter Three, the study hypothesized that stronger governance quality would be associated with lower cost overruns through improved procurement governance, stronger financial oversight, implementation coordination, contractual risk management, and accountability systems.</w:t>
      </w:r>
    </w:p>
    <w:p w14:paraId="65CC6AF3" w14:textId="77777777" w:rsidR="00844B88" w:rsidRPr="00AF0CC3" w:rsidRDefault="00844B88" w:rsidP="00844B88">
      <w:pPr>
        <w:rPr>
          <w:rFonts w:ascii="Times New Roman" w:hAnsi="Times New Roman" w:cs="Times New Roman"/>
          <w:color w:val="000000" w:themeColor="text1"/>
        </w:rPr>
      </w:pPr>
    </w:p>
    <w:p w14:paraId="6E2FD699" w14:textId="77777777" w:rsidR="00844B88" w:rsidRPr="00AF0CC3" w:rsidRDefault="00844B88" w:rsidP="00844B88">
      <w:pPr>
        <w:rPr>
          <w:rFonts w:ascii="Times New Roman" w:hAnsi="Times New Roman" w:cs="Times New Roman"/>
          <w:color w:val="000000" w:themeColor="text1"/>
        </w:rPr>
      </w:pPr>
      <w:r w:rsidRPr="00AF0CC3">
        <w:rPr>
          <w:rFonts w:ascii="Times New Roman" w:hAnsi="Times New Roman" w:cs="Times New Roman"/>
          <w:color w:val="000000" w:themeColor="text1"/>
        </w:rPr>
        <w:t>The availability of expenditure data constrained the analysis of cost overruns, as several infrastructure projects were not yet complete at the time of the study. Accordingly, the findings should be interpreted as reflecting observed patterns within the available dataset rather than definitive estimates of final project cost performance. Although the results provide valuable insight into the relationship between governance quality and financial delivery outcomes, the evolving expenditure profiles of ongoing projects warrant caution when interpreting the magnitude of observed cost variations.</w:t>
      </w:r>
    </w:p>
    <w:p w14:paraId="3C48A21F" w14:textId="77777777" w:rsidR="00844B88" w:rsidRPr="00AF0CC3" w:rsidRDefault="00844B88" w:rsidP="00844B88">
      <w:pPr>
        <w:rPr>
          <w:rFonts w:ascii="Times New Roman" w:hAnsi="Times New Roman" w:cs="Times New Roman"/>
          <w:color w:val="000000" w:themeColor="text1"/>
        </w:rPr>
      </w:pPr>
    </w:p>
    <w:p w14:paraId="49804086" w14:textId="547574D4" w:rsidR="00844B88" w:rsidRPr="00AF0CC3" w:rsidRDefault="00844B88" w:rsidP="00844B88">
      <w:pPr>
        <w:pStyle w:val="Heading3"/>
        <w:rPr>
          <w:rFonts w:cs="Times New Roman"/>
          <w:b w:val="0"/>
          <w:bCs/>
          <w:color w:val="000000" w:themeColor="text1"/>
          <w:szCs w:val="24"/>
        </w:rPr>
      </w:pPr>
      <w:bookmarkStart w:id="408" w:name="_Toc232375994"/>
      <w:bookmarkStart w:id="409" w:name="_Toc234344862"/>
      <w:bookmarkStart w:id="410" w:name="_Toc234489094"/>
      <w:r w:rsidRPr="00AF0CC3">
        <w:rPr>
          <w:rFonts w:cs="Times New Roman"/>
          <w:bCs/>
          <w:color w:val="000000" w:themeColor="text1"/>
          <w:szCs w:val="24"/>
        </w:rPr>
        <w:t>Hypothesis Three - Governance Quality and Cost Overruns</w:t>
      </w:r>
      <w:bookmarkEnd w:id="408"/>
      <w:bookmarkEnd w:id="409"/>
      <w:bookmarkEnd w:id="410"/>
    </w:p>
    <w:p w14:paraId="58383689" w14:textId="77777777" w:rsidR="00844B88" w:rsidRPr="00AF0CC3" w:rsidRDefault="00844B88" w:rsidP="00844B88">
      <w:pPr>
        <w:rPr>
          <w:rFonts w:ascii="Times New Roman" w:hAnsi="Times New Roman" w:cs="Times New Roman"/>
          <w:color w:val="000000" w:themeColor="text1"/>
        </w:rPr>
      </w:pPr>
    </w:p>
    <w:p w14:paraId="7F910826" w14:textId="77777777" w:rsidR="00844B88" w:rsidRPr="00AF0CC3" w:rsidRDefault="00844B88" w:rsidP="00844B88">
      <w:pPr>
        <w:rPr>
          <w:rFonts w:ascii="Times New Roman" w:hAnsi="Times New Roman" w:cs="Times New Roman"/>
          <w:b/>
          <w:bCs/>
          <w:color w:val="000000" w:themeColor="text1"/>
        </w:rPr>
      </w:pPr>
      <w:r w:rsidRPr="00AF0CC3">
        <w:rPr>
          <w:rFonts w:ascii="Times New Roman" w:hAnsi="Times New Roman" w:cs="Times New Roman"/>
          <w:b/>
          <w:bCs/>
          <w:color w:val="000000" w:themeColor="text1"/>
        </w:rPr>
        <w:t>H3: Higher governance quality reduces the magnitude of cost overruns in water infrastructure projects.</w:t>
      </w:r>
    </w:p>
    <w:p w14:paraId="79F28699" w14:textId="77777777" w:rsidR="00844B88" w:rsidRPr="00AF0CC3" w:rsidRDefault="00844B88" w:rsidP="00844B88">
      <w:pPr>
        <w:rPr>
          <w:rFonts w:ascii="Times New Roman" w:hAnsi="Times New Roman" w:cs="Times New Roman"/>
          <w:color w:val="000000" w:themeColor="text1"/>
        </w:rPr>
      </w:pPr>
    </w:p>
    <w:p w14:paraId="682291E4" w14:textId="77777777" w:rsidR="00844B88" w:rsidRPr="00AF0CC3" w:rsidRDefault="00844B88" w:rsidP="00844B88">
      <w:pPr>
        <w:rPr>
          <w:rFonts w:ascii="Times New Roman" w:hAnsi="Times New Roman" w:cs="Times New Roman"/>
          <w:color w:val="000000" w:themeColor="text1"/>
        </w:rPr>
      </w:pPr>
      <w:r w:rsidRPr="00AF0CC3">
        <w:rPr>
          <w:rFonts w:ascii="Times New Roman" w:hAnsi="Times New Roman" w:cs="Times New Roman"/>
          <w:color w:val="000000" w:themeColor="text1"/>
        </w:rPr>
        <w:t>The hypothesis was developed from the infrastructure governance and project management literature, suggesting that projects characterized by stronger governance systems exhibit improved financial discipline, stronger procurement oversight, better contractual risk management, and reduced implementation inefficiency (Flyvbjerg, 2014; Love, Ahiaga-Dagbui &amp; Irani, 2016).</w:t>
      </w:r>
    </w:p>
    <w:p w14:paraId="1143D0D7" w14:textId="77777777" w:rsidR="00844B88" w:rsidRPr="00AF0CC3" w:rsidRDefault="00844B88" w:rsidP="00844B88">
      <w:pPr>
        <w:rPr>
          <w:rFonts w:ascii="Times New Roman" w:hAnsi="Times New Roman" w:cs="Times New Roman"/>
          <w:color w:val="000000" w:themeColor="text1"/>
        </w:rPr>
      </w:pPr>
    </w:p>
    <w:p w14:paraId="76275DA6" w14:textId="3C1919EF" w:rsidR="00844B88" w:rsidRPr="00AF0CC3" w:rsidRDefault="00844B88" w:rsidP="009F5E04">
      <w:pPr>
        <w:rPr>
          <w:rFonts w:ascii="Times New Roman" w:hAnsi="Times New Roman" w:cs="Times New Roman"/>
          <w:color w:val="000000" w:themeColor="text1"/>
        </w:rPr>
      </w:pPr>
      <w:r w:rsidRPr="00AF0CC3">
        <w:rPr>
          <w:rFonts w:ascii="Times New Roman" w:hAnsi="Times New Roman" w:cs="Times New Roman"/>
          <w:color w:val="000000" w:themeColor="text1"/>
        </w:rPr>
        <w:t>This conceptual proposition aligns with the broader theoretical argument that governance quality shapes infrastructure delivery performance by influencing institutional efficiency, implementation stability, and financial certainty.</w:t>
      </w:r>
    </w:p>
    <w:p w14:paraId="5F40A05D" w14:textId="0567A77A" w:rsidR="00844B88" w:rsidRPr="00AF0CC3" w:rsidRDefault="00844B88" w:rsidP="00844B88">
      <w:pPr>
        <w:pStyle w:val="Heading3"/>
        <w:rPr>
          <w:rFonts w:cs="Times New Roman"/>
          <w:b w:val="0"/>
          <w:bCs/>
          <w:color w:val="000000" w:themeColor="text1"/>
          <w:szCs w:val="24"/>
        </w:rPr>
      </w:pPr>
      <w:r w:rsidRPr="00AF0CC3">
        <w:rPr>
          <w:rFonts w:cs="Times New Roman"/>
          <w:bCs/>
          <w:color w:val="000000" w:themeColor="text1"/>
          <w:szCs w:val="24"/>
        </w:rPr>
        <w:t xml:space="preserve"> </w:t>
      </w:r>
      <w:bookmarkStart w:id="411" w:name="_Toc232375995"/>
      <w:bookmarkStart w:id="412" w:name="_Toc234344863"/>
      <w:bookmarkStart w:id="413" w:name="_Toc234489095"/>
      <w:r w:rsidRPr="00AF0CC3">
        <w:rPr>
          <w:rFonts w:cs="Times New Roman"/>
          <w:bCs/>
          <w:color w:val="000000" w:themeColor="text1"/>
          <w:szCs w:val="24"/>
        </w:rPr>
        <w:t>Cost Overrun Analysis</w:t>
      </w:r>
      <w:bookmarkEnd w:id="411"/>
      <w:bookmarkEnd w:id="412"/>
      <w:bookmarkEnd w:id="413"/>
    </w:p>
    <w:p w14:paraId="4D5501C0" w14:textId="77777777" w:rsidR="00844B88" w:rsidRPr="00AF0CC3" w:rsidRDefault="00844B88" w:rsidP="00844B88">
      <w:pPr>
        <w:rPr>
          <w:rFonts w:ascii="Times New Roman" w:hAnsi="Times New Roman" w:cs="Times New Roman"/>
          <w:color w:val="000000" w:themeColor="text1"/>
        </w:rPr>
      </w:pPr>
    </w:p>
    <w:p w14:paraId="51310727" w14:textId="77777777" w:rsidR="00844B88" w:rsidRPr="00AF0CC3" w:rsidRDefault="00844B88" w:rsidP="00844B88">
      <w:pPr>
        <w:rPr>
          <w:rFonts w:ascii="Times New Roman" w:hAnsi="Times New Roman" w:cs="Times New Roman"/>
          <w:color w:val="000000" w:themeColor="text1"/>
        </w:rPr>
      </w:pPr>
      <w:r w:rsidRPr="00AF0CC3">
        <w:rPr>
          <w:rFonts w:ascii="Times New Roman" w:hAnsi="Times New Roman" w:cs="Times New Roman"/>
          <w:color w:val="000000" w:themeColor="text1"/>
        </w:rPr>
        <w:lastRenderedPageBreak/>
        <w:t xml:space="preserve">Cost overrun was measured as the proportional difference between planned project costs and actual expenditure for projects with available financial records. Because several projects were still ongoing during the study period, complete expenditure information was not available for all cases. Accordingly, missing values in the Actual Cost variable should be interpreted as a consequence of project status rather than deficiencies in data quality or reporting. </w:t>
      </w:r>
    </w:p>
    <w:p w14:paraId="60EC4C4A" w14:textId="77777777" w:rsidR="00844B88" w:rsidRPr="00AF0CC3" w:rsidRDefault="00844B88" w:rsidP="00844B88">
      <w:pPr>
        <w:rPr>
          <w:rFonts w:ascii="Times New Roman" w:hAnsi="Times New Roman" w:cs="Times New Roman"/>
          <w:color w:val="000000" w:themeColor="text1"/>
        </w:rPr>
      </w:pPr>
      <w:r w:rsidRPr="00AF0CC3">
        <w:rPr>
          <w:rFonts w:ascii="Times New Roman" w:hAnsi="Times New Roman" w:cs="Times New Roman"/>
          <w:color w:val="000000" w:themeColor="text1"/>
        </w:rPr>
        <w:t>Analysis of projects with complete financial records revealed substantial variation in expenditure outcomes, suggesting differing levels of financial performance across the sampled infrastructure projects.</w:t>
      </w:r>
    </w:p>
    <w:p w14:paraId="6437AD04" w14:textId="6976A6E5" w:rsidR="00844B88" w:rsidRPr="00AF0CC3" w:rsidRDefault="00844B88" w:rsidP="00844B88">
      <w:pPr>
        <w:rPr>
          <w:rFonts w:ascii="Times New Roman" w:hAnsi="Times New Roman" w:cs="Times New Roman"/>
          <w:color w:val="000000" w:themeColor="text1"/>
        </w:rPr>
      </w:pPr>
      <w:r w:rsidRPr="00AF0CC3">
        <w:rPr>
          <w:rFonts w:ascii="Times New Roman" w:hAnsi="Times New Roman" w:cs="Times New Roman"/>
          <w:color w:val="000000" w:themeColor="text1"/>
        </w:rPr>
        <w:t>Table 4</w:t>
      </w:r>
      <w:r w:rsidR="001762A4" w:rsidRPr="00AF0CC3">
        <w:rPr>
          <w:rFonts w:ascii="Times New Roman" w:hAnsi="Times New Roman" w:cs="Times New Roman"/>
          <w:color w:val="000000" w:themeColor="text1"/>
        </w:rPr>
        <w:t>-</w:t>
      </w:r>
      <w:r w:rsidRPr="00AF0CC3">
        <w:rPr>
          <w:rFonts w:ascii="Times New Roman" w:hAnsi="Times New Roman" w:cs="Times New Roman"/>
          <w:color w:val="000000" w:themeColor="text1"/>
        </w:rPr>
        <w:t>8 presents summary statistics for cost-overrun observations.</w:t>
      </w:r>
    </w:p>
    <w:p w14:paraId="7C2E46AE" w14:textId="53D6D7EB" w:rsidR="001762A4" w:rsidRPr="00AF0CC3" w:rsidRDefault="001762A4" w:rsidP="001762A4">
      <w:pPr>
        <w:pStyle w:val="Caption"/>
        <w:keepNext/>
        <w:rPr>
          <w:rFonts w:ascii="Times New Roman" w:hAnsi="Times New Roman" w:cs="Times New Roman"/>
          <w:sz w:val="24"/>
          <w:szCs w:val="24"/>
        </w:rPr>
      </w:pPr>
      <w:bookmarkStart w:id="414" w:name="_Toc234437376"/>
      <w:r w:rsidRPr="00AF0CC3">
        <w:rPr>
          <w:rFonts w:ascii="Times New Roman" w:hAnsi="Times New Roman" w:cs="Times New Roman"/>
          <w:sz w:val="24"/>
          <w:szCs w:val="24"/>
        </w:rPr>
        <w:t xml:space="preserve">Table </w:t>
      </w:r>
      <w:r w:rsidR="007F4206" w:rsidRPr="00AF0CC3">
        <w:rPr>
          <w:rFonts w:ascii="Times New Roman" w:hAnsi="Times New Roman" w:cs="Times New Roman"/>
          <w:sz w:val="24"/>
          <w:szCs w:val="24"/>
        </w:rPr>
        <w:fldChar w:fldCharType="begin"/>
      </w:r>
      <w:r w:rsidR="007F4206" w:rsidRPr="00AF0CC3">
        <w:rPr>
          <w:rFonts w:ascii="Times New Roman" w:hAnsi="Times New Roman" w:cs="Times New Roman"/>
          <w:sz w:val="24"/>
          <w:szCs w:val="24"/>
        </w:rPr>
        <w:instrText xml:space="preserve"> STYLEREF 1 \s </w:instrText>
      </w:r>
      <w:r w:rsidR="007F4206" w:rsidRPr="00AF0CC3">
        <w:rPr>
          <w:rFonts w:ascii="Times New Roman" w:hAnsi="Times New Roman" w:cs="Times New Roman"/>
          <w:sz w:val="24"/>
          <w:szCs w:val="24"/>
        </w:rPr>
        <w:fldChar w:fldCharType="separate"/>
      </w:r>
      <w:r w:rsidR="007F4206" w:rsidRPr="00AF0CC3">
        <w:rPr>
          <w:rFonts w:ascii="Times New Roman" w:hAnsi="Times New Roman" w:cs="Times New Roman"/>
          <w:noProof/>
          <w:sz w:val="24"/>
          <w:szCs w:val="24"/>
        </w:rPr>
        <w:t>4</w:t>
      </w:r>
      <w:r w:rsidR="007F4206" w:rsidRPr="00AF0CC3">
        <w:rPr>
          <w:rFonts w:ascii="Times New Roman" w:hAnsi="Times New Roman" w:cs="Times New Roman"/>
          <w:noProof/>
          <w:sz w:val="24"/>
          <w:szCs w:val="24"/>
        </w:rPr>
        <w:fldChar w:fldCharType="end"/>
      </w:r>
      <w:r w:rsidR="007F4206" w:rsidRPr="00AF0CC3">
        <w:rPr>
          <w:rFonts w:ascii="Times New Roman" w:hAnsi="Times New Roman" w:cs="Times New Roman"/>
          <w:sz w:val="24"/>
          <w:szCs w:val="24"/>
        </w:rPr>
        <w:noBreakHyphen/>
      </w:r>
      <w:r w:rsidR="007F4206" w:rsidRPr="00AF0CC3">
        <w:rPr>
          <w:rFonts w:ascii="Times New Roman" w:hAnsi="Times New Roman" w:cs="Times New Roman"/>
          <w:sz w:val="24"/>
          <w:szCs w:val="24"/>
        </w:rPr>
        <w:fldChar w:fldCharType="begin"/>
      </w:r>
      <w:r w:rsidR="007F4206" w:rsidRPr="00AF0CC3">
        <w:rPr>
          <w:rFonts w:ascii="Times New Roman" w:hAnsi="Times New Roman" w:cs="Times New Roman"/>
          <w:sz w:val="24"/>
          <w:szCs w:val="24"/>
        </w:rPr>
        <w:instrText xml:space="preserve"> SEQ Table \* ARABIC \s 1 </w:instrText>
      </w:r>
      <w:r w:rsidR="007F4206" w:rsidRPr="00AF0CC3">
        <w:rPr>
          <w:rFonts w:ascii="Times New Roman" w:hAnsi="Times New Roman" w:cs="Times New Roman"/>
          <w:sz w:val="24"/>
          <w:szCs w:val="24"/>
        </w:rPr>
        <w:fldChar w:fldCharType="separate"/>
      </w:r>
      <w:r w:rsidR="007F4206" w:rsidRPr="00AF0CC3">
        <w:rPr>
          <w:rFonts w:ascii="Times New Roman" w:hAnsi="Times New Roman" w:cs="Times New Roman"/>
          <w:noProof/>
          <w:sz w:val="24"/>
          <w:szCs w:val="24"/>
        </w:rPr>
        <w:t>8</w:t>
      </w:r>
      <w:r w:rsidR="007F4206" w:rsidRPr="00AF0CC3">
        <w:rPr>
          <w:rFonts w:ascii="Times New Roman" w:hAnsi="Times New Roman" w:cs="Times New Roman"/>
          <w:noProof/>
          <w:sz w:val="24"/>
          <w:szCs w:val="24"/>
        </w:rPr>
        <w:fldChar w:fldCharType="end"/>
      </w:r>
      <w:r w:rsidRPr="00AF0CC3">
        <w:rPr>
          <w:rFonts w:ascii="Times New Roman" w:hAnsi="Times New Roman" w:cs="Times New Roman"/>
          <w:sz w:val="24"/>
          <w:szCs w:val="24"/>
        </w:rPr>
        <w:t xml:space="preserve"> Cost Overrun Summary Statistics</w:t>
      </w:r>
      <w:bookmarkEnd w:id="414"/>
    </w:p>
    <w:tbl>
      <w:tblPr>
        <w:tblW w:w="8835" w:type="dxa"/>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2122"/>
        <w:gridCol w:w="2201"/>
        <w:gridCol w:w="1061"/>
        <w:gridCol w:w="1687"/>
        <w:gridCol w:w="1764"/>
      </w:tblGrid>
      <w:tr w:rsidR="00844B88" w:rsidRPr="00AF0CC3" w14:paraId="13CFF171" w14:textId="77777777" w:rsidTr="00E73C98">
        <w:trPr>
          <w:trHeight w:val="544"/>
          <w:tblHeader/>
          <w:tblCellSpacing w:w="15" w:type="dxa"/>
        </w:trPr>
        <w:tc>
          <w:tcPr>
            <w:tcW w:w="0" w:type="auto"/>
            <w:vAlign w:val="center"/>
            <w:hideMark/>
          </w:tcPr>
          <w:p w14:paraId="4BE9E601" w14:textId="77777777" w:rsidR="00844B88" w:rsidRPr="00AF0CC3" w:rsidRDefault="00844B88" w:rsidP="00E73C98">
            <w:pPr>
              <w:spacing w:after="0" w:line="240" w:lineRule="auto"/>
              <w:jc w:val="center"/>
              <w:rPr>
                <w:rFonts w:ascii="Times New Roman" w:eastAsia="Times New Roman" w:hAnsi="Times New Roman" w:cs="Times New Roman"/>
                <w:b/>
                <w:bCs/>
                <w:color w:val="000000" w:themeColor="text1"/>
                <w:kern w:val="0"/>
                <w14:ligatures w14:val="none"/>
              </w:rPr>
            </w:pPr>
            <w:r w:rsidRPr="00AF0CC3">
              <w:rPr>
                <w:rFonts w:ascii="Times New Roman" w:eastAsia="Times New Roman" w:hAnsi="Times New Roman" w:cs="Times New Roman"/>
                <w:b/>
                <w:bCs/>
                <w:color w:val="000000" w:themeColor="text1"/>
                <w:kern w:val="0"/>
                <w14:ligatures w14:val="none"/>
              </w:rPr>
              <w:t>Variable</w:t>
            </w:r>
          </w:p>
        </w:tc>
        <w:tc>
          <w:tcPr>
            <w:tcW w:w="0" w:type="auto"/>
            <w:vAlign w:val="center"/>
            <w:hideMark/>
          </w:tcPr>
          <w:p w14:paraId="67298A9B" w14:textId="77777777" w:rsidR="00844B88" w:rsidRPr="00AF0CC3" w:rsidRDefault="00844B88" w:rsidP="00E73C98">
            <w:pPr>
              <w:spacing w:after="0" w:line="240" w:lineRule="auto"/>
              <w:jc w:val="right"/>
              <w:rPr>
                <w:rFonts w:ascii="Times New Roman" w:eastAsia="Times New Roman" w:hAnsi="Times New Roman" w:cs="Times New Roman"/>
                <w:b/>
                <w:bCs/>
                <w:color w:val="000000" w:themeColor="text1"/>
                <w:kern w:val="0"/>
                <w14:ligatures w14:val="none"/>
              </w:rPr>
            </w:pPr>
            <w:r w:rsidRPr="00AF0CC3">
              <w:rPr>
                <w:rFonts w:ascii="Times New Roman" w:eastAsia="Times New Roman" w:hAnsi="Times New Roman" w:cs="Times New Roman"/>
                <w:b/>
                <w:bCs/>
                <w:color w:val="000000" w:themeColor="text1"/>
                <w:kern w:val="0"/>
                <w14:ligatures w14:val="none"/>
              </w:rPr>
              <w:t>Observations</w:t>
            </w:r>
          </w:p>
        </w:tc>
        <w:tc>
          <w:tcPr>
            <w:tcW w:w="0" w:type="auto"/>
            <w:vAlign w:val="center"/>
            <w:hideMark/>
          </w:tcPr>
          <w:p w14:paraId="3FB738C5" w14:textId="77777777" w:rsidR="00844B88" w:rsidRPr="00AF0CC3" w:rsidRDefault="00844B88" w:rsidP="00E73C98">
            <w:pPr>
              <w:spacing w:after="0" w:line="240" w:lineRule="auto"/>
              <w:jc w:val="right"/>
              <w:rPr>
                <w:rFonts w:ascii="Times New Roman" w:eastAsia="Times New Roman" w:hAnsi="Times New Roman" w:cs="Times New Roman"/>
                <w:b/>
                <w:bCs/>
                <w:color w:val="000000" w:themeColor="text1"/>
                <w:kern w:val="0"/>
                <w14:ligatures w14:val="none"/>
              </w:rPr>
            </w:pPr>
            <w:r w:rsidRPr="00AF0CC3">
              <w:rPr>
                <w:rFonts w:ascii="Times New Roman" w:eastAsia="Times New Roman" w:hAnsi="Times New Roman" w:cs="Times New Roman"/>
                <w:b/>
                <w:bCs/>
                <w:color w:val="000000" w:themeColor="text1"/>
                <w:kern w:val="0"/>
                <w14:ligatures w14:val="none"/>
              </w:rPr>
              <w:t>Mean</w:t>
            </w:r>
          </w:p>
        </w:tc>
        <w:tc>
          <w:tcPr>
            <w:tcW w:w="0" w:type="auto"/>
            <w:vAlign w:val="center"/>
            <w:hideMark/>
          </w:tcPr>
          <w:p w14:paraId="7309BCF3" w14:textId="77777777" w:rsidR="00844B88" w:rsidRPr="00AF0CC3" w:rsidRDefault="00844B88" w:rsidP="00E73C98">
            <w:pPr>
              <w:spacing w:after="0" w:line="240" w:lineRule="auto"/>
              <w:jc w:val="right"/>
              <w:rPr>
                <w:rFonts w:ascii="Times New Roman" w:eastAsia="Times New Roman" w:hAnsi="Times New Roman" w:cs="Times New Roman"/>
                <w:b/>
                <w:bCs/>
                <w:color w:val="000000" w:themeColor="text1"/>
                <w:kern w:val="0"/>
                <w14:ligatures w14:val="none"/>
              </w:rPr>
            </w:pPr>
            <w:r w:rsidRPr="00AF0CC3">
              <w:rPr>
                <w:rFonts w:ascii="Times New Roman" w:eastAsia="Times New Roman" w:hAnsi="Times New Roman" w:cs="Times New Roman"/>
                <w:b/>
                <w:bCs/>
                <w:color w:val="000000" w:themeColor="text1"/>
                <w:kern w:val="0"/>
                <w14:ligatures w14:val="none"/>
              </w:rPr>
              <w:t>Minimum</w:t>
            </w:r>
          </w:p>
        </w:tc>
        <w:tc>
          <w:tcPr>
            <w:tcW w:w="0" w:type="auto"/>
            <w:vAlign w:val="center"/>
            <w:hideMark/>
          </w:tcPr>
          <w:p w14:paraId="57A298E2" w14:textId="77777777" w:rsidR="00844B88" w:rsidRPr="00AF0CC3" w:rsidRDefault="00844B88" w:rsidP="00E73C98">
            <w:pPr>
              <w:spacing w:after="0" w:line="240" w:lineRule="auto"/>
              <w:jc w:val="right"/>
              <w:rPr>
                <w:rFonts w:ascii="Times New Roman" w:eastAsia="Times New Roman" w:hAnsi="Times New Roman" w:cs="Times New Roman"/>
                <w:b/>
                <w:bCs/>
                <w:color w:val="000000" w:themeColor="text1"/>
                <w:kern w:val="0"/>
                <w14:ligatures w14:val="none"/>
              </w:rPr>
            </w:pPr>
            <w:r w:rsidRPr="00AF0CC3">
              <w:rPr>
                <w:rFonts w:ascii="Times New Roman" w:eastAsia="Times New Roman" w:hAnsi="Times New Roman" w:cs="Times New Roman"/>
                <w:b/>
                <w:bCs/>
                <w:color w:val="000000" w:themeColor="text1"/>
                <w:kern w:val="0"/>
                <w14:ligatures w14:val="none"/>
              </w:rPr>
              <w:t>Maximum</w:t>
            </w:r>
          </w:p>
        </w:tc>
      </w:tr>
      <w:tr w:rsidR="00844B88" w:rsidRPr="00AF0CC3" w14:paraId="5FEC29BD" w14:textId="77777777" w:rsidTr="00E73C98">
        <w:trPr>
          <w:trHeight w:val="544"/>
          <w:tblCellSpacing w:w="15" w:type="dxa"/>
        </w:trPr>
        <w:tc>
          <w:tcPr>
            <w:tcW w:w="0" w:type="auto"/>
            <w:vAlign w:val="center"/>
            <w:hideMark/>
          </w:tcPr>
          <w:p w14:paraId="2B6E3FA3" w14:textId="77777777" w:rsidR="00844B88" w:rsidRPr="00AF0CC3" w:rsidRDefault="00844B88" w:rsidP="00E73C98">
            <w:pPr>
              <w:spacing w:after="0" w:line="240" w:lineRule="auto"/>
              <w:rPr>
                <w:rFonts w:ascii="Times New Roman" w:eastAsia="Times New Roman" w:hAnsi="Times New Roman" w:cs="Times New Roman"/>
                <w:color w:val="000000" w:themeColor="text1"/>
                <w:kern w:val="0"/>
                <w14:ligatures w14:val="none"/>
              </w:rPr>
            </w:pPr>
            <w:r w:rsidRPr="00AF0CC3">
              <w:rPr>
                <w:rFonts w:ascii="Times New Roman" w:eastAsia="Times New Roman" w:hAnsi="Times New Roman" w:cs="Times New Roman"/>
                <w:color w:val="000000" w:themeColor="text1"/>
                <w:kern w:val="0"/>
                <w14:ligatures w14:val="none"/>
              </w:rPr>
              <w:t>Cost Overrun</w:t>
            </w:r>
          </w:p>
        </w:tc>
        <w:tc>
          <w:tcPr>
            <w:tcW w:w="0" w:type="auto"/>
            <w:vAlign w:val="center"/>
            <w:hideMark/>
          </w:tcPr>
          <w:p w14:paraId="3F8C23E9" w14:textId="77777777" w:rsidR="00844B88" w:rsidRPr="00AF0CC3" w:rsidRDefault="00844B88" w:rsidP="00E73C98">
            <w:pPr>
              <w:spacing w:after="0" w:line="240" w:lineRule="auto"/>
              <w:jc w:val="right"/>
              <w:rPr>
                <w:rFonts w:ascii="Times New Roman" w:eastAsia="Times New Roman" w:hAnsi="Times New Roman" w:cs="Times New Roman"/>
                <w:color w:val="000000" w:themeColor="text1"/>
                <w:kern w:val="0"/>
                <w14:ligatures w14:val="none"/>
              </w:rPr>
            </w:pPr>
            <w:r w:rsidRPr="00AF0CC3">
              <w:rPr>
                <w:rFonts w:ascii="Times New Roman" w:eastAsia="Times New Roman" w:hAnsi="Times New Roman" w:cs="Times New Roman"/>
                <w:color w:val="000000" w:themeColor="text1"/>
                <w:kern w:val="0"/>
                <w14:ligatures w14:val="none"/>
              </w:rPr>
              <w:t>28</w:t>
            </w:r>
          </w:p>
        </w:tc>
        <w:tc>
          <w:tcPr>
            <w:tcW w:w="0" w:type="auto"/>
            <w:vAlign w:val="center"/>
            <w:hideMark/>
          </w:tcPr>
          <w:p w14:paraId="7E4A775C" w14:textId="77777777" w:rsidR="00844B88" w:rsidRPr="00AF0CC3" w:rsidRDefault="00844B88" w:rsidP="00E73C98">
            <w:pPr>
              <w:spacing w:after="0" w:line="240" w:lineRule="auto"/>
              <w:jc w:val="right"/>
              <w:rPr>
                <w:rFonts w:ascii="Times New Roman" w:eastAsia="Times New Roman" w:hAnsi="Times New Roman" w:cs="Times New Roman"/>
                <w:color w:val="000000" w:themeColor="text1"/>
                <w:kern w:val="0"/>
                <w14:ligatures w14:val="none"/>
              </w:rPr>
            </w:pPr>
            <w:r w:rsidRPr="00AF0CC3">
              <w:rPr>
                <w:rFonts w:ascii="Times New Roman" w:eastAsia="Times New Roman" w:hAnsi="Times New Roman" w:cs="Times New Roman"/>
                <w:color w:val="000000" w:themeColor="text1"/>
                <w:kern w:val="0"/>
                <w14:ligatures w14:val="none"/>
              </w:rPr>
              <w:t>-0.028</w:t>
            </w:r>
          </w:p>
        </w:tc>
        <w:tc>
          <w:tcPr>
            <w:tcW w:w="0" w:type="auto"/>
            <w:vAlign w:val="center"/>
            <w:hideMark/>
          </w:tcPr>
          <w:p w14:paraId="09D1FCD6" w14:textId="77777777" w:rsidR="00844B88" w:rsidRPr="00AF0CC3" w:rsidRDefault="00844B88" w:rsidP="00E73C98">
            <w:pPr>
              <w:spacing w:after="0" w:line="240" w:lineRule="auto"/>
              <w:jc w:val="right"/>
              <w:rPr>
                <w:rFonts w:ascii="Times New Roman" w:eastAsia="Times New Roman" w:hAnsi="Times New Roman" w:cs="Times New Roman"/>
                <w:color w:val="000000" w:themeColor="text1"/>
                <w:kern w:val="0"/>
                <w14:ligatures w14:val="none"/>
              </w:rPr>
            </w:pPr>
            <w:r w:rsidRPr="00AF0CC3">
              <w:rPr>
                <w:rFonts w:ascii="Times New Roman" w:eastAsia="Times New Roman" w:hAnsi="Times New Roman" w:cs="Times New Roman"/>
                <w:color w:val="000000" w:themeColor="text1"/>
                <w:kern w:val="0"/>
                <w14:ligatures w14:val="none"/>
              </w:rPr>
              <w:t>-0.775</w:t>
            </w:r>
          </w:p>
        </w:tc>
        <w:tc>
          <w:tcPr>
            <w:tcW w:w="0" w:type="auto"/>
            <w:vAlign w:val="center"/>
            <w:hideMark/>
          </w:tcPr>
          <w:p w14:paraId="57DD4D52" w14:textId="77777777" w:rsidR="00844B88" w:rsidRPr="00AF0CC3" w:rsidRDefault="00844B88" w:rsidP="00E73C98">
            <w:pPr>
              <w:spacing w:after="0" w:line="240" w:lineRule="auto"/>
              <w:jc w:val="right"/>
              <w:rPr>
                <w:rFonts w:ascii="Times New Roman" w:eastAsia="Times New Roman" w:hAnsi="Times New Roman" w:cs="Times New Roman"/>
                <w:color w:val="000000" w:themeColor="text1"/>
                <w:kern w:val="0"/>
                <w14:ligatures w14:val="none"/>
              </w:rPr>
            </w:pPr>
            <w:r w:rsidRPr="00AF0CC3">
              <w:rPr>
                <w:rFonts w:ascii="Times New Roman" w:eastAsia="Times New Roman" w:hAnsi="Times New Roman" w:cs="Times New Roman"/>
                <w:color w:val="000000" w:themeColor="text1"/>
                <w:kern w:val="0"/>
                <w14:ligatures w14:val="none"/>
              </w:rPr>
              <w:t>0.706</w:t>
            </w:r>
          </w:p>
        </w:tc>
      </w:tr>
    </w:tbl>
    <w:p w14:paraId="020A2788" w14:textId="77777777" w:rsidR="00844B88" w:rsidRPr="00AF0CC3" w:rsidRDefault="00844B88" w:rsidP="00844B88">
      <w:pPr>
        <w:rPr>
          <w:rFonts w:ascii="Times New Roman" w:hAnsi="Times New Roman" w:cs="Times New Roman"/>
          <w:b/>
          <w:bCs/>
          <w:color w:val="000000" w:themeColor="text1"/>
        </w:rPr>
      </w:pPr>
    </w:p>
    <w:p w14:paraId="5A9B4726" w14:textId="77777777" w:rsidR="00844B88" w:rsidRPr="00AF0CC3" w:rsidRDefault="00844B88" w:rsidP="00844B88">
      <w:pPr>
        <w:rPr>
          <w:rFonts w:ascii="Times New Roman" w:hAnsi="Times New Roman" w:cs="Times New Roman"/>
          <w:color w:val="000000" w:themeColor="text1"/>
        </w:rPr>
      </w:pPr>
      <w:r w:rsidRPr="00AF0CC3">
        <w:rPr>
          <w:rFonts w:ascii="Times New Roman" w:hAnsi="Times New Roman" w:cs="Times New Roman"/>
          <w:color w:val="000000" w:themeColor="text1"/>
        </w:rPr>
        <w:t>The observed variation in cost-overrun outcomes suggests substantial differences in financial implementation performance across projects. Some projects experienced considerable expenditure escalation due to implementation delays, procurement variations, contractual disputes, inflationary pressures, and implementation restructuring.</w:t>
      </w:r>
    </w:p>
    <w:p w14:paraId="1205663C" w14:textId="77777777" w:rsidR="00844B88" w:rsidRPr="00AF0CC3" w:rsidRDefault="00844B88" w:rsidP="00844B88">
      <w:pPr>
        <w:rPr>
          <w:rFonts w:ascii="Times New Roman" w:hAnsi="Times New Roman" w:cs="Times New Roman"/>
          <w:color w:val="000000" w:themeColor="text1"/>
        </w:rPr>
      </w:pPr>
    </w:p>
    <w:p w14:paraId="742FC5B7" w14:textId="77777777" w:rsidR="00844B88" w:rsidRPr="00AF0CC3" w:rsidRDefault="00844B88" w:rsidP="00844B88">
      <w:pPr>
        <w:rPr>
          <w:rFonts w:ascii="Times New Roman" w:hAnsi="Times New Roman" w:cs="Times New Roman"/>
          <w:color w:val="000000" w:themeColor="text1"/>
        </w:rPr>
      </w:pPr>
      <w:r w:rsidRPr="00AF0CC3">
        <w:rPr>
          <w:rFonts w:ascii="Times New Roman" w:hAnsi="Times New Roman" w:cs="Times New Roman"/>
          <w:color w:val="000000" w:themeColor="text1"/>
        </w:rPr>
        <w:t xml:space="preserve">Although some projects recorded expenditure levels below their approved budgets, these observations should be interpreted within the context of project implementation status. Because several projects remained ongoing at the time of data collection, expenditure reporting for these cases was inherently incomplete and did not necessarily reflect final project costs. </w:t>
      </w:r>
    </w:p>
    <w:p w14:paraId="67C0E6FA" w14:textId="1B91A9CB" w:rsidR="00844B88" w:rsidRPr="00AF0CC3" w:rsidRDefault="00844B88" w:rsidP="00844B88">
      <w:pPr>
        <w:rPr>
          <w:rFonts w:ascii="Times New Roman" w:hAnsi="Times New Roman" w:cs="Times New Roman"/>
          <w:color w:val="000000" w:themeColor="text1"/>
        </w:rPr>
      </w:pPr>
      <w:r w:rsidRPr="00AF0CC3">
        <w:rPr>
          <w:rFonts w:ascii="Times New Roman" w:hAnsi="Times New Roman" w:cs="Times New Roman"/>
          <w:color w:val="000000" w:themeColor="text1"/>
        </w:rPr>
        <w:t xml:space="preserve">Accordingly, the negative average value observed in the cost-overrun variable is attributable to incomplete expenditure realization rather than evidence of systematic under-budget implementation. Nevertheless, the available financial data </w:t>
      </w:r>
      <w:r w:rsidR="007E319C" w:rsidRPr="00AF0CC3">
        <w:rPr>
          <w:rFonts w:ascii="Times New Roman" w:hAnsi="Times New Roman" w:cs="Times New Roman"/>
          <w:color w:val="000000" w:themeColor="text1"/>
        </w:rPr>
        <w:t>reveals</w:t>
      </w:r>
      <w:r w:rsidRPr="00AF0CC3">
        <w:rPr>
          <w:rFonts w:ascii="Times New Roman" w:hAnsi="Times New Roman" w:cs="Times New Roman"/>
          <w:color w:val="000000" w:themeColor="text1"/>
        </w:rPr>
        <w:t xml:space="preserve"> notable variation in expenditure outcomes across the sampled projects and implementing institutions, indicating differing levels of financial management performance and budget execution effectiveness.</w:t>
      </w:r>
    </w:p>
    <w:p w14:paraId="6E69FB6E" w14:textId="77777777" w:rsidR="00844B88" w:rsidRPr="00AF0CC3" w:rsidRDefault="00844B88" w:rsidP="00844B88">
      <w:pPr>
        <w:rPr>
          <w:rFonts w:ascii="Times New Roman" w:hAnsi="Times New Roman" w:cs="Times New Roman"/>
          <w:color w:val="000000" w:themeColor="text1"/>
        </w:rPr>
      </w:pPr>
    </w:p>
    <w:p w14:paraId="72DF9967" w14:textId="5187B35B" w:rsidR="00844B88" w:rsidRPr="00AF0CC3" w:rsidRDefault="00844B88" w:rsidP="009F5E04">
      <w:pPr>
        <w:pStyle w:val="Heading3"/>
        <w:rPr>
          <w:rFonts w:cs="Times New Roman"/>
          <w:color w:val="000000" w:themeColor="text1"/>
          <w:szCs w:val="24"/>
        </w:rPr>
      </w:pPr>
      <w:bookmarkStart w:id="415" w:name="_Toc232375996"/>
      <w:bookmarkStart w:id="416" w:name="_Toc234344864"/>
      <w:bookmarkStart w:id="417" w:name="_Toc234489096"/>
      <w:r w:rsidRPr="00AF0CC3">
        <w:rPr>
          <w:rFonts w:cs="Times New Roman"/>
          <w:color w:val="000000" w:themeColor="text1"/>
          <w:szCs w:val="24"/>
        </w:rPr>
        <w:t>Governance Quality and Financial Performance</w:t>
      </w:r>
      <w:bookmarkEnd w:id="415"/>
      <w:bookmarkEnd w:id="416"/>
      <w:bookmarkEnd w:id="417"/>
    </w:p>
    <w:p w14:paraId="070CFABC" w14:textId="77777777" w:rsidR="00844B88" w:rsidRPr="00AF0CC3" w:rsidRDefault="00844B88" w:rsidP="00844B88">
      <w:pPr>
        <w:rPr>
          <w:rFonts w:ascii="Times New Roman" w:hAnsi="Times New Roman" w:cs="Times New Roman"/>
          <w:color w:val="000000" w:themeColor="text1"/>
        </w:rPr>
      </w:pPr>
    </w:p>
    <w:p w14:paraId="17FBAA95" w14:textId="77777777" w:rsidR="00844B88" w:rsidRPr="00AF0CC3" w:rsidRDefault="00844B88" w:rsidP="00844B88">
      <w:pPr>
        <w:rPr>
          <w:rFonts w:ascii="Times New Roman" w:hAnsi="Times New Roman" w:cs="Times New Roman"/>
          <w:color w:val="000000" w:themeColor="text1"/>
        </w:rPr>
      </w:pPr>
      <w:r w:rsidRPr="00AF0CC3">
        <w:rPr>
          <w:rFonts w:ascii="Times New Roman" w:hAnsi="Times New Roman" w:cs="Times New Roman"/>
          <w:color w:val="000000" w:themeColor="text1"/>
        </w:rPr>
        <w:t xml:space="preserve">The documentary evidence underscored the relationship between governance deficiencies and heightened financial uncertainty across the sampled infrastructure projects. Projects operating </w:t>
      </w:r>
      <w:r w:rsidRPr="00AF0CC3">
        <w:rPr>
          <w:rFonts w:ascii="Times New Roman" w:hAnsi="Times New Roman" w:cs="Times New Roman"/>
          <w:color w:val="000000" w:themeColor="text1"/>
        </w:rPr>
        <w:lastRenderedPageBreak/>
        <w:t xml:space="preserve">within weaker governance environments were more susceptible to procurement disruptions, financing interruptions, contractual disputes, delayed payment obligations, implementation restructuring, audit-related interventions, and administrative coordination failures. </w:t>
      </w:r>
    </w:p>
    <w:p w14:paraId="2CCBD705" w14:textId="77777777" w:rsidR="00844B88" w:rsidRPr="00AF0CC3" w:rsidRDefault="00844B88" w:rsidP="00844B88">
      <w:pPr>
        <w:rPr>
          <w:rFonts w:ascii="Times New Roman" w:hAnsi="Times New Roman" w:cs="Times New Roman"/>
          <w:color w:val="000000" w:themeColor="text1"/>
        </w:rPr>
      </w:pPr>
      <w:r w:rsidRPr="00AF0CC3">
        <w:rPr>
          <w:rFonts w:ascii="Times New Roman" w:hAnsi="Times New Roman" w:cs="Times New Roman"/>
          <w:color w:val="000000" w:themeColor="text1"/>
        </w:rPr>
        <w:t>The cumulative effect of these institutional and financial challenges contributed to expenditure volatility, implementation instability, and diminished project continuity, thereby increasing the risk of prolonged delays and weakened financial delivery performance.</w:t>
      </w:r>
    </w:p>
    <w:p w14:paraId="230499D5" w14:textId="29D4E9D7" w:rsidR="00844B88" w:rsidRPr="00AF0CC3" w:rsidRDefault="00844B88" w:rsidP="00844B88">
      <w:pPr>
        <w:rPr>
          <w:rFonts w:ascii="Times New Roman" w:hAnsi="Times New Roman" w:cs="Times New Roman"/>
          <w:color w:val="000000" w:themeColor="text1"/>
        </w:rPr>
      </w:pPr>
      <w:r w:rsidRPr="00AF0CC3">
        <w:rPr>
          <w:rFonts w:ascii="Times New Roman" w:hAnsi="Times New Roman" w:cs="Times New Roman"/>
          <w:color w:val="000000" w:themeColor="text1"/>
        </w:rPr>
        <w:t xml:space="preserve">Although complete expenditure data </w:t>
      </w:r>
      <w:r w:rsidR="007E319C" w:rsidRPr="00AF0CC3">
        <w:rPr>
          <w:rFonts w:ascii="Times New Roman" w:hAnsi="Times New Roman" w:cs="Times New Roman"/>
          <w:color w:val="000000" w:themeColor="text1"/>
        </w:rPr>
        <w:t>was</w:t>
      </w:r>
      <w:r w:rsidRPr="00AF0CC3">
        <w:rPr>
          <w:rFonts w:ascii="Times New Roman" w:hAnsi="Times New Roman" w:cs="Times New Roman"/>
          <w:color w:val="000000" w:themeColor="text1"/>
        </w:rPr>
        <w:t xml:space="preserve"> unavailable for all projects, documentary evidence indicated that projects with stronger governance environments generally exhibited greater financial stability and more predictable expenditure outcomes. In contrast, projects experiencing procurement disputes, financing interruptions, delayed payments, contractual challenges, and oversight deficiencies frequently exhibited higher levels of expenditure volatility. The observed patterns indicate that financial performance may be shaped by the extent to which governance systems minimize implementation disruptions and maintain stable project execution conditions throughout the delivery process.</w:t>
      </w:r>
    </w:p>
    <w:p w14:paraId="028E5101" w14:textId="77777777" w:rsidR="00844B88" w:rsidRPr="00AF0CC3" w:rsidRDefault="00844B88" w:rsidP="00844B88">
      <w:pPr>
        <w:rPr>
          <w:rFonts w:ascii="Times New Roman" w:hAnsi="Times New Roman" w:cs="Times New Roman"/>
          <w:color w:val="000000" w:themeColor="text1"/>
        </w:rPr>
      </w:pPr>
      <w:r w:rsidRPr="00AF0CC3">
        <w:rPr>
          <w:rFonts w:ascii="Times New Roman" w:hAnsi="Times New Roman" w:cs="Times New Roman"/>
          <w:color w:val="000000" w:themeColor="text1"/>
        </w:rPr>
        <w:t>The results provide compelling evidence that robust governance systems are a critical pillar of effective infrastructure delivery, as projects operating in stronger governance environments consistently exhibited greater procurement integrity, financial accountability, contractual certainty, implementation oversight, payment reliability, and organizational continuity. These governance strengths enhanced institutional resilience, reduced implementation uncertainty, and supported the sustained execution of project activities, thereby improving overall project performance and financial delivery outcomes.</w:t>
      </w:r>
    </w:p>
    <w:p w14:paraId="28C657ED" w14:textId="77777777" w:rsidR="00844B88" w:rsidRPr="00AF0CC3" w:rsidRDefault="00844B88" w:rsidP="00844B88">
      <w:pPr>
        <w:rPr>
          <w:rFonts w:ascii="Times New Roman" w:hAnsi="Times New Roman" w:cs="Times New Roman"/>
          <w:color w:val="000000" w:themeColor="text1"/>
        </w:rPr>
      </w:pPr>
    </w:p>
    <w:p w14:paraId="5C27DA4B" w14:textId="77777777" w:rsidR="00844B88" w:rsidRPr="00AF0CC3" w:rsidRDefault="00844B88" w:rsidP="00844B88">
      <w:pPr>
        <w:rPr>
          <w:rFonts w:ascii="Times New Roman" w:hAnsi="Times New Roman" w:cs="Times New Roman"/>
          <w:color w:val="000000" w:themeColor="text1"/>
        </w:rPr>
      </w:pPr>
      <w:r w:rsidRPr="00AF0CC3">
        <w:rPr>
          <w:rFonts w:ascii="Times New Roman" w:hAnsi="Times New Roman" w:cs="Times New Roman"/>
          <w:color w:val="000000" w:themeColor="text1"/>
        </w:rPr>
        <w:t>Although incomplete expenditure data limited the extent to which definitive conclusions could be drawn, the observed patterns indicate that projects with stronger governance systems experienced more stable financial delivery outcomes and lower levels of implementation uncertainty than those operating under weaker governance arrangements.</w:t>
      </w:r>
    </w:p>
    <w:p w14:paraId="7FEE4CC1" w14:textId="77777777" w:rsidR="00844B88" w:rsidRPr="00AF0CC3" w:rsidRDefault="00844B88" w:rsidP="00844B88">
      <w:pPr>
        <w:rPr>
          <w:rFonts w:ascii="Times New Roman" w:hAnsi="Times New Roman" w:cs="Times New Roman"/>
          <w:b/>
          <w:bCs/>
          <w:color w:val="000000" w:themeColor="text1"/>
        </w:rPr>
      </w:pPr>
    </w:p>
    <w:p w14:paraId="74037C53" w14:textId="3CE1B36A" w:rsidR="00844B88" w:rsidRPr="00AF0CC3" w:rsidRDefault="00844B88" w:rsidP="009F5E04">
      <w:pPr>
        <w:pStyle w:val="Heading3"/>
        <w:rPr>
          <w:rFonts w:cs="Times New Roman"/>
          <w:color w:val="000000" w:themeColor="text1"/>
          <w:szCs w:val="24"/>
        </w:rPr>
      </w:pPr>
      <w:bookmarkStart w:id="418" w:name="_Toc232375997"/>
      <w:bookmarkStart w:id="419" w:name="_Toc234344865"/>
      <w:bookmarkStart w:id="420" w:name="_Toc234489097"/>
      <w:r w:rsidRPr="00AF0CC3">
        <w:rPr>
          <w:rFonts w:cs="Times New Roman"/>
          <w:color w:val="000000" w:themeColor="text1"/>
          <w:szCs w:val="24"/>
        </w:rPr>
        <w:t>Financial Implications of Stalled Projects</w:t>
      </w:r>
      <w:bookmarkEnd w:id="418"/>
      <w:bookmarkEnd w:id="419"/>
      <w:bookmarkEnd w:id="420"/>
    </w:p>
    <w:p w14:paraId="44C571DD" w14:textId="77777777" w:rsidR="00844B88" w:rsidRPr="00AF0CC3" w:rsidRDefault="00844B88" w:rsidP="00844B88">
      <w:pPr>
        <w:rPr>
          <w:rFonts w:ascii="Times New Roman" w:hAnsi="Times New Roman" w:cs="Times New Roman"/>
          <w:color w:val="000000" w:themeColor="text1"/>
        </w:rPr>
      </w:pPr>
    </w:p>
    <w:p w14:paraId="65AE12E9" w14:textId="77777777" w:rsidR="00844B88" w:rsidRPr="00AF0CC3" w:rsidRDefault="00844B88" w:rsidP="00844B88">
      <w:pPr>
        <w:rPr>
          <w:rFonts w:ascii="Times New Roman" w:hAnsi="Times New Roman" w:cs="Times New Roman"/>
          <w:color w:val="000000" w:themeColor="text1"/>
        </w:rPr>
      </w:pPr>
      <w:r w:rsidRPr="00AF0CC3">
        <w:rPr>
          <w:rFonts w:ascii="Times New Roman" w:hAnsi="Times New Roman" w:cs="Times New Roman"/>
          <w:color w:val="000000" w:themeColor="text1"/>
        </w:rPr>
        <w:t xml:space="preserve">The documentary evidence further revealed that the fiscal consequences of stalled infrastructure projects were particularly acute among large-scale dam and water-storage investments. Projects such as Arror Dam, Kimwarer Dam, High Grand Falls Dam, and Karimenu II Dam were characterized by substantial public capital commitments, long-term financing obligations, and heightened implementation complexity, thereby amplifying the financial risks associated with project delays and governance deficiencies. </w:t>
      </w:r>
    </w:p>
    <w:p w14:paraId="62185680" w14:textId="77777777" w:rsidR="00844B88" w:rsidRPr="00AF0CC3" w:rsidRDefault="00844B88" w:rsidP="00844B88">
      <w:pPr>
        <w:rPr>
          <w:rFonts w:ascii="Times New Roman" w:hAnsi="Times New Roman" w:cs="Times New Roman"/>
          <w:color w:val="000000" w:themeColor="text1"/>
        </w:rPr>
      </w:pPr>
      <w:r w:rsidRPr="00AF0CC3">
        <w:rPr>
          <w:rFonts w:ascii="Times New Roman" w:hAnsi="Times New Roman" w:cs="Times New Roman"/>
          <w:color w:val="000000" w:themeColor="text1"/>
        </w:rPr>
        <w:lastRenderedPageBreak/>
        <w:t>The Arror and Kimwarer dam projects alone represented a combined approved investment value of KES 101 billion, highlighting the considerable scale of public resources exposed to prolonged implementation uncertainty. These observations underscore the broader fiscal significance of governance effectiveness in safeguarding public investment and sustaining infrastructure delivery performance.</w:t>
      </w:r>
    </w:p>
    <w:p w14:paraId="5ABB4EE1" w14:textId="77777777" w:rsidR="00844B88" w:rsidRPr="00AF0CC3" w:rsidRDefault="00844B88" w:rsidP="00844B88">
      <w:pPr>
        <w:rPr>
          <w:rFonts w:ascii="Times New Roman" w:hAnsi="Times New Roman" w:cs="Times New Roman"/>
          <w:color w:val="000000" w:themeColor="text1"/>
        </w:rPr>
      </w:pPr>
      <w:r w:rsidRPr="00AF0CC3">
        <w:rPr>
          <w:rFonts w:ascii="Times New Roman" w:hAnsi="Times New Roman" w:cs="Times New Roman"/>
          <w:color w:val="000000" w:themeColor="text1"/>
        </w:rPr>
        <w:t>The implementation disruptions affecting these projects generated substantial fiscal implications that extended beyond immediate project delivery challenges. Delayed infrastructure delivery postponed the realization of intended economic and developmental benefits, while extended financing obligations prolonged public financial commitments. Additional consequences included heightened implementation uncertainty, increased administrative costs, prolonged contractual exposure, and reduced infrastructure productivity, collectively reducing the efficiency with which public resources were translated into development outcomes.</w:t>
      </w:r>
    </w:p>
    <w:p w14:paraId="5ECDFA88" w14:textId="77777777" w:rsidR="00844B88" w:rsidRPr="00AF0CC3" w:rsidRDefault="00844B88" w:rsidP="00844B88">
      <w:pPr>
        <w:rPr>
          <w:rFonts w:ascii="Times New Roman" w:hAnsi="Times New Roman" w:cs="Times New Roman"/>
          <w:color w:val="000000" w:themeColor="text1"/>
        </w:rPr>
      </w:pPr>
    </w:p>
    <w:p w14:paraId="1F1129B8" w14:textId="77777777" w:rsidR="00844B88" w:rsidRPr="00AF0CC3" w:rsidRDefault="00844B88" w:rsidP="00844B88">
      <w:pPr>
        <w:rPr>
          <w:rFonts w:ascii="Times New Roman" w:hAnsi="Times New Roman" w:cs="Times New Roman"/>
          <w:color w:val="000000" w:themeColor="text1"/>
        </w:rPr>
      </w:pPr>
      <w:r w:rsidRPr="00AF0CC3">
        <w:rPr>
          <w:rFonts w:ascii="Times New Roman" w:hAnsi="Times New Roman" w:cs="Times New Roman"/>
          <w:color w:val="000000" w:themeColor="text1"/>
        </w:rPr>
        <w:t>The evidence further indicates that governance weaknesses within large-scale infrastructure projects were frequently associated with conditions that increased fiscal risk and financial uncertainty. Projects experiencing prolonged implementation delays often encountered administrative and contractual challenges that contributed to less predictable financial performance and greater exposure to implementation-related risks.</w:t>
      </w:r>
    </w:p>
    <w:p w14:paraId="707A4A69" w14:textId="77777777" w:rsidR="00844B88" w:rsidRPr="00AF0CC3" w:rsidRDefault="00844B88" w:rsidP="00844B88">
      <w:pPr>
        <w:rPr>
          <w:rFonts w:ascii="Times New Roman" w:hAnsi="Times New Roman" w:cs="Times New Roman"/>
          <w:color w:val="000000" w:themeColor="text1"/>
        </w:rPr>
      </w:pPr>
    </w:p>
    <w:p w14:paraId="1E85A4CB" w14:textId="77777777" w:rsidR="00844B88" w:rsidRPr="00AF0CC3" w:rsidRDefault="00844B88" w:rsidP="00844B88">
      <w:pPr>
        <w:rPr>
          <w:rFonts w:ascii="Times New Roman" w:hAnsi="Times New Roman" w:cs="Times New Roman"/>
          <w:color w:val="000000" w:themeColor="text1"/>
        </w:rPr>
      </w:pPr>
      <w:r w:rsidRPr="00AF0CC3">
        <w:rPr>
          <w:rFonts w:ascii="Times New Roman" w:hAnsi="Times New Roman" w:cs="Times New Roman"/>
          <w:color w:val="000000" w:themeColor="text1"/>
        </w:rPr>
        <w:t>Furthermore, extended implementation periods increased vulnerability to inflationary pressures, exchange-rate fluctuations, financing renegotiations, and contractual adjustment costs, thereby increasing expenditure uncertainty over time. These observations are consistent with the broader infrastructure governance literature, which identifies weak governance arrangements as an important factor associated with expenditure escalation, reduced value for money, and long-term financial inefficiencies in public infrastructure projects (Flyvbjerg, 2014).</w:t>
      </w:r>
    </w:p>
    <w:p w14:paraId="080FC2F6" w14:textId="77777777" w:rsidR="00844B88" w:rsidRPr="00AF0CC3" w:rsidRDefault="00844B88" w:rsidP="00844B88">
      <w:pPr>
        <w:rPr>
          <w:rFonts w:ascii="Times New Roman" w:hAnsi="Times New Roman" w:cs="Times New Roman"/>
          <w:color w:val="000000" w:themeColor="text1"/>
        </w:rPr>
      </w:pPr>
    </w:p>
    <w:p w14:paraId="5FB70838" w14:textId="47BA87DF" w:rsidR="00844B88" w:rsidRPr="00AF0CC3" w:rsidRDefault="00844B88" w:rsidP="00844B88">
      <w:pPr>
        <w:pStyle w:val="Heading3"/>
        <w:rPr>
          <w:rFonts w:cs="Times New Roman"/>
          <w:b w:val="0"/>
          <w:bCs/>
          <w:color w:val="000000" w:themeColor="text1"/>
          <w:szCs w:val="24"/>
        </w:rPr>
      </w:pPr>
      <w:bookmarkStart w:id="421" w:name="_Toc232375998"/>
      <w:bookmarkStart w:id="422" w:name="_Toc234344866"/>
      <w:bookmarkStart w:id="423" w:name="_Toc234489098"/>
      <w:r w:rsidRPr="00AF0CC3">
        <w:rPr>
          <w:rFonts w:cs="Times New Roman"/>
          <w:bCs/>
          <w:color w:val="000000" w:themeColor="text1"/>
          <w:szCs w:val="24"/>
        </w:rPr>
        <w:t>Governance Weaknesses Associated with Financial Inefficiency</w:t>
      </w:r>
      <w:bookmarkEnd w:id="421"/>
      <w:bookmarkEnd w:id="422"/>
      <w:bookmarkEnd w:id="423"/>
    </w:p>
    <w:p w14:paraId="0BC336AC" w14:textId="77777777" w:rsidR="00844B88" w:rsidRPr="00AF0CC3" w:rsidRDefault="00844B88" w:rsidP="00844B88">
      <w:pPr>
        <w:rPr>
          <w:rFonts w:ascii="Times New Roman" w:hAnsi="Times New Roman" w:cs="Times New Roman"/>
          <w:color w:val="000000" w:themeColor="text1"/>
        </w:rPr>
      </w:pPr>
    </w:p>
    <w:p w14:paraId="5B150E4B" w14:textId="77777777" w:rsidR="00844B88" w:rsidRPr="00AF0CC3" w:rsidRDefault="00844B88" w:rsidP="00844B88">
      <w:pPr>
        <w:rPr>
          <w:rFonts w:ascii="Times New Roman" w:hAnsi="Times New Roman" w:cs="Times New Roman"/>
          <w:color w:val="000000" w:themeColor="text1"/>
        </w:rPr>
      </w:pPr>
      <w:r w:rsidRPr="00AF0CC3">
        <w:rPr>
          <w:rFonts w:ascii="Times New Roman" w:hAnsi="Times New Roman" w:cs="Times New Roman"/>
          <w:color w:val="000000" w:themeColor="text1"/>
        </w:rPr>
        <w:t xml:space="preserve">The documentary evidence further revealed that projects experiencing financial inefficiencies and implementation uncertainty frequently exhibited common governance-related challenges. These included weaknesses in procurement transparency, delayed payment systems, incomplete project preparation, unclear contractual risk allocation, weak implementation monitoring, fragmented institutional coordination, delayed responses to audit findings, implementation restructuring, and inconsistencies in project documentation. </w:t>
      </w:r>
    </w:p>
    <w:p w14:paraId="51D23AB9" w14:textId="77777777" w:rsidR="00844B88" w:rsidRPr="00AF0CC3" w:rsidRDefault="00844B88" w:rsidP="00844B88">
      <w:pPr>
        <w:rPr>
          <w:rFonts w:ascii="Times New Roman" w:hAnsi="Times New Roman" w:cs="Times New Roman"/>
          <w:color w:val="000000" w:themeColor="text1"/>
        </w:rPr>
      </w:pPr>
      <w:r w:rsidRPr="00AF0CC3">
        <w:rPr>
          <w:rFonts w:ascii="Times New Roman" w:hAnsi="Times New Roman" w:cs="Times New Roman"/>
          <w:color w:val="000000" w:themeColor="text1"/>
        </w:rPr>
        <w:lastRenderedPageBreak/>
        <w:t>The recurrence of these governance challenges across multiple projects confirms the presence of important institutional factors associated with implementation instability, reduced financial efficiency, and weaker project delivery performance.</w:t>
      </w:r>
    </w:p>
    <w:p w14:paraId="09239F21" w14:textId="77777777" w:rsidR="00844B88" w:rsidRPr="00AF0CC3" w:rsidRDefault="00844B88" w:rsidP="00844B88">
      <w:pPr>
        <w:rPr>
          <w:rFonts w:ascii="Times New Roman" w:hAnsi="Times New Roman" w:cs="Times New Roman"/>
          <w:b/>
          <w:bCs/>
          <w:color w:val="000000" w:themeColor="text1"/>
        </w:rPr>
      </w:pPr>
    </w:p>
    <w:p w14:paraId="369C7940" w14:textId="77777777" w:rsidR="00844B88" w:rsidRPr="00AF0CC3" w:rsidRDefault="00844B88" w:rsidP="00844B88">
      <w:pPr>
        <w:rPr>
          <w:rFonts w:ascii="Times New Roman" w:hAnsi="Times New Roman" w:cs="Times New Roman"/>
          <w:color w:val="000000" w:themeColor="text1"/>
        </w:rPr>
      </w:pPr>
      <w:r w:rsidRPr="00AF0CC3">
        <w:rPr>
          <w:rFonts w:ascii="Times New Roman" w:hAnsi="Times New Roman" w:cs="Times New Roman"/>
          <w:color w:val="000000" w:themeColor="text1"/>
        </w:rPr>
        <w:t>Projects characterized by governance weaknesses exhibited greater implementation instability and higher levels of financial uncertainty. Weaknesses in procurement management, contractual administration, implementation monitoring, financial oversight, and institutional coordination frequently coincided with less predictable implementation and expenditure outcomes. These observations indicate that governance quality is closely associated with infrastructure financial performance through a range of interrelated institutional processes operating across the project lifecycle.</w:t>
      </w:r>
    </w:p>
    <w:p w14:paraId="2BE451EF" w14:textId="77777777" w:rsidR="00844B88" w:rsidRPr="00AF0CC3" w:rsidRDefault="00844B88" w:rsidP="00844B88">
      <w:pPr>
        <w:rPr>
          <w:rFonts w:ascii="Times New Roman" w:hAnsi="Times New Roman" w:cs="Times New Roman"/>
          <w:color w:val="000000" w:themeColor="text1"/>
        </w:rPr>
      </w:pPr>
    </w:p>
    <w:p w14:paraId="712814D0" w14:textId="77777777" w:rsidR="00844B88" w:rsidRPr="00AF0CC3" w:rsidRDefault="00844B88" w:rsidP="00844B88">
      <w:pPr>
        <w:rPr>
          <w:rFonts w:ascii="Times New Roman" w:hAnsi="Times New Roman" w:cs="Times New Roman"/>
          <w:color w:val="000000" w:themeColor="text1"/>
        </w:rPr>
      </w:pPr>
      <w:r w:rsidRPr="00AF0CC3">
        <w:rPr>
          <w:rFonts w:ascii="Times New Roman" w:hAnsi="Times New Roman" w:cs="Times New Roman"/>
          <w:color w:val="000000" w:themeColor="text1"/>
        </w:rPr>
        <w:t>The results further indicate that cost overruns cannot be fully understood as technical budgeting issues alone. Across the sampled projects, expenditure challenges were often observed alongside governance-related constraints affecting procurement integrity, accountability mechanisms, implementation coordination, financial management systems, and administrative oversight. Consequently, financial delivery performance reflects not only the accuracy of project cost estimates but also the effectiveness of the governance arrangements supporting project implementation.</w:t>
      </w:r>
    </w:p>
    <w:p w14:paraId="29B36B59" w14:textId="77777777" w:rsidR="00844B88" w:rsidRPr="00AF0CC3" w:rsidRDefault="00844B88" w:rsidP="00844B88">
      <w:pPr>
        <w:rPr>
          <w:rFonts w:ascii="Times New Roman" w:hAnsi="Times New Roman" w:cs="Times New Roman"/>
          <w:color w:val="000000" w:themeColor="text1"/>
        </w:rPr>
      </w:pPr>
    </w:p>
    <w:p w14:paraId="6329EB81" w14:textId="79C9E269" w:rsidR="00844B88" w:rsidRPr="00AF0CC3" w:rsidRDefault="00844B88" w:rsidP="00844B88">
      <w:pPr>
        <w:pStyle w:val="Heading3"/>
        <w:rPr>
          <w:rFonts w:cs="Times New Roman"/>
          <w:b w:val="0"/>
          <w:bCs/>
          <w:color w:val="000000" w:themeColor="text1"/>
          <w:szCs w:val="24"/>
        </w:rPr>
      </w:pPr>
      <w:bookmarkStart w:id="424" w:name="_Toc232375999"/>
      <w:bookmarkStart w:id="425" w:name="_Toc234344867"/>
      <w:bookmarkStart w:id="426" w:name="_Toc234489099"/>
      <w:r w:rsidRPr="00AF0CC3">
        <w:rPr>
          <w:rFonts w:cs="Times New Roman"/>
          <w:bCs/>
          <w:color w:val="000000" w:themeColor="text1"/>
          <w:szCs w:val="24"/>
        </w:rPr>
        <w:t>Limitations of Cost Overrun Analysis</w:t>
      </w:r>
      <w:bookmarkEnd w:id="424"/>
      <w:bookmarkEnd w:id="425"/>
      <w:bookmarkEnd w:id="426"/>
    </w:p>
    <w:p w14:paraId="5A3C9A37" w14:textId="77777777" w:rsidR="00844B88" w:rsidRPr="00AF0CC3" w:rsidRDefault="00844B88" w:rsidP="00844B88">
      <w:pPr>
        <w:rPr>
          <w:rFonts w:ascii="Times New Roman" w:hAnsi="Times New Roman" w:cs="Times New Roman"/>
          <w:color w:val="000000" w:themeColor="text1"/>
        </w:rPr>
      </w:pPr>
    </w:p>
    <w:p w14:paraId="61F50E77" w14:textId="77777777" w:rsidR="00844B88" w:rsidRPr="00AF0CC3" w:rsidRDefault="00844B88" w:rsidP="00844B88">
      <w:pPr>
        <w:rPr>
          <w:rFonts w:ascii="Times New Roman" w:hAnsi="Times New Roman" w:cs="Times New Roman"/>
          <w:color w:val="000000" w:themeColor="text1"/>
        </w:rPr>
      </w:pPr>
      <w:r w:rsidRPr="00AF0CC3">
        <w:rPr>
          <w:rFonts w:ascii="Times New Roman" w:hAnsi="Times New Roman" w:cs="Times New Roman"/>
          <w:color w:val="000000" w:themeColor="text1"/>
        </w:rPr>
        <w:t>The interpretation of the cost-overrun results should be undertaken within the context of several data-related limitations. The analysis was constrained by incomplete expenditure information because several infrastructure projects remained under implementation at the time of data collection and had not yet reached financial completion. Consequently, final expenditure outcomes were unavailable for some projects, resulting in structurally unavailable observations rather than conventional missing data.</w:t>
      </w:r>
    </w:p>
    <w:p w14:paraId="1138C6F2" w14:textId="77777777" w:rsidR="00844B88" w:rsidRPr="00AF0CC3" w:rsidRDefault="00844B88" w:rsidP="00844B88">
      <w:pPr>
        <w:rPr>
          <w:rFonts w:ascii="Times New Roman" w:hAnsi="Times New Roman" w:cs="Times New Roman"/>
          <w:color w:val="000000" w:themeColor="text1"/>
        </w:rPr>
      </w:pPr>
    </w:p>
    <w:p w14:paraId="4A34F1FA" w14:textId="77777777" w:rsidR="00844B88" w:rsidRPr="00AF0CC3" w:rsidRDefault="00844B88" w:rsidP="00844B88">
      <w:pPr>
        <w:rPr>
          <w:rFonts w:ascii="Times New Roman" w:hAnsi="Times New Roman" w:cs="Times New Roman"/>
          <w:color w:val="000000" w:themeColor="text1"/>
        </w:rPr>
      </w:pPr>
      <w:r w:rsidRPr="00AF0CC3">
        <w:rPr>
          <w:rFonts w:ascii="Times New Roman" w:hAnsi="Times New Roman" w:cs="Times New Roman"/>
          <w:color w:val="000000" w:themeColor="text1"/>
        </w:rPr>
        <w:t>In addition, certain projects lacked sufficiently consistent and verifiable expenditure documentation to support standardized financial analysis. These constraints reduced the scope of the cost-overrun dataset and limited the robustness of statistical inference regarding the relationship between governance quality and financial delivery performance.</w:t>
      </w:r>
    </w:p>
    <w:p w14:paraId="6C33E945" w14:textId="77777777" w:rsidR="00844B88" w:rsidRPr="00AF0CC3" w:rsidRDefault="00844B88" w:rsidP="00844B88">
      <w:pPr>
        <w:rPr>
          <w:rFonts w:ascii="Times New Roman" w:hAnsi="Times New Roman" w:cs="Times New Roman"/>
          <w:color w:val="000000" w:themeColor="text1"/>
        </w:rPr>
      </w:pPr>
    </w:p>
    <w:p w14:paraId="1E88FA06" w14:textId="77777777" w:rsidR="00844B88" w:rsidRPr="00AF0CC3" w:rsidRDefault="00844B88" w:rsidP="00844B88">
      <w:pPr>
        <w:rPr>
          <w:rFonts w:ascii="Times New Roman" w:hAnsi="Times New Roman" w:cs="Times New Roman"/>
          <w:color w:val="000000" w:themeColor="text1"/>
        </w:rPr>
      </w:pPr>
      <w:r w:rsidRPr="00AF0CC3">
        <w:rPr>
          <w:rFonts w:ascii="Times New Roman" w:hAnsi="Times New Roman" w:cs="Times New Roman"/>
          <w:color w:val="000000" w:themeColor="text1"/>
        </w:rPr>
        <w:lastRenderedPageBreak/>
        <w:t>Notwithstanding these limitations, the available expenditure records, documentary evidence, and observed implementation patterns provide valuable insights into the institutional factors associated with financial performance across the sampled projects. The evidence contributes to understanding how governance arrangements may shape expenditure outcomes, implementation continuity, and financial management practices in Kenya’s water infrastructure sector, while recognizing that future assessments using completed project expenditure data may provide a more comprehensive evaluation of these relationships.</w:t>
      </w:r>
    </w:p>
    <w:p w14:paraId="07EC78B2" w14:textId="77777777" w:rsidR="00844B88" w:rsidRPr="00AF0CC3" w:rsidRDefault="00844B88" w:rsidP="00844B88">
      <w:pPr>
        <w:rPr>
          <w:rFonts w:ascii="Times New Roman" w:hAnsi="Times New Roman" w:cs="Times New Roman"/>
          <w:color w:val="000000" w:themeColor="text1"/>
        </w:rPr>
      </w:pPr>
    </w:p>
    <w:p w14:paraId="15DF0734" w14:textId="61E4C421" w:rsidR="00844B88" w:rsidRPr="00AF0CC3" w:rsidRDefault="00844B88" w:rsidP="00844B88">
      <w:pPr>
        <w:pStyle w:val="Heading3"/>
        <w:rPr>
          <w:rFonts w:cs="Times New Roman"/>
          <w:b w:val="0"/>
          <w:bCs/>
          <w:color w:val="000000" w:themeColor="text1"/>
          <w:szCs w:val="24"/>
        </w:rPr>
      </w:pPr>
      <w:bookmarkStart w:id="427" w:name="_Toc232376000"/>
      <w:bookmarkStart w:id="428" w:name="_Toc234344868"/>
      <w:bookmarkStart w:id="429" w:name="_Toc234489100"/>
      <w:r w:rsidRPr="00AF0CC3">
        <w:rPr>
          <w:rFonts w:cs="Times New Roman"/>
          <w:bCs/>
          <w:color w:val="000000" w:themeColor="text1"/>
          <w:szCs w:val="24"/>
        </w:rPr>
        <w:t>Hypothesis Outcome</w:t>
      </w:r>
      <w:bookmarkEnd w:id="427"/>
      <w:bookmarkEnd w:id="428"/>
      <w:bookmarkEnd w:id="429"/>
    </w:p>
    <w:p w14:paraId="282414C2" w14:textId="77777777" w:rsidR="00844B88" w:rsidRPr="00AF0CC3" w:rsidRDefault="00844B88" w:rsidP="00844B88">
      <w:pPr>
        <w:rPr>
          <w:rFonts w:ascii="Times New Roman" w:hAnsi="Times New Roman" w:cs="Times New Roman"/>
          <w:b/>
          <w:bCs/>
          <w:color w:val="000000" w:themeColor="text1"/>
        </w:rPr>
      </w:pPr>
      <w:r w:rsidRPr="00AF0CC3">
        <w:rPr>
          <w:rFonts w:ascii="Times New Roman" w:hAnsi="Times New Roman" w:cs="Times New Roman"/>
          <w:b/>
          <w:bCs/>
          <w:color w:val="000000" w:themeColor="text1"/>
        </w:rPr>
        <w:t>Hypothesis three received partial support.</w:t>
      </w:r>
    </w:p>
    <w:p w14:paraId="0B3D192B" w14:textId="77777777" w:rsidR="00844B88" w:rsidRPr="00AF0CC3" w:rsidRDefault="00844B88" w:rsidP="00844B88">
      <w:pPr>
        <w:rPr>
          <w:rFonts w:ascii="Times New Roman" w:hAnsi="Times New Roman" w:cs="Times New Roman"/>
          <w:color w:val="000000" w:themeColor="text1"/>
        </w:rPr>
      </w:pPr>
      <w:r w:rsidRPr="00AF0CC3">
        <w:rPr>
          <w:rFonts w:ascii="Times New Roman" w:hAnsi="Times New Roman" w:cs="Times New Roman"/>
          <w:color w:val="000000" w:themeColor="text1"/>
        </w:rPr>
        <w:t>Projects operating in weaker governance environments were more likely to exhibit financial uncertainty, implementation instability, and variability in expenditure outcomes. However, the explanatory power of the cost-overrun analysis was constrained by incomplete expenditure records associated with projects that had not reached financial completion, thereby limiting the scope of statistical inference.</w:t>
      </w:r>
    </w:p>
    <w:p w14:paraId="41FB2D0F" w14:textId="77777777" w:rsidR="00844B88" w:rsidRPr="00AF0CC3" w:rsidRDefault="00844B88" w:rsidP="00844B88">
      <w:pPr>
        <w:rPr>
          <w:rFonts w:ascii="Times New Roman" w:hAnsi="Times New Roman" w:cs="Times New Roman"/>
          <w:color w:val="000000" w:themeColor="text1"/>
        </w:rPr>
      </w:pPr>
    </w:p>
    <w:p w14:paraId="5BFC7941" w14:textId="77777777" w:rsidR="00844B88" w:rsidRPr="00AF0CC3" w:rsidRDefault="00844B88" w:rsidP="00844B88">
      <w:pPr>
        <w:rPr>
          <w:rFonts w:ascii="Times New Roman" w:hAnsi="Times New Roman" w:cs="Times New Roman"/>
          <w:color w:val="000000" w:themeColor="text1"/>
        </w:rPr>
      </w:pPr>
      <w:r w:rsidRPr="00AF0CC3">
        <w:rPr>
          <w:rFonts w:ascii="Times New Roman" w:hAnsi="Times New Roman" w:cs="Times New Roman"/>
          <w:color w:val="000000" w:themeColor="text1"/>
        </w:rPr>
        <w:t>The partial support observed for Hypothesis Three likely reflects data limitations associated with ongoing projects rather than evidence that governance quality is unrelated to financial performance. Several projects remained under implementation at the time of data collection, resulting in incomplete actual-cost information and reducing the precision of cost-overrun estimation. Accordingly, the observed patterns should be interpreted as indicative of an association between governance quality and financial delivery performance, while recognizing that a more comprehensive assessment would require finalized expenditure data for the full project portfolio.</w:t>
      </w:r>
    </w:p>
    <w:p w14:paraId="7FC4A686" w14:textId="77777777" w:rsidR="00844B88" w:rsidRPr="00AF0CC3" w:rsidRDefault="00844B88" w:rsidP="00844B88">
      <w:pPr>
        <w:rPr>
          <w:rFonts w:ascii="Times New Roman" w:hAnsi="Times New Roman" w:cs="Times New Roman"/>
          <w:color w:val="000000" w:themeColor="text1"/>
        </w:rPr>
      </w:pPr>
    </w:p>
    <w:p w14:paraId="363562CF" w14:textId="77777777" w:rsidR="00844B88" w:rsidRPr="00AF0CC3" w:rsidRDefault="00844B88" w:rsidP="00844B88">
      <w:pPr>
        <w:rPr>
          <w:rFonts w:ascii="Times New Roman" w:hAnsi="Times New Roman" w:cs="Times New Roman"/>
          <w:color w:val="000000" w:themeColor="text1"/>
        </w:rPr>
      </w:pPr>
      <w:r w:rsidRPr="00AF0CC3">
        <w:rPr>
          <w:rFonts w:ascii="Times New Roman" w:hAnsi="Times New Roman" w:cs="Times New Roman"/>
          <w:color w:val="000000" w:themeColor="text1"/>
        </w:rPr>
        <w:t>Future analyses using completed expenditure records may provide a more robust assessment of governance–cost relationships and further clarify the extent to which governance quality influences financial delivery performance in large-scale infrastructure projects.</w:t>
      </w:r>
    </w:p>
    <w:p w14:paraId="391C6A0E" w14:textId="77777777" w:rsidR="00844B88" w:rsidRPr="00AF0CC3" w:rsidRDefault="00844B88" w:rsidP="00844B88">
      <w:pPr>
        <w:rPr>
          <w:rFonts w:ascii="Times New Roman" w:hAnsi="Times New Roman" w:cs="Times New Roman"/>
          <w:color w:val="000000" w:themeColor="text1"/>
        </w:rPr>
      </w:pPr>
    </w:p>
    <w:p w14:paraId="121D602C" w14:textId="14F3A7D0" w:rsidR="00844B88" w:rsidRPr="00AF0CC3" w:rsidRDefault="00844B88" w:rsidP="00844B88">
      <w:pPr>
        <w:pStyle w:val="Heading2"/>
        <w:rPr>
          <w:rFonts w:cs="Times New Roman"/>
          <w:b w:val="0"/>
          <w:bCs/>
          <w:color w:val="000000" w:themeColor="text1"/>
          <w:szCs w:val="24"/>
        </w:rPr>
      </w:pPr>
      <w:bookmarkStart w:id="430" w:name="_Toc232376001"/>
      <w:bookmarkStart w:id="431" w:name="_Toc234344869"/>
      <w:bookmarkStart w:id="432" w:name="_Toc234489101"/>
      <w:r w:rsidRPr="00AF0CC3">
        <w:rPr>
          <w:rFonts w:cs="Times New Roman"/>
          <w:bCs/>
          <w:color w:val="000000" w:themeColor="text1"/>
          <w:szCs w:val="24"/>
        </w:rPr>
        <w:t>Research Question Four</w:t>
      </w:r>
      <w:bookmarkEnd w:id="430"/>
      <w:bookmarkEnd w:id="431"/>
      <w:bookmarkEnd w:id="432"/>
    </w:p>
    <w:p w14:paraId="0BFF3D99" w14:textId="77777777" w:rsidR="00844B88" w:rsidRPr="00AF0CC3" w:rsidRDefault="00844B88" w:rsidP="00844B88">
      <w:pPr>
        <w:rPr>
          <w:rFonts w:ascii="Times New Roman" w:hAnsi="Times New Roman" w:cs="Times New Roman"/>
          <w:b/>
          <w:bCs/>
          <w:color w:val="000000" w:themeColor="text1"/>
        </w:rPr>
      </w:pPr>
      <w:r w:rsidRPr="00AF0CC3">
        <w:rPr>
          <w:rFonts w:ascii="Times New Roman" w:hAnsi="Times New Roman" w:cs="Times New Roman"/>
          <w:b/>
          <w:bCs/>
          <w:color w:val="000000" w:themeColor="text1"/>
        </w:rPr>
        <w:t>Research Question 4:</w:t>
      </w:r>
    </w:p>
    <w:p w14:paraId="59EAC03E" w14:textId="77777777" w:rsidR="00844B88" w:rsidRPr="00AF0CC3" w:rsidRDefault="00844B88" w:rsidP="00844B88">
      <w:pPr>
        <w:rPr>
          <w:rFonts w:ascii="Times New Roman" w:hAnsi="Times New Roman" w:cs="Times New Roman"/>
          <w:b/>
          <w:bCs/>
          <w:color w:val="000000" w:themeColor="text1"/>
        </w:rPr>
      </w:pPr>
      <w:r w:rsidRPr="00AF0CC3">
        <w:rPr>
          <w:rFonts w:ascii="Times New Roman" w:hAnsi="Times New Roman" w:cs="Times New Roman"/>
          <w:b/>
          <w:bCs/>
          <w:color w:val="000000" w:themeColor="text1"/>
        </w:rPr>
        <w:t>How does climate risk interact with governance quality to shape project outcomes of water management infrastructure projects in Kenya?</w:t>
      </w:r>
    </w:p>
    <w:p w14:paraId="1DDDE411" w14:textId="77777777" w:rsidR="00844B88" w:rsidRPr="00AF0CC3" w:rsidRDefault="00844B88" w:rsidP="00844B88">
      <w:pPr>
        <w:rPr>
          <w:rFonts w:ascii="Times New Roman" w:hAnsi="Times New Roman" w:cs="Times New Roman"/>
          <w:color w:val="000000" w:themeColor="text1"/>
        </w:rPr>
      </w:pPr>
      <w:r w:rsidRPr="00AF0CC3">
        <w:rPr>
          <w:rFonts w:ascii="Times New Roman" w:hAnsi="Times New Roman" w:cs="Times New Roman"/>
          <w:color w:val="000000" w:themeColor="text1"/>
        </w:rPr>
        <w:lastRenderedPageBreak/>
        <w:t>This section examines the moderating effects of climate exposure and political transition conditions on infrastructure delivery outcomes across the sampled water infrastructure projects. Attention is given to the extent to which external environmental and political conditions influence implementation performance, project stalling, and delivery outcomes, as well as the capacity of projects operating under stronger governance arrangements to maintain implementation continuity under such circumstances.</w:t>
      </w:r>
    </w:p>
    <w:p w14:paraId="648315F9" w14:textId="77777777" w:rsidR="00844B88" w:rsidRPr="00AF0CC3" w:rsidRDefault="00844B88" w:rsidP="00844B88">
      <w:pPr>
        <w:rPr>
          <w:rFonts w:ascii="Times New Roman" w:hAnsi="Times New Roman" w:cs="Times New Roman"/>
          <w:color w:val="000000" w:themeColor="text1"/>
        </w:rPr>
      </w:pPr>
      <w:r w:rsidRPr="00AF0CC3">
        <w:rPr>
          <w:rFonts w:ascii="Times New Roman" w:hAnsi="Times New Roman" w:cs="Times New Roman"/>
          <w:color w:val="000000" w:themeColor="text1"/>
        </w:rPr>
        <w:t>Owing to the limited sample size (n = 32), formal interaction modeling was not undertaken because the inclusion of interaction terms would have reduced statistical reliability and increased the risk of model overfitting. Instead, climate exposure and political transition conditions were examined through structured documentary analysis and comparative assessment to identify recurring implementation patterns, governance responses, and institutional adaptation mechanisms across projects. Consequently, the findings regarding climate and political influences should be interpreted as analytically informed observations rather than as statistically estimated moderation effects.</w:t>
      </w:r>
    </w:p>
    <w:p w14:paraId="13EEDB55" w14:textId="77777777" w:rsidR="00844B88" w:rsidRPr="00AF0CC3" w:rsidRDefault="00844B88" w:rsidP="00844B88">
      <w:pPr>
        <w:rPr>
          <w:rFonts w:ascii="Times New Roman" w:hAnsi="Times New Roman" w:cs="Times New Roman"/>
          <w:color w:val="000000" w:themeColor="text1"/>
        </w:rPr>
      </w:pPr>
    </w:p>
    <w:p w14:paraId="4D61189B" w14:textId="77777777" w:rsidR="00844B88" w:rsidRPr="00AF0CC3" w:rsidRDefault="00844B88" w:rsidP="00844B88">
      <w:pPr>
        <w:rPr>
          <w:rFonts w:ascii="Times New Roman" w:hAnsi="Times New Roman" w:cs="Times New Roman"/>
          <w:color w:val="000000" w:themeColor="text1"/>
        </w:rPr>
      </w:pPr>
      <w:r w:rsidRPr="00AF0CC3">
        <w:rPr>
          <w:rFonts w:ascii="Times New Roman" w:hAnsi="Times New Roman" w:cs="Times New Roman"/>
          <w:color w:val="000000" w:themeColor="text1"/>
        </w:rPr>
        <w:t>Infrastructure implementation within the water sector is inherently exposed to environmental uncertainty, climatic variability, institutional change, and political disruption. Large-scale water infrastructure projects typically extend over lengthy implementation periods and involve multiple stakeholders, financing arrangements, environmental compliance requirements, procurement processes, and implementation phases. As a result, these projects are especially vulnerable to disruptions arising from climate-related events and periods of political transition.</w:t>
      </w:r>
    </w:p>
    <w:p w14:paraId="20F9CC26" w14:textId="77777777" w:rsidR="00844B88" w:rsidRPr="00AF0CC3" w:rsidRDefault="00844B88" w:rsidP="00844B88">
      <w:pPr>
        <w:rPr>
          <w:rFonts w:ascii="Times New Roman" w:hAnsi="Times New Roman" w:cs="Times New Roman"/>
          <w:color w:val="000000" w:themeColor="text1"/>
        </w:rPr>
      </w:pPr>
    </w:p>
    <w:p w14:paraId="2A199F7A" w14:textId="77777777" w:rsidR="00844B88" w:rsidRPr="00AF0CC3" w:rsidRDefault="00844B88" w:rsidP="00844B88">
      <w:pPr>
        <w:rPr>
          <w:rFonts w:ascii="Times New Roman" w:hAnsi="Times New Roman" w:cs="Times New Roman"/>
          <w:color w:val="000000" w:themeColor="text1"/>
        </w:rPr>
      </w:pPr>
      <w:r w:rsidRPr="00AF0CC3">
        <w:rPr>
          <w:rFonts w:ascii="Times New Roman" w:hAnsi="Times New Roman" w:cs="Times New Roman"/>
          <w:color w:val="000000" w:themeColor="text1"/>
        </w:rPr>
        <w:t>As outlined in the conceptual framework presented in Chapter Three, climate exposure and political transition conditions were expected to shape infrastructure delivery outcomes by influencing the operating environment within which projects are implemented. Governance quality was further conceptualized as an institutional factor that may strengthen resilience by enhancing coordination, oversight, adaptability, and continuity of implementation during periods of external disruption.</w:t>
      </w:r>
    </w:p>
    <w:p w14:paraId="3407E4B6" w14:textId="77777777" w:rsidR="00844B88" w:rsidRPr="00AF0CC3" w:rsidRDefault="00844B88" w:rsidP="00844B88">
      <w:pPr>
        <w:rPr>
          <w:rFonts w:ascii="Times New Roman" w:hAnsi="Times New Roman" w:cs="Times New Roman"/>
          <w:color w:val="000000" w:themeColor="text1"/>
        </w:rPr>
      </w:pPr>
    </w:p>
    <w:p w14:paraId="352743B9" w14:textId="5C6A3357" w:rsidR="00844B88" w:rsidRPr="00AF0CC3" w:rsidRDefault="00844B88" w:rsidP="00090D16">
      <w:pPr>
        <w:rPr>
          <w:rFonts w:ascii="Times New Roman" w:hAnsi="Times New Roman" w:cs="Times New Roman"/>
          <w:color w:val="000000" w:themeColor="text1"/>
        </w:rPr>
      </w:pPr>
      <w:r w:rsidRPr="00AF0CC3">
        <w:rPr>
          <w:rFonts w:ascii="Times New Roman" w:hAnsi="Times New Roman" w:cs="Times New Roman"/>
          <w:color w:val="000000" w:themeColor="text1"/>
        </w:rPr>
        <w:t>Accordingly, the discussion that follows explores how environmental and political conditions interact with governance arrangements to shape project implementation trajectories and delivery outcomes across the sampled infrastructure projects.</w:t>
      </w:r>
    </w:p>
    <w:p w14:paraId="3E5DDC2F" w14:textId="43E8BD68" w:rsidR="00844B88" w:rsidRPr="00AF0CC3" w:rsidRDefault="00844B88" w:rsidP="00844B88">
      <w:pPr>
        <w:pStyle w:val="Heading3"/>
        <w:rPr>
          <w:rFonts w:cs="Times New Roman"/>
          <w:b w:val="0"/>
          <w:bCs/>
          <w:color w:val="000000" w:themeColor="text1"/>
          <w:szCs w:val="24"/>
        </w:rPr>
      </w:pPr>
      <w:bookmarkStart w:id="433" w:name="_Toc232376002"/>
      <w:bookmarkStart w:id="434" w:name="_Toc234344870"/>
      <w:bookmarkStart w:id="435" w:name="_Toc234489102"/>
      <w:r w:rsidRPr="00AF0CC3">
        <w:rPr>
          <w:rFonts w:cs="Times New Roman"/>
          <w:bCs/>
          <w:color w:val="000000" w:themeColor="text1"/>
          <w:szCs w:val="24"/>
        </w:rPr>
        <w:t>Hypothesis Four – Climate Interaction.</w:t>
      </w:r>
      <w:bookmarkEnd w:id="433"/>
      <w:bookmarkEnd w:id="434"/>
      <w:bookmarkEnd w:id="435"/>
      <w:r w:rsidRPr="00AF0CC3">
        <w:rPr>
          <w:rFonts w:cs="Times New Roman"/>
          <w:bCs/>
          <w:color w:val="000000" w:themeColor="text1"/>
          <w:szCs w:val="24"/>
        </w:rPr>
        <w:t xml:space="preserve"> </w:t>
      </w:r>
    </w:p>
    <w:p w14:paraId="31D4D7F5" w14:textId="77777777" w:rsidR="00844B88" w:rsidRPr="00AF0CC3" w:rsidRDefault="00844B88" w:rsidP="00844B88">
      <w:pPr>
        <w:rPr>
          <w:rFonts w:ascii="Times New Roman" w:hAnsi="Times New Roman" w:cs="Times New Roman"/>
          <w:color w:val="000000" w:themeColor="text1"/>
        </w:rPr>
      </w:pPr>
    </w:p>
    <w:p w14:paraId="4D6DA686" w14:textId="77777777" w:rsidR="00844B88" w:rsidRPr="00AF0CC3" w:rsidRDefault="00844B88" w:rsidP="00844B88">
      <w:pPr>
        <w:rPr>
          <w:rFonts w:ascii="Times New Roman" w:hAnsi="Times New Roman" w:cs="Times New Roman"/>
          <w:b/>
          <w:bCs/>
          <w:color w:val="000000" w:themeColor="text1"/>
        </w:rPr>
      </w:pPr>
      <w:r w:rsidRPr="00AF0CC3">
        <w:rPr>
          <w:rFonts w:ascii="Times New Roman" w:hAnsi="Times New Roman" w:cs="Times New Roman"/>
          <w:b/>
          <w:bCs/>
          <w:color w:val="000000" w:themeColor="text1"/>
        </w:rPr>
        <w:lastRenderedPageBreak/>
        <w:t>H4: Climate exposure moderates the relationship between governance quality and infrastructure performance, making projects with better governance more resilient to climate-related disruptions.</w:t>
      </w:r>
    </w:p>
    <w:p w14:paraId="029A3854" w14:textId="77777777" w:rsidR="00844B88" w:rsidRPr="00AF0CC3" w:rsidRDefault="00844B88" w:rsidP="00844B88">
      <w:pPr>
        <w:rPr>
          <w:rFonts w:ascii="Times New Roman" w:hAnsi="Times New Roman" w:cs="Times New Roman"/>
          <w:color w:val="000000" w:themeColor="text1"/>
        </w:rPr>
      </w:pPr>
    </w:p>
    <w:p w14:paraId="716F933A" w14:textId="77777777" w:rsidR="00844B88" w:rsidRPr="00AF0CC3" w:rsidRDefault="00844B88" w:rsidP="00844B88">
      <w:pPr>
        <w:rPr>
          <w:rFonts w:ascii="Times New Roman" w:hAnsi="Times New Roman" w:cs="Times New Roman"/>
          <w:color w:val="000000" w:themeColor="text1"/>
        </w:rPr>
      </w:pPr>
      <w:r w:rsidRPr="00AF0CC3">
        <w:rPr>
          <w:rFonts w:ascii="Times New Roman" w:hAnsi="Times New Roman" w:cs="Times New Roman"/>
          <w:color w:val="000000" w:themeColor="text1"/>
        </w:rPr>
        <w:t>The hypothesis was developed from the infrastructure resilience and climate governance literature, suggesting that environmental variability, drought conditions, flooding events, and climate uncertainty frequently influence the continuity of infrastructure implementation and project performance, particularly within water infrastructure systems (Lebel et al., 2021).</w:t>
      </w:r>
    </w:p>
    <w:p w14:paraId="6070186C" w14:textId="77777777" w:rsidR="00844B88" w:rsidRPr="00AF0CC3" w:rsidRDefault="00844B88" w:rsidP="00844B88">
      <w:pPr>
        <w:rPr>
          <w:rFonts w:ascii="Times New Roman" w:hAnsi="Times New Roman" w:cs="Times New Roman"/>
          <w:color w:val="000000" w:themeColor="text1"/>
        </w:rPr>
      </w:pPr>
    </w:p>
    <w:p w14:paraId="4765DDD9" w14:textId="77777777" w:rsidR="00844B88" w:rsidRPr="00AF0CC3" w:rsidRDefault="00844B88" w:rsidP="00844B88">
      <w:pPr>
        <w:rPr>
          <w:rFonts w:ascii="Times New Roman" w:hAnsi="Times New Roman" w:cs="Times New Roman"/>
          <w:color w:val="000000" w:themeColor="text1"/>
        </w:rPr>
      </w:pPr>
      <w:r w:rsidRPr="00AF0CC3">
        <w:rPr>
          <w:rFonts w:ascii="Times New Roman" w:hAnsi="Times New Roman" w:cs="Times New Roman"/>
          <w:color w:val="000000" w:themeColor="text1"/>
        </w:rPr>
        <w:t>The hypothesis further posits that projects with stronger governance systems may exhibit greater adaptive capacity and institutional resilience under climate-related disruption.</w:t>
      </w:r>
    </w:p>
    <w:p w14:paraId="29FC95EA" w14:textId="77777777" w:rsidR="00844B88" w:rsidRPr="00AF0CC3" w:rsidRDefault="00844B88" w:rsidP="00844B88">
      <w:pPr>
        <w:rPr>
          <w:rFonts w:ascii="Times New Roman" w:hAnsi="Times New Roman" w:cs="Times New Roman"/>
          <w:color w:val="000000" w:themeColor="text1"/>
        </w:rPr>
      </w:pPr>
    </w:p>
    <w:p w14:paraId="5A1001CE" w14:textId="1F51A4B4" w:rsidR="00844B88" w:rsidRPr="00AF0CC3" w:rsidRDefault="00844B88" w:rsidP="00090D16">
      <w:pPr>
        <w:pStyle w:val="Heading3"/>
        <w:rPr>
          <w:rFonts w:cs="Times New Roman"/>
          <w:color w:val="000000" w:themeColor="text1"/>
          <w:szCs w:val="24"/>
        </w:rPr>
      </w:pPr>
      <w:bookmarkStart w:id="436" w:name="_Toc232376003"/>
      <w:bookmarkStart w:id="437" w:name="_Toc234344871"/>
      <w:bookmarkStart w:id="438" w:name="_Toc234489103"/>
      <w:r w:rsidRPr="00AF0CC3">
        <w:rPr>
          <w:rFonts w:cs="Times New Roman"/>
          <w:color w:val="000000" w:themeColor="text1"/>
          <w:szCs w:val="24"/>
        </w:rPr>
        <w:t>Hypothesis Five -Political Transition.</w:t>
      </w:r>
      <w:bookmarkEnd w:id="436"/>
      <w:bookmarkEnd w:id="437"/>
      <w:bookmarkEnd w:id="438"/>
    </w:p>
    <w:p w14:paraId="332226D6" w14:textId="77777777" w:rsidR="00844B88" w:rsidRPr="00AF0CC3" w:rsidRDefault="00844B88" w:rsidP="00844B88">
      <w:pPr>
        <w:rPr>
          <w:rFonts w:ascii="Times New Roman" w:hAnsi="Times New Roman" w:cs="Times New Roman"/>
          <w:color w:val="000000" w:themeColor="text1"/>
        </w:rPr>
      </w:pPr>
    </w:p>
    <w:p w14:paraId="4038A1E7" w14:textId="77777777" w:rsidR="00844B88" w:rsidRPr="00AF0CC3" w:rsidRDefault="00844B88" w:rsidP="00844B88">
      <w:pPr>
        <w:rPr>
          <w:rFonts w:ascii="Times New Roman" w:hAnsi="Times New Roman" w:cs="Times New Roman"/>
          <w:b/>
          <w:bCs/>
          <w:color w:val="000000" w:themeColor="text1"/>
        </w:rPr>
      </w:pPr>
      <w:r w:rsidRPr="00AF0CC3">
        <w:rPr>
          <w:rFonts w:ascii="Times New Roman" w:hAnsi="Times New Roman" w:cs="Times New Roman"/>
          <w:b/>
          <w:bCs/>
          <w:color w:val="000000" w:themeColor="text1"/>
        </w:rPr>
        <w:t>H5: Political transition exposure moderates the relationship between governance quality and infrastructure performance, indicating that projects undertaken during periods of political transition are more susceptible to implementation disruptions.</w:t>
      </w:r>
    </w:p>
    <w:p w14:paraId="57A803AB" w14:textId="77777777" w:rsidR="00844B88" w:rsidRPr="00AF0CC3" w:rsidRDefault="00844B88" w:rsidP="00844B88">
      <w:pPr>
        <w:rPr>
          <w:rFonts w:ascii="Times New Roman" w:hAnsi="Times New Roman" w:cs="Times New Roman"/>
          <w:color w:val="000000" w:themeColor="text1"/>
        </w:rPr>
      </w:pPr>
    </w:p>
    <w:p w14:paraId="63A18E69" w14:textId="77777777" w:rsidR="00844B88" w:rsidRPr="00AF0CC3" w:rsidRDefault="00844B88" w:rsidP="00844B88">
      <w:pPr>
        <w:rPr>
          <w:rFonts w:ascii="Times New Roman" w:hAnsi="Times New Roman" w:cs="Times New Roman"/>
          <w:color w:val="000000" w:themeColor="text1"/>
        </w:rPr>
      </w:pPr>
      <w:r w:rsidRPr="00AF0CC3">
        <w:rPr>
          <w:rFonts w:ascii="Times New Roman" w:hAnsi="Times New Roman" w:cs="Times New Roman"/>
          <w:color w:val="000000" w:themeColor="text1"/>
        </w:rPr>
        <w:t xml:space="preserve">Political transition conditions moderate infrastructure delivery outcomes. This proposition is grounded in governance and public administration scholarship, which emphasizes that periods of political transition frequently introduce implementation uncertainty through leadership turnover, shifting policy priorities, budget reprioritization, procurement reviews, administrative restructuring, and institutional discontinuity (Peters, 2010; Pollitt &amp; Bouckaert, 2017; Grindle, 1997). </w:t>
      </w:r>
    </w:p>
    <w:p w14:paraId="47E14370" w14:textId="77777777" w:rsidR="00844B88" w:rsidRPr="00AF0CC3" w:rsidRDefault="00844B88" w:rsidP="00844B88">
      <w:pPr>
        <w:rPr>
          <w:rFonts w:ascii="Times New Roman" w:hAnsi="Times New Roman" w:cs="Times New Roman"/>
          <w:color w:val="000000" w:themeColor="text1"/>
        </w:rPr>
      </w:pPr>
      <w:r w:rsidRPr="00AF0CC3">
        <w:rPr>
          <w:rFonts w:ascii="Times New Roman" w:hAnsi="Times New Roman" w:cs="Times New Roman"/>
          <w:color w:val="000000" w:themeColor="text1"/>
        </w:rPr>
        <w:t>Leadership changes can disrupt established decision-making processes, alter implementation priorities, and weaken coordination mechanisms, thereby affecting the continuity and effectiveness of project delivery (Andrews, Pritchett, &amp; Woolcock, 2017; North, 1990).</w:t>
      </w:r>
    </w:p>
    <w:p w14:paraId="27E4EBBE" w14:textId="77777777" w:rsidR="00844B88" w:rsidRPr="00AF0CC3" w:rsidRDefault="00844B88" w:rsidP="00844B88">
      <w:pPr>
        <w:rPr>
          <w:rFonts w:ascii="Times New Roman" w:hAnsi="Times New Roman" w:cs="Times New Roman"/>
          <w:color w:val="000000" w:themeColor="text1"/>
        </w:rPr>
      </w:pPr>
    </w:p>
    <w:p w14:paraId="14349984" w14:textId="77777777" w:rsidR="00844B88" w:rsidRPr="00AF0CC3" w:rsidRDefault="00844B88" w:rsidP="00844B88">
      <w:pPr>
        <w:rPr>
          <w:rFonts w:ascii="Times New Roman" w:hAnsi="Times New Roman" w:cs="Times New Roman"/>
          <w:color w:val="000000" w:themeColor="text1"/>
        </w:rPr>
      </w:pPr>
      <w:r w:rsidRPr="00AF0CC3">
        <w:rPr>
          <w:rFonts w:ascii="Times New Roman" w:hAnsi="Times New Roman" w:cs="Times New Roman"/>
          <w:color w:val="000000" w:themeColor="text1"/>
        </w:rPr>
        <w:t xml:space="preserve">The proposition further posits that stronger governance systems may mitigate implementation vulnerability during periods of political transition by strengthening institutional continuity, accountability mechanisms, implementation oversight, and inter-organizational coordination. Robust governance arrangements are expected to enhance the capacity of implementing institutions to maintain operational stability and implementation momentum despite changes in </w:t>
      </w:r>
      <w:r w:rsidRPr="00AF0CC3">
        <w:rPr>
          <w:rFonts w:ascii="Times New Roman" w:hAnsi="Times New Roman" w:cs="Times New Roman"/>
          <w:color w:val="000000" w:themeColor="text1"/>
        </w:rPr>
        <w:lastRenderedPageBreak/>
        <w:t xml:space="preserve">political leadership or administrative structures (OECD, 2020; Joslin &amp; Müller, 2015; Kaufmann, Kraay, &amp; Mastruzzi, 2010). </w:t>
      </w:r>
    </w:p>
    <w:p w14:paraId="40F206FD" w14:textId="77777777" w:rsidR="00844B88" w:rsidRPr="00AF0CC3" w:rsidRDefault="00844B88" w:rsidP="00844B88">
      <w:pPr>
        <w:rPr>
          <w:rFonts w:ascii="Times New Roman" w:hAnsi="Times New Roman" w:cs="Times New Roman"/>
          <w:color w:val="000000" w:themeColor="text1"/>
        </w:rPr>
      </w:pPr>
      <w:r w:rsidRPr="00AF0CC3">
        <w:rPr>
          <w:rFonts w:ascii="Times New Roman" w:hAnsi="Times New Roman" w:cs="Times New Roman"/>
          <w:color w:val="000000" w:themeColor="text1"/>
        </w:rPr>
        <w:t>Consequently, projects operating in stronger governance environments may be better positioned to withstand political disruptions and sustain implementation performance amid institutional change.</w:t>
      </w:r>
    </w:p>
    <w:p w14:paraId="2002EDEE" w14:textId="3BF2F8E0" w:rsidR="00844B88" w:rsidRPr="00AF0CC3" w:rsidRDefault="00844B88" w:rsidP="00844B88">
      <w:pPr>
        <w:pStyle w:val="Heading3"/>
        <w:rPr>
          <w:rFonts w:cs="Times New Roman"/>
          <w:b w:val="0"/>
          <w:bCs/>
          <w:color w:val="000000" w:themeColor="text1"/>
          <w:szCs w:val="24"/>
        </w:rPr>
      </w:pPr>
      <w:bookmarkStart w:id="439" w:name="_Toc232376004"/>
      <w:bookmarkStart w:id="440" w:name="_Toc234344872"/>
      <w:bookmarkStart w:id="441" w:name="_Toc234489104"/>
      <w:r w:rsidRPr="00AF0CC3">
        <w:rPr>
          <w:rFonts w:cs="Times New Roman"/>
          <w:bCs/>
          <w:color w:val="000000" w:themeColor="text1"/>
          <w:szCs w:val="24"/>
        </w:rPr>
        <w:t>Climate Exposure and Infrastructure Delivery Outcomes</w:t>
      </w:r>
      <w:bookmarkEnd w:id="439"/>
      <w:bookmarkEnd w:id="440"/>
      <w:bookmarkEnd w:id="441"/>
    </w:p>
    <w:p w14:paraId="2B6E8B05" w14:textId="77777777" w:rsidR="00844B88" w:rsidRPr="00AF0CC3" w:rsidRDefault="00844B88" w:rsidP="00844B88">
      <w:pPr>
        <w:rPr>
          <w:rFonts w:ascii="Times New Roman" w:hAnsi="Times New Roman" w:cs="Times New Roman"/>
          <w:color w:val="000000" w:themeColor="text1"/>
        </w:rPr>
      </w:pPr>
    </w:p>
    <w:p w14:paraId="4AD80433" w14:textId="77777777" w:rsidR="00844B88" w:rsidRPr="00AF0CC3" w:rsidRDefault="00844B88" w:rsidP="00844B88">
      <w:pPr>
        <w:rPr>
          <w:rFonts w:ascii="Times New Roman" w:hAnsi="Times New Roman" w:cs="Times New Roman"/>
          <w:color w:val="000000" w:themeColor="text1"/>
        </w:rPr>
      </w:pPr>
      <w:r w:rsidRPr="00AF0CC3">
        <w:rPr>
          <w:rFonts w:ascii="Times New Roman" w:hAnsi="Times New Roman" w:cs="Times New Roman"/>
          <w:color w:val="000000" w:themeColor="text1"/>
        </w:rPr>
        <w:t>The results confirm that climate-related shocks contributed to implementation delays and disruptions in infrastructure delivery across several sampled projects. Key climate-related challenges included flooding, prolonged drought, rainfall variability, environmental degradation, site inaccessibility, erosion and sedimentation, fluctuations in water flow, and climate-related disruptions to construction activities. These factors frequently disrupted construction schedules, constrained site access, and reduced implementation continuity.</w:t>
      </w:r>
    </w:p>
    <w:p w14:paraId="5C25FA02" w14:textId="77777777" w:rsidR="00844B88" w:rsidRPr="00AF0CC3" w:rsidRDefault="00844B88" w:rsidP="00844B88">
      <w:pPr>
        <w:rPr>
          <w:rFonts w:ascii="Times New Roman" w:hAnsi="Times New Roman" w:cs="Times New Roman"/>
          <w:color w:val="000000" w:themeColor="text1"/>
        </w:rPr>
      </w:pPr>
    </w:p>
    <w:p w14:paraId="37F504A1" w14:textId="77777777" w:rsidR="00844B88" w:rsidRPr="00AF0CC3" w:rsidRDefault="00844B88" w:rsidP="00844B88">
      <w:pPr>
        <w:rPr>
          <w:rFonts w:ascii="Times New Roman" w:hAnsi="Times New Roman" w:cs="Times New Roman"/>
          <w:color w:val="000000" w:themeColor="text1"/>
        </w:rPr>
      </w:pPr>
      <w:r w:rsidRPr="00AF0CC3">
        <w:rPr>
          <w:rFonts w:ascii="Times New Roman" w:hAnsi="Times New Roman" w:cs="Times New Roman"/>
          <w:color w:val="000000" w:themeColor="text1"/>
        </w:rPr>
        <w:t>Vulnerability to climate-related disruptions was particularly evident among projects located in arid and semi-arid regions, where environmental uncertainty, logistical constraints, transport limitations, and hydrological variability created additional implementation challenges. Several dams and irrigation projects experienced schedule disruptions due to flooding events, extended dry periods, and unstable environmental conditions, delaying planned implementation activities and project completion timelines.</w:t>
      </w:r>
    </w:p>
    <w:p w14:paraId="4DBF6F87" w14:textId="77777777" w:rsidR="00844B88" w:rsidRPr="00AF0CC3" w:rsidRDefault="00844B88" w:rsidP="00844B88">
      <w:pPr>
        <w:rPr>
          <w:rFonts w:ascii="Times New Roman" w:hAnsi="Times New Roman" w:cs="Times New Roman"/>
          <w:color w:val="000000" w:themeColor="text1"/>
        </w:rPr>
      </w:pPr>
    </w:p>
    <w:p w14:paraId="44265C1E" w14:textId="77777777" w:rsidR="00844B88" w:rsidRPr="00AF0CC3" w:rsidRDefault="00844B88" w:rsidP="00844B88">
      <w:pPr>
        <w:rPr>
          <w:rFonts w:ascii="Times New Roman" w:hAnsi="Times New Roman" w:cs="Times New Roman"/>
          <w:color w:val="000000" w:themeColor="text1"/>
        </w:rPr>
      </w:pPr>
      <w:r w:rsidRPr="00AF0CC3">
        <w:rPr>
          <w:rFonts w:ascii="Times New Roman" w:hAnsi="Times New Roman" w:cs="Times New Roman"/>
          <w:color w:val="000000" w:themeColor="text1"/>
        </w:rPr>
        <w:t>The observed patterns highlight climate exposure as an important contextual factor influencing infrastructure delivery performance. At the same time, substantial variation was evident in projects' capacity to maintain implementation continuity under environmental stress. Projects operating within stronger governance environments demonstrated more effective implementation coordination, enhanced monitoring systems, stronger institutional communication, greater adaptability, more responsive oversight arrangements, and improved contingency management practices.</w:t>
      </w:r>
    </w:p>
    <w:p w14:paraId="0EA8CF15" w14:textId="77777777" w:rsidR="00844B88" w:rsidRPr="00AF0CC3" w:rsidRDefault="00844B88" w:rsidP="00844B88">
      <w:pPr>
        <w:rPr>
          <w:rFonts w:ascii="Times New Roman" w:hAnsi="Times New Roman" w:cs="Times New Roman"/>
          <w:color w:val="000000" w:themeColor="text1"/>
        </w:rPr>
      </w:pPr>
    </w:p>
    <w:p w14:paraId="7D1D067B" w14:textId="77777777" w:rsidR="00844B88" w:rsidRPr="00AF0CC3" w:rsidRDefault="00844B88" w:rsidP="00844B88">
      <w:pPr>
        <w:rPr>
          <w:rFonts w:ascii="Times New Roman" w:hAnsi="Times New Roman" w:cs="Times New Roman"/>
          <w:color w:val="000000" w:themeColor="text1"/>
        </w:rPr>
      </w:pPr>
      <w:r w:rsidRPr="00AF0CC3">
        <w:rPr>
          <w:rFonts w:ascii="Times New Roman" w:hAnsi="Times New Roman" w:cs="Times New Roman"/>
          <w:color w:val="000000" w:themeColor="text1"/>
        </w:rPr>
        <w:t xml:space="preserve">These institutional capabilities strengthened implementing agencies' ability to respond to emerging environmental challenges and sustain project implementation despite adverse climatic conditions. In contrast, projects affected by governance deficiencies were more susceptible to implementation disruption during periods of climate-related stress. Weak coordination mechanisms delayed decision-making, led to procurement inefficiencies, and limited </w:t>
      </w:r>
      <w:r w:rsidRPr="00AF0CC3">
        <w:rPr>
          <w:rFonts w:ascii="Times New Roman" w:hAnsi="Times New Roman" w:cs="Times New Roman"/>
          <w:color w:val="000000" w:themeColor="text1"/>
        </w:rPr>
        <w:lastRenderedPageBreak/>
        <w:t>implementation flexibility, frequently reducing institutional adaptability and hindering effective responses to changing environmental conditions.</w:t>
      </w:r>
    </w:p>
    <w:p w14:paraId="5D8EA32E" w14:textId="77777777" w:rsidR="00844B88" w:rsidRPr="00AF0CC3" w:rsidRDefault="00844B88" w:rsidP="00844B88">
      <w:pPr>
        <w:rPr>
          <w:rFonts w:ascii="Times New Roman" w:hAnsi="Times New Roman" w:cs="Times New Roman"/>
          <w:color w:val="000000" w:themeColor="text1"/>
        </w:rPr>
      </w:pPr>
    </w:p>
    <w:p w14:paraId="4416F759" w14:textId="77777777" w:rsidR="00844B88" w:rsidRPr="00AF0CC3" w:rsidRDefault="00844B88" w:rsidP="00844B88">
      <w:pPr>
        <w:rPr>
          <w:rFonts w:ascii="Times New Roman" w:hAnsi="Times New Roman" w:cs="Times New Roman"/>
          <w:color w:val="000000" w:themeColor="text1"/>
        </w:rPr>
      </w:pPr>
      <w:r w:rsidRPr="00AF0CC3">
        <w:rPr>
          <w:rFonts w:ascii="Times New Roman" w:hAnsi="Times New Roman" w:cs="Times New Roman"/>
          <w:color w:val="000000" w:themeColor="text1"/>
        </w:rPr>
        <w:t>Collectively, these observations underscore the role of governance quality in strengthening implementation resilience under conditions of climate uncertainty. Stronger governance arrangements were associated with enhanced institutional responsiveness, more effective coordination, and greater adaptive management capacity, thereby improving projects' ability to maintain implementation continuity despite environmental disruptions. This interpretation is consistent with infrastructure resilience scholarship, which identifies institutional quality as a critical determinant of infrastructure adaptability and performance under conditions of climatic uncertainty (Lebel et al., 2021).</w:t>
      </w:r>
    </w:p>
    <w:p w14:paraId="401BF0CA" w14:textId="77777777" w:rsidR="00844B88" w:rsidRPr="00AF0CC3" w:rsidRDefault="00844B88" w:rsidP="00844B88">
      <w:pPr>
        <w:rPr>
          <w:rFonts w:ascii="Times New Roman" w:hAnsi="Times New Roman" w:cs="Times New Roman"/>
          <w:color w:val="000000" w:themeColor="text1"/>
        </w:rPr>
      </w:pPr>
    </w:p>
    <w:p w14:paraId="0AF15EF6" w14:textId="64D8CDED" w:rsidR="00844B88" w:rsidRPr="00AF0CC3" w:rsidRDefault="00844B88" w:rsidP="00844B88">
      <w:pPr>
        <w:pStyle w:val="Heading3"/>
        <w:rPr>
          <w:rFonts w:cs="Times New Roman"/>
          <w:b w:val="0"/>
          <w:bCs/>
          <w:color w:val="000000" w:themeColor="text1"/>
          <w:szCs w:val="24"/>
        </w:rPr>
      </w:pPr>
      <w:bookmarkStart w:id="442" w:name="_Toc232376005"/>
      <w:bookmarkStart w:id="443" w:name="_Toc234344873"/>
      <w:bookmarkStart w:id="444" w:name="_Toc234489105"/>
      <w:r w:rsidRPr="00AF0CC3">
        <w:rPr>
          <w:rFonts w:cs="Times New Roman"/>
          <w:bCs/>
          <w:color w:val="000000" w:themeColor="text1"/>
          <w:szCs w:val="24"/>
        </w:rPr>
        <w:t>Political Transition Conditions and Infrastructure Delivery Outcomes</w:t>
      </w:r>
      <w:bookmarkEnd w:id="442"/>
      <w:bookmarkEnd w:id="443"/>
      <w:bookmarkEnd w:id="444"/>
    </w:p>
    <w:p w14:paraId="68D4B438" w14:textId="77777777" w:rsidR="00844B88" w:rsidRPr="00AF0CC3" w:rsidRDefault="00844B88" w:rsidP="00844B88">
      <w:pPr>
        <w:rPr>
          <w:rFonts w:ascii="Times New Roman" w:hAnsi="Times New Roman" w:cs="Times New Roman"/>
          <w:color w:val="000000" w:themeColor="text1"/>
        </w:rPr>
      </w:pPr>
    </w:p>
    <w:p w14:paraId="4312B2AB" w14:textId="77777777" w:rsidR="00844B88" w:rsidRPr="00AF0CC3" w:rsidRDefault="00844B88" w:rsidP="00844B88">
      <w:pPr>
        <w:rPr>
          <w:rFonts w:ascii="Times New Roman" w:hAnsi="Times New Roman" w:cs="Times New Roman"/>
          <w:color w:val="000000" w:themeColor="text1"/>
        </w:rPr>
      </w:pPr>
      <w:r w:rsidRPr="00AF0CC3">
        <w:rPr>
          <w:rFonts w:ascii="Times New Roman" w:hAnsi="Times New Roman" w:cs="Times New Roman"/>
          <w:color w:val="000000" w:themeColor="text1"/>
        </w:rPr>
        <w:t>Analysis of project documentation revealed that political transition periods constituted a significant source of implementation uncertainty across several infrastructure projects. Factors influencing implementation performance during these periods included election cycles, changes in political leadership, administrative restructuring, procurement reviews, policy reprioritization, budget reallocations, institutional turnover, and shifts in implementing responsibilities. Collectively, these developments altered the institutional environment in which projects were executed and, in many cases, affected the continuity of implementation and project delivery performance.</w:t>
      </w:r>
    </w:p>
    <w:p w14:paraId="3F5D1A4B" w14:textId="77777777" w:rsidR="00844B88" w:rsidRPr="00AF0CC3" w:rsidRDefault="00844B88" w:rsidP="00844B88">
      <w:pPr>
        <w:rPr>
          <w:rFonts w:ascii="Times New Roman" w:hAnsi="Times New Roman" w:cs="Times New Roman"/>
          <w:color w:val="000000" w:themeColor="text1"/>
        </w:rPr>
      </w:pPr>
    </w:p>
    <w:p w14:paraId="71C696B8" w14:textId="77777777" w:rsidR="00844B88" w:rsidRPr="00AF0CC3" w:rsidRDefault="00844B88" w:rsidP="00844B88">
      <w:pPr>
        <w:rPr>
          <w:rFonts w:ascii="Times New Roman" w:hAnsi="Times New Roman" w:cs="Times New Roman"/>
          <w:color w:val="000000" w:themeColor="text1"/>
        </w:rPr>
      </w:pPr>
      <w:r w:rsidRPr="00AF0CC3">
        <w:rPr>
          <w:rFonts w:ascii="Times New Roman" w:hAnsi="Times New Roman" w:cs="Times New Roman"/>
          <w:color w:val="000000" w:themeColor="text1"/>
        </w:rPr>
        <w:t>In Kenya, general elections are held every five years and are frequently accompanied by changes in political leadership, development priorities, and administrative structures. Periods preceding and following elections often involve the announcement of new infrastructure commitments, the reassessment of existing projects, and the reallocation of public resources to align with emerging political and policy priorities. Such transitions can generate uncertainty regarding project continuity, funding allocations, implementation responsibilities, and institutional oversight, particularly for projects with extended implementation timelines.</w:t>
      </w:r>
    </w:p>
    <w:p w14:paraId="6A910B20" w14:textId="77777777" w:rsidR="00844B88" w:rsidRPr="00AF0CC3" w:rsidRDefault="00844B88" w:rsidP="00844B88">
      <w:pPr>
        <w:rPr>
          <w:rFonts w:ascii="Times New Roman" w:hAnsi="Times New Roman" w:cs="Times New Roman"/>
          <w:color w:val="000000" w:themeColor="text1"/>
        </w:rPr>
      </w:pPr>
    </w:p>
    <w:p w14:paraId="5964B53F" w14:textId="77777777" w:rsidR="00844B88" w:rsidRPr="00AF0CC3" w:rsidRDefault="00844B88" w:rsidP="00844B88">
      <w:pPr>
        <w:rPr>
          <w:rFonts w:ascii="Times New Roman" w:hAnsi="Times New Roman" w:cs="Times New Roman"/>
          <w:color w:val="000000" w:themeColor="text1"/>
        </w:rPr>
      </w:pPr>
      <w:r w:rsidRPr="00AF0CC3">
        <w:rPr>
          <w:rFonts w:ascii="Times New Roman" w:hAnsi="Times New Roman" w:cs="Times New Roman"/>
          <w:color w:val="000000" w:themeColor="text1"/>
        </w:rPr>
        <w:t xml:space="preserve">Projects implemented during election periods were more susceptible to delays due to administrative uncertainty, organizational restructuring, and shifting institutional priorities. Similarly, implementation disruptions were observed following leadership transitions and </w:t>
      </w:r>
      <w:r w:rsidRPr="00AF0CC3">
        <w:rPr>
          <w:rFonts w:ascii="Times New Roman" w:hAnsi="Times New Roman" w:cs="Times New Roman"/>
          <w:color w:val="000000" w:themeColor="text1"/>
        </w:rPr>
        <w:lastRenderedPageBreak/>
        <w:t>broader public-sector reform processes, which often altered decision-making structures, approval procedures, and resource allocation arrangements.</w:t>
      </w:r>
    </w:p>
    <w:p w14:paraId="078A1DF0" w14:textId="77777777" w:rsidR="00844B88" w:rsidRPr="00AF0CC3" w:rsidRDefault="00844B88" w:rsidP="00844B88">
      <w:pPr>
        <w:rPr>
          <w:rFonts w:ascii="Times New Roman" w:hAnsi="Times New Roman" w:cs="Times New Roman"/>
          <w:color w:val="000000" w:themeColor="text1"/>
        </w:rPr>
      </w:pPr>
    </w:p>
    <w:p w14:paraId="58AB30D1" w14:textId="77777777" w:rsidR="00844B88" w:rsidRPr="00AF0CC3" w:rsidRDefault="00844B88" w:rsidP="00844B88">
      <w:pPr>
        <w:rPr>
          <w:rFonts w:ascii="Times New Roman" w:hAnsi="Times New Roman" w:cs="Times New Roman"/>
          <w:color w:val="000000" w:themeColor="text1"/>
        </w:rPr>
      </w:pPr>
      <w:r w:rsidRPr="00AF0CC3">
        <w:rPr>
          <w:rFonts w:ascii="Times New Roman" w:hAnsi="Times New Roman" w:cs="Times New Roman"/>
          <w:color w:val="000000" w:themeColor="text1"/>
        </w:rPr>
        <w:t>The effects of political transition were not uniform across the sampled projects. Greater implementation disruption was observed in projects characterized by weaker governance arrangements, where implementation continuity was more dependent on administrative stability, institutional coordination, and procurement consistency. In contrast, projects operating within stronger governance environments demonstrated a greater capacity to maintain implementation momentum during periods of political and administrative change.</w:t>
      </w:r>
    </w:p>
    <w:p w14:paraId="3A7C9758" w14:textId="77777777" w:rsidR="00844B88" w:rsidRPr="00AF0CC3" w:rsidRDefault="00844B88" w:rsidP="00844B88">
      <w:pPr>
        <w:rPr>
          <w:rFonts w:ascii="Times New Roman" w:hAnsi="Times New Roman" w:cs="Times New Roman"/>
          <w:color w:val="000000" w:themeColor="text1"/>
        </w:rPr>
      </w:pPr>
    </w:p>
    <w:p w14:paraId="58C6E781" w14:textId="77777777" w:rsidR="00844B88" w:rsidRPr="00AF0CC3" w:rsidRDefault="00844B88" w:rsidP="00844B88">
      <w:pPr>
        <w:rPr>
          <w:rFonts w:ascii="Times New Roman" w:hAnsi="Times New Roman" w:cs="Times New Roman"/>
          <w:color w:val="000000" w:themeColor="text1"/>
        </w:rPr>
      </w:pPr>
      <w:r w:rsidRPr="00AF0CC3">
        <w:rPr>
          <w:rFonts w:ascii="Times New Roman" w:hAnsi="Times New Roman" w:cs="Times New Roman"/>
          <w:color w:val="000000" w:themeColor="text1"/>
        </w:rPr>
        <w:t>This resilience was reflected in stronger institutional coordination mechanisms, clearer implementation procedures, more effective accountability systems, enhanced implementation monitoring, stable procurement arrangements, and greater administrative continuity. These institutional attributes strengthened the ability of implementing agencies to sustain project operations despite changes in leadership, policy direction, and organizational structures.</w:t>
      </w:r>
    </w:p>
    <w:p w14:paraId="61AC2637" w14:textId="77777777" w:rsidR="00844B88" w:rsidRPr="00AF0CC3" w:rsidRDefault="00844B88" w:rsidP="00844B88">
      <w:pPr>
        <w:rPr>
          <w:rFonts w:ascii="Times New Roman" w:hAnsi="Times New Roman" w:cs="Times New Roman"/>
          <w:color w:val="000000" w:themeColor="text1"/>
        </w:rPr>
      </w:pPr>
    </w:p>
    <w:p w14:paraId="2442EA78" w14:textId="77777777" w:rsidR="00844B88" w:rsidRPr="00AF0CC3" w:rsidRDefault="00844B88" w:rsidP="00844B88">
      <w:pPr>
        <w:rPr>
          <w:rFonts w:ascii="Times New Roman" w:hAnsi="Times New Roman" w:cs="Times New Roman"/>
          <w:color w:val="000000" w:themeColor="text1"/>
        </w:rPr>
      </w:pPr>
      <w:r w:rsidRPr="00AF0CC3">
        <w:rPr>
          <w:rFonts w:ascii="Times New Roman" w:hAnsi="Times New Roman" w:cs="Times New Roman"/>
          <w:color w:val="000000" w:themeColor="text1"/>
        </w:rPr>
        <w:t>Taken together, these observations underscore the role of governance quality in promoting institutional stability during periods of political transition. Stronger governance arrangements were associated with enhanced coordination, continuity, and oversight, thereby reducing the likelihood that political and administrative changes would translate into significant implementation disruptions. This interpretation is consistent with governance and public administration scholarship, which emphasizes the importance of institutional capacity, administrative continuity, and accountability mechanisms in sustaining implementation performance during periods of political change (Peters, 2010; Pollitt &amp; Bouckaert, 2017; Andrews, Pritchett, &amp; Woolcock, 2017; Smoke, 2015).</w:t>
      </w:r>
    </w:p>
    <w:p w14:paraId="3629B2F2" w14:textId="77777777" w:rsidR="00844B88" w:rsidRPr="00AF0CC3" w:rsidRDefault="00844B88" w:rsidP="00844B88">
      <w:pPr>
        <w:rPr>
          <w:rFonts w:ascii="Times New Roman" w:hAnsi="Times New Roman" w:cs="Times New Roman"/>
          <w:color w:val="000000" w:themeColor="text1"/>
        </w:rPr>
      </w:pPr>
    </w:p>
    <w:p w14:paraId="78C2ADFA" w14:textId="282A175B" w:rsidR="00844B88" w:rsidRPr="00AF0CC3" w:rsidRDefault="00844B88" w:rsidP="00844B88">
      <w:pPr>
        <w:pStyle w:val="Heading3"/>
        <w:rPr>
          <w:rFonts w:cs="Times New Roman"/>
          <w:b w:val="0"/>
          <w:bCs/>
          <w:color w:val="000000" w:themeColor="text1"/>
          <w:szCs w:val="24"/>
        </w:rPr>
      </w:pPr>
      <w:bookmarkStart w:id="445" w:name="_Toc232376006"/>
      <w:bookmarkStart w:id="446" w:name="_Toc234344874"/>
      <w:bookmarkStart w:id="447" w:name="_Toc234489106"/>
      <w:r w:rsidRPr="00AF0CC3">
        <w:rPr>
          <w:rFonts w:cs="Times New Roman"/>
          <w:bCs/>
          <w:color w:val="000000" w:themeColor="text1"/>
          <w:szCs w:val="24"/>
        </w:rPr>
        <w:t>Governance Quality and Institutional Resilience</w:t>
      </w:r>
      <w:bookmarkEnd w:id="445"/>
      <w:bookmarkEnd w:id="446"/>
      <w:bookmarkEnd w:id="447"/>
    </w:p>
    <w:p w14:paraId="5F993546" w14:textId="77777777" w:rsidR="00844B88" w:rsidRPr="00AF0CC3" w:rsidRDefault="00844B88" w:rsidP="00844B88">
      <w:pPr>
        <w:rPr>
          <w:rFonts w:ascii="Times New Roman" w:hAnsi="Times New Roman" w:cs="Times New Roman"/>
          <w:color w:val="000000" w:themeColor="text1"/>
        </w:rPr>
      </w:pPr>
    </w:p>
    <w:p w14:paraId="139D962C" w14:textId="77777777" w:rsidR="00844B88" w:rsidRPr="00AF0CC3" w:rsidRDefault="00844B88" w:rsidP="00844B88">
      <w:pPr>
        <w:rPr>
          <w:rFonts w:ascii="Times New Roman" w:hAnsi="Times New Roman" w:cs="Times New Roman"/>
          <w:color w:val="000000" w:themeColor="text1"/>
        </w:rPr>
      </w:pPr>
      <w:r w:rsidRPr="00AF0CC3">
        <w:rPr>
          <w:rFonts w:ascii="Times New Roman" w:hAnsi="Times New Roman" w:cs="Times New Roman"/>
          <w:color w:val="000000" w:themeColor="text1"/>
        </w:rPr>
        <w:t>The observations on climate exposure and political transition highlight the importance of governance quality in shaping infrastructure delivery outcomes amid external disruption. Beyond its direct influence on implementation performance, governance quality was associated with institutional capabilities that enhanced resilience and supported project continuity in complex operating environments.</w:t>
      </w:r>
    </w:p>
    <w:p w14:paraId="1F96E45D" w14:textId="77777777" w:rsidR="00844B88" w:rsidRPr="00AF0CC3" w:rsidRDefault="00844B88" w:rsidP="00844B88">
      <w:pPr>
        <w:rPr>
          <w:rFonts w:ascii="Times New Roman" w:hAnsi="Times New Roman" w:cs="Times New Roman"/>
          <w:color w:val="000000" w:themeColor="text1"/>
        </w:rPr>
      </w:pPr>
    </w:p>
    <w:p w14:paraId="7AC3771C" w14:textId="77777777" w:rsidR="00844B88" w:rsidRPr="00AF0CC3" w:rsidRDefault="00844B88" w:rsidP="00844B88">
      <w:pPr>
        <w:rPr>
          <w:rFonts w:ascii="Times New Roman" w:hAnsi="Times New Roman" w:cs="Times New Roman"/>
          <w:color w:val="000000" w:themeColor="text1"/>
        </w:rPr>
      </w:pPr>
      <w:r w:rsidRPr="00AF0CC3">
        <w:rPr>
          <w:rFonts w:ascii="Times New Roman" w:hAnsi="Times New Roman" w:cs="Times New Roman"/>
          <w:color w:val="000000" w:themeColor="text1"/>
        </w:rPr>
        <w:lastRenderedPageBreak/>
        <w:t>Projects operating within stronger governance environments demonstrated a greater capacity to maintain implementation continuity, adapt to environmental disruptions, manage administrative uncertainty, coordinate institutional responses, sustain implementation monitoring, and reduce vulnerability to external shocks. These institutional capabilities strengthened implementing agencies' ability to respond effectively to changing environmental and political conditions while maintaining implementation momentum.</w:t>
      </w:r>
    </w:p>
    <w:p w14:paraId="37BD5745" w14:textId="77777777" w:rsidR="00844B88" w:rsidRPr="00AF0CC3" w:rsidRDefault="00844B88" w:rsidP="00844B88">
      <w:pPr>
        <w:rPr>
          <w:rFonts w:ascii="Times New Roman" w:hAnsi="Times New Roman" w:cs="Times New Roman"/>
          <w:color w:val="000000" w:themeColor="text1"/>
        </w:rPr>
      </w:pPr>
    </w:p>
    <w:p w14:paraId="75C9D3B2" w14:textId="77777777" w:rsidR="00844B88" w:rsidRPr="00AF0CC3" w:rsidRDefault="00844B88" w:rsidP="00844B88">
      <w:pPr>
        <w:rPr>
          <w:rFonts w:ascii="Times New Roman" w:hAnsi="Times New Roman" w:cs="Times New Roman"/>
          <w:color w:val="000000" w:themeColor="text1"/>
        </w:rPr>
      </w:pPr>
      <w:r w:rsidRPr="00AF0CC3">
        <w:rPr>
          <w:rFonts w:ascii="Times New Roman" w:hAnsi="Times New Roman" w:cs="Times New Roman"/>
          <w:color w:val="000000" w:themeColor="text1"/>
        </w:rPr>
        <w:t>The observed patterns underscore the importance of governance quality as a contributor to implementation stability and adaptive capacity within complex infrastructure systems. Governance arrangements characterized by effective coordination, accountability, oversight, and institutional continuity were associated with greater resilience during periods of climatic stress and political transition, thereby reducing the likelihood that external disruptions would result in prolonged implementation delays or project interruptions.</w:t>
      </w:r>
    </w:p>
    <w:p w14:paraId="5ACB4780" w14:textId="77777777" w:rsidR="00844B88" w:rsidRPr="00AF0CC3" w:rsidRDefault="00844B88" w:rsidP="00844B88">
      <w:pPr>
        <w:rPr>
          <w:rFonts w:ascii="Times New Roman" w:hAnsi="Times New Roman" w:cs="Times New Roman"/>
          <w:color w:val="000000" w:themeColor="text1"/>
        </w:rPr>
      </w:pPr>
    </w:p>
    <w:p w14:paraId="4382F2CF" w14:textId="77777777" w:rsidR="00844B88" w:rsidRPr="00AF0CC3" w:rsidRDefault="00844B88" w:rsidP="00844B88">
      <w:pPr>
        <w:rPr>
          <w:rFonts w:ascii="Times New Roman" w:hAnsi="Times New Roman" w:cs="Times New Roman"/>
          <w:color w:val="000000" w:themeColor="text1"/>
        </w:rPr>
      </w:pPr>
      <w:r w:rsidRPr="00AF0CC3">
        <w:rPr>
          <w:rFonts w:ascii="Times New Roman" w:hAnsi="Times New Roman" w:cs="Times New Roman"/>
          <w:color w:val="000000" w:themeColor="text1"/>
        </w:rPr>
        <w:t>This interpretation extends the role of governance beyond routine project administration by highlighting its contribution to institutional resilience. In this context, governance quality may be understood not only as a determinant of implementation performance but also as an institutional capability that enhances infrastructure systems' capacity to absorb, adapt to, and recover from external disruptions.</w:t>
      </w:r>
    </w:p>
    <w:p w14:paraId="11A9CBF7" w14:textId="77777777" w:rsidR="00844B88" w:rsidRPr="00AF0CC3" w:rsidRDefault="00844B88" w:rsidP="00844B88">
      <w:pPr>
        <w:rPr>
          <w:rFonts w:ascii="Times New Roman" w:hAnsi="Times New Roman" w:cs="Times New Roman"/>
          <w:color w:val="000000" w:themeColor="text1"/>
        </w:rPr>
      </w:pPr>
    </w:p>
    <w:p w14:paraId="3A027143" w14:textId="77777777" w:rsidR="00844B88" w:rsidRPr="00AF0CC3" w:rsidRDefault="00844B88" w:rsidP="00844B88">
      <w:pPr>
        <w:rPr>
          <w:rFonts w:ascii="Times New Roman" w:hAnsi="Times New Roman" w:cs="Times New Roman"/>
          <w:color w:val="000000" w:themeColor="text1"/>
        </w:rPr>
      </w:pPr>
      <w:r w:rsidRPr="00AF0CC3">
        <w:rPr>
          <w:rFonts w:ascii="Times New Roman" w:hAnsi="Times New Roman" w:cs="Times New Roman"/>
          <w:color w:val="000000" w:themeColor="text1"/>
        </w:rPr>
        <w:t>This relationship is particularly relevant in the water sector, where infrastructure projects often operate in environments marked by climatic variability, environmental uncertainty, political sensitivity, and extended implementation horizons. Under such conditions, the ability of governance systems to maintain coordination, accountability, and continuity of implementation becomes increasingly important for sustaining infrastructure delivery performance and achieving intended development outcomes.</w:t>
      </w:r>
    </w:p>
    <w:p w14:paraId="0ABFE977" w14:textId="61F48D15" w:rsidR="00844B88" w:rsidRPr="00AF0CC3" w:rsidRDefault="00844B88" w:rsidP="00844B88">
      <w:pPr>
        <w:pStyle w:val="Heading3"/>
        <w:rPr>
          <w:rFonts w:cs="Times New Roman"/>
          <w:b w:val="0"/>
          <w:bCs/>
          <w:color w:val="000000" w:themeColor="text1"/>
          <w:szCs w:val="24"/>
        </w:rPr>
      </w:pPr>
      <w:bookmarkStart w:id="448" w:name="_Toc232376007"/>
      <w:bookmarkStart w:id="449" w:name="_Toc234344875"/>
      <w:bookmarkStart w:id="450" w:name="_Toc234489107"/>
      <w:r w:rsidRPr="00AF0CC3">
        <w:rPr>
          <w:rFonts w:cs="Times New Roman"/>
          <w:bCs/>
          <w:color w:val="000000" w:themeColor="text1"/>
          <w:szCs w:val="24"/>
        </w:rPr>
        <w:t>Sectoral Vulnerability and Infrastructure Complexity</w:t>
      </w:r>
      <w:bookmarkEnd w:id="448"/>
      <w:bookmarkEnd w:id="449"/>
      <w:bookmarkEnd w:id="450"/>
    </w:p>
    <w:p w14:paraId="7F6C30B3" w14:textId="77777777" w:rsidR="00844B88" w:rsidRPr="00AF0CC3" w:rsidRDefault="00844B88" w:rsidP="00844B88">
      <w:pPr>
        <w:rPr>
          <w:rFonts w:ascii="Times New Roman" w:hAnsi="Times New Roman" w:cs="Times New Roman"/>
          <w:color w:val="000000" w:themeColor="text1"/>
        </w:rPr>
      </w:pPr>
    </w:p>
    <w:p w14:paraId="74954540" w14:textId="77777777" w:rsidR="00844B88" w:rsidRPr="00AF0CC3" w:rsidRDefault="00844B88" w:rsidP="00844B88">
      <w:pPr>
        <w:rPr>
          <w:rFonts w:ascii="Times New Roman" w:hAnsi="Times New Roman" w:cs="Times New Roman"/>
          <w:color w:val="000000" w:themeColor="text1"/>
        </w:rPr>
      </w:pPr>
      <w:r w:rsidRPr="00AF0CC3">
        <w:rPr>
          <w:rFonts w:ascii="Times New Roman" w:hAnsi="Times New Roman" w:cs="Times New Roman"/>
          <w:color w:val="000000" w:themeColor="text1"/>
        </w:rPr>
        <w:t>Analysis of project documentation indicated that climate and political vulnerabilities were particularly pronounced among large-scale dam and water-storage infrastructure projects. These projects were characterized by extended implementation timelines, multiple implementing institutions, substantial financing commitments, complex environmental approval requirements, land acquisition obligations, climate-sensitive construction activities, and politically significant investment decisions. Such characteristics increased exposure to both environmental and institutional disruptions, thereby elevating implementation risk throughout the project lifecycle.</w:t>
      </w:r>
    </w:p>
    <w:p w14:paraId="1D8E9CC4" w14:textId="77777777" w:rsidR="00844B88" w:rsidRPr="00AF0CC3" w:rsidRDefault="00844B88" w:rsidP="00844B88">
      <w:pPr>
        <w:rPr>
          <w:rFonts w:ascii="Times New Roman" w:hAnsi="Times New Roman" w:cs="Times New Roman"/>
          <w:color w:val="000000" w:themeColor="text1"/>
        </w:rPr>
      </w:pPr>
    </w:p>
    <w:p w14:paraId="0320D011" w14:textId="77777777" w:rsidR="00844B88" w:rsidRPr="00AF0CC3" w:rsidRDefault="00844B88" w:rsidP="00844B88">
      <w:pPr>
        <w:rPr>
          <w:rFonts w:ascii="Times New Roman" w:hAnsi="Times New Roman" w:cs="Times New Roman"/>
          <w:color w:val="000000" w:themeColor="text1"/>
        </w:rPr>
      </w:pPr>
      <w:r w:rsidRPr="00AF0CC3">
        <w:rPr>
          <w:rFonts w:ascii="Times New Roman" w:hAnsi="Times New Roman" w:cs="Times New Roman"/>
          <w:color w:val="000000" w:themeColor="text1"/>
        </w:rPr>
        <w:t>Implementation disruptions associated with climate exposure and political transition frequently led to broader project instability across these infrastructure categories. Large-scale projects often require sustained coordination among multiple stakeholders over extended periods, making them particularly sensitive to changes in environmental conditions, administrative structures, financing arrangements, and policy priorities.</w:t>
      </w:r>
    </w:p>
    <w:p w14:paraId="1CDACCE2" w14:textId="77777777" w:rsidR="00844B88" w:rsidRPr="00AF0CC3" w:rsidRDefault="00844B88" w:rsidP="00844B88">
      <w:pPr>
        <w:rPr>
          <w:rFonts w:ascii="Times New Roman" w:hAnsi="Times New Roman" w:cs="Times New Roman"/>
          <w:color w:val="000000" w:themeColor="text1"/>
        </w:rPr>
      </w:pPr>
    </w:p>
    <w:p w14:paraId="10F2B021" w14:textId="77777777" w:rsidR="00844B88" w:rsidRPr="00AF0CC3" w:rsidRDefault="00844B88" w:rsidP="00844B88">
      <w:pPr>
        <w:rPr>
          <w:rFonts w:ascii="Times New Roman" w:hAnsi="Times New Roman" w:cs="Times New Roman"/>
          <w:color w:val="000000" w:themeColor="text1"/>
        </w:rPr>
      </w:pPr>
      <w:r w:rsidRPr="00AF0CC3">
        <w:rPr>
          <w:rFonts w:ascii="Times New Roman" w:hAnsi="Times New Roman" w:cs="Times New Roman"/>
          <w:color w:val="000000" w:themeColor="text1"/>
        </w:rPr>
        <w:t>Projects such as High Grand Falls Dam, Karimenu II Dam, Arror Dam, and Kimwarer Dam illustrate how climate variability, administrative restructuring, financing uncertainty, procurement reviews, and institutional coordination challenges can interact cumulatively to intensify implementation vulnerability. Rather than operating in isolation, these factors frequently reinforced one another, creating complex implementation environments that were more susceptible to delays, disruptions, and periods of project instability.</w:t>
      </w:r>
    </w:p>
    <w:p w14:paraId="495BAB0B" w14:textId="77777777" w:rsidR="00844B88" w:rsidRPr="00AF0CC3" w:rsidRDefault="00844B88" w:rsidP="00844B88">
      <w:pPr>
        <w:rPr>
          <w:rFonts w:ascii="Times New Roman" w:hAnsi="Times New Roman" w:cs="Times New Roman"/>
          <w:color w:val="000000" w:themeColor="text1"/>
        </w:rPr>
      </w:pPr>
    </w:p>
    <w:p w14:paraId="5CBDA2A8" w14:textId="77777777" w:rsidR="00844B88" w:rsidRPr="00AF0CC3" w:rsidRDefault="00844B88" w:rsidP="00844B88">
      <w:pPr>
        <w:rPr>
          <w:rFonts w:ascii="Times New Roman" w:hAnsi="Times New Roman" w:cs="Times New Roman"/>
          <w:color w:val="000000" w:themeColor="text1"/>
        </w:rPr>
      </w:pPr>
      <w:r w:rsidRPr="00AF0CC3">
        <w:rPr>
          <w:rFonts w:ascii="Times New Roman" w:hAnsi="Times New Roman" w:cs="Times New Roman"/>
          <w:color w:val="000000" w:themeColor="text1"/>
        </w:rPr>
        <w:t>Collectively, these observations underscore the increasing importance of governance quality as project complexity and institutional interdependence expand. Strong governance arrangements were associated with enhanced coordination, oversight, accountability, and implementation continuity, all of which become increasingly critical for managing the risks of large-scale infrastructure investments. The evidence, therefore, highlights the quality of governance as an important institutional mechanism for sustaining implementation continuity and strengthening resilience within complex infrastructure systems.</w:t>
      </w:r>
    </w:p>
    <w:p w14:paraId="7215E2D1" w14:textId="063A1E46" w:rsidR="00844B88" w:rsidRPr="00AF0CC3" w:rsidRDefault="00844B88" w:rsidP="00844B88">
      <w:pPr>
        <w:pStyle w:val="Heading3"/>
        <w:rPr>
          <w:rFonts w:cs="Times New Roman"/>
          <w:b w:val="0"/>
          <w:bCs/>
          <w:color w:val="000000" w:themeColor="text1"/>
          <w:szCs w:val="24"/>
        </w:rPr>
      </w:pPr>
      <w:bookmarkStart w:id="451" w:name="_Toc232376008"/>
      <w:bookmarkStart w:id="452" w:name="_Toc234344876"/>
      <w:bookmarkStart w:id="453" w:name="_Toc234489108"/>
      <w:r w:rsidRPr="00AF0CC3">
        <w:rPr>
          <w:rFonts w:cs="Times New Roman"/>
          <w:bCs/>
          <w:color w:val="000000" w:themeColor="text1"/>
          <w:szCs w:val="24"/>
        </w:rPr>
        <w:t>Implications of Climate and Political Moderation Effects</w:t>
      </w:r>
      <w:bookmarkEnd w:id="451"/>
      <w:bookmarkEnd w:id="452"/>
      <w:bookmarkEnd w:id="453"/>
    </w:p>
    <w:p w14:paraId="4CAB5952" w14:textId="77777777" w:rsidR="00844B88" w:rsidRPr="00AF0CC3" w:rsidRDefault="00844B88" w:rsidP="00844B88">
      <w:pPr>
        <w:rPr>
          <w:rFonts w:ascii="Times New Roman" w:hAnsi="Times New Roman" w:cs="Times New Roman"/>
          <w:color w:val="000000" w:themeColor="text1"/>
        </w:rPr>
      </w:pPr>
      <w:r w:rsidRPr="00AF0CC3">
        <w:rPr>
          <w:rFonts w:ascii="Times New Roman" w:hAnsi="Times New Roman" w:cs="Times New Roman"/>
          <w:color w:val="000000" w:themeColor="text1"/>
        </w:rPr>
        <w:t>The patterns identified across the sampled projects indicate that successful infrastructure delivery depends not only on technical expertise and financial resources but also on institutional capabilities that sustain implementation continuity amid uncertainty and external disruption.</w:t>
      </w:r>
    </w:p>
    <w:p w14:paraId="648E801E" w14:textId="77777777" w:rsidR="00844B88" w:rsidRPr="00AF0CC3" w:rsidRDefault="00844B88" w:rsidP="00844B88">
      <w:pPr>
        <w:rPr>
          <w:rFonts w:ascii="Times New Roman" w:hAnsi="Times New Roman" w:cs="Times New Roman"/>
          <w:color w:val="000000" w:themeColor="text1"/>
        </w:rPr>
      </w:pPr>
    </w:p>
    <w:p w14:paraId="49D5FD3A" w14:textId="77777777" w:rsidR="00844B88" w:rsidRPr="00AF0CC3" w:rsidRDefault="00844B88" w:rsidP="00844B88">
      <w:pPr>
        <w:rPr>
          <w:rFonts w:ascii="Times New Roman" w:hAnsi="Times New Roman" w:cs="Times New Roman"/>
          <w:color w:val="000000" w:themeColor="text1"/>
        </w:rPr>
      </w:pPr>
      <w:r w:rsidRPr="00AF0CC3">
        <w:rPr>
          <w:rFonts w:ascii="Times New Roman" w:hAnsi="Times New Roman" w:cs="Times New Roman"/>
          <w:color w:val="000000" w:themeColor="text1"/>
        </w:rPr>
        <w:t>Variation in project performance was associated with differences in governance arrangements, particularly regarding implementation coordination, accountability mechanisms, procurement stability, implementation adaptability, oversight responsiveness, and administrative continuity. These institutional characteristics strengthened the capacity of implementing agencies to maintain project momentum, respond to emerging challenges, and sustain delivery performance despite changing environmental and political conditions.</w:t>
      </w:r>
    </w:p>
    <w:p w14:paraId="31607D5A" w14:textId="77777777" w:rsidR="00844B88" w:rsidRPr="00AF0CC3" w:rsidRDefault="00844B88" w:rsidP="00844B88">
      <w:pPr>
        <w:rPr>
          <w:rFonts w:ascii="Times New Roman" w:hAnsi="Times New Roman" w:cs="Times New Roman"/>
          <w:color w:val="000000" w:themeColor="text1"/>
        </w:rPr>
      </w:pPr>
    </w:p>
    <w:p w14:paraId="5DB5B305" w14:textId="77777777" w:rsidR="00844B88" w:rsidRPr="00AF0CC3" w:rsidRDefault="00844B88" w:rsidP="00844B88">
      <w:pPr>
        <w:rPr>
          <w:rFonts w:ascii="Times New Roman" w:hAnsi="Times New Roman" w:cs="Times New Roman"/>
          <w:color w:val="000000" w:themeColor="text1"/>
        </w:rPr>
      </w:pPr>
      <w:r w:rsidRPr="00AF0CC3">
        <w:rPr>
          <w:rFonts w:ascii="Times New Roman" w:hAnsi="Times New Roman" w:cs="Times New Roman"/>
          <w:color w:val="000000" w:themeColor="text1"/>
        </w:rPr>
        <w:t xml:space="preserve">These observations reinforce the broader proposition that infrastructure delivery outcomes are shaped not only by technical implementation capacity but also by the quality and resilience of </w:t>
      </w:r>
      <w:r w:rsidRPr="00AF0CC3">
        <w:rPr>
          <w:rFonts w:ascii="Times New Roman" w:hAnsi="Times New Roman" w:cs="Times New Roman"/>
          <w:color w:val="000000" w:themeColor="text1"/>
        </w:rPr>
        <w:lastRenderedPageBreak/>
        <w:t>the governance systems supporting project execution. Effective governance arrangements provide the institutional foundations necessary to manage uncertainty, coordinate complex implementation processes, and maintain continuity throughout extended project lifecycles.</w:t>
      </w:r>
    </w:p>
    <w:p w14:paraId="1EA1B20B" w14:textId="77777777" w:rsidR="00844B88" w:rsidRPr="00AF0CC3" w:rsidRDefault="00844B88" w:rsidP="00844B88">
      <w:pPr>
        <w:rPr>
          <w:rFonts w:ascii="Times New Roman" w:hAnsi="Times New Roman" w:cs="Times New Roman"/>
          <w:color w:val="000000" w:themeColor="text1"/>
        </w:rPr>
      </w:pPr>
    </w:p>
    <w:p w14:paraId="3C3800B3" w14:textId="77777777" w:rsidR="00844B88" w:rsidRPr="00AF0CC3" w:rsidRDefault="00844B88" w:rsidP="00844B88">
      <w:pPr>
        <w:rPr>
          <w:rFonts w:ascii="Times New Roman" w:hAnsi="Times New Roman" w:cs="Times New Roman"/>
          <w:color w:val="000000" w:themeColor="text1"/>
        </w:rPr>
      </w:pPr>
      <w:r w:rsidRPr="00AF0CC3">
        <w:rPr>
          <w:rFonts w:ascii="Times New Roman" w:hAnsi="Times New Roman" w:cs="Times New Roman"/>
          <w:color w:val="000000" w:themeColor="text1"/>
        </w:rPr>
        <w:t>The evidence further highlights the close relationship between climate resilience and governance resilience within infrastructure implementation systems. Rather than operating as separate dimensions of project management, environmental adaptability and institutional resilience appear mutually reinforcing, with governance quality influencing the capacity of infrastructure systems to anticipate, absorb, and respond to both climatic and administrative disruptions. This relationship is particularly relevant in the water sector, where long implementation horizons, environmental variability, and evolving political contexts create persistent demands for adaptive and resilient governance arrangements.</w:t>
      </w:r>
    </w:p>
    <w:p w14:paraId="4B7FAF6A" w14:textId="77777777" w:rsidR="00844B88" w:rsidRPr="00AF0CC3" w:rsidRDefault="00844B88" w:rsidP="00844B88">
      <w:pPr>
        <w:rPr>
          <w:rFonts w:ascii="Times New Roman" w:hAnsi="Times New Roman" w:cs="Times New Roman"/>
          <w:color w:val="000000" w:themeColor="text1"/>
        </w:rPr>
      </w:pPr>
    </w:p>
    <w:p w14:paraId="7C794DEB" w14:textId="27106C9B" w:rsidR="00844B88" w:rsidRPr="00AF0CC3" w:rsidRDefault="00844B88" w:rsidP="00844B88">
      <w:pPr>
        <w:pStyle w:val="Heading3"/>
        <w:rPr>
          <w:rFonts w:cs="Times New Roman"/>
          <w:b w:val="0"/>
          <w:bCs/>
          <w:color w:val="000000" w:themeColor="text1"/>
          <w:szCs w:val="24"/>
        </w:rPr>
      </w:pPr>
      <w:bookmarkStart w:id="454" w:name="_Toc232376009"/>
      <w:bookmarkStart w:id="455" w:name="_Toc234344877"/>
      <w:bookmarkStart w:id="456" w:name="_Toc234489109"/>
      <w:r w:rsidRPr="00AF0CC3">
        <w:rPr>
          <w:rFonts w:cs="Times New Roman"/>
          <w:bCs/>
          <w:color w:val="000000" w:themeColor="text1"/>
          <w:szCs w:val="24"/>
        </w:rPr>
        <w:t>Hypothesis Outcomes</w:t>
      </w:r>
      <w:bookmarkEnd w:id="454"/>
      <w:bookmarkEnd w:id="455"/>
      <w:bookmarkEnd w:id="456"/>
    </w:p>
    <w:p w14:paraId="54AF3D76" w14:textId="77777777" w:rsidR="00844B88" w:rsidRPr="00AF0CC3" w:rsidRDefault="00844B88" w:rsidP="00844B88">
      <w:pPr>
        <w:rPr>
          <w:rFonts w:ascii="Times New Roman" w:hAnsi="Times New Roman" w:cs="Times New Roman"/>
          <w:b/>
          <w:bCs/>
          <w:color w:val="000000" w:themeColor="text1"/>
        </w:rPr>
      </w:pPr>
      <w:r w:rsidRPr="00AF0CC3">
        <w:rPr>
          <w:rFonts w:ascii="Times New Roman" w:hAnsi="Times New Roman" w:cs="Times New Roman"/>
          <w:b/>
          <w:bCs/>
          <w:color w:val="000000" w:themeColor="text1"/>
        </w:rPr>
        <w:t>Hypothesis four was supported.</w:t>
      </w:r>
    </w:p>
    <w:p w14:paraId="61D5B2E7" w14:textId="77777777" w:rsidR="00844B88" w:rsidRPr="00AF0CC3" w:rsidRDefault="00844B88" w:rsidP="00844B88">
      <w:pPr>
        <w:rPr>
          <w:rFonts w:ascii="Times New Roman" w:hAnsi="Times New Roman" w:cs="Times New Roman"/>
          <w:b/>
          <w:bCs/>
          <w:color w:val="000000" w:themeColor="text1"/>
        </w:rPr>
      </w:pPr>
      <w:r w:rsidRPr="00AF0CC3">
        <w:rPr>
          <w:rFonts w:ascii="Times New Roman" w:hAnsi="Times New Roman" w:cs="Times New Roman"/>
          <w:b/>
          <w:bCs/>
          <w:color w:val="000000" w:themeColor="text1"/>
        </w:rPr>
        <w:t>Hypothesis five was supported.</w:t>
      </w:r>
    </w:p>
    <w:p w14:paraId="5E3D3C5B" w14:textId="724C53A4" w:rsidR="00844B88" w:rsidRPr="00AF0CC3" w:rsidRDefault="00844B88" w:rsidP="00844B88">
      <w:pPr>
        <w:rPr>
          <w:rFonts w:ascii="Times New Roman" w:hAnsi="Times New Roman" w:cs="Times New Roman"/>
          <w:color w:val="000000" w:themeColor="text1"/>
        </w:rPr>
      </w:pPr>
      <w:r w:rsidRPr="00AF0CC3">
        <w:rPr>
          <w:rFonts w:ascii="Times New Roman" w:hAnsi="Times New Roman" w:cs="Times New Roman"/>
          <w:color w:val="000000" w:themeColor="text1"/>
        </w:rPr>
        <w:t xml:space="preserve">The evidence was consistent with Hypothesis 4, which proposed that climate exposure </w:t>
      </w:r>
      <w:r w:rsidR="00456EA8" w:rsidRPr="00AF0CC3">
        <w:rPr>
          <w:rFonts w:ascii="Times New Roman" w:hAnsi="Times New Roman" w:cs="Times New Roman"/>
          <w:color w:val="000000" w:themeColor="text1"/>
        </w:rPr>
        <w:t>moderates’</w:t>
      </w:r>
      <w:r w:rsidRPr="00AF0CC3">
        <w:rPr>
          <w:rFonts w:ascii="Times New Roman" w:hAnsi="Times New Roman" w:cs="Times New Roman"/>
          <w:color w:val="000000" w:themeColor="text1"/>
        </w:rPr>
        <w:t xml:space="preserve"> infrastructure delivery outcomes. Projects characterized by stronger governance arrangements demonstrated greater implementation resilience under conditions of environmental uncertainty, reflecting enhanced coordination, monitoring, adaptability, and oversight capacity.</w:t>
      </w:r>
    </w:p>
    <w:p w14:paraId="6E41533C" w14:textId="77777777" w:rsidR="00844B88" w:rsidRPr="00AF0CC3" w:rsidRDefault="00844B88" w:rsidP="00844B88">
      <w:pPr>
        <w:rPr>
          <w:rFonts w:ascii="Times New Roman" w:hAnsi="Times New Roman" w:cs="Times New Roman"/>
          <w:color w:val="000000" w:themeColor="text1"/>
        </w:rPr>
      </w:pPr>
    </w:p>
    <w:p w14:paraId="5B231F61" w14:textId="77777777" w:rsidR="00844B88" w:rsidRPr="00AF0CC3" w:rsidRDefault="00844B88" w:rsidP="00844B88">
      <w:pPr>
        <w:rPr>
          <w:rFonts w:ascii="Times New Roman" w:hAnsi="Times New Roman" w:cs="Times New Roman"/>
          <w:color w:val="000000" w:themeColor="text1"/>
        </w:rPr>
      </w:pPr>
      <w:r w:rsidRPr="00AF0CC3">
        <w:rPr>
          <w:rFonts w:ascii="Times New Roman" w:hAnsi="Times New Roman" w:cs="Times New Roman"/>
          <w:color w:val="000000" w:themeColor="text1"/>
        </w:rPr>
        <w:t>Similarly, the evidence aligned with Hypothesis 5, which posited that conditions of political transition influence implementation performance. Greater implementation continuity was observed among projects operating within stronger governance environments, suggesting that institutional quality contributes to stability during periods of political and administrative change.</w:t>
      </w:r>
    </w:p>
    <w:p w14:paraId="6D77AC5E" w14:textId="77777777" w:rsidR="00844B88" w:rsidRPr="00AF0CC3" w:rsidRDefault="00844B88" w:rsidP="00844B88">
      <w:pPr>
        <w:rPr>
          <w:rFonts w:ascii="Times New Roman" w:hAnsi="Times New Roman" w:cs="Times New Roman"/>
          <w:color w:val="000000" w:themeColor="text1"/>
        </w:rPr>
      </w:pPr>
      <w:r w:rsidRPr="00AF0CC3">
        <w:rPr>
          <w:rFonts w:ascii="Times New Roman" w:hAnsi="Times New Roman" w:cs="Times New Roman"/>
          <w:color w:val="000000" w:themeColor="text1"/>
        </w:rPr>
        <w:t>In combination, these observations reinforce the proposition that governance quality is an important institutional mechanism by which infrastructure systems respond to external disruption. The capacity to sustain implementation continuity, adapt to changing conditions, and coordinate institutional responses emerged as key characteristics associated with stronger governance environments. This relationship is particularly relevant within water infrastructure systems, where long implementation horizons and exposure to environmental and political uncertainty increase the importance of institutional resilience.</w:t>
      </w:r>
    </w:p>
    <w:p w14:paraId="231C9414" w14:textId="77777777" w:rsidR="00844B88" w:rsidRPr="00AF0CC3" w:rsidRDefault="00844B88" w:rsidP="00844B88">
      <w:pPr>
        <w:rPr>
          <w:rFonts w:ascii="Times New Roman" w:hAnsi="Times New Roman" w:cs="Times New Roman"/>
          <w:color w:val="000000" w:themeColor="text1"/>
        </w:rPr>
      </w:pPr>
    </w:p>
    <w:p w14:paraId="1A69758C" w14:textId="68F46C1E" w:rsidR="00844B88" w:rsidRPr="00AF0CC3" w:rsidRDefault="00844B88" w:rsidP="00844B88">
      <w:pPr>
        <w:pStyle w:val="Heading2"/>
        <w:rPr>
          <w:rFonts w:cs="Times New Roman"/>
          <w:b w:val="0"/>
          <w:bCs/>
          <w:color w:val="000000" w:themeColor="text1"/>
          <w:szCs w:val="24"/>
        </w:rPr>
      </w:pPr>
      <w:bookmarkStart w:id="457" w:name="_Toc232376010"/>
      <w:bookmarkStart w:id="458" w:name="_Toc234344878"/>
      <w:bookmarkStart w:id="459" w:name="_Toc234489110"/>
      <w:r w:rsidRPr="00AF0CC3">
        <w:rPr>
          <w:rFonts w:cs="Times New Roman"/>
          <w:bCs/>
          <w:color w:val="000000" w:themeColor="text1"/>
          <w:szCs w:val="24"/>
        </w:rPr>
        <w:lastRenderedPageBreak/>
        <w:t>Documentation Accessibility and Decentralized Governance Capacity</w:t>
      </w:r>
      <w:bookmarkEnd w:id="457"/>
      <w:bookmarkEnd w:id="458"/>
      <w:bookmarkEnd w:id="459"/>
    </w:p>
    <w:p w14:paraId="5ACF2AC3" w14:textId="77777777" w:rsidR="00844B88" w:rsidRPr="00AF0CC3" w:rsidRDefault="00844B88" w:rsidP="00844B88">
      <w:pPr>
        <w:rPr>
          <w:rFonts w:ascii="Times New Roman" w:hAnsi="Times New Roman" w:cs="Times New Roman"/>
          <w:color w:val="000000" w:themeColor="text1"/>
        </w:rPr>
      </w:pPr>
    </w:p>
    <w:p w14:paraId="58A86FCD" w14:textId="77777777" w:rsidR="00844B88" w:rsidRPr="00AF0CC3" w:rsidRDefault="00844B88" w:rsidP="00844B88">
      <w:pPr>
        <w:rPr>
          <w:rFonts w:ascii="Times New Roman" w:hAnsi="Times New Roman" w:cs="Times New Roman"/>
          <w:color w:val="000000" w:themeColor="text1"/>
        </w:rPr>
      </w:pPr>
      <w:r w:rsidRPr="00AF0CC3">
        <w:rPr>
          <w:rFonts w:ascii="Times New Roman" w:hAnsi="Times New Roman" w:cs="Times New Roman"/>
          <w:color w:val="000000" w:themeColor="text1"/>
        </w:rPr>
        <w:t>An important institutional pattern emerged during the documentary review and governance coding process concerning the accessibility and availability of project documentation across different implementing authorities. The ability to obtain sufficiently verifiable records varied between projects implemented by national government institutions and those implemented under county government structures following the introduction of devolution reforms.</w:t>
      </w:r>
    </w:p>
    <w:p w14:paraId="50D5FA11" w14:textId="77777777" w:rsidR="00844B88" w:rsidRPr="00AF0CC3" w:rsidRDefault="00844B88" w:rsidP="00844B88">
      <w:pPr>
        <w:rPr>
          <w:rFonts w:ascii="Times New Roman" w:hAnsi="Times New Roman" w:cs="Times New Roman"/>
          <w:color w:val="000000" w:themeColor="text1"/>
        </w:rPr>
      </w:pPr>
    </w:p>
    <w:p w14:paraId="3BE73BE9" w14:textId="77777777" w:rsidR="00844B88" w:rsidRPr="00AF0CC3" w:rsidRDefault="00844B88" w:rsidP="00844B88">
      <w:pPr>
        <w:rPr>
          <w:rFonts w:ascii="Times New Roman" w:hAnsi="Times New Roman" w:cs="Times New Roman"/>
          <w:color w:val="000000" w:themeColor="text1"/>
        </w:rPr>
      </w:pPr>
      <w:r w:rsidRPr="00AF0CC3">
        <w:rPr>
          <w:rFonts w:ascii="Times New Roman" w:hAnsi="Times New Roman" w:cs="Times New Roman"/>
          <w:color w:val="000000" w:themeColor="text1"/>
        </w:rPr>
        <w:t>Of the fifty-one water infrastructure projects initially identified for analysis, nineteen county government projects could not be included in the final analytical sample because the documentary evidence required for Governance Quality Index (GQI) assessment was unavailable or inaccessible through reliable public sources. The unavailable records included procurement documentation, implementation progress reports, audit records, expenditure reports, supervision reports, monitoring and evaluation documentation, and contract administration records.</w:t>
      </w:r>
    </w:p>
    <w:p w14:paraId="30F23C67" w14:textId="77777777" w:rsidR="00844B88" w:rsidRPr="00AF0CC3" w:rsidRDefault="00844B88" w:rsidP="00844B88">
      <w:pPr>
        <w:rPr>
          <w:rFonts w:ascii="Times New Roman" w:hAnsi="Times New Roman" w:cs="Times New Roman"/>
          <w:color w:val="000000" w:themeColor="text1"/>
        </w:rPr>
      </w:pPr>
    </w:p>
    <w:p w14:paraId="5803FE54" w14:textId="77777777" w:rsidR="00844B88" w:rsidRPr="00AF0CC3" w:rsidRDefault="00844B88" w:rsidP="00844B88">
      <w:pPr>
        <w:rPr>
          <w:rFonts w:ascii="Times New Roman" w:hAnsi="Times New Roman" w:cs="Times New Roman"/>
          <w:color w:val="000000" w:themeColor="text1"/>
        </w:rPr>
      </w:pPr>
      <w:r w:rsidRPr="00AF0CC3">
        <w:rPr>
          <w:rFonts w:ascii="Times New Roman" w:hAnsi="Times New Roman" w:cs="Times New Roman"/>
          <w:color w:val="000000" w:themeColor="text1"/>
        </w:rPr>
        <w:t>As a result, the final analytical sample consisted of thirty-two projects for which sufficient documentary evidence was available to support standardized governance assessment and comparative analysis. The exclusion of nineteen projects represents approximately 37.3% of the initially identified project population.</w:t>
      </w:r>
    </w:p>
    <w:p w14:paraId="2C40BE39" w14:textId="77777777" w:rsidR="00844B88" w:rsidRPr="00AF0CC3" w:rsidRDefault="00844B88" w:rsidP="00844B88">
      <w:pPr>
        <w:rPr>
          <w:rFonts w:ascii="Times New Roman" w:hAnsi="Times New Roman" w:cs="Times New Roman"/>
          <w:color w:val="000000" w:themeColor="text1"/>
        </w:rPr>
      </w:pPr>
    </w:p>
    <w:p w14:paraId="4ACE6527" w14:textId="77777777" w:rsidR="00844B88" w:rsidRPr="00AF0CC3" w:rsidRDefault="00844B88" w:rsidP="00844B88">
      <w:pPr>
        <w:rPr>
          <w:rFonts w:ascii="Times New Roman" w:hAnsi="Times New Roman" w:cs="Times New Roman"/>
          <w:color w:val="000000" w:themeColor="text1"/>
        </w:rPr>
      </w:pPr>
      <w:r w:rsidRPr="00AF0CC3">
        <w:rPr>
          <w:rFonts w:ascii="Times New Roman" w:hAnsi="Times New Roman" w:cs="Times New Roman"/>
          <w:color w:val="000000" w:themeColor="text1"/>
        </w:rPr>
        <w:t>The observed pattern was notable because all excluded projects were implemented under county government arrangements, whereas projects implemented through national government institutions provided sufficient documentation to support governance assessment. Although the study does not infer causality from this observation, the pattern highlights important differences in the accessibility of documentation and the availability of records across implementing authorities.</w:t>
      </w:r>
    </w:p>
    <w:p w14:paraId="6B0B57D7" w14:textId="77777777" w:rsidR="00844B88" w:rsidRPr="00AF0CC3" w:rsidRDefault="00844B88" w:rsidP="00844B88">
      <w:pPr>
        <w:rPr>
          <w:rFonts w:ascii="Times New Roman" w:hAnsi="Times New Roman" w:cs="Times New Roman"/>
          <w:color w:val="000000" w:themeColor="text1"/>
        </w:rPr>
      </w:pPr>
    </w:p>
    <w:p w14:paraId="2D35C8AB" w14:textId="77777777" w:rsidR="00844B88" w:rsidRPr="00AF0CC3" w:rsidRDefault="00844B88" w:rsidP="00844B88">
      <w:pPr>
        <w:rPr>
          <w:rFonts w:ascii="Times New Roman" w:hAnsi="Times New Roman" w:cs="Times New Roman"/>
          <w:color w:val="000000" w:themeColor="text1"/>
        </w:rPr>
      </w:pPr>
      <w:r w:rsidRPr="00AF0CC3">
        <w:rPr>
          <w:rFonts w:ascii="Times New Roman" w:hAnsi="Times New Roman" w:cs="Times New Roman"/>
          <w:color w:val="000000" w:themeColor="text1"/>
        </w:rPr>
        <w:t>From a governance perspective, documentation accessibility constitutes an important dimension of institutional transparency, accountability, and administrative capacity. Effective infrastructure governance depends not only on formal procedures and implementation systems but also on institutions' ability to maintain accessible, verifiable, and complete records throughout the project lifecycle. The absence of such documentation limits transparency, constrains oversight, and reduces the capacity for independent assessment of governance performance.</w:t>
      </w:r>
    </w:p>
    <w:p w14:paraId="036021D0" w14:textId="77777777" w:rsidR="00844B88" w:rsidRPr="00AF0CC3" w:rsidRDefault="00844B88" w:rsidP="00844B88">
      <w:pPr>
        <w:rPr>
          <w:rFonts w:ascii="Times New Roman" w:hAnsi="Times New Roman" w:cs="Times New Roman"/>
          <w:color w:val="000000" w:themeColor="text1"/>
        </w:rPr>
      </w:pPr>
    </w:p>
    <w:p w14:paraId="19FDEC4D" w14:textId="77777777" w:rsidR="00844B88" w:rsidRPr="00AF0CC3" w:rsidRDefault="00844B88" w:rsidP="00844B88">
      <w:pPr>
        <w:rPr>
          <w:rFonts w:ascii="Times New Roman" w:hAnsi="Times New Roman" w:cs="Times New Roman"/>
          <w:color w:val="000000" w:themeColor="text1"/>
        </w:rPr>
      </w:pPr>
      <w:r w:rsidRPr="00AF0CC3">
        <w:rPr>
          <w:rFonts w:ascii="Times New Roman" w:hAnsi="Times New Roman" w:cs="Times New Roman"/>
          <w:color w:val="000000" w:themeColor="text1"/>
        </w:rPr>
        <w:lastRenderedPageBreak/>
        <w:t>Accordingly, the observed differences in documentation accessibility may reflect broader variations in administrative capacity, records management practices, institutional oversight arrangements, and governance maturity across implementing authorities. While the excluded projects could not be incorporated into the quantitative analysis, the pattern itself represents a noteworthy institutional finding with potential implications for decentralized infrastructure governance and accountability within Kenya's water sector.</w:t>
      </w:r>
    </w:p>
    <w:p w14:paraId="3D5F013E" w14:textId="77777777" w:rsidR="00844B88" w:rsidRPr="00AF0CC3" w:rsidRDefault="00844B88" w:rsidP="00844B88">
      <w:pPr>
        <w:rPr>
          <w:rFonts w:ascii="Times New Roman" w:hAnsi="Times New Roman" w:cs="Times New Roman"/>
          <w:color w:val="000000" w:themeColor="text1"/>
        </w:rPr>
      </w:pPr>
    </w:p>
    <w:p w14:paraId="00BF7501" w14:textId="77777777" w:rsidR="00844B88" w:rsidRPr="00AF0CC3" w:rsidRDefault="00844B88" w:rsidP="00844B88">
      <w:pPr>
        <w:rPr>
          <w:rFonts w:ascii="Times New Roman" w:hAnsi="Times New Roman" w:cs="Times New Roman"/>
          <w:color w:val="000000" w:themeColor="text1"/>
        </w:rPr>
      </w:pPr>
      <w:r w:rsidRPr="00AF0CC3">
        <w:rPr>
          <w:rFonts w:ascii="Times New Roman" w:hAnsi="Times New Roman" w:cs="Times New Roman"/>
          <w:color w:val="000000" w:themeColor="text1"/>
        </w:rPr>
        <w:t>Figure 4.7 presents the distribution of projects included in and excluded from the final analytical sample by implementing authority. The figure provides a visual summary of documentation accessibility across national and county government infrastructure projects and highlights differences in the availability of records required for Governance Quality Index (GQI) assessment.</w:t>
      </w:r>
    </w:p>
    <w:p w14:paraId="48B41316" w14:textId="59BECF6D" w:rsidR="00BF2261" w:rsidRPr="00AF0CC3" w:rsidRDefault="00BF2261" w:rsidP="00BF2261">
      <w:pPr>
        <w:pStyle w:val="Caption"/>
        <w:keepNext/>
        <w:rPr>
          <w:rFonts w:ascii="Times New Roman" w:hAnsi="Times New Roman" w:cs="Times New Roman"/>
          <w:sz w:val="24"/>
          <w:szCs w:val="24"/>
        </w:rPr>
      </w:pPr>
      <w:bookmarkStart w:id="460" w:name="_Toc234481935"/>
      <w:r w:rsidRPr="00AF0CC3">
        <w:rPr>
          <w:rFonts w:ascii="Times New Roman" w:hAnsi="Times New Roman" w:cs="Times New Roman"/>
          <w:sz w:val="24"/>
          <w:szCs w:val="24"/>
        </w:rPr>
        <w:t xml:space="preserve">Figure </w:t>
      </w:r>
      <w:r w:rsidR="00052921" w:rsidRPr="00AF0CC3">
        <w:rPr>
          <w:rFonts w:ascii="Times New Roman" w:hAnsi="Times New Roman" w:cs="Times New Roman"/>
          <w:sz w:val="24"/>
          <w:szCs w:val="24"/>
        </w:rPr>
        <w:fldChar w:fldCharType="begin"/>
      </w:r>
      <w:r w:rsidR="00052921" w:rsidRPr="00AF0CC3">
        <w:rPr>
          <w:rFonts w:ascii="Times New Roman" w:hAnsi="Times New Roman" w:cs="Times New Roman"/>
          <w:sz w:val="24"/>
          <w:szCs w:val="24"/>
        </w:rPr>
        <w:instrText xml:space="preserve"> STYLEREF 1 \s </w:instrText>
      </w:r>
      <w:r w:rsidR="00052921" w:rsidRPr="00AF0CC3">
        <w:rPr>
          <w:rFonts w:ascii="Times New Roman" w:hAnsi="Times New Roman" w:cs="Times New Roman"/>
          <w:sz w:val="24"/>
          <w:szCs w:val="24"/>
        </w:rPr>
        <w:fldChar w:fldCharType="separate"/>
      </w:r>
      <w:r w:rsidR="00052921" w:rsidRPr="00AF0CC3">
        <w:rPr>
          <w:rFonts w:ascii="Times New Roman" w:hAnsi="Times New Roman" w:cs="Times New Roman"/>
          <w:noProof/>
          <w:sz w:val="24"/>
          <w:szCs w:val="24"/>
        </w:rPr>
        <w:t>4</w:t>
      </w:r>
      <w:r w:rsidR="00052921" w:rsidRPr="00AF0CC3">
        <w:rPr>
          <w:rFonts w:ascii="Times New Roman" w:hAnsi="Times New Roman" w:cs="Times New Roman"/>
          <w:noProof/>
          <w:sz w:val="24"/>
          <w:szCs w:val="24"/>
        </w:rPr>
        <w:fldChar w:fldCharType="end"/>
      </w:r>
      <w:r w:rsidRPr="00AF0CC3">
        <w:rPr>
          <w:rFonts w:ascii="Times New Roman" w:hAnsi="Times New Roman" w:cs="Times New Roman"/>
          <w:sz w:val="24"/>
          <w:szCs w:val="24"/>
        </w:rPr>
        <w:t>.</w:t>
      </w:r>
      <w:r w:rsidR="00052921" w:rsidRPr="00AF0CC3">
        <w:rPr>
          <w:rFonts w:ascii="Times New Roman" w:hAnsi="Times New Roman" w:cs="Times New Roman"/>
          <w:sz w:val="24"/>
          <w:szCs w:val="24"/>
        </w:rPr>
        <w:fldChar w:fldCharType="begin"/>
      </w:r>
      <w:r w:rsidR="00052921" w:rsidRPr="00AF0CC3">
        <w:rPr>
          <w:rFonts w:ascii="Times New Roman" w:hAnsi="Times New Roman" w:cs="Times New Roman"/>
          <w:sz w:val="24"/>
          <w:szCs w:val="24"/>
        </w:rPr>
        <w:instrText xml:space="preserve"> SEQ Figure \* ARABIC \s 1 </w:instrText>
      </w:r>
      <w:r w:rsidR="00052921" w:rsidRPr="00AF0CC3">
        <w:rPr>
          <w:rFonts w:ascii="Times New Roman" w:hAnsi="Times New Roman" w:cs="Times New Roman"/>
          <w:sz w:val="24"/>
          <w:szCs w:val="24"/>
        </w:rPr>
        <w:fldChar w:fldCharType="separate"/>
      </w:r>
      <w:r w:rsidR="00052921" w:rsidRPr="00AF0CC3">
        <w:rPr>
          <w:rFonts w:ascii="Times New Roman" w:hAnsi="Times New Roman" w:cs="Times New Roman"/>
          <w:noProof/>
          <w:sz w:val="24"/>
          <w:szCs w:val="24"/>
        </w:rPr>
        <w:t>7</w:t>
      </w:r>
      <w:r w:rsidR="00052921" w:rsidRPr="00AF0CC3">
        <w:rPr>
          <w:rFonts w:ascii="Times New Roman" w:hAnsi="Times New Roman" w:cs="Times New Roman"/>
          <w:noProof/>
          <w:sz w:val="24"/>
          <w:szCs w:val="24"/>
        </w:rPr>
        <w:fldChar w:fldCharType="end"/>
      </w:r>
      <w:r w:rsidRPr="00AF0CC3">
        <w:rPr>
          <w:rFonts w:ascii="Times New Roman" w:hAnsi="Times New Roman" w:cs="Times New Roman"/>
          <w:sz w:val="24"/>
          <w:szCs w:val="24"/>
        </w:rPr>
        <w:t xml:space="preserve"> Documentation accessibility across implementing authorities</w:t>
      </w:r>
      <w:bookmarkEnd w:id="460"/>
    </w:p>
    <w:p w14:paraId="4BF853CC" w14:textId="77777777" w:rsidR="00844B88" w:rsidRPr="00AF0CC3" w:rsidRDefault="00844B88" w:rsidP="00844B88">
      <w:pPr>
        <w:rPr>
          <w:rFonts w:ascii="Times New Roman" w:hAnsi="Times New Roman" w:cs="Times New Roman"/>
          <w:color w:val="000000" w:themeColor="text1"/>
        </w:rPr>
      </w:pPr>
      <w:r w:rsidRPr="00AF0CC3">
        <w:rPr>
          <w:rFonts w:ascii="Times New Roman" w:hAnsi="Times New Roman" w:cs="Times New Roman"/>
          <w:noProof/>
          <w:color w:val="000000" w:themeColor="text1"/>
        </w:rPr>
        <w:drawing>
          <wp:inline distT="0" distB="0" distL="0" distR="0" wp14:anchorId="6DBE72BF" wp14:editId="3E450338">
            <wp:extent cx="5943600" cy="3577590"/>
            <wp:effectExtent l="0" t="0" r="0" b="3810"/>
            <wp:docPr id="107138674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1386740" name=""/>
                    <pic:cNvPicPr/>
                  </pic:nvPicPr>
                  <pic:blipFill>
                    <a:blip r:embed="rId32"/>
                    <a:stretch>
                      <a:fillRect/>
                    </a:stretch>
                  </pic:blipFill>
                  <pic:spPr>
                    <a:xfrm>
                      <a:off x="0" y="0"/>
                      <a:ext cx="5943600" cy="3577590"/>
                    </a:xfrm>
                    <a:prstGeom prst="rect">
                      <a:avLst/>
                    </a:prstGeom>
                  </pic:spPr>
                </pic:pic>
              </a:graphicData>
            </a:graphic>
          </wp:inline>
        </w:drawing>
      </w:r>
    </w:p>
    <w:p w14:paraId="10B387F0" w14:textId="77777777" w:rsidR="00844B88" w:rsidRPr="00AF0CC3" w:rsidRDefault="00844B88" w:rsidP="00844B88">
      <w:pPr>
        <w:rPr>
          <w:rFonts w:ascii="Times New Roman" w:hAnsi="Times New Roman" w:cs="Times New Roman"/>
          <w:noProof/>
          <w:color w:val="000000" w:themeColor="text1"/>
        </w:rPr>
      </w:pPr>
    </w:p>
    <w:p w14:paraId="5272C46C" w14:textId="77777777" w:rsidR="00844B88" w:rsidRPr="00AF0CC3" w:rsidRDefault="00844B88" w:rsidP="00844B88">
      <w:pPr>
        <w:rPr>
          <w:rFonts w:ascii="Times New Roman" w:hAnsi="Times New Roman" w:cs="Times New Roman"/>
          <w:color w:val="000000" w:themeColor="text1"/>
        </w:rPr>
      </w:pPr>
    </w:p>
    <w:p w14:paraId="17E652F5" w14:textId="77777777" w:rsidR="00844B88" w:rsidRPr="00AF0CC3" w:rsidRDefault="00844B88" w:rsidP="00844B88">
      <w:pPr>
        <w:rPr>
          <w:rFonts w:ascii="Times New Roman" w:hAnsi="Times New Roman" w:cs="Times New Roman"/>
          <w:color w:val="000000" w:themeColor="text1"/>
        </w:rPr>
      </w:pPr>
      <w:r w:rsidRPr="00AF0CC3">
        <w:rPr>
          <w:rFonts w:ascii="Times New Roman" w:hAnsi="Times New Roman" w:cs="Times New Roman"/>
          <w:color w:val="000000" w:themeColor="text1"/>
        </w:rPr>
        <w:t>Figure 4.7 illustrates substantial differences in documentation accessibility across implementing authorities. The figure shows the distribution of infrastructure projects included in and excluded from the final analytical sample based on the availability of documentary evidence required for Governance Quality Index assessment.</w:t>
      </w:r>
    </w:p>
    <w:p w14:paraId="7A092DCF" w14:textId="77777777" w:rsidR="00844B88" w:rsidRPr="00AF0CC3" w:rsidRDefault="00844B88" w:rsidP="00844B88">
      <w:pPr>
        <w:rPr>
          <w:rFonts w:ascii="Times New Roman" w:hAnsi="Times New Roman" w:cs="Times New Roman"/>
          <w:color w:val="000000" w:themeColor="text1"/>
        </w:rPr>
      </w:pPr>
    </w:p>
    <w:p w14:paraId="4D2F4FDD" w14:textId="77777777" w:rsidR="00844B88" w:rsidRPr="00AF0CC3" w:rsidRDefault="00844B88" w:rsidP="00844B88">
      <w:pPr>
        <w:rPr>
          <w:rFonts w:ascii="Times New Roman" w:hAnsi="Times New Roman" w:cs="Times New Roman"/>
          <w:color w:val="000000" w:themeColor="text1"/>
        </w:rPr>
      </w:pPr>
      <w:r w:rsidRPr="00AF0CC3">
        <w:rPr>
          <w:rFonts w:ascii="Times New Roman" w:hAnsi="Times New Roman" w:cs="Times New Roman"/>
          <w:color w:val="000000" w:themeColor="text1"/>
        </w:rPr>
        <w:t>All nationally implemented projects identified during the screening process contained sufficiently verifiable documentary evidence to support Governance Quality Index (GQI) assessment and comparative analysis. By contrast, a substantial proportion of county-implemented projects lacked the documentation required for standardized governance assessment, resulting in the exclusion of nineteen projects from the final analytical sample.</w:t>
      </w:r>
    </w:p>
    <w:p w14:paraId="2B17C041" w14:textId="77777777" w:rsidR="00844B88" w:rsidRPr="00AF0CC3" w:rsidRDefault="00844B88" w:rsidP="00844B88">
      <w:pPr>
        <w:rPr>
          <w:rFonts w:ascii="Times New Roman" w:hAnsi="Times New Roman" w:cs="Times New Roman"/>
          <w:color w:val="000000" w:themeColor="text1"/>
        </w:rPr>
      </w:pPr>
    </w:p>
    <w:p w14:paraId="493757D4" w14:textId="77777777" w:rsidR="00844B88" w:rsidRPr="00AF0CC3" w:rsidRDefault="00844B88" w:rsidP="00844B88">
      <w:pPr>
        <w:rPr>
          <w:rFonts w:ascii="Times New Roman" w:hAnsi="Times New Roman" w:cs="Times New Roman"/>
          <w:color w:val="000000" w:themeColor="text1"/>
        </w:rPr>
      </w:pPr>
      <w:r w:rsidRPr="00AF0CC3">
        <w:rPr>
          <w:rFonts w:ascii="Times New Roman" w:hAnsi="Times New Roman" w:cs="Times New Roman"/>
          <w:color w:val="000000" w:themeColor="text1"/>
        </w:rPr>
        <w:t>The concentration of inaccessible documentation within county-implemented projects does not necessarily imply weaker project performance. However, it does indicate limitations in documentary transparency and record accessibility that constrain independent governance assessment, public accountability, and evidence-based evaluation of infrastructure delivery performance. From an infrastructure governance perspective, the ability to maintain accessible and verifiable records constitutes an important institutional capability supporting transparency, oversight, and administrative accountability.</w:t>
      </w:r>
    </w:p>
    <w:p w14:paraId="6B312E2A" w14:textId="77777777" w:rsidR="00844B88" w:rsidRPr="00AF0CC3" w:rsidRDefault="00844B88" w:rsidP="00844B88">
      <w:pPr>
        <w:rPr>
          <w:rFonts w:ascii="Times New Roman" w:hAnsi="Times New Roman" w:cs="Times New Roman"/>
          <w:color w:val="000000" w:themeColor="text1"/>
        </w:rPr>
      </w:pPr>
      <w:r w:rsidRPr="00AF0CC3">
        <w:rPr>
          <w:rFonts w:ascii="Times New Roman" w:hAnsi="Times New Roman" w:cs="Times New Roman"/>
          <w:color w:val="000000" w:themeColor="text1"/>
        </w:rPr>
        <w:t>From a governance perspective, the accessibility of documentation is an important prerequisite for transparency, accountability, monitoring, and independent oversight. Infrastructure governance depends not only on the existence of formal procedures and implementation arrangements but also on the capacity of institutions to maintain accessible, verifiable, and complete records throughout the project lifecycle. Consequently, the observed pattern underscores the importance of documentary transparency, records management systems, implementation reporting practices, and monitoring capacity as integral components of effective governance under devolved administrative arrangements.</w:t>
      </w:r>
    </w:p>
    <w:p w14:paraId="58C4EC67" w14:textId="77777777" w:rsidR="00844B88" w:rsidRPr="00AF0CC3" w:rsidRDefault="00844B88" w:rsidP="00844B88">
      <w:pPr>
        <w:rPr>
          <w:rFonts w:ascii="Times New Roman" w:hAnsi="Times New Roman" w:cs="Times New Roman"/>
          <w:color w:val="000000" w:themeColor="text1"/>
        </w:rPr>
      </w:pPr>
    </w:p>
    <w:p w14:paraId="15AE2208" w14:textId="77777777" w:rsidR="00844B88" w:rsidRPr="00AF0CC3" w:rsidRDefault="00844B88" w:rsidP="00844B88">
      <w:pPr>
        <w:rPr>
          <w:rFonts w:ascii="Times New Roman" w:hAnsi="Times New Roman" w:cs="Times New Roman"/>
          <w:color w:val="000000" w:themeColor="text1"/>
        </w:rPr>
      </w:pPr>
      <w:r w:rsidRPr="00AF0CC3">
        <w:rPr>
          <w:rFonts w:ascii="Times New Roman" w:hAnsi="Times New Roman" w:cs="Times New Roman"/>
          <w:color w:val="000000" w:themeColor="text1"/>
        </w:rPr>
        <w:t>While the study does not infer governance performance from the availability of documentation alone, the observed differences in record accessibility highlight an institutional dimension of decentralized governance that may warrant further investigation in future research.</w:t>
      </w:r>
    </w:p>
    <w:p w14:paraId="545C54FD" w14:textId="77777777" w:rsidR="00844B88" w:rsidRPr="00AF0CC3" w:rsidRDefault="00844B88" w:rsidP="00844B88">
      <w:pPr>
        <w:rPr>
          <w:rFonts w:ascii="Times New Roman" w:hAnsi="Times New Roman" w:cs="Times New Roman"/>
          <w:color w:val="000000" w:themeColor="text1"/>
        </w:rPr>
      </w:pPr>
    </w:p>
    <w:p w14:paraId="75353DB5" w14:textId="62AB70BF" w:rsidR="00844B88" w:rsidRPr="00AF0CC3" w:rsidRDefault="00844B88" w:rsidP="00844B88">
      <w:pPr>
        <w:pStyle w:val="Heading2"/>
        <w:rPr>
          <w:rFonts w:cs="Times New Roman"/>
          <w:b w:val="0"/>
          <w:bCs/>
          <w:color w:val="000000" w:themeColor="text1"/>
          <w:szCs w:val="24"/>
        </w:rPr>
      </w:pPr>
      <w:bookmarkStart w:id="461" w:name="_Toc232376011"/>
      <w:bookmarkStart w:id="462" w:name="_Toc234344879"/>
      <w:bookmarkStart w:id="463" w:name="_Toc234489111"/>
      <w:r w:rsidRPr="00AF0CC3">
        <w:rPr>
          <w:rFonts w:cs="Times New Roman"/>
          <w:bCs/>
          <w:color w:val="000000" w:themeColor="text1"/>
          <w:szCs w:val="24"/>
        </w:rPr>
        <w:t>Summary of Hypothesis Testing</w:t>
      </w:r>
      <w:bookmarkEnd w:id="461"/>
      <w:bookmarkEnd w:id="462"/>
      <w:bookmarkEnd w:id="463"/>
    </w:p>
    <w:p w14:paraId="168D33C1" w14:textId="77777777" w:rsidR="00844B88" w:rsidRPr="00AF0CC3" w:rsidRDefault="00844B88" w:rsidP="00844B88">
      <w:pPr>
        <w:rPr>
          <w:rFonts w:ascii="Times New Roman" w:hAnsi="Times New Roman" w:cs="Times New Roman"/>
          <w:color w:val="000000" w:themeColor="text1"/>
        </w:rPr>
      </w:pPr>
    </w:p>
    <w:p w14:paraId="42073546" w14:textId="77777777" w:rsidR="00844B88" w:rsidRPr="00AF0CC3" w:rsidRDefault="00844B88" w:rsidP="00844B88">
      <w:pPr>
        <w:rPr>
          <w:rFonts w:ascii="Times New Roman" w:hAnsi="Times New Roman" w:cs="Times New Roman"/>
          <w:color w:val="000000" w:themeColor="text1"/>
        </w:rPr>
      </w:pPr>
      <w:r w:rsidRPr="00AF0CC3">
        <w:rPr>
          <w:rFonts w:ascii="Times New Roman" w:hAnsi="Times New Roman" w:cs="Times New Roman"/>
          <w:color w:val="000000" w:themeColor="text1"/>
        </w:rPr>
        <w:t>This section summarizes the outcomes of the hypotheses tested in the study. It links the empirical observations to the broader research objectives concerning governance quality and infrastructure delivery outcomes within Kenya’s water infrastructure sector.</w:t>
      </w:r>
    </w:p>
    <w:p w14:paraId="2993A72E" w14:textId="77777777" w:rsidR="00844B88" w:rsidRPr="00AF0CC3" w:rsidRDefault="00844B88" w:rsidP="00844B88">
      <w:pPr>
        <w:rPr>
          <w:rFonts w:ascii="Times New Roman" w:hAnsi="Times New Roman" w:cs="Times New Roman"/>
          <w:color w:val="000000" w:themeColor="text1"/>
        </w:rPr>
      </w:pPr>
    </w:p>
    <w:p w14:paraId="20816701" w14:textId="77777777" w:rsidR="00844B88" w:rsidRPr="00AF0CC3" w:rsidRDefault="00844B88" w:rsidP="00844B88">
      <w:pPr>
        <w:rPr>
          <w:rFonts w:ascii="Times New Roman" w:hAnsi="Times New Roman" w:cs="Times New Roman"/>
          <w:color w:val="000000" w:themeColor="text1"/>
        </w:rPr>
      </w:pPr>
      <w:r w:rsidRPr="00AF0CC3">
        <w:rPr>
          <w:rFonts w:ascii="Times New Roman" w:hAnsi="Times New Roman" w:cs="Times New Roman"/>
          <w:color w:val="000000" w:themeColor="text1"/>
        </w:rPr>
        <w:lastRenderedPageBreak/>
        <w:t>Across the sampled projects, governance quality emerged as a key factor associated with infrastructure implementation performance. Higher levels of governance quality were associated with lower probabilities of project stalling, reduced implementation delays, stronger institutional coordination, and greater resilience amid climate disruption and political transition. The observed patterns further indicated that governance deficiencies frequently accumulated across multiple stages of the project lifecycle, including project preparation, procurement management, implementation oversight, institutional coordination, and accountability processes.</w:t>
      </w:r>
    </w:p>
    <w:p w14:paraId="1F595C4B" w14:textId="77777777" w:rsidR="00844B88" w:rsidRPr="00AF0CC3" w:rsidRDefault="00844B88" w:rsidP="00844B88">
      <w:pPr>
        <w:rPr>
          <w:rFonts w:ascii="Times New Roman" w:hAnsi="Times New Roman" w:cs="Times New Roman"/>
          <w:color w:val="000000" w:themeColor="text1"/>
        </w:rPr>
      </w:pPr>
    </w:p>
    <w:p w14:paraId="4236754C" w14:textId="77777777" w:rsidR="00844B88" w:rsidRPr="00AF0CC3" w:rsidRDefault="00844B88" w:rsidP="00844B88">
      <w:pPr>
        <w:rPr>
          <w:rFonts w:ascii="Times New Roman" w:hAnsi="Times New Roman" w:cs="Times New Roman"/>
          <w:color w:val="000000" w:themeColor="text1"/>
        </w:rPr>
      </w:pPr>
      <w:r w:rsidRPr="00AF0CC3">
        <w:rPr>
          <w:rFonts w:ascii="Times New Roman" w:hAnsi="Times New Roman" w:cs="Times New Roman"/>
          <w:color w:val="000000" w:themeColor="text1"/>
        </w:rPr>
        <w:t>Projects exhibiting multiple governance weaknesses were more likely to experience implementation instability, procurement disruptions, financial uncertainty, delayed delivery schedules, and prolonged implementation interruptions. These patterns highlight the interconnected nature of governance systems and their influence on infrastructure delivery outcomes.</w:t>
      </w:r>
    </w:p>
    <w:p w14:paraId="3E3ECC76" w14:textId="77777777" w:rsidR="00844B88" w:rsidRPr="00AF0CC3" w:rsidRDefault="00844B88" w:rsidP="00844B88">
      <w:pPr>
        <w:rPr>
          <w:rFonts w:ascii="Times New Roman" w:hAnsi="Times New Roman" w:cs="Times New Roman"/>
          <w:color w:val="000000" w:themeColor="text1"/>
        </w:rPr>
      </w:pPr>
    </w:p>
    <w:p w14:paraId="0A369B45" w14:textId="0CB9840F" w:rsidR="00844B88" w:rsidRPr="00AF0CC3" w:rsidRDefault="00844B88" w:rsidP="00844B88">
      <w:pPr>
        <w:rPr>
          <w:rFonts w:ascii="Times New Roman" w:hAnsi="Times New Roman" w:cs="Times New Roman"/>
          <w:color w:val="000000" w:themeColor="text1"/>
        </w:rPr>
      </w:pPr>
      <w:r w:rsidRPr="00AF0CC3">
        <w:rPr>
          <w:rFonts w:ascii="Times New Roman" w:hAnsi="Times New Roman" w:cs="Times New Roman"/>
          <w:color w:val="000000" w:themeColor="text1"/>
        </w:rPr>
        <w:t>Table 4.</w:t>
      </w:r>
      <w:r w:rsidR="00D032D3" w:rsidRPr="00AF0CC3">
        <w:rPr>
          <w:rFonts w:ascii="Times New Roman" w:hAnsi="Times New Roman" w:cs="Times New Roman"/>
          <w:color w:val="000000" w:themeColor="text1"/>
        </w:rPr>
        <w:t>9</w:t>
      </w:r>
      <w:r w:rsidRPr="00AF0CC3">
        <w:rPr>
          <w:rFonts w:ascii="Times New Roman" w:hAnsi="Times New Roman" w:cs="Times New Roman"/>
          <w:color w:val="000000" w:themeColor="text1"/>
        </w:rPr>
        <w:t xml:space="preserve"> summarizes the outcomes of the hypotheses tested in the study.</w:t>
      </w:r>
    </w:p>
    <w:p w14:paraId="271A5244" w14:textId="4BBB48D5" w:rsidR="00D032D3" w:rsidRPr="00AF0CC3" w:rsidRDefault="00D032D3" w:rsidP="00D032D3">
      <w:pPr>
        <w:pStyle w:val="Caption"/>
        <w:keepNext/>
        <w:rPr>
          <w:rFonts w:ascii="Times New Roman" w:hAnsi="Times New Roman" w:cs="Times New Roman"/>
          <w:sz w:val="24"/>
          <w:szCs w:val="24"/>
        </w:rPr>
      </w:pPr>
      <w:bookmarkStart w:id="464" w:name="_Toc234437377"/>
      <w:r w:rsidRPr="00AF0CC3">
        <w:rPr>
          <w:rFonts w:ascii="Times New Roman" w:hAnsi="Times New Roman" w:cs="Times New Roman"/>
          <w:sz w:val="24"/>
          <w:szCs w:val="24"/>
        </w:rPr>
        <w:t xml:space="preserve">Table </w:t>
      </w:r>
      <w:r w:rsidR="007F4206" w:rsidRPr="00AF0CC3">
        <w:rPr>
          <w:rFonts w:ascii="Times New Roman" w:hAnsi="Times New Roman" w:cs="Times New Roman"/>
          <w:sz w:val="24"/>
          <w:szCs w:val="24"/>
        </w:rPr>
        <w:fldChar w:fldCharType="begin"/>
      </w:r>
      <w:r w:rsidR="007F4206" w:rsidRPr="00AF0CC3">
        <w:rPr>
          <w:rFonts w:ascii="Times New Roman" w:hAnsi="Times New Roman" w:cs="Times New Roman"/>
          <w:sz w:val="24"/>
          <w:szCs w:val="24"/>
        </w:rPr>
        <w:instrText xml:space="preserve"> STYLEREF 1 \s </w:instrText>
      </w:r>
      <w:r w:rsidR="007F4206" w:rsidRPr="00AF0CC3">
        <w:rPr>
          <w:rFonts w:ascii="Times New Roman" w:hAnsi="Times New Roman" w:cs="Times New Roman"/>
          <w:sz w:val="24"/>
          <w:szCs w:val="24"/>
        </w:rPr>
        <w:fldChar w:fldCharType="separate"/>
      </w:r>
      <w:r w:rsidR="007F4206" w:rsidRPr="00AF0CC3">
        <w:rPr>
          <w:rFonts w:ascii="Times New Roman" w:hAnsi="Times New Roman" w:cs="Times New Roman"/>
          <w:noProof/>
          <w:sz w:val="24"/>
          <w:szCs w:val="24"/>
        </w:rPr>
        <w:t>4</w:t>
      </w:r>
      <w:r w:rsidR="007F4206" w:rsidRPr="00AF0CC3">
        <w:rPr>
          <w:rFonts w:ascii="Times New Roman" w:hAnsi="Times New Roman" w:cs="Times New Roman"/>
          <w:noProof/>
          <w:sz w:val="24"/>
          <w:szCs w:val="24"/>
        </w:rPr>
        <w:fldChar w:fldCharType="end"/>
      </w:r>
      <w:r w:rsidR="007F4206" w:rsidRPr="00AF0CC3">
        <w:rPr>
          <w:rFonts w:ascii="Times New Roman" w:hAnsi="Times New Roman" w:cs="Times New Roman"/>
          <w:sz w:val="24"/>
          <w:szCs w:val="24"/>
        </w:rPr>
        <w:noBreakHyphen/>
      </w:r>
      <w:r w:rsidR="007F4206" w:rsidRPr="00AF0CC3">
        <w:rPr>
          <w:rFonts w:ascii="Times New Roman" w:hAnsi="Times New Roman" w:cs="Times New Roman"/>
          <w:sz w:val="24"/>
          <w:szCs w:val="24"/>
        </w:rPr>
        <w:fldChar w:fldCharType="begin"/>
      </w:r>
      <w:r w:rsidR="007F4206" w:rsidRPr="00AF0CC3">
        <w:rPr>
          <w:rFonts w:ascii="Times New Roman" w:hAnsi="Times New Roman" w:cs="Times New Roman"/>
          <w:sz w:val="24"/>
          <w:szCs w:val="24"/>
        </w:rPr>
        <w:instrText xml:space="preserve"> SEQ Table \* ARABIC \s 1 </w:instrText>
      </w:r>
      <w:r w:rsidR="007F4206" w:rsidRPr="00AF0CC3">
        <w:rPr>
          <w:rFonts w:ascii="Times New Roman" w:hAnsi="Times New Roman" w:cs="Times New Roman"/>
          <w:sz w:val="24"/>
          <w:szCs w:val="24"/>
        </w:rPr>
        <w:fldChar w:fldCharType="separate"/>
      </w:r>
      <w:r w:rsidR="007F4206" w:rsidRPr="00AF0CC3">
        <w:rPr>
          <w:rFonts w:ascii="Times New Roman" w:hAnsi="Times New Roman" w:cs="Times New Roman"/>
          <w:noProof/>
          <w:sz w:val="24"/>
          <w:szCs w:val="24"/>
        </w:rPr>
        <w:t>9</w:t>
      </w:r>
      <w:r w:rsidR="007F4206" w:rsidRPr="00AF0CC3">
        <w:rPr>
          <w:rFonts w:ascii="Times New Roman" w:hAnsi="Times New Roman" w:cs="Times New Roman"/>
          <w:noProof/>
          <w:sz w:val="24"/>
          <w:szCs w:val="24"/>
        </w:rPr>
        <w:fldChar w:fldCharType="end"/>
      </w:r>
      <w:r w:rsidRPr="00AF0CC3">
        <w:rPr>
          <w:rFonts w:ascii="Times New Roman" w:hAnsi="Times New Roman" w:cs="Times New Roman"/>
          <w:sz w:val="24"/>
          <w:szCs w:val="24"/>
        </w:rPr>
        <w:t xml:space="preserve"> Summary of Hypothesis Testing</w:t>
      </w:r>
      <w:bookmarkEnd w:id="464"/>
    </w:p>
    <w:tbl>
      <w:tblPr>
        <w:tblW w:w="0" w:type="auto"/>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1229"/>
        <w:gridCol w:w="6072"/>
        <w:gridCol w:w="1955"/>
      </w:tblGrid>
      <w:tr w:rsidR="00844B88" w:rsidRPr="00AF0CC3" w14:paraId="26DED841" w14:textId="77777777" w:rsidTr="00E73C98">
        <w:trPr>
          <w:tblHeader/>
          <w:tblCellSpacing w:w="15" w:type="dxa"/>
        </w:trPr>
        <w:tc>
          <w:tcPr>
            <w:tcW w:w="0" w:type="auto"/>
            <w:vAlign w:val="center"/>
            <w:hideMark/>
          </w:tcPr>
          <w:p w14:paraId="57B861C3" w14:textId="77777777" w:rsidR="00844B88" w:rsidRPr="00AF0CC3" w:rsidRDefault="00844B88" w:rsidP="00E73C98">
            <w:pPr>
              <w:spacing w:after="0" w:line="240" w:lineRule="auto"/>
              <w:jc w:val="center"/>
              <w:rPr>
                <w:rFonts w:ascii="Times New Roman" w:eastAsia="Times New Roman" w:hAnsi="Times New Roman" w:cs="Times New Roman"/>
                <w:b/>
                <w:bCs/>
                <w:color w:val="000000" w:themeColor="text1"/>
                <w:kern w:val="0"/>
                <w14:ligatures w14:val="none"/>
              </w:rPr>
            </w:pPr>
            <w:r w:rsidRPr="00AF0CC3">
              <w:rPr>
                <w:rFonts w:ascii="Times New Roman" w:eastAsia="Times New Roman" w:hAnsi="Times New Roman" w:cs="Times New Roman"/>
                <w:b/>
                <w:bCs/>
                <w:color w:val="000000" w:themeColor="text1"/>
                <w:kern w:val="0"/>
                <w14:ligatures w14:val="none"/>
              </w:rPr>
              <w:t>Hypothesis</w:t>
            </w:r>
          </w:p>
        </w:tc>
        <w:tc>
          <w:tcPr>
            <w:tcW w:w="0" w:type="auto"/>
            <w:vAlign w:val="center"/>
            <w:hideMark/>
          </w:tcPr>
          <w:p w14:paraId="578B61A9" w14:textId="77777777" w:rsidR="00844B88" w:rsidRPr="00AF0CC3" w:rsidRDefault="00844B88" w:rsidP="00E73C98">
            <w:pPr>
              <w:spacing w:after="0" w:line="240" w:lineRule="auto"/>
              <w:jc w:val="center"/>
              <w:rPr>
                <w:rFonts w:ascii="Times New Roman" w:eastAsia="Times New Roman" w:hAnsi="Times New Roman" w:cs="Times New Roman"/>
                <w:b/>
                <w:bCs/>
                <w:color w:val="000000" w:themeColor="text1"/>
                <w:kern w:val="0"/>
                <w14:ligatures w14:val="none"/>
              </w:rPr>
            </w:pPr>
            <w:r w:rsidRPr="00AF0CC3">
              <w:rPr>
                <w:rFonts w:ascii="Times New Roman" w:eastAsia="Times New Roman" w:hAnsi="Times New Roman" w:cs="Times New Roman"/>
                <w:b/>
                <w:bCs/>
                <w:color w:val="000000" w:themeColor="text1"/>
                <w:kern w:val="0"/>
                <w14:ligatures w14:val="none"/>
              </w:rPr>
              <w:t>Statement</w:t>
            </w:r>
          </w:p>
        </w:tc>
        <w:tc>
          <w:tcPr>
            <w:tcW w:w="0" w:type="auto"/>
            <w:vAlign w:val="center"/>
            <w:hideMark/>
          </w:tcPr>
          <w:p w14:paraId="192E78D9" w14:textId="77777777" w:rsidR="00844B88" w:rsidRPr="00AF0CC3" w:rsidRDefault="00844B88" w:rsidP="00E73C98">
            <w:pPr>
              <w:spacing w:after="0" w:line="240" w:lineRule="auto"/>
              <w:jc w:val="center"/>
              <w:rPr>
                <w:rFonts w:ascii="Times New Roman" w:eastAsia="Times New Roman" w:hAnsi="Times New Roman" w:cs="Times New Roman"/>
                <w:b/>
                <w:bCs/>
                <w:color w:val="000000" w:themeColor="text1"/>
                <w:kern w:val="0"/>
                <w14:ligatures w14:val="none"/>
              </w:rPr>
            </w:pPr>
            <w:r w:rsidRPr="00AF0CC3">
              <w:rPr>
                <w:rFonts w:ascii="Times New Roman" w:eastAsia="Times New Roman" w:hAnsi="Times New Roman" w:cs="Times New Roman"/>
                <w:b/>
                <w:bCs/>
                <w:color w:val="000000" w:themeColor="text1"/>
                <w:kern w:val="0"/>
                <w14:ligatures w14:val="none"/>
              </w:rPr>
              <w:t>Result</w:t>
            </w:r>
          </w:p>
        </w:tc>
      </w:tr>
      <w:tr w:rsidR="00844B88" w:rsidRPr="00AF0CC3" w14:paraId="5A055575" w14:textId="77777777" w:rsidTr="00E73C98">
        <w:trPr>
          <w:tblCellSpacing w:w="15" w:type="dxa"/>
        </w:trPr>
        <w:tc>
          <w:tcPr>
            <w:tcW w:w="0" w:type="auto"/>
            <w:vAlign w:val="center"/>
            <w:hideMark/>
          </w:tcPr>
          <w:p w14:paraId="4E1AEAA9" w14:textId="77777777" w:rsidR="00844B88" w:rsidRPr="00AF0CC3" w:rsidRDefault="00844B88" w:rsidP="00E73C98">
            <w:pPr>
              <w:spacing w:after="0" w:line="240" w:lineRule="auto"/>
              <w:rPr>
                <w:rFonts w:ascii="Times New Roman" w:eastAsia="Times New Roman" w:hAnsi="Times New Roman" w:cs="Times New Roman"/>
                <w:color w:val="000000" w:themeColor="text1"/>
                <w:kern w:val="0"/>
                <w14:ligatures w14:val="none"/>
              </w:rPr>
            </w:pPr>
            <w:r w:rsidRPr="00AF0CC3">
              <w:rPr>
                <w:rFonts w:ascii="Times New Roman" w:eastAsia="Times New Roman" w:hAnsi="Times New Roman" w:cs="Times New Roman"/>
                <w:color w:val="000000" w:themeColor="text1"/>
                <w:kern w:val="0"/>
                <w14:ligatures w14:val="none"/>
              </w:rPr>
              <w:t>H1</w:t>
            </w:r>
          </w:p>
        </w:tc>
        <w:tc>
          <w:tcPr>
            <w:tcW w:w="0" w:type="auto"/>
            <w:vAlign w:val="center"/>
            <w:hideMark/>
          </w:tcPr>
          <w:p w14:paraId="79A9464F" w14:textId="77777777" w:rsidR="00844B88" w:rsidRPr="00AF0CC3" w:rsidRDefault="00844B88" w:rsidP="00E73C98">
            <w:pPr>
              <w:spacing w:after="0" w:line="240" w:lineRule="auto"/>
              <w:rPr>
                <w:rFonts w:ascii="Times New Roman" w:eastAsia="Times New Roman" w:hAnsi="Times New Roman" w:cs="Times New Roman"/>
                <w:color w:val="000000" w:themeColor="text1"/>
                <w:kern w:val="0"/>
                <w14:ligatures w14:val="none"/>
              </w:rPr>
            </w:pPr>
            <w:r w:rsidRPr="00AF0CC3">
              <w:rPr>
                <w:rFonts w:ascii="Times New Roman" w:eastAsia="Times New Roman" w:hAnsi="Times New Roman" w:cs="Times New Roman"/>
                <w:color w:val="000000" w:themeColor="text1"/>
                <w:kern w:val="0"/>
                <w14:ligatures w14:val="none"/>
              </w:rPr>
              <w:t>Higher governance quality reduces project stalling</w:t>
            </w:r>
          </w:p>
        </w:tc>
        <w:tc>
          <w:tcPr>
            <w:tcW w:w="0" w:type="auto"/>
            <w:vAlign w:val="center"/>
            <w:hideMark/>
          </w:tcPr>
          <w:p w14:paraId="6DFB3AA2" w14:textId="77777777" w:rsidR="00844B88" w:rsidRPr="00AF0CC3" w:rsidRDefault="00844B88" w:rsidP="00E73C98">
            <w:pPr>
              <w:spacing w:after="0" w:line="240" w:lineRule="auto"/>
              <w:rPr>
                <w:rFonts w:ascii="Times New Roman" w:eastAsia="Times New Roman" w:hAnsi="Times New Roman" w:cs="Times New Roman"/>
                <w:color w:val="000000" w:themeColor="text1"/>
                <w:kern w:val="0"/>
                <w14:ligatures w14:val="none"/>
              </w:rPr>
            </w:pPr>
            <w:r w:rsidRPr="00AF0CC3">
              <w:rPr>
                <w:rFonts w:ascii="Times New Roman" w:eastAsia="Times New Roman" w:hAnsi="Times New Roman" w:cs="Times New Roman"/>
                <w:color w:val="000000" w:themeColor="text1"/>
                <w:kern w:val="0"/>
                <w14:ligatures w14:val="none"/>
              </w:rPr>
              <w:t>Supported</w:t>
            </w:r>
          </w:p>
        </w:tc>
      </w:tr>
      <w:tr w:rsidR="00844B88" w:rsidRPr="00AF0CC3" w14:paraId="036A93A0" w14:textId="77777777" w:rsidTr="00E73C98">
        <w:trPr>
          <w:tblCellSpacing w:w="15" w:type="dxa"/>
        </w:trPr>
        <w:tc>
          <w:tcPr>
            <w:tcW w:w="0" w:type="auto"/>
            <w:vAlign w:val="center"/>
            <w:hideMark/>
          </w:tcPr>
          <w:p w14:paraId="19AC460B" w14:textId="77777777" w:rsidR="00844B88" w:rsidRPr="00AF0CC3" w:rsidRDefault="00844B88" w:rsidP="00E73C98">
            <w:pPr>
              <w:spacing w:after="0" w:line="240" w:lineRule="auto"/>
              <w:rPr>
                <w:rFonts w:ascii="Times New Roman" w:eastAsia="Times New Roman" w:hAnsi="Times New Roman" w:cs="Times New Roman"/>
                <w:color w:val="000000" w:themeColor="text1"/>
                <w:kern w:val="0"/>
                <w14:ligatures w14:val="none"/>
              </w:rPr>
            </w:pPr>
            <w:r w:rsidRPr="00AF0CC3">
              <w:rPr>
                <w:rFonts w:ascii="Times New Roman" w:eastAsia="Times New Roman" w:hAnsi="Times New Roman" w:cs="Times New Roman"/>
                <w:color w:val="000000" w:themeColor="text1"/>
                <w:kern w:val="0"/>
                <w14:ligatures w14:val="none"/>
              </w:rPr>
              <w:t>H2</w:t>
            </w:r>
          </w:p>
        </w:tc>
        <w:tc>
          <w:tcPr>
            <w:tcW w:w="0" w:type="auto"/>
            <w:vAlign w:val="center"/>
            <w:hideMark/>
          </w:tcPr>
          <w:p w14:paraId="0107D3FD" w14:textId="77777777" w:rsidR="00844B88" w:rsidRPr="00AF0CC3" w:rsidRDefault="00844B88" w:rsidP="00E73C98">
            <w:pPr>
              <w:spacing w:after="0" w:line="240" w:lineRule="auto"/>
              <w:rPr>
                <w:rFonts w:ascii="Times New Roman" w:eastAsia="Times New Roman" w:hAnsi="Times New Roman" w:cs="Times New Roman"/>
                <w:color w:val="000000" w:themeColor="text1"/>
                <w:kern w:val="0"/>
                <w14:ligatures w14:val="none"/>
              </w:rPr>
            </w:pPr>
            <w:r w:rsidRPr="00AF0CC3">
              <w:rPr>
                <w:rFonts w:ascii="Times New Roman" w:eastAsia="Times New Roman" w:hAnsi="Times New Roman" w:cs="Times New Roman"/>
                <w:color w:val="000000" w:themeColor="text1"/>
                <w:kern w:val="0"/>
                <w14:ligatures w14:val="none"/>
              </w:rPr>
              <w:t>Higher governance quality reduces time overruns</w:t>
            </w:r>
          </w:p>
        </w:tc>
        <w:tc>
          <w:tcPr>
            <w:tcW w:w="0" w:type="auto"/>
            <w:vAlign w:val="center"/>
            <w:hideMark/>
          </w:tcPr>
          <w:p w14:paraId="245C4909" w14:textId="77777777" w:rsidR="00844B88" w:rsidRPr="00AF0CC3" w:rsidRDefault="00844B88" w:rsidP="00E73C98">
            <w:pPr>
              <w:spacing w:after="0" w:line="240" w:lineRule="auto"/>
              <w:rPr>
                <w:rFonts w:ascii="Times New Roman" w:eastAsia="Times New Roman" w:hAnsi="Times New Roman" w:cs="Times New Roman"/>
                <w:color w:val="000000" w:themeColor="text1"/>
                <w:kern w:val="0"/>
                <w14:ligatures w14:val="none"/>
              </w:rPr>
            </w:pPr>
            <w:r w:rsidRPr="00AF0CC3">
              <w:rPr>
                <w:rFonts w:ascii="Times New Roman" w:eastAsia="Times New Roman" w:hAnsi="Times New Roman" w:cs="Times New Roman"/>
                <w:color w:val="000000" w:themeColor="text1"/>
                <w:kern w:val="0"/>
                <w14:ligatures w14:val="none"/>
              </w:rPr>
              <w:t>Supported</w:t>
            </w:r>
          </w:p>
        </w:tc>
      </w:tr>
      <w:tr w:rsidR="00844B88" w:rsidRPr="00AF0CC3" w14:paraId="2A504418" w14:textId="77777777" w:rsidTr="00E73C98">
        <w:trPr>
          <w:tblCellSpacing w:w="15" w:type="dxa"/>
        </w:trPr>
        <w:tc>
          <w:tcPr>
            <w:tcW w:w="0" w:type="auto"/>
            <w:vAlign w:val="center"/>
            <w:hideMark/>
          </w:tcPr>
          <w:p w14:paraId="2AAE0654" w14:textId="77777777" w:rsidR="00844B88" w:rsidRPr="00AF0CC3" w:rsidRDefault="00844B88" w:rsidP="00E73C98">
            <w:pPr>
              <w:spacing w:after="0" w:line="240" w:lineRule="auto"/>
              <w:rPr>
                <w:rFonts w:ascii="Times New Roman" w:eastAsia="Times New Roman" w:hAnsi="Times New Roman" w:cs="Times New Roman"/>
                <w:color w:val="000000" w:themeColor="text1"/>
                <w:kern w:val="0"/>
                <w14:ligatures w14:val="none"/>
              </w:rPr>
            </w:pPr>
            <w:r w:rsidRPr="00AF0CC3">
              <w:rPr>
                <w:rFonts w:ascii="Times New Roman" w:eastAsia="Times New Roman" w:hAnsi="Times New Roman" w:cs="Times New Roman"/>
                <w:color w:val="000000" w:themeColor="text1"/>
                <w:kern w:val="0"/>
                <w14:ligatures w14:val="none"/>
              </w:rPr>
              <w:t>H3</w:t>
            </w:r>
          </w:p>
        </w:tc>
        <w:tc>
          <w:tcPr>
            <w:tcW w:w="0" w:type="auto"/>
            <w:vAlign w:val="center"/>
            <w:hideMark/>
          </w:tcPr>
          <w:p w14:paraId="71359240" w14:textId="77777777" w:rsidR="00844B88" w:rsidRPr="00AF0CC3" w:rsidRDefault="00844B88" w:rsidP="00E73C98">
            <w:pPr>
              <w:spacing w:after="0" w:line="240" w:lineRule="auto"/>
              <w:rPr>
                <w:rFonts w:ascii="Times New Roman" w:eastAsia="Times New Roman" w:hAnsi="Times New Roman" w:cs="Times New Roman"/>
                <w:color w:val="000000" w:themeColor="text1"/>
                <w:kern w:val="0"/>
                <w14:ligatures w14:val="none"/>
              </w:rPr>
            </w:pPr>
            <w:r w:rsidRPr="00AF0CC3">
              <w:rPr>
                <w:rFonts w:ascii="Times New Roman" w:eastAsia="Times New Roman" w:hAnsi="Times New Roman" w:cs="Times New Roman"/>
                <w:color w:val="000000" w:themeColor="text1"/>
                <w:kern w:val="0"/>
                <w14:ligatures w14:val="none"/>
              </w:rPr>
              <w:t>Higher governance quality reduces cost overruns</w:t>
            </w:r>
          </w:p>
        </w:tc>
        <w:tc>
          <w:tcPr>
            <w:tcW w:w="0" w:type="auto"/>
            <w:vAlign w:val="center"/>
            <w:hideMark/>
          </w:tcPr>
          <w:p w14:paraId="2F389F9E" w14:textId="77777777" w:rsidR="00844B88" w:rsidRPr="00AF0CC3" w:rsidRDefault="00844B88" w:rsidP="00E73C98">
            <w:pPr>
              <w:spacing w:after="0" w:line="240" w:lineRule="auto"/>
              <w:rPr>
                <w:rFonts w:ascii="Times New Roman" w:eastAsia="Times New Roman" w:hAnsi="Times New Roman" w:cs="Times New Roman"/>
                <w:color w:val="000000" w:themeColor="text1"/>
                <w:kern w:val="0"/>
                <w14:ligatures w14:val="none"/>
              </w:rPr>
            </w:pPr>
            <w:r w:rsidRPr="00AF0CC3">
              <w:rPr>
                <w:rFonts w:ascii="Times New Roman" w:eastAsia="Times New Roman" w:hAnsi="Times New Roman" w:cs="Times New Roman"/>
                <w:color w:val="000000" w:themeColor="text1"/>
                <w:kern w:val="0"/>
                <w14:ligatures w14:val="none"/>
              </w:rPr>
              <w:t>Partially Supported</w:t>
            </w:r>
          </w:p>
        </w:tc>
      </w:tr>
      <w:tr w:rsidR="00844B88" w:rsidRPr="00AF0CC3" w14:paraId="785A793D" w14:textId="77777777" w:rsidTr="00E73C98">
        <w:trPr>
          <w:tblCellSpacing w:w="15" w:type="dxa"/>
        </w:trPr>
        <w:tc>
          <w:tcPr>
            <w:tcW w:w="0" w:type="auto"/>
            <w:vAlign w:val="center"/>
            <w:hideMark/>
          </w:tcPr>
          <w:p w14:paraId="6451226F" w14:textId="77777777" w:rsidR="00844B88" w:rsidRPr="00AF0CC3" w:rsidRDefault="00844B88" w:rsidP="00E73C98">
            <w:pPr>
              <w:spacing w:after="0" w:line="240" w:lineRule="auto"/>
              <w:rPr>
                <w:rFonts w:ascii="Times New Roman" w:eastAsia="Times New Roman" w:hAnsi="Times New Roman" w:cs="Times New Roman"/>
                <w:color w:val="000000" w:themeColor="text1"/>
                <w:kern w:val="0"/>
                <w14:ligatures w14:val="none"/>
              </w:rPr>
            </w:pPr>
            <w:r w:rsidRPr="00AF0CC3">
              <w:rPr>
                <w:rFonts w:ascii="Times New Roman" w:eastAsia="Times New Roman" w:hAnsi="Times New Roman" w:cs="Times New Roman"/>
                <w:color w:val="000000" w:themeColor="text1"/>
                <w:kern w:val="0"/>
                <w14:ligatures w14:val="none"/>
              </w:rPr>
              <w:t>H4</w:t>
            </w:r>
          </w:p>
        </w:tc>
        <w:tc>
          <w:tcPr>
            <w:tcW w:w="0" w:type="auto"/>
            <w:vAlign w:val="center"/>
            <w:hideMark/>
          </w:tcPr>
          <w:p w14:paraId="17A2F4BD" w14:textId="67FE8D58" w:rsidR="00844B88" w:rsidRPr="00AF0CC3" w:rsidRDefault="00844B88" w:rsidP="00E73C98">
            <w:pPr>
              <w:spacing w:after="0" w:line="240" w:lineRule="auto"/>
              <w:rPr>
                <w:rFonts w:ascii="Times New Roman" w:eastAsia="Times New Roman" w:hAnsi="Times New Roman" w:cs="Times New Roman"/>
                <w:color w:val="000000" w:themeColor="text1"/>
                <w:kern w:val="0"/>
                <w14:ligatures w14:val="none"/>
              </w:rPr>
            </w:pPr>
            <w:r w:rsidRPr="00AF0CC3">
              <w:rPr>
                <w:rFonts w:ascii="Times New Roman" w:eastAsia="Times New Roman" w:hAnsi="Times New Roman" w:cs="Times New Roman"/>
                <w:color w:val="000000" w:themeColor="text1"/>
                <w:kern w:val="0"/>
                <w14:ligatures w14:val="none"/>
              </w:rPr>
              <w:t xml:space="preserve">Climate exposure </w:t>
            </w:r>
            <w:r w:rsidR="00456EA8" w:rsidRPr="00AF0CC3">
              <w:rPr>
                <w:rFonts w:ascii="Times New Roman" w:eastAsia="Times New Roman" w:hAnsi="Times New Roman" w:cs="Times New Roman"/>
                <w:color w:val="000000" w:themeColor="text1"/>
                <w:kern w:val="0"/>
                <w14:ligatures w14:val="none"/>
              </w:rPr>
              <w:t>moderates’</w:t>
            </w:r>
            <w:r w:rsidRPr="00AF0CC3">
              <w:rPr>
                <w:rFonts w:ascii="Times New Roman" w:eastAsia="Times New Roman" w:hAnsi="Times New Roman" w:cs="Times New Roman"/>
                <w:color w:val="000000" w:themeColor="text1"/>
                <w:kern w:val="0"/>
                <w14:ligatures w14:val="none"/>
              </w:rPr>
              <w:t xml:space="preserve"> infrastructure delivery outcomes</w:t>
            </w:r>
          </w:p>
        </w:tc>
        <w:tc>
          <w:tcPr>
            <w:tcW w:w="0" w:type="auto"/>
            <w:vAlign w:val="center"/>
            <w:hideMark/>
          </w:tcPr>
          <w:p w14:paraId="6193A62A" w14:textId="77777777" w:rsidR="00844B88" w:rsidRPr="00AF0CC3" w:rsidRDefault="00844B88" w:rsidP="00E73C98">
            <w:pPr>
              <w:spacing w:after="0" w:line="240" w:lineRule="auto"/>
              <w:rPr>
                <w:rFonts w:ascii="Times New Roman" w:eastAsia="Times New Roman" w:hAnsi="Times New Roman" w:cs="Times New Roman"/>
                <w:color w:val="000000" w:themeColor="text1"/>
                <w:kern w:val="0"/>
                <w14:ligatures w14:val="none"/>
              </w:rPr>
            </w:pPr>
            <w:r w:rsidRPr="00AF0CC3">
              <w:rPr>
                <w:rFonts w:ascii="Times New Roman" w:eastAsia="Times New Roman" w:hAnsi="Times New Roman" w:cs="Times New Roman"/>
                <w:color w:val="000000" w:themeColor="text1"/>
                <w:kern w:val="0"/>
                <w14:ligatures w14:val="none"/>
              </w:rPr>
              <w:t>Supported</w:t>
            </w:r>
          </w:p>
        </w:tc>
      </w:tr>
      <w:tr w:rsidR="00844B88" w:rsidRPr="00AF0CC3" w14:paraId="2DA0515E" w14:textId="77777777" w:rsidTr="00E73C98">
        <w:trPr>
          <w:tblCellSpacing w:w="15" w:type="dxa"/>
        </w:trPr>
        <w:tc>
          <w:tcPr>
            <w:tcW w:w="0" w:type="auto"/>
            <w:vAlign w:val="center"/>
            <w:hideMark/>
          </w:tcPr>
          <w:p w14:paraId="41EA0D26" w14:textId="77777777" w:rsidR="00844B88" w:rsidRPr="00AF0CC3" w:rsidRDefault="00844B88" w:rsidP="00E73C98">
            <w:pPr>
              <w:spacing w:after="0" w:line="240" w:lineRule="auto"/>
              <w:rPr>
                <w:rFonts w:ascii="Times New Roman" w:eastAsia="Times New Roman" w:hAnsi="Times New Roman" w:cs="Times New Roman"/>
                <w:color w:val="000000" w:themeColor="text1"/>
                <w:kern w:val="0"/>
                <w14:ligatures w14:val="none"/>
              </w:rPr>
            </w:pPr>
            <w:r w:rsidRPr="00AF0CC3">
              <w:rPr>
                <w:rFonts w:ascii="Times New Roman" w:eastAsia="Times New Roman" w:hAnsi="Times New Roman" w:cs="Times New Roman"/>
                <w:color w:val="000000" w:themeColor="text1"/>
                <w:kern w:val="0"/>
                <w14:ligatures w14:val="none"/>
              </w:rPr>
              <w:t>H5</w:t>
            </w:r>
          </w:p>
        </w:tc>
        <w:tc>
          <w:tcPr>
            <w:tcW w:w="0" w:type="auto"/>
            <w:vAlign w:val="center"/>
            <w:hideMark/>
          </w:tcPr>
          <w:p w14:paraId="4B074B89" w14:textId="77777777" w:rsidR="00844B88" w:rsidRPr="00AF0CC3" w:rsidRDefault="00844B88" w:rsidP="00E73C98">
            <w:pPr>
              <w:spacing w:after="0" w:line="240" w:lineRule="auto"/>
              <w:rPr>
                <w:rFonts w:ascii="Times New Roman" w:eastAsia="Times New Roman" w:hAnsi="Times New Roman" w:cs="Times New Roman"/>
                <w:color w:val="000000" w:themeColor="text1"/>
                <w:kern w:val="0"/>
                <w14:ligatures w14:val="none"/>
              </w:rPr>
            </w:pPr>
            <w:r w:rsidRPr="00AF0CC3">
              <w:rPr>
                <w:rFonts w:ascii="Times New Roman" w:eastAsia="Times New Roman" w:hAnsi="Times New Roman" w:cs="Times New Roman"/>
                <w:color w:val="000000" w:themeColor="text1"/>
                <w:kern w:val="0"/>
                <w14:ligatures w14:val="none"/>
              </w:rPr>
              <w:t>Political transitions moderate infrastructure delivery outcomes</w:t>
            </w:r>
          </w:p>
        </w:tc>
        <w:tc>
          <w:tcPr>
            <w:tcW w:w="0" w:type="auto"/>
            <w:vAlign w:val="center"/>
            <w:hideMark/>
          </w:tcPr>
          <w:p w14:paraId="71E9B3B6" w14:textId="77777777" w:rsidR="00844B88" w:rsidRPr="00AF0CC3" w:rsidRDefault="00844B88" w:rsidP="00E73C98">
            <w:pPr>
              <w:spacing w:after="0" w:line="240" w:lineRule="auto"/>
              <w:rPr>
                <w:rFonts w:ascii="Times New Roman" w:eastAsia="Times New Roman" w:hAnsi="Times New Roman" w:cs="Times New Roman"/>
                <w:color w:val="000000" w:themeColor="text1"/>
                <w:kern w:val="0"/>
                <w14:ligatures w14:val="none"/>
              </w:rPr>
            </w:pPr>
            <w:r w:rsidRPr="00AF0CC3">
              <w:rPr>
                <w:rFonts w:ascii="Times New Roman" w:eastAsia="Times New Roman" w:hAnsi="Times New Roman" w:cs="Times New Roman"/>
                <w:color w:val="000000" w:themeColor="text1"/>
                <w:kern w:val="0"/>
                <w14:ligatures w14:val="none"/>
              </w:rPr>
              <w:t>Supported</w:t>
            </w:r>
          </w:p>
        </w:tc>
      </w:tr>
    </w:tbl>
    <w:p w14:paraId="7A5E4D8D" w14:textId="77777777" w:rsidR="00844B88" w:rsidRPr="00AF0CC3" w:rsidRDefault="00844B88" w:rsidP="00844B88">
      <w:pPr>
        <w:rPr>
          <w:rFonts w:ascii="Times New Roman" w:hAnsi="Times New Roman" w:cs="Times New Roman"/>
          <w:color w:val="000000" w:themeColor="text1"/>
        </w:rPr>
      </w:pPr>
    </w:p>
    <w:p w14:paraId="0ED2023A" w14:textId="77777777" w:rsidR="00844B88" w:rsidRPr="00AF0CC3" w:rsidRDefault="00844B88" w:rsidP="00844B88">
      <w:pPr>
        <w:rPr>
          <w:rFonts w:ascii="Times New Roman" w:hAnsi="Times New Roman" w:cs="Times New Roman"/>
          <w:color w:val="000000" w:themeColor="text1"/>
        </w:rPr>
      </w:pPr>
      <w:r w:rsidRPr="00AF0CC3">
        <w:rPr>
          <w:rFonts w:ascii="Times New Roman" w:hAnsi="Times New Roman" w:cs="Times New Roman"/>
          <w:color w:val="000000" w:themeColor="text1"/>
        </w:rPr>
        <w:t>The hypothesis-testing results provide substantial support for the study's central proposition that governance quality influences infrastructure delivery outcomes. Strong support was observed for Hypotheses One and Two, indicating that stronger governance arrangements were associated with lower probabilities of project stalling and reduced implementation delays. Hypothesis Three received partial support because incomplete expenditure data constrained the assessment of cost-overrun performance. Hypotheses Four and Five were supported through documentary evidence demonstrating that stronger governance arrangements enhanced implementation resilience under conditions of climate disruption and political transition.</w:t>
      </w:r>
    </w:p>
    <w:p w14:paraId="29AC230B" w14:textId="77777777" w:rsidR="00844B88" w:rsidRPr="00AF0CC3" w:rsidRDefault="00844B88" w:rsidP="00844B88">
      <w:pPr>
        <w:rPr>
          <w:rFonts w:ascii="Times New Roman" w:hAnsi="Times New Roman" w:cs="Times New Roman"/>
          <w:color w:val="000000" w:themeColor="text1"/>
        </w:rPr>
      </w:pPr>
    </w:p>
    <w:p w14:paraId="4BC92AC5" w14:textId="77777777" w:rsidR="00844B88" w:rsidRPr="00AF0CC3" w:rsidRDefault="00844B88" w:rsidP="00844B88">
      <w:pPr>
        <w:rPr>
          <w:rFonts w:ascii="Times New Roman" w:hAnsi="Times New Roman" w:cs="Times New Roman"/>
          <w:color w:val="000000" w:themeColor="text1"/>
        </w:rPr>
      </w:pPr>
      <w:r w:rsidRPr="00AF0CC3">
        <w:rPr>
          <w:rFonts w:ascii="Times New Roman" w:hAnsi="Times New Roman" w:cs="Times New Roman"/>
          <w:color w:val="000000" w:themeColor="text1"/>
        </w:rPr>
        <w:t>Taken together, the evidence indicates that governance quality serves as an important institutional capability that shapes implementation continuity, delivery efficiency, accountability, and resilience throughout the infrastructure project lifecycle.</w:t>
      </w:r>
    </w:p>
    <w:p w14:paraId="7F7AB63B" w14:textId="77777777" w:rsidR="00844B88" w:rsidRPr="00AF0CC3" w:rsidRDefault="00844B88" w:rsidP="00844B88">
      <w:pPr>
        <w:rPr>
          <w:rFonts w:ascii="Times New Roman" w:hAnsi="Times New Roman" w:cs="Times New Roman"/>
          <w:color w:val="000000" w:themeColor="text1"/>
        </w:rPr>
      </w:pPr>
    </w:p>
    <w:p w14:paraId="21AE0081" w14:textId="7A5548D4" w:rsidR="00844B88" w:rsidRPr="00AF0CC3" w:rsidRDefault="00844B88" w:rsidP="00844B88">
      <w:pPr>
        <w:pStyle w:val="Heading2"/>
        <w:rPr>
          <w:rFonts w:cs="Times New Roman"/>
          <w:b w:val="0"/>
          <w:bCs/>
          <w:color w:val="000000" w:themeColor="text1"/>
          <w:szCs w:val="24"/>
        </w:rPr>
      </w:pPr>
      <w:bookmarkStart w:id="465" w:name="_Toc232376012"/>
      <w:bookmarkStart w:id="466" w:name="_Toc234344880"/>
      <w:bookmarkStart w:id="467" w:name="_Toc234489112"/>
      <w:r w:rsidRPr="00AF0CC3">
        <w:rPr>
          <w:rFonts w:cs="Times New Roman"/>
          <w:bCs/>
          <w:color w:val="000000" w:themeColor="text1"/>
          <w:szCs w:val="24"/>
        </w:rPr>
        <w:t>Integrated Discussion of Findings</w:t>
      </w:r>
      <w:bookmarkEnd w:id="465"/>
      <w:bookmarkEnd w:id="466"/>
      <w:bookmarkEnd w:id="467"/>
    </w:p>
    <w:p w14:paraId="2B560D23" w14:textId="77777777" w:rsidR="00844B88" w:rsidRPr="00AF0CC3" w:rsidRDefault="00844B88" w:rsidP="00844B88">
      <w:pPr>
        <w:rPr>
          <w:rFonts w:ascii="Times New Roman" w:hAnsi="Times New Roman" w:cs="Times New Roman"/>
          <w:color w:val="000000" w:themeColor="text1"/>
        </w:rPr>
      </w:pPr>
    </w:p>
    <w:p w14:paraId="1F42BB01" w14:textId="77777777" w:rsidR="00844B88" w:rsidRPr="00AF0CC3" w:rsidRDefault="00844B88" w:rsidP="00844B88">
      <w:pPr>
        <w:rPr>
          <w:rFonts w:ascii="Times New Roman" w:hAnsi="Times New Roman" w:cs="Times New Roman"/>
          <w:color w:val="000000" w:themeColor="text1"/>
        </w:rPr>
      </w:pPr>
      <w:r w:rsidRPr="00AF0CC3">
        <w:rPr>
          <w:rFonts w:ascii="Times New Roman" w:hAnsi="Times New Roman" w:cs="Times New Roman"/>
          <w:color w:val="000000" w:themeColor="text1"/>
        </w:rPr>
        <w:t>The empirical observations from this study provide substantial support for the proposition that governance quality is closely associated with infrastructure delivery outcomes in Kenya’s water sector. Across descriptive, comparative, documentary, correlational, and regression-based assessments, a consistent pattern emerged: stronger governance arrangements were associated with improved implementation performance. Higher levels of governance quality were associated with lower probabilities of project stalling, reduced implementation delays, stronger institutional coordination, and greater resilience under conditions of environmental and political disruption.</w:t>
      </w:r>
    </w:p>
    <w:p w14:paraId="5E0CCD2F" w14:textId="77777777" w:rsidR="00844B88" w:rsidRPr="00AF0CC3" w:rsidRDefault="00844B88" w:rsidP="00844B88">
      <w:pPr>
        <w:rPr>
          <w:rFonts w:ascii="Times New Roman" w:hAnsi="Times New Roman" w:cs="Times New Roman"/>
          <w:color w:val="000000" w:themeColor="text1"/>
        </w:rPr>
      </w:pPr>
    </w:p>
    <w:p w14:paraId="2C286A47" w14:textId="77777777" w:rsidR="00844B88" w:rsidRPr="00AF0CC3" w:rsidRDefault="00844B88" w:rsidP="00844B88">
      <w:pPr>
        <w:rPr>
          <w:rFonts w:ascii="Times New Roman" w:hAnsi="Times New Roman" w:cs="Times New Roman"/>
          <w:color w:val="000000" w:themeColor="text1"/>
        </w:rPr>
      </w:pPr>
      <w:r w:rsidRPr="00AF0CC3">
        <w:rPr>
          <w:rFonts w:ascii="Times New Roman" w:hAnsi="Times New Roman" w:cs="Times New Roman"/>
          <w:color w:val="000000" w:themeColor="text1"/>
        </w:rPr>
        <w:t>Governance quality emerged as more than an administrative or procedural requirement. Rather, it functioned as a foundational institutional condition influencing implementation continuity, accountability, project stability, and delivery performance throughout the infrastructure lifecycle. Stronger governance environments were associated with more transparent procurement systems, effective implementation monitoring, responsive oversight mechanisms, clearer accountability arrangements, and sustained coordination among implementing institutions.</w:t>
      </w:r>
    </w:p>
    <w:p w14:paraId="2581F658" w14:textId="77777777" w:rsidR="00844B88" w:rsidRPr="00AF0CC3" w:rsidRDefault="00844B88" w:rsidP="00844B88">
      <w:pPr>
        <w:rPr>
          <w:rFonts w:ascii="Times New Roman" w:hAnsi="Times New Roman" w:cs="Times New Roman"/>
          <w:color w:val="000000" w:themeColor="text1"/>
        </w:rPr>
      </w:pPr>
    </w:p>
    <w:p w14:paraId="05D44B90" w14:textId="77777777" w:rsidR="00844B88" w:rsidRPr="00AF0CC3" w:rsidRDefault="00844B88" w:rsidP="00844B88">
      <w:pPr>
        <w:rPr>
          <w:rFonts w:ascii="Times New Roman" w:hAnsi="Times New Roman" w:cs="Times New Roman"/>
          <w:color w:val="000000" w:themeColor="text1"/>
        </w:rPr>
      </w:pPr>
      <w:r w:rsidRPr="00AF0CC3">
        <w:rPr>
          <w:rFonts w:ascii="Times New Roman" w:hAnsi="Times New Roman" w:cs="Times New Roman"/>
          <w:color w:val="000000" w:themeColor="text1"/>
        </w:rPr>
        <w:t>In contrast, implementation instability was more frequently observed where governance deficiencies accumulated across multiple stages of project delivery. Procurement disruptions, fragmented institutional arrangements, weak monitoring systems, delayed decision-making, financing uncertainty, and inadequate documentation frequently interacted to increase implementation vulnerability and reduce delivery efficiency. The recurrence of these challenges across multiple projects highlights the interconnected nature of governance systems and their influence on implementation outcomes.</w:t>
      </w:r>
    </w:p>
    <w:p w14:paraId="3C6392A1" w14:textId="77777777" w:rsidR="00844B88" w:rsidRPr="00AF0CC3" w:rsidRDefault="00844B88" w:rsidP="00844B88">
      <w:pPr>
        <w:rPr>
          <w:rFonts w:ascii="Times New Roman" w:hAnsi="Times New Roman" w:cs="Times New Roman"/>
          <w:color w:val="000000" w:themeColor="text1"/>
        </w:rPr>
      </w:pPr>
    </w:p>
    <w:p w14:paraId="52FCF09F" w14:textId="77777777" w:rsidR="00844B88" w:rsidRPr="00AF0CC3" w:rsidRDefault="00844B88" w:rsidP="00844B88">
      <w:pPr>
        <w:rPr>
          <w:rFonts w:ascii="Times New Roman" w:hAnsi="Times New Roman" w:cs="Times New Roman"/>
          <w:color w:val="000000" w:themeColor="text1"/>
        </w:rPr>
      </w:pPr>
      <w:r w:rsidRPr="00AF0CC3">
        <w:rPr>
          <w:rFonts w:ascii="Times New Roman" w:hAnsi="Times New Roman" w:cs="Times New Roman"/>
          <w:color w:val="000000" w:themeColor="text1"/>
        </w:rPr>
        <w:t>The relationships observed across the sampled projects indicate that infrastructure delivery performance cannot be fully explained by engineering capability, technical expertise, or financial resources alone. Successful implementation was also closely associated with the effectiveness of institutional arrangements governing project preparation, procurement management, implementation oversight, accountability, financial administration, and inter-organizational coordination. Governance quality, therefore, emerged as a critical enabling condition through which infrastructure investments are translated into completed development outcomes.</w:t>
      </w:r>
    </w:p>
    <w:p w14:paraId="4CA7DE33" w14:textId="77777777" w:rsidR="00844B88" w:rsidRPr="00AF0CC3" w:rsidRDefault="00844B88" w:rsidP="00844B88">
      <w:pPr>
        <w:rPr>
          <w:rFonts w:ascii="Times New Roman" w:hAnsi="Times New Roman" w:cs="Times New Roman"/>
          <w:color w:val="000000" w:themeColor="text1"/>
        </w:rPr>
      </w:pPr>
    </w:p>
    <w:p w14:paraId="5F042D95" w14:textId="77777777" w:rsidR="00844B88" w:rsidRPr="00AF0CC3" w:rsidRDefault="00844B88" w:rsidP="00844B88">
      <w:pPr>
        <w:rPr>
          <w:rFonts w:ascii="Times New Roman" w:hAnsi="Times New Roman" w:cs="Times New Roman"/>
          <w:color w:val="000000" w:themeColor="text1"/>
        </w:rPr>
      </w:pPr>
      <w:r w:rsidRPr="00AF0CC3">
        <w:rPr>
          <w:rFonts w:ascii="Times New Roman" w:hAnsi="Times New Roman" w:cs="Times New Roman"/>
          <w:color w:val="000000" w:themeColor="text1"/>
        </w:rPr>
        <w:lastRenderedPageBreak/>
        <w:t>An additional contribution of the study concerns the role of governance in strengthening institutional resilience. Climate variability, environmental disruption, administrative restructuring, and political transition periods introduced considerable implementation uncertainty across several projects. Despite these challenges, stronger governance arrangements were associated with greater implementation continuity, institutional adaptability, and operational stability. Enhanced coordination mechanisms, effective monitoring systems, responsive oversight arrangements, and stronger accountability structures appeared to strengthen implementing agencies' capacity to sustain project delivery amid external disruption.</w:t>
      </w:r>
    </w:p>
    <w:p w14:paraId="3E558BEA" w14:textId="77777777" w:rsidR="00844B88" w:rsidRPr="00AF0CC3" w:rsidRDefault="00844B88" w:rsidP="00844B88">
      <w:pPr>
        <w:rPr>
          <w:rFonts w:ascii="Times New Roman" w:hAnsi="Times New Roman" w:cs="Times New Roman"/>
          <w:color w:val="000000" w:themeColor="text1"/>
        </w:rPr>
      </w:pPr>
    </w:p>
    <w:p w14:paraId="72E5613A" w14:textId="77777777" w:rsidR="00844B88" w:rsidRPr="00AF0CC3" w:rsidRDefault="00844B88" w:rsidP="00844B88">
      <w:pPr>
        <w:rPr>
          <w:rFonts w:ascii="Times New Roman" w:hAnsi="Times New Roman" w:cs="Times New Roman"/>
          <w:color w:val="000000" w:themeColor="text1"/>
        </w:rPr>
      </w:pPr>
      <w:r w:rsidRPr="00AF0CC3">
        <w:rPr>
          <w:rFonts w:ascii="Times New Roman" w:hAnsi="Times New Roman" w:cs="Times New Roman"/>
          <w:color w:val="000000" w:themeColor="text1"/>
        </w:rPr>
        <w:t>The study also highlighted the accessibility of documentation as an important institutional dimension of infrastructure governance. The exclusion of nineteen county-implemented projects due to insufficient documentary evidence highlighted the importance of transparency, records management, reporting systems, and monitoring capacity in supporting governance assessment and accountability. While documentation availability alone does not determine governance effectiveness, the observed differences in record accessibility across implementing authorities underscore the importance of maintaining accessible and verifiable documentation throughout the project lifecycle.</w:t>
      </w:r>
    </w:p>
    <w:p w14:paraId="64CFEA60" w14:textId="77777777" w:rsidR="00844B88" w:rsidRPr="00AF0CC3" w:rsidRDefault="00844B88" w:rsidP="00844B88">
      <w:pPr>
        <w:rPr>
          <w:rFonts w:ascii="Times New Roman" w:hAnsi="Times New Roman" w:cs="Times New Roman"/>
          <w:color w:val="000000" w:themeColor="text1"/>
        </w:rPr>
      </w:pPr>
    </w:p>
    <w:p w14:paraId="175F4BE7" w14:textId="77777777" w:rsidR="00844B88" w:rsidRPr="00AF0CC3" w:rsidRDefault="00844B88" w:rsidP="00844B88">
      <w:pPr>
        <w:rPr>
          <w:rFonts w:ascii="Times New Roman" w:hAnsi="Times New Roman" w:cs="Times New Roman"/>
          <w:color w:val="000000" w:themeColor="text1"/>
        </w:rPr>
      </w:pPr>
      <w:r w:rsidRPr="00AF0CC3">
        <w:rPr>
          <w:rFonts w:ascii="Times New Roman" w:hAnsi="Times New Roman" w:cs="Times New Roman"/>
          <w:color w:val="000000" w:themeColor="text1"/>
        </w:rPr>
        <w:t>Implementation vulnerabilities were evident among large-scale dam and water-storage infrastructure projects. Extended implementation horizons, complex financing arrangements, multiple institutional actors, environmental approval requirements, land acquisition obligations, and heightened political visibility increased exposure to implementation risk. Under such conditions, governance arrangements assumed greater importance in sustaining project continuity, coordinating institutional responses, and managing implementation uncertainty.</w:t>
      </w:r>
    </w:p>
    <w:p w14:paraId="3E0AE930" w14:textId="77777777" w:rsidR="00D242C9" w:rsidRPr="00AF0CC3" w:rsidRDefault="00D242C9" w:rsidP="00D242C9">
      <w:pPr>
        <w:rPr>
          <w:rFonts w:ascii="Times New Roman" w:hAnsi="Times New Roman" w:cs="Times New Roman"/>
          <w:color w:val="000000" w:themeColor="text1"/>
        </w:rPr>
      </w:pPr>
      <w:r w:rsidRPr="00AF0CC3">
        <w:rPr>
          <w:rFonts w:ascii="Times New Roman" w:hAnsi="Times New Roman" w:cs="Times New Roman"/>
          <w:color w:val="000000" w:themeColor="text1"/>
        </w:rPr>
        <w:t>Beyond their statistical significance, the findings have important practical implications for infrastructure governance. The observed relationships suggest that improvements in governance quality may contribute to more predictable implementation processes, reduced implementation disruption, and stronger institutional coordination. From a policy perspective, these results indicate that governance reforms have the potential to improve infrastructure delivery without necessarily requiring equivalent increases in financial resources.</w:t>
      </w:r>
    </w:p>
    <w:p w14:paraId="43A09EF8" w14:textId="77777777" w:rsidR="00D242C9" w:rsidRPr="00AF0CC3" w:rsidRDefault="00D242C9" w:rsidP="00D242C9">
      <w:pPr>
        <w:rPr>
          <w:rFonts w:ascii="Times New Roman" w:hAnsi="Times New Roman" w:cs="Times New Roman"/>
          <w:color w:val="000000" w:themeColor="text1"/>
        </w:rPr>
      </w:pPr>
    </w:p>
    <w:p w14:paraId="3DEFAD64" w14:textId="03FF6358" w:rsidR="00844B88" w:rsidRPr="00AF0CC3" w:rsidRDefault="00D242C9" w:rsidP="00D242C9">
      <w:pPr>
        <w:rPr>
          <w:rFonts w:ascii="Times New Roman" w:hAnsi="Times New Roman" w:cs="Times New Roman"/>
          <w:color w:val="000000" w:themeColor="text1"/>
        </w:rPr>
      </w:pPr>
      <w:r w:rsidRPr="00AF0CC3">
        <w:rPr>
          <w:rFonts w:ascii="Times New Roman" w:hAnsi="Times New Roman" w:cs="Times New Roman"/>
          <w:color w:val="000000" w:themeColor="text1"/>
        </w:rPr>
        <w:t>The findings also suggest that governance assessment should become a routine component of infrastructure planning and monitoring. Measuring governance quality during project implementation may enable infrastructure agencies to identify emerging institutional risks before they result in substantial implementation delays or project disruption. In this respect, governance measurement complements traditional project management indicators by providing additional insight into the institutional conditions supporting successful infrastructure delivery.</w:t>
      </w:r>
    </w:p>
    <w:p w14:paraId="2EDBB251" w14:textId="77777777" w:rsidR="00844B88" w:rsidRPr="00AF0CC3" w:rsidRDefault="00844B88" w:rsidP="00844B88">
      <w:pPr>
        <w:rPr>
          <w:rFonts w:ascii="Times New Roman" w:hAnsi="Times New Roman" w:cs="Times New Roman"/>
          <w:color w:val="000000" w:themeColor="text1"/>
        </w:rPr>
      </w:pPr>
      <w:r w:rsidRPr="00AF0CC3">
        <w:rPr>
          <w:rFonts w:ascii="Times New Roman" w:hAnsi="Times New Roman" w:cs="Times New Roman"/>
          <w:color w:val="000000" w:themeColor="text1"/>
        </w:rPr>
        <w:lastRenderedPageBreak/>
        <w:t>The overall pattern emerging from the study underscores the importance of governance quality as a central determinant of infrastructure delivery performance. Improvements in procurement transparency, implementation monitoring, institutional coordination, accountability mechanisms, oversight responsiveness, and documentation management appear capable of strengthening implementation continuity and reducing vulnerability to disruption. These observations provide a foundation for the discussion of theoretical contributions, policy implications, and governance recommendations presented in Chapter Five.</w:t>
      </w:r>
    </w:p>
    <w:p w14:paraId="3D5490DD" w14:textId="77777777" w:rsidR="00844B88" w:rsidRPr="00AF0CC3" w:rsidRDefault="00844B88" w:rsidP="00844B88">
      <w:pPr>
        <w:rPr>
          <w:rFonts w:ascii="Times New Roman" w:hAnsi="Times New Roman" w:cs="Times New Roman"/>
          <w:color w:val="000000" w:themeColor="text1"/>
        </w:rPr>
      </w:pPr>
    </w:p>
    <w:p w14:paraId="7046340A" w14:textId="01A580F8" w:rsidR="00844B88" w:rsidRPr="00AF0CC3" w:rsidRDefault="00844B88" w:rsidP="00844B88">
      <w:pPr>
        <w:pStyle w:val="Heading3"/>
        <w:rPr>
          <w:rFonts w:cs="Times New Roman"/>
          <w:b w:val="0"/>
          <w:bCs/>
          <w:color w:val="000000" w:themeColor="text1"/>
          <w:szCs w:val="24"/>
        </w:rPr>
      </w:pPr>
      <w:bookmarkStart w:id="468" w:name="_Toc232376013"/>
      <w:bookmarkStart w:id="469" w:name="_Toc234344881"/>
      <w:bookmarkStart w:id="470" w:name="_Toc234489113"/>
      <w:r w:rsidRPr="00AF0CC3">
        <w:rPr>
          <w:rFonts w:cs="Times New Roman"/>
          <w:bCs/>
          <w:color w:val="000000" w:themeColor="text1"/>
          <w:szCs w:val="24"/>
        </w:rPr>
        <w:t>Governance Quality and Project Stalling</w:t>
      </w:r>
      <w:bookmarkEnd w:id="468"/>
      <w:bookmarkEnd w:id="469"/>
      <w:bookmarkEnd w:id="470"/>
    </w:p>
    <w:p w14:paraId="504767F5" w14:textId="77777777" w:rsidR="00844B88" w:rsidRPr="00AF0CC3" w:rsidRDefault="00844B88" w:rsidP="00844B88">
      <w:pPr>
        <w:rPr>
          <w:rFonts w:ascii="Times New Roman" w:hAnsi="Times New Roman" w:cs="Times New Roman"/>
          <w:color w:val="000000" w:themeColor="text1"/>
        </w:rPr>
      </w:pPr>
    </w:p>
    <w:p w14:paraId="5E6BF373" w14:textId="77777777" w:rsidR="00844B88" w:rsidRPr="00AF0CC3" w:rsidRDefault="00844B88" w:rsidP="00844B88">
      <w:pPr>
        <w:rPr>
          <w:rFonts w:ascii="Times New Roman" w:hAnsi="Times New Roman" w:cs="Times New Roman"/>
          <w:color w:val="000000" w:themeColor="text1"/>
        </w:rPr>
      </w:pPr>
      <w:r w:rsidRPr="00AF0CC3">
        <w:rPr>
          <w:rFonts w:ascii="Times New Roman" w:hAnsi="Times New Roman" w:cs="Times New Roman"/>
          <w:color w:val="000000" w:themeColor="text1"/>
        </w:rPr>
        <w:t>One of the most significant relationships identified in the study concerned the association between governance quality and project stalling. Stalled projects consistently recorded lower Governance Quality Index (GQI) scores than projects that maintained implementation continuity. Comparative assessment, correlation analysis, logistic regression, and documentary review all pointed to the same pattern: stronger governance arrangements were associated with a lower likelihood of prolonged implementation interruption.</w:t>
      </w:r>
    </w:p>
    <w:p w14:paraId="6E676D9F" w14:textId="77777777" w:rsidR="00844B88" w:rsidRPr="00AF0CC3" w:rsidRDefault="00844B88" w:rsidP="00844B88">
      <w:pPr>
        <w:rPr>
          <w:rFonts w:ascii="Times New Roman" w:hAnsi="Times New Roman" w:cs="Times New Roman"/>
          <w:color w:val="000000" w:themeColor="text1"/>
        </w:rPr>
      </w:pPr>
    </w:p>
    <w:p w14:paraId="10E56DB7" w14:textId="77777777" w:rsidR="00844B88" w:rsidRPr="00AF0CC3" w:rsidRDefault="00844B88" w:rsidP="00844B88">
      <w:pPr>
        <w:rPr>
          <w:rFonts w:ascii="Times New Roman" w:hAnsi="Times New Roman" w:cs="Times New Roman"/>
          <w:color w:val="000000" w:themeColor="text1"/>
        </w:rPr>
      </w:pPr>
      <w:r w:rsidRPr="00AF0CC3">
        <w:rPr>
          <w:rFonts w:ascii="Times New Roman" w:hAnsi="Times New Roman" w:cs="Times New Roman"/>
          <w:color w:val="000000" w:themeColor="text1"/>
        </w:rPr>
        <w:t>Governance quality appeared to serve as an institutional stabilizing mechanism that sustained implementation continuity throughout the project lifecycle. Stronger governance environments were associated with clearer procurement procedures, effective implementation coordination, responsive monitoring systems, stronger contractual oversight, timely audit follow-up, reliable payment arrangements, and more robust accountability mechanisms.</w:t>
      </w:r>
    </w:p>
    <w:p w14:paraId="4CAED02F" w14:textId="77777777" w:rsidR="00844B88" w:rsidRPr="00AF0CC3" w:rsidRDefault="00844B88" w:rsidP="00844B88">
      <w:pPr>
        <w:rPr>
          <w:rFonts w:ascii="Times New Roman" w:hAnsi="Times New Roman" w:cs="Times New Roman"/>
          <w:color w:val="000000" w:themeColor="text1"/>
        </w:rPr>
      </w:pPr>
    </w:p>
    <w:p w14:paraId="69757895" w14:textId="77777777" w:rsidR="00844B88" w:rsidRPr="00AF0CC3" w:rsidRDefault="00844B88" w:rsidP="00844B88">
      <w:pPr>
        <w:rPr>
          <w:rFonts w:ascii="Times New Roman" w:hAnsi="Times New Roman" w:cs="Times New Roman"/>
          <w:color w:val="000000" w:themeColor="text1"/>
        </w:rPr>
      </w:pPr>
      <w:r w:rsidRPr="00AF0CC3">
        <w:rPr>
          <w:rFonts w:ascii="Times New Roman" w:hAnsi="Times New Roman" w:cs="Times New Roman"/>
          <w:color w:val="000000" w:themeColor="text1"/>
        </w:rPr>
        <w:t>In contrast, stalled projects frequently exhibited multiple governance deficiencies operating simultaneously. Procurement disputes, financing interruptions, implementation restructuring, delayed payments, institutional fragmentation, and weak oversight mechanisms often interact to create conditions that increase implementation vulnerability and reduce project continuity.</w:t>
      </w:r>
    </w:p>
    <w:p w14:paraId="5A9FE057" w14:textId="77777777" w:rsidR="00844B88" w:rsidRPr="00AF0CC3" w:rsidRDefault="00844B88" w:rsidP="00844B88">
      <w:pPr>
        <w:rPr>
          <w:rFonts w:ascii="Times New Roman" w:hAnsi="Times New Roman" w:cs="Times New Roman"/>
          <w:color w:val="000000" w:themeColor="text1"/>
        </w:rPr>
      </w:pPr>
    </w:p>
    <w:p w14:paraId="426E5F3E" w14:textId="77777777" w:rsidR="00844B88" w:rsidRPr="00AF0CC3" w:rsidRDefault="00844B88" w:rsidP="00844B88">
      <w:pPr>
        <w:rPr>
          <w:rFonts w:ascii="Times New Roman" w:hAnsi="Times New Roman" w:cs="Times New Roman"/>
          <w:color w:val="000000" w:themeColor="text1"/>
        </w:rPr>
      </w:pPr>
      <w:r w:rsidRPr="00AF0CC3">
        <w:rPr>
          <w:rFonts w:ascii="Times New Roman" w:hAnsi="Times New Roman" w:cs="Times New Roman"/>
          <w:color w:val="000000" w:themeColor="text1"/>
        </w:rPr>
        <w:t>The observed relationships indicate that project stalling rarely emerges from a single implementation failure. Rather, prolonged interruption appears to result from the cumulative effects of governance weaknesses occurring across multiple stages of project delivery. Procurement disputes, financing interruptions, oversight deficiencies, and coordination failures often interact to undermine implementation continuity. Strong governance arrangements appear to mitigate this cumulative risk by supporting institutional coordination, accountability, early problem identification, and corrective action.</w:t>
      </w:r>
    </w:p>
    <w:p w14:paraId="1F48AE1C" w14:textId="77777777" w:rsidR="00844B88" w:rsidRPr="00AF0CC3" w:rsidRDefault="00844B88" w:rsidP="00844B88">
      <w:pPr>
        <w:rPr>
          <w:rFonts w:ascii="Times New Roman" w:hAnsi="Times New Roman" w:cs="Times New Roman"/>
          <w:color w:val="000000" w:themeColor="text1"/>
        </w:rPr>
      </w:pPr>
      <w:r w:rsidRPr="00AF0CC3">
        <w:rPr>
          <w:rFonts w:ascii="Times New Roman" w:hAnsi="Times New Roman" w:cs="Times New Roman"/>
          <w:color w:val="000000" w:themeColor="text1"/>
        </w:rPr>
        <w:lastRenderedPageBreak/>
        <w:t>This interpretation aligns with lifecycle governance perspectives, which emphasize the importance of integrated governance systems extending from project preparation through implementation, monitoring, and oversight. Similar conclusions have been reported within broader infrastructure governance scholarship, where governance deficiencies have frequently been associated with implementation failure, administrative instability, and reduced delivery effectiveness (Flyvbjerg, 2014; Joslin &amp; Müller, 2015).</w:t>
      </w:r>
    </w:p>
    <w:p w14:paraId="424C20D1" w14:textId="77777777" w:rsidR="00844B88" w:rsidRPr="00AF0CC3" w:rsidRDefault="00844B88" w:rsidP="00844B88">
      <w:pPr>
        <w:rPr>
          <w:rFonts w:ascii="Times New Roman" w:hAnsi="Times New Roman" w:cs="Times New Roman"/>
          <w:color w:val="000000" w:themeColor="text1"/>
        </w:rPr>
      </w:pPr>
    </w:p>
    <w:p w14:paraId="7D93D80D" w14:textId="77777777" w:rsidR="00844B88" w:rsidRPr="00AF0CC3" w:rsidRDefault="00844B88" w:rsidP="00844B88">
      <w:pPr>
        <w:rPr>
          <w:rFonts w:ascii="Times New Roman" w:hAnsi="Times New Roman" w:cs="Times New Roman"/>
          <w:b/>
          <w:bCs/>
          <w:color w:val="000000" w:themeColor="text1"/>
        </w:rPr>
      </w:pPr>
    </w:p>
    <w:p w14:paraId="2BD45AAB" w14:textId="65EEA841" w:rsidR="00844B88" w:rsidRPr="00AF0CC3" w:rsidRDefault="00844B88" w:rsidP="00844B88">
      <w:pPr>
        <w:pStyle w:val="Heading3"/>
        <w:rPr>
          <w:rFonts w:cs="Times New Roman"/>
          <w:b w:val="0"/>
          <w:bCs/>
          <w:color w:val="000000" w:themeColor="text1"/>
          <w:szCs w:val="24"/>
        </w:rPr>
      </w:pPr>
      <w:bookmarkStart w:id="471" w:name="_Toc232376014"/>
      <w:bookmarkStart w:id="472" w:name="_Toc234344882"/>
      <w:bookmarkStart w:id="473" w:name="_Toc234489114"/>
      <w:r w:rsidRPr="00AF0CC3">
        <w:rPr>
          <w:rFonts w:cs="Times New Roman"/>
          <w:bCs/>
          <w:color w:val="000000" w:themeColor="text1"/>
          <w:szCs w:val="24"/>
        </w:rPr>
        <w:t>Governance Quality and Implementation Delays</w:t>
      </w:r>
      <w:bookmarkEnd w:id="471"/>
      <w:bookmarkEnd w:id="472"/>
      <w:bookmarkEnd w:id="473"/>
    </w:p>
    <w:p w14:paraId="0CA713FD" w14:textId="77777777" w:rsidR="00844B88" w:rsidRPr="00AF0CC3" w:rsidRDefault="00844B88" w:rsidP="00844B88">
      <w:pPr>
        <w:rPr>
          <w:rFonts w:ascii="Times New Roman" w:hAnsi="Times New Roman" w:cs="Times New Roman"/>
          <w:color w:val="000000" w:themeColor="text1"/>
        </w:rPr>
      </w:pPr>
    </w:p>
    <w:p w14:paraId="00B6776D" w14:textId="77777777" w:rsidR="00844B88" w:rsidRPr="00AF0CC3" w:rsidRDefault="00844B88" w:rsidP="00844B88">
      <w:pPr>
        <w:rPr>
          <w:rFonts w:ascii="Times New Roman" w:hAnsi="Times New Roman" w:cs="Times New Roman"/>
          <w:color w:val="000000" w:themeColor="text1"/>
        </w:rPr>
      </w:pPr>
      <w:r w:rsidRPr="00AF0CC3">
        <w:rPr>
          <w:rFonts w:ascii="Times New Roman" w:hAnsi="Times New Roman" w:cs="Times New Roman"/>
          <w:color w:val="000000" w:themeColor="text1"/>
        </w:rPr>
        <w:t>Implementation delays were consistently lower among projects operating within stronger governance environments. Higher Governance Quality Index scores were associated with reduced time overruns, indicating that governance quality plays an important role in supporting implementation continuity and scheduling efficiency.</w:t>
      </w:r>
    </w:p>
    <w:p w14:paraId="73105202" w14:textId="77777777" w:rsidR="00844B88" w:rsidRPr="00AF0CC3" w:rsidRDefault="00844B88" w:rsidP="00844B88">
      <w:pPr>
        <w:rPr>
          <w:rFonts w:ascii="Times New Roman" w:hAnsi="Times New Roman" w:cs="Times New Roman"/>
          <w:color w:val="000000" w:themeColor="text1"/>
        </w:rPr>
      </w:pPr>
    </w:p>
    <w:p w14:paraId="54270685" w14:textId="77777777" w:rsidR="00844B88" w:rsidRPr="00AF0CC3" w:rsidRDefault="00844B88" w:rsidP="00844B88">
      <w:pPr>
        <w:rPr>
          <w:rFonts w:ascii="Times New Roman" w:hAnsi="Times New Roman" w:cs="Times New Roman"/>
          <w:color w:val="000000" w:themeColor="text1"/>
        </w:rPr>
      </w:pPr>
      <w:r w:rsidRPr="00AF0CC3">
        <w:rPr>
          <w:rFonts w:ascii="Times New Roman" w:hAnsi="Times New Roman" w:cs="Times New Roman"/>
          <w:color w:val="000000" w:themeColor="text1"/>
        </w:rPr>
        <w:t>Several institutional mechanisms appear relevant in explaining this relationship. Effective project preparation, stronger procurement governance, clearer contractual risk allocation, responsive monitoring systems, enhanced accountability arrangements, reliable financing mechanisms, and coordinated institutional decision-making all contribute to more predictable implementation trajectories.</w:t>
      </w:r>
    </w:p>
    <w:p w14:paraId="783201FE" w14:textId="77777777" w:rsidR="00844B88" w:rsidRPr="00AF0CC3" w:rsidRDefault="00844B88" w:rsidP="00844B88">
      <w:pPr>
        <w:rPr>
          <w:rFonts w:ascii="Times New Roman" w:hAnsi="Times New Roman" w:cs="Times New Roman"/>
          <w:color w:val="000000" w:themeColor="text1"/>
        </w:rPr>
      </w:pPr>
    </w:p>
    <w:p w14:paraId="318359C5" w14:textId="77777777" w:rsidR="00844B88" w:rsidRPr="00AF0CC3" w:rsidRDefault="00844B88" w:rsidP="00844B88">
      <w:pPr>
        <w:rPr>
          <w:rFonts w:ascii="Times New Roman" w:hAnsi="Times New Roman" w:cs="Times New Roman"/>
          <w:color w:val="000000" w:themeColor="text1"/>
        </w:rPr>
      </w:pPr>
      <w:r w:rsidRPr="00AF0CC3">
        <w:rPr>
          <w:rFonts w:ascii="Times New Roman" w:hAnsi="Times New Roman" w:cs="Times New Roman"/>
          <w:color w:val="000000" w:themeColor="text1"/>
        </w:rPr>
        <w:t>Extended delays were more frequently associated with procurement disruptions, financing uncertainty, delayed disbursements, contractual disputes, implementation restructuring, audit investigations, and coordination failures among implementing institutions. Such challenges often disrupted implementation momentum and increased the risk of schedule overruns.</w:t>
      </w:r>
    </w:p>
    <w:p w14:paraId="1717B502" w14:textId="77777777" w:rsidR="00844B88" w:rsidRPr="00AF0CC3" w:rsidRDefault="00844B88" w:rsidP="00844B88">
      <w:pPr>
        <w:rPr>
          <w:rFonts w:ascii="Times New Roman" w:hAnsi="Times New Roman" w:cs="Times New Roman"/>
          <w:color w:val="000000" w:themeColor="text1"/>
        </w:rPr>
      </w:pPr>
    </w:p>
    <w:p w14:paraId="0387CA6C" w14:textId="77777777" w:rsidR="00844B88" w:rsidRPr="00AF0CC3" w:rsidRDefault="00844B88" w:rsidP="00844B88">
      <w:pPr>
        <w:rPr>
          <w:rFonts w:ascii="Times New Roman" w:hAnsi="Times New Roman" w:cs="Times New Roman"/>
          <w:color w:val="000000" w:themeColor="text1"/>
        </w:rPr>
      </w:pPr>
      <w:r w:rsidRPr="00AF0CC3">
        <w:rPr>
          <w:rFonts w:ascii="Times New Roman" w:hAnsi="Times New Roman" w:cs="Times New Roman"/>
          <w:color w:val="000000" w:themeColor="text1"/>
        </w:rPr>
        <w:t>The observed patterns highlight the importance of governance quality in managing implementation complexity. This relationship became particularly evident among large-scale dam and water-storage infrastructure projects, where financing complexity, environmental approvals, land acquisition requirements, political visibility, and extended implementation horizons increased the importance of effective governance arrangements. Cases such as High Grand Falls Dam, Karimenu II Dam, Arror Dam, and Kimwarer Dam illustrate how governance weaknesses can translate into prolonged delays with significant developmental and fiscal consequences.</w:t>
      </w:r>
    </w:p>
    <w:p w14:paraId="0B6D49A9" w14:textId="77777777" w:rsidR="00844B88" w:rsidRPr="00AF0CC3" w:rsidRDefault="00844B88" w:rsidP="00844B88">
      <w:pPr>
        <w:rPr>
          <w:rFonts w:ascii="Times New Roman" w:hAnsi="Times New Roman" w:cs="Times New Roman"/>
          <w:color w:val="000000" w:themeColor="text1"/>
        </w:rPr>
      </w:pPr>
    </w:p>
    <w:p w14:paraId="7AAF8340" w14:textId="77777777" w:rsidR="00844B88" w:rsidRPr="00AF0CC3" w:rsidRDefault="00844B88" w:rsidP="00844B88">
      <w:pPr>
        <w:rPr>
          <w:rFonts w:ascii="Times New Roman" w:hAnsi="Times New Roman" w:cs="Times New Roman"/>
          <w:color w:val="000000" w:themeColor="text1"/>
        </w:rPr>
      </w:pPr>
      <w:r w:rsidRPr="00AF0CC3">
        <w:rPr>
          <w:rFonts w:ascii="Times New Roman" w:hAnsi="Times New Roman" w:cs="Times New Roman"/>
          <w:color w:val="000000" w:themeColor="text1"/>
        </w:rPr>
        <w:t>The findings further suggest that governance influences the timeliness of implementation through its effect on institutional predictability. Projects characterized by stronger governance arrangements benefited from clearer decision-making processes, more stable procurement systems, and stronger implementation oversight. These institutional conditions reduced uncertainty and enabled more effective management of implementation risks over extended project timelines.</w:t>
      </w:r>
    </w:p>
    <w:p w14:paraId="3A4B2A8F" w14:textId="77777777" w:rsidR="00844B88" w:rsidRPr="00AF0CC3" w:rsidRDefault="00844B88" w:rsidP="00844B88">
      <w:pPr>
        <w:rPr>
          <w:rFonts w:ascii="Times New Roman" w:hAnsi="Times New Roman" w:cs="Times New Roman"/>
          <w:color w:val="000000" w:themeColor="text1"/>
        </w:rPr>
      </w:pPr>
    </w:p>
    <w:p w14:paraId="70AC709C" w14:textId="3ADEE01C" w:rsidR="00844B88" w:rsidRPr="00AF0CC3" w:rsidRDefault="00844B88" w:rsidP="00844B88">
      <w:pPr>
        <w:pStyle w:val="Heading3"/>
        <w:rPr>
          <w:rFonts w:cs="Times New Roman"/>
          <w:b w:val="0"/>
          <w:bCs/>
          <w:color w:val="000000" w:themeColor="text1"/>
          <w:szCs w:val="24"/>
        </w:rPr>
      </w:pPr>
      <w:bookmarkStart w:id="474" w:name="_Toc232376015"/>
      <w:bookmarkStart w:id="475" w:name="_Toc234344883"/>
      <w:bookmarkStart w:id="476" w:name="_Toc234489115"/>
      <w:r w:rsidRPr="00AF0CC3">
        <w:rPr>
          <w:rFonts w:cs="Times New Roman"/>
          <w:bCs/>
          <w:color w:val="000000" w:themeColor="text1"/>
          <w:szCs w:val="24"/>
        </w:rPr>
        <w:t>Governance Quality and Financial Delivery Performance</w:t>
      </w:r>
      <w:bookmarkEnd w:id="474"/>
      <w:bookmarkEnd w:id="475"/>
      <w:bookmarkEnd w:id="476"/>
    </w:p>
    <w:p w14:paraId="22690783" w14:textId="77777777" w:rsidR="00844B88" w:rsidRPr="00AF0CC3" w:rsidRDefault="00844B88" w:rsidP="00844B88">
      <w:pPr>
        <w:rPr>
          <w:rFonts w:ascii="Times New Roman" w:hAnsi="Times New Roman" w:cs="Times New Roman"/>
          <w:color w:val="000000" w:themeColor="text1"/>
        </w:rPr>
      </w:pPr>
    </w:p>
    <w:p w14:paraId="3251E35D" w14:textId="77777777" w:rsidR="00844B88" w:rsidRPr="00AF0CC3" w:rsidRDefault="00844B88" w:rsidP="00844B88">
      <w:pPr>
        <w:rPr>
          <w:rFonts w:ascii="Times New Roman" w:hAnsi="Times New Roman" w:cs="Times New Roman"/>
          <w:color w:val="000000" w:themeColor="text1"/>
        </w:rPr>
      </w:pPr>
      <w:r w:rsidRPr="00AF0CC3">
        <w:rPr>
          <w:rFonts w:ascii="Times New Roman" w:hAnsi="Times New Roman" w:cs="Times New Roman"/>
          <w:color w:val="000000" w:themeColor="text1"/>
        </w:rPr>
        <w:t>Incomplete expenditure data for ongoing projects constrained the assessment of financial delivery performance. Nevertheless, available expenditure records and documentary material revealed important patterns concerning the relationship between governance arrangements and financial outcomes.</w:t>
      </w:r>
    </w:p>
    <w:p w14:paraId="0A8C3829" w14:textId="77777777" w:rsidR="00844B88" w:rsidRPr="00AF0CC3" w:rsidRDefault="00844B88" w:rsidP="00844B88">
      <w:pPr>
        <w:rPr>
          <w:rFonts w:ascii="Times New Roman" w:hAnsi="Times New Roman" w:cs="Times New Roman"/>
          <w:color w:val="000000" w:themeColor="text1"/>
        </w:rPr>
      </w:pPr>
    </w:p>
    <w:p w14:paraId="40533A69" w14:textId="77777777" w:rsidR="00844B88" w:rsidRPr="00AF0CC3" w:rsidRDefault="00844B88" w:rsidP="00844B88">
      <w:pPr>
        <w:rPr>
          <w:rFonts w:ascii="Times New Roman" w:hAnsi="Times New Roman" w:cs="Times New Roman"/>
          <w:color w:val="000000" w:themeColor="text1"/>
        </w:rPr>
      </w:pPr>
      <w:r w:rsidRPr="00AF0CC3">
        <w:rPr>
          <w:rFonts w:ascii="Times New Roman" w:hAnsi="Times New Roman" w:cs="Times New Roman"/>
          <w:color w:val="000000" w:themeColor="text1"/>
        </w:rPr>
        <w:t>Financial uncertainty was more frequently observed where governance deficiencies affected procurement systems, disbursement processes, contractual administration, implementation continuity, and oversight arrangements. Expenditure variability, financing interruptions, delayed payments, and prolonged implementation uncertainty were commonly associated with projects exhibiting weaker governance characteristics.</w:t>
      </w:r>
    </w:p>
    <w:p w14:paraId="53F4ACDA" w14:textId="77777777" w:rsidR="00844B88" w:rsidRPr="00AF0CC3" w:rsidRDefault="00844B88" w:rsidP="00844B88">
      <w:pPr>
        <w:rPr>
          <w:rFonts w:ascii="Times New Roman" w:hAnsi="Times New Roman" w:cs="Times New Roman"/>
          <w:color w:val="000000" w:themeColor="text1"/>
        </w:rPr>
      </w:pPr>
    </w:p>
    <w:p w14:paraId="6C9817CF" w14:textId="77777777" w:rsidR="00844B88" w:rsidRPr="00AF0CC3" w:rsidRDefault="00844B88" w:rsidP="00844B88">
      <w:pPr>
        <w:rPr>
          <w:rFonts w:ascii="Times New Roman" w:hAnsi="Times New Roman" w:cs="Times New Roman"/>
          <w:color w:val="000000" w:themeColor="text1"/>
        </w:rPr>
      </w:pPr>
      <w:r w:rsidRPr="00AF0CC3">
        <w:rPr>
          <w:rFonts w:ascii="Times New Roman" w:hAnsi="Times New Roman" w:cs="Times New Roman"/>
          <w:color w:val="000000" w:themeColor="text1"/>
        </w:rPr>
        <w:t>These patterns indicate that governance quality may influence financial performance indirectly through its effects on implementation continuity, procurement stability, accountability mechanisms, and contractual management. Under such conditions, financial outcomes become closely linked to the effectiveness of the broader institutional environment supporting project implementation.</w:t>
      </w:r>
    </w:p>
    <w:p w14:paraId="21D660A1" w14:textId="77777777" w:rsidR="00844B88" w:rsidRPr="00AF0CC3" w:rsidRDefault="00844B88" w:rsidP="00844B88">
      <w:pPr>
        <w:rPr>
          <w:rFonts w:ascii="Times New Roman" w:hAnsi="Times New Roman" w:cs="Times New Roman"/>
          <w:color w:val="000000" w:themeColor="text1"/>
        </w:rPr>
      </w:pPr>
      <w:r w:rsidRPr="00AF0CC3">
        <w:rPr>
          <w:rFonts w:ascii="Times New Roman" w:hAnsi="Times New Roman" w:cs="Times New Roman"/>
          <w:color w:val="000000" w:themeColor="text1"/>
        </w:rPr>
        <w:t xml:space="preserve">Payment reliability emerged as the weakest governance component within the Governance Quality Index and may help explain some of the financial uncertainties observed across projects. This finding is noteworthy because delayed payments can trigger cascading implementation challenges, including contractor demobilization, procurement disruptions, financing uncertainty, contractual disputes, and schedule delays. In large-scale infrastructure projects, payment delays frequently extend beyond financial administration and can affect implementation continuity, contractor performance, and project completion timelines. The observed pattern therefore suggests that strengthening payment systems may represent one of the most important </w:t>
      </w:r>
      <w:r w:rsidRPr="00AF0CC3">
        <w:rPr>
          <w:rFonts w:ascii="Times New Roman" w:hAnsi="Times New Roman" w:cs="Times New Roman"/>
          <w:color w:val="000000" w:themeColor="text1"/>
        </w:rPr>
        <w:lastRenderedPageBreak/>
        <w:t>governance reform priorities for improving infrastructure delivery performance and reducing implementation risk.</w:t>
      </w:r>
    </w:p>
    <w:p w14:paraId="3845C0DA" w14:textId="77777777" w:rsidR="00844B88" w:rsidRPr="00AF0CC3" w:rsidRDefault="00844B88" w:rsidP="00844B88">
      <w:pPr>
        <w:rPr>
          <w:rFonts w:ascii="Times New Roman" w:hAnsi="Times New Roman" w:cs="Times New Roman"/>
          <w:color w:val="000000" w:themeColor="text1"/>
        </w:rPr>
      </w:pPr>
      <w:r w:rsidRPr="00AF0CC3">
        <w:rPr>
          <w:rFonts w:ascii="Times New Roman" w:hAnsi="Times New Roman" w:cs="Times New Roman"/>
          <w:color w:val="000000" w:themeColor="text1"/>
        </w:rPr>
        <w:t>The fiscal implications were especially evident among large-scale dam projects involving substantial public investment commitments. Delays affecting projects such as the Arror and Kimwarer Dams exposed significant public resources to prolonged financing obligations, delayed economic returns, increased implementation costs, and heightened expenditure uncertainty. Such observations underscore the broader fiscal importance of governance quality in protecting public investments and supporting financial sustainability throughout the project lifecycle.</w:t>
      </w:r>
    </w:p>
    <w:p w14:paraId="67044628" w14:textId="77777777" w:rsidR="00844B88" w:rsidRPr="00AF0CC3" w:rsidRDefault="00844B88" w:rsidP="00844B88">
      <w:pPr>
        <w:rPr>
          <w:rFonts w:ascii="Times New Roman" w:hAnsi="Times New Roman" w:cs="Times New Roman"/>
          <w:color w:val="000000" w:themeColor="text1"/>
        </w:rPr>
      </w:pPr>
      <w:r w:rsidRPr="00AF0CC3">
        <w:rPr>
          <w:rFonts w:ascii="Times New Roman" w:hAnsi="Times New Roman" w:cs="Times New Roman"/>
          <w:color w:val="000000" w:themeColor="text1"/>
        </w:rPr>
        <w:t>These observations support the infrastructure governance literature, which emphasizes that procurement disruption, weak oversight systems, and implementation instability frequently contribute to expenditure escalation and financial inefficiency in public infrastructure projects (Love, Ahiaga-Dagbui &amp; Irani, 2016).</w:t>
      </w:r>
    </w:p>
    <w:p w14:paraId="2A045A01" w14:textId="77777777" w:rsidR="00844B88" w:rsidRPr="00AF0CC3" w:rsidRDefault="00844B88" w:rsidP="00844B88">
      <w:pPr>
        <w:rPr>
          <w:rFonts w:ascii="Times New Roman" w:hAnsi="Times New Roman" w:cs="Times New Roman"/>
          <w:color w:val="000000" w:themeColor="text1"/>
        </w:rPr>
      </w:pPr>
    </w:p>
    <w:p w14:paraId="03FD9A4E" w14:textId="77777777" w:rsidR="00844B88" w:rsidRPr="00AF0CC3" w:rsidRDefault="00844B88" w:rsidP="00844B88">
      <w:pPr>
        <w:rPr>
          <w:rFonts w:ascii="Times New Roman" w:hAnsi="Times New Roman" w:cs="Times New Roman"/>
          <w:color w:val="000000" w:themeColor="text1"/>
        </w:rPr>
      </w:pPr>
      <w:r w:rsidRPr="00AF0CC3">
        <w:rPr>
          <w:rFonts w:ascii="Times New Roman" w:hAnsi="Times New Roman" w:cs="Times New Roman"/>
          <w:color w:val="000000" w:themeColor="text1"/>
        </w:rPr>
        <w:t>The weaker support observed for cost outcomes may indicate that governance quality influences financial performance less directly than implementation continuity. While governance deficiencies can contribute to expenditure escalation through delays, procurement disputes, and implementation inefficiencies, infrastructure costs are also affected by external factors such as inflation, exchange-rate fluctuations, commodity price changes, and financing conditions. Consequently, governance may exert a stronger influence on implementation continuity and schedule performance than on final expenditure outcomes, particularly within long-duration infrastructure projects.</w:t>
      </w:r>
    </w:p>
    <w:p w14:paraId="33154FD2" w14:textId="77777777" w:rsidR="00844B88" w:rsidRPr="00AF0CC3" w:rsidRDefault="00844B88" w:rsidP="00844B88">
      <w:pPr>
        <w:rPr>
          <w:rFonts w:ascii="Times New Roman" w:hAnsi="Times New Roman" w:cs="Times New Roman"/>
          <w:color w:val="000000" w:themeColor="text1"/>
        </w:rPr>
      </w:pPr>
    </w:p>
    <w:p w14:paraId="53A3E894" w14:textId="77777777" w:rsidR="00844B88" w:rsidRPr="00AF0CC3" w:rsidRDefault="00844B88" w:rsidP="00844B88">
      <w:pPr>
        <w:rPr>
          <w:rFonts w:ascii="Times New Roman" w:hAnsi="Times New Roman" w:cs="Times New Roman"/>
          <w:color w:val="000000" w:themeColor="text1"/>
        </w:rPr>
      </w:pPr>
    </w:p>
    <w:p w14:paraId="521E65EF" w14:textId="77777777" w:rsidR="00844B88" w:rsidRPr="00AF0CC3" w:rsidRDefault="00844B88" w:rsidP="00844B88">
      <w:pPr>
        <w:rPr>
          <w:rFonts w:ascii="Times New Roman" w:hAnsi="Times New Roman" w:cs="Times New Roman"/>
          <w:color w:val="000000" w:themeColor="text1"/>
        </w:rPr>
      </w:pPr>
    </w:p>
    <w:p w14:paraId="73395870" w14:textId="0BBBD62C" w:rsidR="00844B88" w:rsidRPr="00AF0CC3" w:rsidRDefault="00844B88" w:rsidP="00844B88">
      <w:pPr>
        <w:pStyle w:val="Heading3"/>
        <w:rPr>
          <w:rFonts w:cs="Times New Roman"/>
          <w:b w:val="0"/>
          <w:bCs/>
          <w:color w:val="000000" w:themeColor="text1"/>
          <w:szCs w:val="24"/>
        </w:rPr>
      </w:pPr>
      <w:bookmarkStart w:id="477" w:name="_Toc232376016"/>
      <w:bookmarkStart w:id="478" w:name="_Toc234344884"/>
      <w:bookmarkStart w:id="479" w:name="_Toc234489116"/>
      <w:r w:rsidRPr="00AF0CC3">
        <w:rPr>
          <w:rFonts w:cs="Times New Roman"/>
          <w:bCs/>
          <w:color w:val="000000" w:themeColor="text1"/>
          <w:szCs w:val="24"/>
        </w:rPr>
        <w:t>Climate Exposure, Political Transition, and Institutional Resilience</w:t>
      </w:r>
      <w:bookmarkEnd w:id="477"/>
      <w:bookmarkEnd w:id="478"/>
      <w:bookmarkEnd w:id="479"/>
    </w:p>
    <w:p w14:paraId="7A02BFFD" w14:textId="77777777" w:rsidR="00844B88" w:rsidRPr="00AF0CC3" w:rsidRDefault="00844B88" w:rsidP="00844B88">
      <w:pPr>
        <w:rPr>
          <w:rFonts w:ascii="Times New Roman" w:hAnsi="Times New Roman" w:cs="Times New Roman"/>
          <w:color w:val="000000" w:themeColor="text1"/>
        </w:rPr>
      </w:pPr>
    </w:p>
    <w:p w14:paraId="568C3E20" w14:textId="77777777" w:rsidR="00844B88" w:rsidRPr="00AF0CC3" w:rsidRDefault="00844B88" w:rsidP="00844B88">
      <w:pPr>
        <w:rPr>
          <w:rFonts w:ascii="Times New Roman" w:hAnsi="Times New Roman" w:cs="Times New Roman"/>
          <w:color w:val="000000" w:themeColor="text1"/>
        </w:rPr>
      </w:pPr>
      <w:r w:rsidRPr="00AF0CC3">
        <w:rPr>
          <w:rFonts w:ascii="Times New Roman" w:hAnsi="Times New Roman" w:cs="Times New Roman"/>
          <w:color w:val="000000" w:themeColor="text1"/>
        </w:rPr>
        <w:t>A notable contribution of the study concerns the interaction between governance quality, climate exposure, and political transition conditions. Infrastructure implementation outcomes were influenced by environmental disruption, climatic variability, election cycles, administrative restructuring, leadership transitions, and shifts in institutional priorities.</w:t>
      </w:r>
    </w:p>
    <w:p w14:paraId="5D383D25" w14:textId="77777777" w:rsidR="00844B88" w:rsidRPr="00AF0CC3" w:rsidRDefault="00844B88" w:rsidP="00844B88">
      <w:pPr>
        <w:rPr>
          <w:rFonts w:ascii="Times New Roman" w:hAnsi="Times New Roman" w:cs="Times New Roman"/>
          <w:color w:val="000000" w:themeColor="text1"/>
        </w:rPr>
      </w:pPr>
    </w:p>
    <w:p w14:paraId="518EA761" w14:textId="77777777" w:rsidR="00844B88" w:rsidRPr="00AF0CC3" w:rsidRDefault="00844B88" w:rsidP="00844B88">
      <w:pPr>
        <w:rPr>
          <w:rFonts w:ascii="Times New Roman" w:hAnsi="Times New Roman" w:cs="Times New Roman"/>
          <w:color w:val="000000" w:themeColor="text1"/>
        </w:rPr>
      </w:pPr>
      <w:r w:rsidRPr="00AF0CC3">
        <w:rPr>
          <w:rFonts w:ascii="Times New Roman" w:hAnsi="Times New Roman" w:cs="Times New Roman"/>
          <w:color w:val="000000" w:themeColor="text1"/>
        </w:rPr>
        <w:t xml:space="preserve">Flooding, drought conditions, rainfall variability, environmental degradation, site inaccessibility, and water-flow fluctuations disrupted implementation activities across multiple projects. </w:t>
      </w:r>
      <w:r w:rsidRPr="00AF0CC3">
        <w:rPr>
          <w:rFonts w:ascii="Times New Roman" w:hAnsi="Times New Roman" w:cs="Times New Roman"/>
          <w:color w:val="000000" w:themeColor="text1"/>
        </w:rPr>
        <w:lastRenderedPageBreak/>
        <w:t>Similarly, political transitions introduced uncertainty through procurement reviews, organizational restructuring, budget reprioritization, and changes in administrative leadership.</w:t>
      </w:r>
    </w:p>
    <w:p w14:paraId="68B82680" w14:textId="77777777" w:rsidR="00844B88" w:rsidRPr="00AF0CC3" w:rsidRDefault="00844B88" w:rsidP="00844B88">
      <w:pPr>
        <w:rPr>
          <w:rFonts w:ascii="Times New Roman" w:hAnsi="Times New Roman" w:cs="Times New Roman"/>
          <w:color w:val="000000" w:themeColor="text1"/>
        </w:rPr>
      </w:pPr>
    </w:p>
    <w:p w14:paraId="7BA9FCC6" w14:textId="1A206309" w:rsidR="00844B88" w:rsidRPr="00AF0CC3" w:rsidRDefault="00844B88" w:rsidP="00844B88">
      <w:pPr>
        <w:rPr>
          <w:rFonts w:ascii="Times New Roman" w:hAnsi="Times New Roman" w:cs="Times New Roman"/>
          <w:color w:val="000000" w:themeColor="text1"/>
        </w:rPr>
      </w:pPr>
      <w:r w:rsidRPr="00AF0CC3">
        <w:rPr>
          <w:rFonts w:ascii="Times New Roman" w:hAnsi="Times New Roman" w:cs="Times New Roman"/>
          <w:color w:val="000000" w:themeColor="text1"/>
        </w:rPr>
        <w:t xml:space="preserve">The capacity to respond to such disruptions </w:t>
      </w:r>
      <w:r w:rsidR="00456EA8" w:rsidRPr="00AF0CC3">
        <w:rPr>
          <w:rFonts w:ascii="Times New Roman" w:hAnsi="Times New Roman" w:cs="Times New Roman"/>
          <w:color w:val="000000" w:themeColor="text1"/>
        </w:rPr>
        <w:t>varies</w:t>
      </w:r>
      <w:r w:rsidRPr="00AF0CC3">
        <w:rPr>
          <w:rFonts w:ascii="Times New Roman" w:hAnsi="Times New Roman" w:cs="Times New Roman"/>
          <w:color w:val="000000" w:themeColor="text1"/>
        </w:rPr>
        <w:t xml:space="preserve"> across projects. Greater implementation continuity was observed when governance arrangements supported effective coordination, sustained monitoring, responsive oversight, consistent procurement, and institutional adaptability. These institutional capabilities strengthened the ability of implementing agencies to maintain implementation momentum despite changing environmental and political conditions.</w:t>
      </w:r>
    </w:p>
    <w:p w14:paraId="435336EF" w14:textId="77777777" w:rsidR="00844B88" w:rsidRPr="00AF0CC3" w:rsidRDefault="00844B88" w:rsidP="00844B88">
      <w:pPr>
        <w:rPr>
          <w:rFonts w:ascii="Times New Roman" w:hAnsi="Times New Roman" w:cs="Times New Roman"/>
          <w:color w:val="000000" w:themeColor="text1"/>
        </w:rPr>
      </w:pPr>
    </w:p>
    <w:p w14:paraId="6A6F442A" w14:textId="77777777" w:rsidR="00844B88" w:rsidRPr="00AF0CC3" w:rsidRDefault="00844B88" w:rsidP="00844B88">
      <w:pPr>
        <w:rPr>
          <w:rFonts w:ascii="Times New Roman" w:hAnsi="Times New Roman" w:cs="Times New Roman"/>
          <w:color w:val="000000" w:themeColor="text1"/>
        </w:rPr>
      </w:pPr>
      <w:r w:rsidRPr="00AF0CC3">
        <w:rPr>
          <w:rFonts w:ascii="Times New Roman" w:hAnsi="Times New Roman" w:cs="Times New Roman"/>
          <w:color w:val="000000" w:themeColor="text1"/>
        </w:rPr>
        <w:t>The observed relationships highlight governance quality as an important contributor to institutional resilience. Beyond supporting routine implementation functions, stronger governance arrangements enhanced the capacity of infrastructure systems to absorb, adapt to, and recover from external disruptions. This relationship is particularly relevant within water infrastructure systems, where environmental uncertainty, political sensitivity, and extended implementation horizons create persistent implementation challenges.</w:t>
      </w:r>
    </w:p>
    <w:p w14:paraId="4996FB30" w14:textId="77777777" w:rsidR="00844B88" w:rsidRPr="00AF0CC3" w:rsidRDefault="00844B88" w:rsidP="00844B88">
      <w:pPr>
        <w:rPr>
          <w:rFonts w:ascii="Times New Roman" w:hAnsi="Times New Roman" w:cs="Times New Roman"/>
          <w:color w:val="000000" w:themeColor="text1"/>
        </w:rPr>
      </w:pPr>
      <w:r w:rsidRPr="00AF0CC3">
        <w:rPr>
          <w:rFonts w:ascii="Times New Roman" w:hAnsi="Times New Roman" w:cs="Times New Roman"/>
          <w:color w:val="000000" w:themeColor="text1"/>
        </w:rPr>
        <w:t>The findings therefore reinforce the broader governance-resilience literature, which emphasizes that institutional quality strengthens implementation adaptability and reduces implementation vulnerability under conditions of external disruption (Lebel et al., 2021).</w:t>
      </w:r>
    </w:p>
    <w:p w14:paraId="402F4AE9" w14:textId="77777777" w:rsidR="00844B88" w:rsidRPr="00AF0CC3" w:rsidRDefault="00844B88" w:rsidP="00844B88">
      <w:pPr>
        <w:rPr>
          <w:rFonts w:ascii="Times New Roman" w:hAnsi="Times New Roman" w:cs="Times New Roman"/>
          <w:color w:val="000000" w:themeColor="text1"/>
        </w:rPr>
      </w:pPr>
      <w:r w:rsidRPr="00AF0CC3">
        <w:rPr>
          <w:rFonts w:ascii="Times New Roman" w:hAnsi="Times New Roman" w:cs="Times New Roman"/>
          <w:color w:val="000000" w:themeColor="text1"/>
        </w:rPr>
        <w:t>Similar governance challenges affecting infrastructure implementation have been documented across several low- and middle-income countries, particularly within large-scale public infrastructure projects characterized by decentralized governance systems, procurement complexity, implementation fragmentation, and climate vulnerability. Studies from countries including Nigeria, South Africa, India, Indonesia, and Brazil have identified procurement instability, weak institutional coordination, political interference, administrative fragmentation, delayed implementation, and weak accountability systems as major constraints affecting infrastructure delivery performance (Flyvbjerg, 2014; Osei-Kyei &amp; Chan, 2017; Ameyaw &amp; Chan, 2015; World Bank, 2017).</w:t>
      </w:r>
    </w:p>
    <w:p w14:paraId="7159AAC0" w14:textId="77777777" w:rsidR="00844B88" w:rsidRPr="00AF0CC3" w:rsidRDefault="00844B88" w:rsidP="00844B88">
      <w:pPr>
        <w:rPr>
          <w:rFonts w:ascii="Times New Roman" w:hAnsi="Times New Roman" w:cs="Times New Roman"/>
          <w:color w:val="000000" w:themeColor="text1"/>
        </w:rPr>
      </w:pPr>
    </w:p>
    <w:p w14:paraId="17F88D5A" w14:textId="77777777" w:rsidR="00844B88" w:rsidRPr="00AF0CC3" w:rsidRDefault="00844B88" w:rsidP="00844B88">
      <w:pPr>
        <w:rPr>
          <w:rFonts w:ascii="Times New Roman" w:hAnsi="Times New Roman" w:cs="Times New Roman"/>
          <w:color w:val="000000" w:themeColor="text1"/>
        </w:rPr>
      </w:pPr>
      <w:r w:rsidRPr="00AF0CC3">
        <w:rPr>
          <w:rFonts w:ascii="Times New Roman" w:hAnsi="Times New Roman" w:cs="Times New Roman"/>
          <w:color w:val="000000" w:themeColor="text1"/>
        </w:rPr>
        <w:t xml:space="preserve">Comparable implementation challenges have also been associated with uneven capacity for decentralized governance, weak monitoring systems, and institutional asymmetries within devolved infrastructure implementation environments (Smoke, 2015; Andrews, Pritchett, and Woolcock, 2017). Taken together, the cumulative evidence indicates that the governance challenges documented in this study are not unique to the Kenyan context but reflect broader institutional dynamics observed across many developing-country infrastructure systems. The patterns identified are therefore likely to hold wider analytical relevance for infrastructure </w:t>
      </w:r>
      <w:r w:rsidRPr="00AF0CC3">
        <w:rPr>
          <w:rFonts w:ascii="Times New Roman" w:hAnsi="Times New Roman" w:cs="Times New Roman"/>
          <w:color w:val="000000" w:themeColor="text1"/>
        </w:rPr>
        <w:lastRenderedPageBreak/>
        <w:t>projects operating under conditions of administrative complexity, resource constraints, implementation fragmentation, and institutional uncertainty.</w:t>
      </w:r>
    </w:p>
    <w:p w14:paraId="35536414" w14:textId="77777777" w:rsidR="00844B88" w:rsidRPr="00AF0CC3" w:rsidRDefault="00844B88" w:rsidP="00844B88">
      <w:pPr>
        <w:rPr>
          <w:rFonts w:ascii="Times New Roman" w:hAnsi="Times New Roman" w:cs="Times New Roman"/>
          <w:color w:val="000000" w:themeColor="text1"/>
        </w:rPr>
      </w:pPr>
    </w:p>
    <w:p w14:paraId="5B331773" w14:textId="77777777" w:rsidR="00844B88" w:rsidRPr="00AF0CC3" w:rsidRDefault="00844B88" w:rsidP="00844B88">
      <w:pPr>
        <w:rPr>
          <w:rFonts w:ascii="Times New Roman" w:hAnsi="Times New Roman" w:cs="Times New Roman"/>
          <w:color w:val="000000" w:themeColor="text1"/>
        </w:rPr>
      </w:pPr>
      <w:r w:rsidRPr="00AF0CC3">
        <w:rPr>
          <w:rFonts w:ascii="Times New Roman" w:hAnsi="Times New Roman" w:cs="Times New Roman"/>
          <w:color w:val="000000" w:themeColor="text1"/>
        </w:rPr>
        <w:t>An alternative interpretation is that projects operating under stronger governance arrangements may also possess greater financial, technical, and administrative resources, which contribute to resilience independently of governance quality itself. However, the documentary evidence suggests that governance mechanisms, such as coordination systems, monitoring structures, and accountability arrangements, played a central role in maintaining continuity of implementation during periods of disruption.</w:t>
      </w:r>
    </w:p>
    <w:p w14:paraId="52177BDB" w14:textId="77777777" w:rsidR="00844B88" w:rsidRPr="00AF0CC3" w:rsidRDefault="00844B88" w:rsidP="00844B88">
      <w:pPr>
        <w:rPr>
          <w:rFonts w:ascii="Times New Roman" w:hAnsi="Times New Roman" w:cs="Times New Roman"/>
          <w:color w:val="000000" w:themeColor="text1"/>
        </w:rPr>
      </w:pPr>
    </w:p>
    <w:p w14:paraId="69F75BAB" w14:textId="77777777" w:rsidR="00844B88" w:rsidRPr="00AF0CC3" w:rsidRDefault="00844B88" w:rsidP="00844B88">
      <w:pPr>
        <w:rPr>
          <w:rFonts w:ascii="Times New Roman" w:hAnsi="Times New Roman" w:cs="Times New Roman"/>
          <w:color w:val="000000" w:themeColor="text1"/>
        </w:rPr>
      </w:pPr>
    </w:p>
    <w:p w14:paraId="5184AA87" w14:textId="323A87D2" w:rsidR="00844B88" w:rsidRPr="00AF0CC3" w:rsidRDefault="00844B88" w:rsidP="00844B88">
      <w:pPr>
        <w:pStyle w:val="Heading3"/>
        <w:rPr>
          <w:rFonts w:cs="Times New Roman"/>
          <w:b w:val="0"/>
          <w:bCs/>
          <w:color w:val="000000" w:themeColor="text1"/>
          <w:szCs w:val="24"/>
        </w:rPr>
      </w:pPr>
      <w:bookmarkStart w:id="480" w:name="_Toc232376017"/>
      <w:bookmarkStart w:id="481" w:name="_Toc234344885"/>
      <w:bookmarkStart w:id="482" w:name="_Toc234489117"/>
      <w:r w:rsidRPr="00AF0CC3">
        <w:rPr>
          <w:rFonts w:cs="Times New Roman"/>
          <w:bCs/>
          <w:color w:val="000000" w:themeColor="text1"/>
          <w:szCs w:val="24"/>
        </w:rPr>
        <w:t>Documentation Accessibility and Decentralized Governance Capacity</w:t>
      </w:r>
      <w:bookmarkEnd w:id="480"/>
      <w:bookmarkEnd w:id="481"/>
      <w:bookmarkEnd w:id="482"/>
    </w:p>
    <w:p w14:paraId="698EDD19" w14:textId="77777777" w:rsidR="00844B88" w:rsidRPr="00AF0CC3" w:rsidRDefault="00844B88" w:rsidP="00844B88">
      <w:pPr>
        <w:rPr>
          <w:rFonts w:ascii="Times New Roman" w:hAnsi="Times New Roman" w:cs="Times New Roman"/>
          <w:color w:val="000000" w:themeColor="text1"/>
        </w:rPr>
      </w:pPr>
    </w:p>
    <w:p w14:paraId="28C5030B" w14:textId="77777777" w:rsidR="00844B88" w:rsidRPr="00AF0CC3" w:rsidRDefault="00844B88" w:rsidP="00844B88">
      <w:pPr>
        <w:rPr>
          <w:rFonts w:ascii="Times New Roman" w:hAnsi="Times New Roman" w:cs="Times New Roman"/>
          <w:color w:val="000000" w:themeColor="text1"/>
        </w:rPr>
      </w:pPr>
      <w:r w:rsidRPr="00AF0CC3">
        <w:rPr>
          <w:rFonts w:ascii="Times New Roman" w:hAnsi="Times New Roman" w:cs="Times New Roman"/>
          <w:color w:val="000000" w:themeColor="text1"/>
        </w:rPr>
        <w:t>An important institutional pattern emerged during the governance assessment process concerning documentation accessibility and the capacity of implementing authorities to maintain verifiable project records. The exclusion of nineteen county-implemented projects from the final analytical sample highlighted substantial differences in the availability of documentary evidence required to assess governance performance across implementing authorities.</w:t>
      </w:r>
    </w:p>
    <w:p w14:paraId="2912733F" w14:textId="77777777" w:rsidR="00844B88" w:rsidRPr="00AF0CC3" w:rsidRDefault="00844B88" w:rsidP="00844B88">
      <w:pPr>
        <w:rPr>
          <w:rFonts w:ascii="Times New Roman" w:hAnsi="Times New Roman" w:cs="Times New Roman"/>
          <w:color w:val="000000" w:themeColor="text1"/>
        </w:rPr>
      </w:pPr>
    </w:p>
    <w:p w14:paraId="43DBFED8" w14:textId="77777777" w:rsidR="00844B88" w:rsidRPr="00AF0CC3" w:rsidRDefault="00844B88" w:rsidP="00844B88">
      <w:pPr>
        <w:rPr>
          <w:rFonts w:ascii="Times New Roman" w:hAnsi="Times New Roman" w:cs="Times New Roman"/>
          <w:color w:val="000000" w:themeColor="text1"/>
        </w:rPr>
      </w:pPr>
      <w:r w:rsidRPr="00AF0CC3">
        <w:rPr>
          <w:rFonts w:ascii="Times New Roman" w:hAnsi="Times New Roman" w:cs="Times New Roman"/>
          <w:color w:val="000000" w:themeColor="text1"/>
        </w:rPr>
        <w:t>The concentration of inaccessible documentation among county-level projects drew attention to broader institutional issues relating to records management, implementation reporting, documentary transparency, monitoring systems, and administrative coordination. Although the absence of accessible records should not be interpreted as direct evidence of weak governance performance, it limited the ability to conduct a standardized governance assessment and reduced the transparency required for independent verification of project implementation processes.</w:t>
      </w:r>
    </w:p>
    <w:p w14:paraId="69CC7ED4" w14:textId="77777777" w:rsidR="00844B88" w:rsidRPr="00AF0CC3" w:rsidRDefault="00844B88" w:rsidP="00844B88">
      <w:pPr>
        <w:rPr>
          <w:rFonts w:ascii="Times New Roman" w:hAnsi="Times New Roman" w:cs="Times New Roman"/>
          <w:color w:val="000000" w:themeColor="text1"/>
        </w:rPr>
      </w:pPr>
    </w:p>
    <w:p w14:paraId="652A8D77" w14:textId="77777777" w:rsidR="00844B88" w:rsidRPr="00AF0CC3" w:rsidRDefault="00844B88" w:rsidP="00844B88">
      <w:pPr>
        <w:rPr>
          <w:rFonts w:ascii="Times New Roman" w:hAnsi="Times New Roman" w:cs="Times New Roman"/>
          <w:color w:val="000000" w:themeColor="text1"/>
        </w:rPr>
      </w:pPr>
      <w:r w:rsidRPr="00AF0CC3">
        <w:rPr>
          <w:rFonts w:ascii="Times New Roman" w:hAnsi="Times New Roman" w:cs="Times New Roman"/>
          <w:color w:val="000000" w:themeColor="text1"/>
        </w:rPr>
        <w:t>The observed pattern underscores the importance of documentation accessibility as a governance function rather than merely an administrative requirement. Effective infrastructure governance depends not only on formal policies, procurement procedures, and implementation structures but also on the capacity of institutions to generate, maintain, and preserve reliable records throughout the project lifecycle. Accessible documentation provides the basis for accountability, monitoring, audit review, performance evaluation, and public oversight.</w:t>
      </w:r>
    </w:p>
    <w:p w14:paraId="2C81F123" w14:textId="77777777" w:rsidR="00844B88" w:rsidRPr="00AF0CC3" w:rsidRDefault="00844B88" w:rsidP="00844B88">
      <w:pPr>
        <w:rPr>
          <w:rFonts w:ascii="Times New Roman" w:hAnsi="Times New Roman" w:cs="Times New Roman"/>
          <w:color w:val="000000" w:themeColor="text1"/>
        </w:rPr>
      </w:pPr>
    </w:p>
    <w:p w14:paraId="100C9C91" w14:textId="77777777" w:rsidR="00844B88" w:rsidRPr="00AF0CC3" w:rsidRDefault="00844B88" w:rsidP="00844B88">
      <w:pPr>
        <w:rPr>
          <w:rFonts w:ascii="Times New Roman" w:hAnsi="Times New Roman" w:cs="Times New Roman"/>
          <w:color w:val="000000" w:themeColor="text1"/>
        </w:rPr>
      </w:pPr>
      <w:r w:rsidRPr="00AF0CC3">
        <w:rPr>
          <w:rFonts w:ascii="Times New Roman" w:hAnsi="Times New Roman" w:cs="Times New Roman"/>
          <w:color w:val="000000" w:themeColor="text1"/>
        </w:rPr>
        <w:lastRenderedPageBreak/>
        <w:t>From a decentralized governance perspective, the findings highlight the institutional challenges that may accompany the transfer of implementation responsibilities to subnational authorities. Variations in administrative capacity, records management systems, reporting practices, and monitoring arrangements can influence the degree to which governance processes remain transparent and verifiable across jurisdictions. Such differences may, in turn, affect the ability of oversight institutions, researchers, auditors, and citizens to evaluate implementation performance consistently.</w:t>
      </w:r>
    </w:p>
    <w:p w14:paraId="4EDF19C7" w14:textId="77777777" w:rsidR="00844B88" w:rsidRPr="00AF0CC3" w:rsidRDefault="00844B88" w:rsidP="00844B88">
      <w:pPr>
        <w:rPr>
          <w:rFonts w:ascii="Times New Roman" w:hAnsi="Times New Roman" w:cs="Times New Roman"/>
          <w:color w:val="000000" w:themeColor="text1"/>
        </w:rPr>
      </w:pPr>
      <w:r w:rsidRPr="00AF0CC3">
        <w:rPr>
          <w:rFonts w:ascii="Times New Roman" w:hAnsi="Times New Roman" w:cs="Times New Roman"/>
          <w:color w:val="000000" w:themeColor="text1"/>
        </w:rPr>
        <w:t>However, these observations should also be interpreted within the broader context of relatively recent devolution reforms, evolving institutional systems, uneven resource capacity, and transitional administrative structures affecting county-level implementation environments.</w:t>
      </w:r>
    </w:p>
    <w:p w14:paraId="5FECBC7C" w14:textId="77777777" w:rsidR="00844B88" w:rsidRPr="00AF0CC3" w:rsidRDefault="00844B88" w:rsidP="00844B88">
      <w:pPr>
        <w:rPr>
          <w:rFonts w:ascii="Times New Roman" w:hAnsi="Times New Roman" w:cs="Times New Roman"/>
          <w:color w:val="000000" w:themeColor="text1"/>
        </w:rPr>
      </w:pPr>
    </w:p>
    <w:p w14:paraId="1807CF0B" w14:textId="77777777" w:rsidR="00844B88" w:rsidRPr="00AF0CC3" w:rsidRDefault="00844B88" w:rsidP="00844B88">
      <w:pPr>
        <w:rPr>
          <w:rFonts w:ascii="Times New Roman" w:hAnsi="Times New Roman" w:cs="Times New Roman"/>
          <w:color w:val="000000" w:themeColor="text1"/>
        </w:rPr>
      </w:pPr>
      <w:r w:rsidRPr="00AF0CC3">
        <w:rPr>
          <w:rFonts w:ascii="Times New Roman" w:hAnsi="Times New Roman" w:cs="Times New Roman"/>
          <w:color w:val="000000" w:themeColor="text1"/>
        </w:rPr>
        <w:t>The relationship observed between documentation accessibility and governance assessment also highlights the value of incorporating documentary transparency within governance evaluation frameworks. Governance effectiveness cannot be fully assessed without verifiable implementation records, particularly in large-scale infrastructure projects involving substantial public investment and multiple institutional actors. Documentation accessibility, therefore, emerges not merely as a methodological consideration but as an important institutional dimension of governance quality itself.</w:t>
      </w:r>
    </w:p>
    <w:p w14:paraId="7E9EA558" w14:textId="77777777" w:rsidR="00844B88" w:rsidRPr="00AF0CC3" w:rsidRDefault="00844B88" w:rsidP="00844B88">
      <w:pPr>
        <w:rPr>
          <w:rFonts w:ascii="Times New Roman" w:hAnsi="Times New Roman" w:cs="Times New Roman"/>
          <w:color w:val="000000" w:themeColor="text1"/>
        </w:rPr>
      </w:pPr>
    </w:p>
    <w:p w14:paraId="273A24B2" w14:textId="77777777" w:rsidR="00844B88" w:rsidRPr="00AF0CC3" w:rsidRDefault="00844B88" w:rsidP="00844B88">
      <w:pPr>
        <w:rPr>
          <w:rFonts w:ascii="Times New Roman" w:hAnsi="Times New Roman" w:cs="Times New Roman"/>
          <w:color w:val="000000" w:themeColor="text1"/>
        </w:rPr>
      </w:pPr>
      <w:r w:rsidRPr="00AF0CC3">
        <w:rPr>
          <w:rFonts w:ascii="Times New Roman" w:hAnsi="Times New Roman" w:cs="Times New Roman"/>
          <w:color w:val="000000" w:themeColor="text1"/>
        </w:rPr>
        <w:t>Viewed within the broader context of Kenya's devolved governance system, these observations point to the importance of strengthening records management, implementation reporting, monitoring systems, and documentary transparency at county level. Such improvements would enhance accountability, facilitate independent oversight, and support more comprehensive assessment of infrastructure governance and delivery performance across decentralized implementation environments.</w:t>
      </w:r>
    </w:p>
    <w:p w14:paraId="7C9E80B9" w14:textId="77777777" w:rsidR="00844B88" w:rsidRPr="00AF0CC3" w:rsidRDefault="00844B88" w:rsidP="00844B88">
      <w:pPr>
        <w:rPr>
          <w:rFonts w:ascii="Times New Roman" w:hAnsi="Times New Roman" w:cs="Times New Roman"/>
          <w:color w:val="000000" w:themeColor="text1"/>
        </w:rPr>
      </w:pPr>
    </w:p>
    <w:p w14:paraId="67BD4505" w14:textId="77777777" w:rsidR="00844B88" w:rsidRPr="00AF0CC3" w:rsidRDefault="00844B88" w:rsidP="00844B88">
      <w:pPr>
        <w:rPr>
          <w:rFonts w:ascii="Times New Roman" w:hAnsi="Times New Roman" w:cs="Times New Roman"/>
          <w:color w:val="000000" w:themeColor="text1"/>
        </w:rPr>
      </w:pPr>
      <w:r w:rsidRPr="00AF0CC3">
        <w:rPr>
          <w:rFonts w:ascii="Times New Roman" w:hAnsi="Times New Roman" w:cs="Times New Roman"/>
          <w:color w:val="000000" w:themeColor="text1"/>
        </w:rPr>
        <w:t>The documentation accessibility findings extend the study's understanding of governance quality by highlighting the importance of transparency, records management, and documentary accountability within decentralized infrastructure systems. The ability of institutions to maintain accessible and verifiable records influences not only public accountability but also the capacity to objectively evaluate governance performance. Consequently, documentation transparency emerges as an important institutional dimension of governance quality, particularly within devolved implementation environments.</w:t>
      </w:r>
    </w:p>
    <w:p w14:paraId="630DCEEB" w14:textId="77777777" w:rsidR="00844B88" w:rsidRPr="00AF0CC3" w:rsidRDefault="00844B88" w:rsidP="00844B88">
      <w:pPr>
        <w:rPr>
          <w:rFonts w:ascii="Times New Roman" w:hAnsi="Times New Roman" w:cs="Times New Roman"/>
          <w:color w:val="000000" w:themeColor="text1"/>
        </w:rPr>
      </w:pPr>
    </w:p>
    <w:p w14:paraId="23C8021D" w14:textId="160BD644" w:rsidR="00844B88" w:rsidRPr="00AF0CC3" w:rsidRDefault="00844B88" w:rsidP="00844B88">
      <w:pPr>
        <w:rPr>
          <w:rFonts w:ascii="Times New Roman" w:hAnsi="Times New Roman" w:cs="Times New Roman"/>
          <w:color w:val="000000" w:themeColor="text1"/>
        </w:rPr>
      </w:pPr>
      <w:r w:rsidRPr="00AF0CC3">
        <w:rPr>
          <w:rFonts w:ascii="Times New Roman" w:hAnsi="Times New Roman" w:cs="Times New Roman"/>
          <w:color w:val="000000" w:themeColor="text1"/>
        </w:rPr>
        <w:t>Table 4.1</w:t>
      </w:r>
      <w:r w:rsidR="00D032D3" w:rsidRPr="00AF0CC3">
        <w:rPr>
          <w:rFonts w:ascii="Times New Roman" w:hAnsi="Times New Roman" w:cs="Times New Roman"/>
          <w:color w:val="000000" w:themeColor="text1"/>
        </w:rPr>
        <w:t>0</w:t>
      </w:r>
      <w:r w:rsidRPr="00AF0CC3">
        <w:rPr>
          <w:rFonts w:ascii="Times New Roman" w:hAnsi="Times New Roman" w:cs="Times New Roman"/>
          <w:color w:val="000000" w:themeColor="text1"/>
        </w:rPr>
        <w:t xml:space="preserve"> synthesizes the principal findings of the study and highlights their broader implications for infrastructure governance and delivery performance.</w:t>
      </w:r>
    </w:p>
    <w:p w14:paraId="340E7694" w14:textId="2F40AB37" w:rsidR="00D032D3" w:rsidRPr="00AF0CC3" w:rsidRDefault="00D032D3" w:rsidP="00D032D3">
      <w:pPr>
        <w:pStyle w:val="Caption"/>
        <w:keepNext/>
        <w:rPr>
          <w:rFonts w:ascii="Times New Roman" w:hAnsi="Times New Roman" w:cs="Times New Roman"/>
          <w:sz w:val="24"/>
          <w:szCs w:val="24"/>
        </w:rPr>
      </w:pPr>
      <w:bookmarkStart w:id="483" w:name="_Toc234437378"/>
      <w:r w:rsidRPr="00AF0CC3">
        <w:rPr>
          <w:rFonts w:ascii="Times New Roman" w:hAnsi="Times New Roman" w:cs="Times New Roman"/>
          <w:sz w:val="24"/>
          <w:szCs w:val="24"/>
        </w:rPr>
        <w:lastRenderedPageBreak/>
        <w:t xml:space="preserve">Table </w:t>
      </w:r>
      <w:r w:rsidR="007F4206" w:rsidRPr="00AF0CC3">
        <w:rPr>
          <w:rFonts w:ascii="Times New Roman" w:hAnsi="Times New Roman" w:cs="Times New Roman"/>
          <w:sz w:val="24"/>
          <w:szCs w:val="24"/>
        </w:rPr>
        <w:fldChar w:fldCharType="begin"/>
      </w:r>
      <w:r w:rsidR="007F4206" w:rsidRPr="00AF0CC3">
        <w:rPr>
          <w:rFonts w:ascii="Times New Roman" w:hAnsi="Times New Roman" w:cs="Times New Roman"/>
          <w:sz w:val="24"/>
          <w:szCs w:val="24"/>
        </w:rPr>
        <w:instrText xml:space="preserve"> STYLEREF 1 \s </w:instrText>
      </w:r>
      <w:r w:rsidR="007F4206" w:rsidRPr="00AF0CC3">
        <w:rPr>
          <w:rFonts w:ascii="Times New Roman" w:hAnsi="Times New Roman" w:cs="Times New Roman"/>
          <w:sz w:val="24"/>
          <w:szCs w:val="24"/>
        </w:rPr>
        <w:fldChar w:fldCharType="separate"/>
      </w:r>
      <w:r w:rsidR="007F4206" w:rsidRPr="00AF0CC3">
        <w:rPr>
          <w:rFonts w:ascii="Times New Roman" w:hAnsi="Times New Roman" w:cs="Times New Roman"/>
          <w:noProof/>
          <w:sz w:val="24"/>
          <w:szCs w:val="24"/>
        </w:rPr>
        <w:t>4</w:t>
      </w:r>
      <w:r w:rsidR="007F4206" w:rsidRPr="00AF0CC3">
        <w:rPr>
          <w:rFonts w:ascii="Times New Roman" w:hAnsi="Times New Roman" w:cs="Times New Roman"/>
          <w:noProof/>
          <w:sz w:val="24"/>
          <w:szCs w:val="24"/>
        </w:rPr>
        <w:fldChar w:fldCharType="end"/>
      </w:r>
      <w:r w:rsidR="007F4206" w:rsidRPr="00AF0CC3">
        <w:rPr>
          <w:rFonts w:ascii="Times New Roman" w:hAnsi="Times New Roman" w:cs="Times New Roman"/>
          <w:sz w:val="24"/>
          <w:szCs w:val="24"/>
        </w:rPr>
        <w:noBreakHyphen/>
      </w:r>
      <w:r w:rsidR="007F4206" w:rsidRPr="00AF0CC3">
        <w:rPr>
          <w:rFonts w:ascii="Times New Roman" w:hAnsi="Times New Roman" w:cs="Times New Roman"/>
          <w:sz w:val="24"/>
          <w:szCs w:val="24"/>
        </w:rPr>
        <w:fldChar w:fldCharType="begin"/>
      </w:r>
      <w:r w:rsidR="007F4206" w:rsidRPr="00AF0CC3">
        <w:rPr>
          <w:rFonts w:ascii="Times New Roman" w:hAnsi="Times New Roman" w:cs="Times New Roman"/>
          <w:sz w:val="24"/>
          <w:szCs w:val="24"/>
        </w:rPr>
        <w:instrText xml:space="preserve"> SEQ Table \* ARABIC \s 1 </w:instrText>
      </w:r>
      <w:r w:rsidR="007F4206" w:rsidRPr="00AF0CC3">
        <w:rPr>
          <w:rFonts w:ascii="Times New Roman" w:hAnsi="Times New Roman" w:cs="Times New Roman"/>
          <w:sz w:val="24"/>
          <w:szCs w:val="24"/>
        </w:rPr>
        <w:fldChar w:fldCharType="separate"/>
      </w:r>
      <w:r w:rsidR="007F4206" w:rsidRPr="00AF0CC3">
        <w:rPr>
          <w:rFonts w:ascii="Times New Roman" w:hAnsi="Times New Roman" w:cs="Times New Roman"/>
          <w:noProof/>
          <w:sz w:val="24"/>
          <w:szCs w:val="24"/>
        </w:rPr>
        <w:t>10</w:t>
      </w:r>
      <w:r w:rsidR="007F4206" w:rsidRPr="00AF0CC3">
        <w:rPr>
          <w:rFonts w:ascii="Times New Roman" w:hAnsi="Times New Roman" w:cs="Times New Roman"/>
          <w:noProof/>
          <w:sz w:val="24"/>
          <w:szCs w:val="24"/>
        </w:rPr>
        <w:fldChar w:fldCharType="end"/>
      </w:r>
      <w:r w:rsidRPr="00AF0CC3">
        <w:rPr>
          <w:rFonts w:ascii="Times New Roman" w:hAnsi="Times New Roman" w:cs="Times New Roman"/>
          <w:sz w:val="24"/>
          <w:szCs w:val="24"/>
        </w:rPr>
        <w:t xml:space="preserve"> Integrated Summary of Key Findings and Governance Implications</w:t>
      </w:r>
      <w:bookmarkEnd w:id="483"/>
    </w:p>
    <w:tbl>
      <w:tblPr>
        <w:tblW w:w="9233" w:type="dxa"/>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3111"/>
        <w:gridCol w:w="1656"/>
        <w:gridCol w:w="4466"/>
      </w:tblGrid>
      <w:tr w:rsidR="00844B88" w:rsidRPr="00AF0CC3" w14:paraId="2F547D8F" w14:textId="77777777" w:rsidTr="00E73C98">
        <w:trPr>
          <w:trHeight w:val="61"/>
          <w:tblHeader/>
          <w:tblCellSpacing w:w="15" w:type="dxa"/>
        </w:trPr>
        <w:tc>
          <w:tcPr>
            <w:tcW w:w="0" w:type="auto"/>
            <w:vAlign w:val="center"/>
            <w:hideMark/>
          </w:tcPr>
          <w:p w14:paraId="37847305" w14:textId="77777777" w:rsidR="00844B88" w:rsidRPr="00AF0CC3" w:rsidRDefault="00844B88" w:rsidP="00E73C98">
            <w:pPr>
              <w:rPr>
                <w:rFonts w:ascii="Times New Roman" w:hAnsi="Times New Roman" w:cs="Times New Roman"/>
                <w:b/>
                <w:bCs/>
                <w:color w:val="000000" w:themeColor="text1"/>
              </w:rPr>
            </w:pPr>
            <w:r w:rsidRPr="00AF0CC3">
              <w:rPr>
                <w:rFonts w:ascii="Times New Roman" w:hAnsi="Times New Roman" w:cs="Times New Roman"/>
                <w:b/>
                <w:bCs/>
                <w:color w:val="000000" w:themeColor="text1"/>
              </w:rPr>
              <w:t>Finding</w:t>
            </w:r>
          </w:p>
        </w:tc>
        <w:tc>
          <w:tcPr>
            <w:tcW w:w="0" w:type="auto"/>
            <w:vAlign w:val="center"/>
            <w:hideMark/>
          </w:tcPr>
          <w:p w14:paraId="6F3D6872" w14:textId="77777777" w:rsidR="00844B88" w:rsidRPr="00AF0CC3" w:rsidRDefault="00844B88" w:rsidP="00E73C98">
            <w:pPr>
              <w:rPr>
                <w:rFonts w:ascii="Times New Roman" w:hAnsi="Times New Roman" w:cs="Times New Roman"/>
                <w:b/>
                <w:bCs/>
                <w:color w:val="000000" w:themeColor="text1"/>
              </w:rPr>
            </w:pPr>
            <w:r w:rsidRPr="00AF0CC3">
              <w:rPr>
                <w:rFonts w:ascii="Times New Roman" w:hAnsi="Times New Roman" w:cs="Times New Roman"/>
                <w:b/>
                <w:bCs/>
                <w:color w:val="000000" w:themeColor="text1"/>
              </w:rPr>
              <w:t>Evidence</w:t>
            </w:r>
          </w:p>
        </w:tc>
        <w:tc>
          <w:tcPr>
            <w:tcW w:w="0" w:type="auto"/>
            <w:vAlign w:val="center"/>
            <w:hideMark/>
          </w:tcPr>
          <w:p w14:paraId="21DCD141" w14:textId="77777777" w:rsidR="00844B88" w:rsidRPr="00AF0CC3" w:rsidRDefault="00844B88" w:rsidP="00E73C98">
            <w:pPr>
              <w:rPr>
                <w:rFonts w:ascii="Times New Roman" w:hAnsi="Times New Roman" w:cs="Times New Roman"/>
                <w:b/>
                <w:bCs/>
                <w:color w:val="000000" w:themeColor="text1"/>
              </w:rPr>
            </w:pPr>
            <w:r w:rsidRPr="00AF0CC3">
              <w:rPr>
                <w:rFonts w:ascii="Times New Roman" w:hAnsi="Times New Roman" w:cs="Times New Roman"/>
                <w:b/>
                <w:bCs/>
                <w:color w:val="000000" w:themeColor="text1"/>
              </w:rPr>
              <w:t>Governance Implication</w:t>
            </w:r>
          </w:p>
        </w:tc>
      </w:tr>
      <w:tr w:rsidR="00844B88" w:rsidRPr="00AF0CC3" w14:paraId="0C51B775" w14:textId="77777777" w:rsidTr="00E73C98">
        <w:trPr>
          <w:trHeight w:val="101"/>
          <w:tblCellSpacing w:w="15" w:type="dxa"/>
        </w:trPr>
        <w:tc>
          <w:tcPr>
            <w:tcW w:w="0" w:type="auto"/>
            <w:vAlign w:val="center"/>
            <w:hideMark/>
          </w:tcPr>
          <w:p w14:paraId="5761B3B6" w14:textId="77777777" w:rsidR="00844B88" w:rsidRPr="00AF0CC3" w:rsidRDefault="00844B88" w:rsidP="00E73C98">
            <w:pPr>
              <w:rPr>
                <w:rFonts w:ascii="Times New Roman" w:hAnsi="Times New Roman" w:cs="Times New Roman"/>
                <w:color w:val="000000" w:themeColor="text1"/>
              </w:rPr>
            </w:pPr>
            <w:r w:rsidRPr="00AF0CC3">
              <w:rPr>
                <w:rFonts w:ascii="Times New Roman" w:hAnsi="Times New Roman" w:cs="Times New Roman"/>
                <w:color w:val="000000" w:themeColor="text1"/>
              </w:rPr>
              <w:t>Low GQI linked to project stalling</w:t>
            </w:r>
          </w:p>
        </w:tc>
        <w:tc>
          <w:tcPr>
            <w:tcW w:w="0" w:type="auto"/>
            <w:vAlign w:val="center"/>
            <w:hideMark/>
          </w:tcPr>
          <w:p w14:paraId="5A382202" w14:textId="77777777" w:rsidR="00844B88" w:rsidRPr="00AF0CC3" w:rsidRDefault="00844B88" w:rsidP="00E73C98">
            <w:pPr>
              <w:rPr>
                <w:rFonts w:ascii="Times New Roman" w:hAnsi="Times New Roman" w:cs="Times New Roman"/>
                <w:color w:val="000000" w:themeColor="text1"/>
              </w:rPr>
            </w:pPr>
            <w:r w:rsidRPr="00AF0CC3">
              <w:rPr>
                <w:rFonts w:ascii="Times New Roman" w:hAnsi="Times New Roman" w:cs="Times New Roman"/>
                <w:color w:val="000000" w:themeColor="text1"/>
              </w:rPr>
              <w:t>Logistic regression</w:t>
            </w:r>
          </w:p>
        </w:tc>
        <w:tc>
          <w:tcPr>
            <w:tcW w:w="0" w:type="auto"/>
            <w:vAlign w:val="center"/>
            <w:hideMark/>
          </w:tcPr>
          <w:p w14:paraId="367D9F36" w14:textId="77777777" w:rsidR="00844B88" w:rsidRPr="00AF0CC3" w:rsidRDefault="00844B88" w:rsidP="00E73C98">
            <w:pPr>
              <w:rPr>
                <w:rFonts w:ascii="Times New Roman" w:hAnsi="Times New Roman" w:cs="Times New Roman"/>
                <w:color w:val="000000" w:themeColor="text1"/>
              </w:rPr>
            </w:pPr>
            <w:r w:rsidRPr="00AF0CC3">
              <w:rPr>
                <w:rFonts w:ascii="Times New Roman" w:hAnsi="Times New Roman" w:cs="Times New Roman"/>
                <w:color w:val="000000" w:themeColor="text1"/>
              </w:rPr>
              <w:t>Governance quality significantly influences implementation continuity</w:t>
            </w:r>
          </w:p>
        </w:tc>
      </w:tr>
      <w:tr w:rsidR="00844B88" w:rsidRPr="00AF0CC3" w14:paraId="58E55BFA" w14:textId="77777777" w:rsidTr="00E73C98">
        <w:trPr>
          <w:trHeight w:val="99"/>
          <w:tblCellSpacing w:w="15" w:type="dxa"/>
        </w:trPr>
        <w:tc>
          <w:tcPr>
            <w:tcW w:w="0" w:type="auto"/>
            <w:vAlign w:val="center"/>
            <w:hideMark/>
          </w:tcPr>
          <w:p w14:paraId="35F7B901" w14:textId="77777777" w:rsidR="00844B88" w:rsidRPr="00AF0CC3" w:rsidRDefault="00844B88" w:rsidP="00E73C98">
            <w:pPr>
              <w:rPr>
                <w:rFonts w:ascii="Times New Roman" w:hAnsi="Times New Roman" w:cs="Times New Roman"/>
                <w:color w:val="000000" w:themeColor="text1"/>
              </w:rPr>
            </w:pPr>
            <w:r w:rsidRPr="00AF0CC3">
              <w:rPr>
                <w:rFonts w:ascii="Times New Roman" w:hAnsi="Times New Roman" w:cs="Times New Roman"/>
                <w:color w:val="000000" w:themeColor="text1"/>
              </w:rPr>
              <w:t>Strong governance reduced implementation delays</w:t>
            </w:r>
          </w:p>
        </w:tc>
        <w:tc>
          <w:tcPr>
            <w:tcW w:w="0" w:type="auto"/>
            <w:vAlign w:val="center"/>
            <w:hideMark/>
          </w:tcPr>
          <w:p w14:paraId="7B81295C" w14:textId="77777777" w:rsidR="00844B88" w:rsidRPr="00AF0CC3" w:rsidRDefault="00844B88" w:rsidP="00E73C98">
            <w:pPr>
              <w:rPr>
                <w:rFonts w:ascii="Times New Roman" w:hAnsi="Times New Roman" w:cs="Times New Roman"/>
                <w:color w:val="000000" w:themeColor="text1"/>
              </w:rPr>
            </w:pPr>
            <w:r w:rsidRPr="00AF0CC3">
              <w:rPr>
                <w:rFonts w:ascii="Times New Roman" w:hAnsi="Times New Roman" w:cs="Times New Roman"/>
                <w:color w:val="000000" w:themeColor="text1"/>
              </w:rPr>
              <w:t>Time-overrun analysis</w:t>
            </w:r>
          </w:p>
        </w:tc>
        <w:tc>
          <w:tcPr>
            <w:tcW w:w="0" w:type="auto"/>
            <w:vAlign w:val="center"/>
            <w:hideMark/>
          </w:tcPr>
          <w:p w14:paraId="251CB1FF" w14:textId="77777777" w:rsidR="00844B88" w:rsidRPr="00AF0CC3" w:rsidRDefault="00844B88" w:rsidP="00E73C98">
            <w:pPr>
              <w:rPr>
                <w:rFonts w:ascii="Times New Roman" w:hAnsi="Times New Roman" w:cs="Times New Roman"/>
                <w:color w:val="000000" w:themeColor="text1"/>
              </w:rPr>
            </w:pPr>
            <w:r w:rsidRPr="00AF0CC3">
              <w:rPr>
                <w:rFonts w:ascii="Times New Roman" w:hAnsi="Times New Roman" w:cs="Times New Roman"/>
                <w:color w:val="000000" w:themeColor="text1"/>
              </w:rPr>
              <w:t>Effective coordination, monitoring, and oversight improve delivery efficiency</w:t>
            </w:r>
          </w:p>
        </w:tc>
      </w:tr>
      <w:tr w:rsidR="00844B88" w:rsidRPr="00AF0CC3" w14:paraId="53E3C1DD" w14:textId="77777777" w:rsidTr="00E73C98">
        <w:trPr>
          <w:trHeight w:val="143"/>
          <w:tblCellSpacing w:w="15" w:type="dxa"/>
        </w:trPr>
        <w:tc>
          <w:tcPr>
            <w:tcW w:w="0" w:type="auto"/>
            <w:vAlign w:val="center"/>
            <w:hideMark/>
          </w:tcPr>
          <w:p w14:paraId="72066593" w14:textId="5167C757" w:rsidR="00844B88" w:rsidRPr="00AF0CC3" w:rsidRDefault="00844B88" w:rsidP="00E73C98">
            <w:pPr>
              <w:rPr>
                <w:rFonts w:ascii="Times New Roman" w:hAnsi="Times New Roman" w:cs="Times New Roman"/>
                <w:color w:val="000000" w:themeColor="text1"/>
              </w:rPr>
            </w:pPr>
            <w:r w:rsidRPr="00AF0CC3">
              <w:rPr>
                <w:rFonts w:ascii="Times New Roman" w:hAnsi="Times New Roman" w:cs="Times New Roman"/>
                <w:color w:val="000000" w:themeColor="text1"/>
              </w:rPr>
              <w:t xml:space="preserve">Weak documentation concentrated </w:t>
            </w:r>
            <w:r w:rsidR="00456EA8" w:rsidRPr="00AF0CC3">
              <w:rPr>
                <w:rFonts w:ascii="Times New Roman" w:hAnsi="Times New Roman" w:cs="Times New Roman"/>
                <w:color w:val="000000" w:themeColor="text1"/>
              </w:rPr>
              <w:t>on</w:t>
            </w:r>
            <w:r w:rsidRPr="00AF0CC3">
              <w:rPr>
                <w:rFonts w:ascii="Times New Roman" w:hAnsi="Times New Roman" w:cs="Times New Roman"/>
                <w:color w:val="000000" w:themeColor="text1"/>
              </w:rPr>
              <w:t xml:space="preserve"> county projects</w:t>
            </w:r>
          </w:p>
        </w:tc>
        <w:tc>
          <w:tcPr>
            <w:tcW w:w="0" w:type="auto"/>
            <w:vAlign w:val="center"/>
            <w:hideMark/>
          </w:tcPr>
          <w:p w14:paraId="7A73BDD9" w14:textId="77777777" w:rsidR="00844B88" w:rsidRPr="00AF0CC3" w:rsidRDefault="00844B88" w:rsidP="00E73C98">
            <w:pPr>
              <w:rPr>
                <w:rFonts w:ascii="Times New Roman" w:hAnsi="Times New Roman" w:cs="Times New Roman"/>
                <w:color w:val="000000" w:themeColor="text1"/>
              </w:rPr>
            </w:pPr>
            <w:r w:rsidRPr="00AF0CC3">
              <w:rPr>
                <w:rFonts w:ascii="Times New Roman" w:hAnsi="Times New Roman" w:cs="Times New Roman"/>
                <w:color w:val="000000" w:themeColor="text1"/>
              </w:rPr>
              <w:t>Documentary review</w:t>
            </w:r>
          </w:p>
        </w:tc>
        <w:tc>
          <w:tcPr>
            <w:tcW w:w="0" w:type="auto"/>
            <w:vAlign w:val="center"/>
            <w:hideMark/>
          </w:tcPr>
          <w:p w14:paraId="45471B01" w14:textId="77777777" w:rsidR="00844B88" w:rsidRPr="00AF0CC3" w:rsidRDefault="00844B88" w:rsidP="00E73C98">
            <w:pPr>
              <w:rPr>
                <w:rFonts w:ascii="Times New Roman" w:hAnsi="Times New Roman" w:cs="Times New Roman"/>
                <w:color w:val="000000" w:themeColor="text1"/>
              </w:rPr>
            </w:pPr>
            <w:r w:rsidRPr="00AF0CC3">
              <w:rPr>
                <w:rFonts w:ascii="Times New Roman" w:hAnsi="Times New Roman" w:cs="Times New Roman"/>
                <w:color w:val="000000" w:themeColor="text1"/>
              </w:rPr>
              <w:t>Transparency, records management, and institutional capacity are important dimensions of governance quality</w:t>
            </w:r>
          </w:p>
        </w:tc>
      </w:tr>
      <w:tr w:rsidR="00844B88" w:rsidRPr="00AF0CC3" w14:paraId="0A58A479" w14:textId="77777777" w:rsidTr="00E73C98">
        <w:trPr>
          <w:trHeight w:val="143"/>
          <w:tblCellSpacing w:w="15" w:type="dxa"/>
        </w:trPr>
        <w:tc>
          <w:tcPr>
            <w:tcW w:w="0" w:type="auto"/>
            <w:vAlign w:val="center"/>
            <w:hideMark/>
          </w:tcPr>
          <w:p w14:paraId="63912695" w14:textId="77777777" w:rsidR="00844B88" w:rsidRPr="00AF0CC3" w:rsidRDefault="00844B88" w:rsidP="00E73C98">
            <w:pPr>
              <w:rPr>
                <w:rFonts w:ascii="Times New Roman" w:hAnsi="Times New Roman" w:cs="Times New Roman"/>
                <w:color w:val="000000" w:themeColor="text1"/>
              </w:rPr>
            </w:pPr>
            <w:r w:rsidRPr="00AF0CC3">
              <w:rPr>
                <w:rFonts w:ascii="Times New Roman" w:hAnsi="Times New Roman" w:cs="Times New Roman"/>
                <w:color w:val="000000" w:themeColor="text1"/>
              </w:rPr>
              <w:t>Climate shocks affected weak-governance projects more severely</w:t>
            </w:r>
          </w:p>
        </w:tc>
        <w:tc>
          <w:tcPr>
            <w:tcW w:w="0" w:type="auto"/>
            <w:vAlign w:val="center"/>
            <w:hideMark/>
          </w:tcPr>
          <w:p w14:paraId="5282002A" w14:textId="77777777" w:rsidR="00844B88" w:rsidRPr="00AF0CC3" w:rsidRDefault="00844B88" w:rsidP="00E73C98">
            <w:pPr>
              <w:rPr>
                <w:rFonts w:ascii="Times New Roman" w:hAnsi="Times New Roman" w:cs="Times New Roman"/>
                <w:color w:val="000000" w:themeColor="text1"/>
              </w:rPr>
            </w:pPr>
            <w:r w:rsidRPr="00AF0CC3">
              <w:rPr>
                <w:rFonts w:ascii="Times New Roman" w:hAnsi="Times New Roman" w:cs="Times New Roman"/>
                <w:color w:val="000000" w:themeColor="text1"/>
              </w:rPr>
              <w:t>Documentary analysis</w:t>
            </w:r>
          </w:p>
        </w:tc>
        <w:tc>
          <w:tcPr>
            <w:tcW w:w="0" w:type="auto"/>
            <w:vAlign w:val="center"/>
            <w:hideMark/>
          </w:tcPr>
          <w:p w14:paraId="604D2386" w14:textId="77777777" w:rsidR="00844B88" w:rsidRPr="00AF0CC3" w:rsidRDefault="00844B88" w:rsidP="00E73C98">
            <w:pPr>
              <w:rPr>
                <w:rFonts w:ascii="Times New Roman" w:hAnsi="Times New Roman" w:cs="Times New Roman"/>
                <w:color w:val="000000" w:themeColor="text1"/>
              </w:rPr>
            </w:pPr>
            <w:r w:rsidRPr="00AF0CC3">
              <w:rPr>
                <w:rFonts w:ascii="Times New Roman" w:hAnsi="Times New Roman" w:cs="Times New Roman"/>
                <w:color w:val="000000" w:themeColor="text1"/>
              </w:rPr>
              <w:t>Strong governance enhances implementation resilience and adaptive capacity</w:t>
            </w:r>
          </w:p>
        </w:tc>
      </w:tr>
    </w:tbl>
    <w:p w14:paraId="05AA72CD" w14:textId="77777777" w:rsidR="00844B88" w:rsidRPr="00AF0CC3" w:rsidRDefault="00844B88" w:rsidP="00844B88">
      <w:pPr>
        <w:rPr>
          <w:rFonts w:ascii="Times New Roman" w:hAnsi="Times New Roman" w:cs="Times New Roman"/>
          <w:color w:val="000000" w:themeColor="text1"/>
        </w:rPr>
      </w:pPr>
    </w:p>
    <w:p w14:paraId="7702E8D4" w14:textId="77777777" w:rsidR="00844B88" w:rsidRPr="00AF0CC3" w:rsidRDefault="00844B88" w:rsidP="00844B88">
      <w:pPr>
        <w:jc w:val="center"/>
        <w:rPr>
          <w:rFonts w:ascii="Times New Roman" w:hAnsi="Times New Roman" w:cs="Times New Roman"/>
          <w:color w:val="000000" w:themeColor="text1"/>
        </w:rPr>
      </w:pPr>
    </w:p>
    <w:p w14:paraId="45AAFC5C" w14:textId="77777777" w:rsidR="00844B88" w:rsidRPr="00AF0CC3" w:rsidRDefault="00844B88" w:rsidP="00844B88">
      <w:pPr>
        <w:rPr>
          <w:rFonts w:ascii="Times New Roman" w:hAnsi="Times New Roman" w:cs="Times New Roman"/>
          <w:color w:val="000000" w:themeColor="text1"/>
        </w:rPr>
      </w:pPr>
      <w:r w:rsidRPr="00AF0CC3">
        <w:rPr>
          <w:rFonts w:ascii="Times New Roman" w:hAnsi="Times New Roman" w:cs="Times New Roman"/>
          <w:color w:val="000000" w:themeColor="text1"/>
        </w:rPr>
        <w:t>Collectively, the findings support lifecycle governance perspectives that conceptualize infrastructure delivery outcomes as the product of interconnected governance processes operating across project preparation, procurement, implementation, oversight, and accountability stages. The evidence suggests that governance quality functions as an integrated institutional capability rather than a collection of isolated administrative practices. Improvements in procurement transparency, implementation monitoring, documentation accessibility, institutional coordination, and oversight responsiveness appear mutually reinforcing and contribute to stronger implementation continuity and infrastructure delivery performance.</w:t>
      </w:r>
    </w:p>
    <w:p w14:paraId="4BA02C43" w14:textId="77777777" w:rsidR="00844B88" w:rsidRPr="00AF0CC3" w:rsidRDefault="00844B88" w:rsidP="00844B88">
      <w:pPr>
        <w:rPr>
          <w:rFonts w:ascii="Times New Roman" w:hAnsi="Times New Roman" w:cs="Times New Roman"/>
          <w:color w:val="000000" w:themeColor="text1"/>
        </w:rPr>
      </w:pPr>
      <w:r w:rsidRPr="00AF0CC3">
        <w:rPr>
          <w:rFonts w:ascii="Times New Roman" w:hAnsi="Times New Roman" w:cs="Times New Roman"/>
          <w:color w:val="000000" w:themeColor="text1"/>
        </w:rPr>
        <w:t>The implications of these observations for infrastructure governance theory, policy, and practice are examined in Chapter Five.</w:t>
      </w:r>
    </w:p>
    <w:p w14:paraId="5ACEF42F" w14:textId="77777777" w:rsidR="00844B88" w:rsidRPr="00AF0CC3" w:rsidRDefault="00844B88" w:rsidP="00844B88">
      <w:pPr>
        <w:rPr>
          <w:rFonts w:ascii="Times New Roman" w:hAnsi="Times New Roman" w:cs="Times New Roman"/>
          <w:color w:val="000000" w:themeColor="text1"/>
        </w:rPr>
      </w:pPr>
    </w:p>
    <w:p w14:paraId="507A93DA" w14:textId="038B3877" w:rsidR="00844B88" w:rsidRPr="00AF0CC3" w:rsidRDefault="00844B88" w:rsidP="00844B88">
      <w:pPr>
        <w:pStyle w:val="Heading2"/>
        <w:rPr>
          <w:rFonts w:cs="Times New Roman"/>
          <w:b w:val="0"/>
          <w:bCs/>
          <w:color w:val="000000" w:themeColor="text1"/>
          <w:szCs w:val="24"/>
        </w:rPr>
      </w:pPr>
      <w:bookmarkStart w:id="484" w:name="_Toc232376018"/>
      <w:bookmarkStart w:id="485" w:name="_Toc234344886"/>
      <w:bookmarkStart w:id="486" w:name="_Toc234489118"/>
      <w:r w:rsidRPr="00AF0CC3">
        <w:rPr>
          <w:rFonts w:cs="Times New Roman"/>
          <w:bCs/>
          <w:color w:val="000000" w:themeColor="text1"/>
          <w:szCs w:val="24"/>
        </w:rPr>
        <w:t>Chapter Summary</w:t>
      </w:r>
      <w:bookmarkEnd w:id="484"/>
      <w:bookmarkEnd w:id="485"/>
      <w:bookmarkEnd w:id="486"/>
    </w:p>
    <w:p w14:paraId="0986F7CD" w14:textId="77777777" w:rsidR="00844B88" w:rsidRPr="00AF0CC3" w:rsidRDefault="00844B88" w:rsidP="00844B88">
      <w:pPr>
        <w:rPr>
          <w:rFonts w:ascii="Times New Roman" w:hAnsi="Times New Roman" w:cs="Times New Roman"/>
          <w:color w:val="000000" w:themeColor="text1"/>
        </w:rPr>
      </w:pPr>
    </w:p>
    <w:p w14:paraId="19DD32A4" w14:textId="77777777" w:rsidR="00844B88" w:rsidRPr="00AF0CC3" w:rsidRDefault="00844B88" w:rsidP="00844B88">
      <w:pPr>
        <w:rPr>
          <w:rFonts w:ascii="Times New Roman" w:hAnsi="Times New Roman" w:cs="Times New Roman"/>
          <w:color w:val="000000" w:themeColor="text1"/>
        </w:rPr>
      </w:pPr>
      <w:r w:rsidRPr="00AF0CC3">
        <w:rPr>
          <w:rFonts w:ascii="Times New Roman" w:hAnsi="Times New Roman" w:cs="Times New Roman"/>
          <w:color w:val="000000" w:themeColor="text1"/>
        </w:rPr>
        <w:t>This chapter presented the empirical findings concerning the relationship between governance quality and infrastructure delivery outcomes across selected water infrastructure projects in Kenya. Using descriptive statistics, documentary analysis, comparative assessment, correlation analysis, and logistic regression, the study examined how governance quality was associated with project stalling, implementation delays, financial delivery performance, and resilience amid climate and political disruption.</w:t>
      </w:r>
    </w:p>
    <w:p w14:paraId="55EC75C6" w14:textId="77777777" w:rsidR="00844B88" w:rsidRPr="00AF0CC3" w:rsidRDefault="00844B88" w:rsidP="00844B88">
      <w:pPr>
        <w:rPr>
          <w:rFonts w:ascii="Times New Roman" w:hAnsi="Times New Roman" w:cs="Times New Roman"/>
          <w:color w:val="000000" w:themeColor="text1"/>
        </w:rPr>
      </w:pPr>
    </w:p>
    <w:p w14:paraId="6B6F0F9C" w14:textId="77777777" w:rsidR="00844B88" w:rsidRPr="00AF0CC3" w:rsidRDefault="00844B88" w:rsidP="00844B88">
      <w:pPr>
        <w:rPr>
          <w:rFonts w:ascii="Times New Roman" w:hAnsi="Times New Roman" w:cs="Times New Roman"/>
          <w:color w:val="000000" w:themeColor="text1"/>
        </w:rPr>
      </w:pPr>
      <w:r w:rsidRPr="00AF0CC3">
        <w:rPr>
          <w:rFonts w:ascii="Times New Roman" w:hAnsi="Times New Roman" w:cs="Times New Roman"/>
          <w:color w:val="000000" w:themeColor="text1"/>
        </w:rPr>
        <w:t>The results revealed a consistent relationship between governance quality and infrastructure delivery performance. Projects characterized by stronger governance arrangements generally exhibited lower probabilities of project stalling, reduced implementation delays, greater implementation continuity, and stronger resilience during periods of environmental and political uncertainty. Although evidence on cost-overrun performance was less conclusive due to incomplete expenditure data, the observed patterns indicated that governance quality was associated with greater financial stability and reduced implementation uncertainty.</w:t>
      </w:r>
    </w:p>
    <w:p w14:paraId="1EB6B5FB" w14:textId="77777777" w:rsidR="00844B88" w:rsidRPr="00AF0CC3" w:rsidRDefault="00844B88" w:rsidP="00844B88">
      <w:pPr>
        <w:rPr>
          <w:rFonts w:ascii="Times New Roman" w:hAnsi="Times New Roman" w:cs="Times New Roman"/>
          <w:color w:val="000000" w:themeColor="text1"/>
        </w:rPr>
      </w:pPr>
    </w:p>
    <w:p w14:paraId="62701DA5" w14:textId="77777777" w:rsidR="00844B88" w:rsidRPr="00AF0CC3" w:rsidRDefault="00844B88" w:rsidP="00844B88">
      <w:pPr>
        <w:rPr>
          <w:rFonts w:ascii="Times New Roman" w:hAnsi="Times New Roman" w:cs="Times New Roman"/>
          <w:color w:val="000000" w:themeColor="text1"/>
        </w:rPr>
      </w:pPr>
      <w:r w:rsidRPr="00AF0CC3">
        <w:rPr>
          <w:rFonts w:ascii="Times New Roman" w:hAnsi="Times New Roman" w:cs="Times New Roman"/>
          <w:color w:val="000000" w:themeColor="text1"/>
        </w:rPr>
        <w:t>The chapter also identified the accessibility of documentation as an important institutional dimension of governance. The concentration of inaccessible documentation among county-implemented projects highlighted the importance of transparency, records management, and administrative capacity within decentralized implementation systems. These findings provide the empirical foundation for the theoretical, policy, and practical implications discussed in Chapter Five</w:t>
      </w:r>
    </w:p>
    <w:p w14:paraId="022E3D61" w14:textId="77777777" w:rsidR="00844B88" w:rsidRPr="00AF0CC3" w:rsidRDefault="00844B88" w:rsidP="00844B88">
      <w:pPr>
        <w:rPr>
          <w:rFonts w:ascii="Times New Roman" w:hAnsi="Times New Roman" w:cs="Times New Roman"/>
          <w:color w:val="000000" w:themeColor="text1"/>
        </w:rPr>
      </w:pPr>
      <w:r w:rsidRPr="00AF0CC3">
        <w:rPr>
          <w:rFonts w:ascii="Times New Roman" w:hAnsi="Times New Roman" w:cs="Times New Roman"/>
          <w:color w:val="000000" w:themeColor="text1"/>
        </w:rPr>
        <w:t>The next chapter discusses the implications of these findings for infrastructure governance theory, public-sector project management, decentralized implementation systems, and policy development within Kenya and comparable low- and middle-income country contexts.</w:t>
      </w:r>
    </w:p>
    <w:p w14:paraId="7F815DB6" w14:textId="77777777" w:rsidR="00844B88" w:rsidRPr="00AF0CC3" w:rsidRDefault="00844B88" w:rsidP="00280EE8">
      <w:pPr>
        <w:rPr>
          <w:rFonts w:ascii="Times New Roman" w:hAnsi="Times New Roman" w:cs="Times New Roman"/>
          <w:color w:val="000000" w:themeColor="text1"/>
        </w:rPr>
      </w:pPr>
    </w:p>
    <w:p w14:paraId="1A7328B6" w14:textId="77777777" w:rsidR="00D10E6C" w:rsidRPr="00AF0CC3" w:rsidRDefault="00D10E6C" w:rsidP="00280EE8">
      <w:pPr>
        <w:rPr>
          <w:rFonts w:ascii="Times New Roman" w:hAnsi="Times New Roman" w:cs="Times New Roman"/>
          <w:color w:val="000000" w:themeColor="text1"/>
        </w:rPr>
      </w:pPr>
    </w:p>
    <w:p w14:paraId="087A76EE" w14:textId="77777777" w:rsidR="00D10E6C" w:rsidRPr="00AF0CC3" w:rsidRDefault="00D10E6C" w:rsidP="00280EE8">
      <w:pPr>
        <w:rPr>
          <w:rFonts w:ascii="Times New Roman" w:hAnsi="Times New Roman" w:cs="Times New Roman"/>
          <w:color w:val="000000" w:themeColor="text1"/>
        </w:rPr>
      </w:pPr>
    </w:p>
    <w:p w14:paraId="43F501F2" w14:textId="77777777" w:rsidR="00D10E6C" w:rsidRPr="00AF0CC3" w:rsidRDefault="00D10E6C" w:rsidP="00280EE8">
      <w:pPr>
        <w:rPr>
          <w:rFonts w:ascii="Times New Roman" w:hAnsi="Times New Roman" w:cs="Times New Roman"/>
          <w:color w:val="000000" w:themeColor="text1"/>
        </w:rPr>
      </w:pPr>
    </w:p>
    <w:p w14:paraId="44867779" w14:textId="77777777" w:rsidR="00D10E6C" w:rsidRPr="00AF0CC3" w:rsidRDefault="00D10E6C" w:rsidP="00280EE8">
      <w:pPr>
        <w:rPr>
          <w:rFonts w:ascii="Times New Roman" w:hAnsi="Times New Roman" w:cs="Times New Roman"/>
          <w:color w:val="000000" w:themeColor="text1"/>
        </w:rPr>
      </w:pPr>
    </w:p>
    <w:p w14:paraId="69EC4F7D" w14:textId="77777777" w:rsidR="00D10E6C" w:rsidRPr="00AF0CC3" w:rsidRDefault="00D10E6C" w:rsidP="00280EE8">
      <w:pPr>
        <w:rPr>
          <w:rFonts w:ascii="Times New Roman" w:hAnsi="Times New Roman" w:cs="Times New Roman"/>
          <w:color w:val="000000" w:themeColor="text1"/>
        </w:rPr>
      </w:pPr>
    </w:p>
    <w:p w14:paraId="39B27818" w14:textId="77777777" w:rsidR="00D10E6C" w:rsidRPr="00AF0CC3" w:rsidRDefault="00D10E6C" w:rsidP="00280EE8">
      <w:pPr>
        <w:rPr>
          <w:rFonts w:ascii="Times New Roman" w:hAnsi="Times New Roman" w:cs="Times New Roman"/>
          <w:color w:val="000000" w:themeColor="text1"/>
        </w:rPr>
      </w:pPr>
    </w:p>
    <w:p w14:paraId="7516CBC7" w14:textId="77777777" w:rsidR="00D10E6C" w:rsidRPr="00AF0CC3" w:rsidRDefault="00D10E6C" w:rsidP="00280EE8">
      <w:pPr>
        <w:rPr>
          <w:rFonts w:ascii="Times New Roman" w:hAnsi="Times New Roman" w:cs="Times New Roman"/>
          <w:color w:val="000000" w:themeColor="text1"/>
        </w:rPr>
      </w:pPr>
    </w:p>
    <w:p w14:paraId="0CAA065F" w14:textId="77777777" w:rsidR="00D10E6C" w:rsidRPr="00AF0CC3" w:rsidRDefault="00D10E6C" w:rsidP="00280EE8">
      <w:pPr>
        <w:rPr>
          <w:rFonts w:ascii="Times New Roman" w:hAnsi="Times New Roman" w:cs="Times New Roman"/>
          <w:color w:val="000000" w:themeColor="text1"/>
        </w:rPr>
      </w:pPr>
    </w:p>
    <w:p w14:paraId="63E3F5C8" w14:textId="77777777" w:rsidR="00D10E6C" w:rsidRPr="00AF0CC3" w:rsidRDefault="00D10E6C" w:rsidP="00280EE8">
      <w:pPr>
        <w:rPr>
          <w:rFonts w:ascii="Times New Roman" w:hAnsi="Times New Roman" w:cs="Times New Roman"/>
          <w:color w:val="000000" w:themeColor="text1"/>
        </w:rPr>
      </w:pPr>
    </w:p>
    <w:p w14:paraId="5B4EAE71" w14:textId="77777777" w:rsidR="00D10E6C" w:rsidRPr="00AF0CC3" w:rsidRDefault="00D10E6C" w:rsidP="00280EE8">
      <w:pPr>
        <w:rPr>
          <w:rFonts w:ascii="Times New Roman" w:hAnsi="Times New Roman" w:cs="Times New Roman"/>
          <w:color w:val="000000" w:themeColor="text1"/>
        </w:rPr>
      </w:pPr>
    </w:p>
    <w:p w14:paraId="7E2611DF" w14:textId="77777777" w:rsidR="00D10E6C" w:rsidRPr="00AF0CC3" w:rsidRDefault="00D10E6C" w:rsidP="00280EE8">
      <w:pPr>
        <w:rPr>
          <w:rFonts w:ascii="Times New Roman" w:hAnsi="Times New Roman" w:cs="Times New Roman"/>
          <w:color w:val="000000" w:themeColor="text1"/>
        </w:rPr>
      </w:pPr>
    </w:p>
    <w:p w14:paraId="31F9E21C" w14:textId="77777777" w:rsidR="00D10E6C" w:rsidRPr="00AF0CC3" w:rsidRDefault="00D10E6C" w:rsidP="00280EE8">
      <w:pPr>
        <w:rPr>
          <w:rFonts w:ascii="Times New Roman" w:hAnsi="Times New Roman" w:cs="Times New Roman"/>
          <w:color w:val="000000" w:themeColor="text1"/>
        </w:rPr>
      </w:pPr>
    </w:p>
    <w:p w14:paraId="5A3496C2" w14:textId="77777777" w:rsidR="00D10E6C" w:rsidRPr="00AF0CC3" w:rsidRDefault="00D10E6C" w:rsidP="00280EE8">
      <w:pPr>
        <w:rPr>
          <w:rFonts w:ascii="Times New Roman" w:hAnsi="Times New Roman" w:cs="Times New Roman"/>
          <w:color w:val="000000" w:themeColor="text1"/>
        </w:rPr>
      </w:pPr>
    </w:p>
    <w:p w14:paraId="32DD0EDF" w14:textId="7B3DFCCF" w:rsidR="00D93353" w:rsidRPr="00AF0CC3" w:rsidRDefault="00BD66CE" w:rsidP="004F532A">
      <w:pPr>
        <w:pStyle w:val="Heading1"/>
        <w:rPr>
          <w:rFonts w:cs="Times New Roman"/>
          <w:color w:val="000000" w:themeColor="text1"/>
          <w:szCs w:val="24"/>
        </w:rPr>
      </w:pPr>
      <w:bookmarkStart w:id="487" w:name="_Toc234344887"/>
      <w:bookmarkStart w:id="488" w:name="_Toc233318813"/>
      <w:bookmarkStart w:id="489" w:name="_Toc234489119"/>
      <w:r w:rsidRPr="00AF0CC3">
        <w:rPr>
          <w:rFonts w:cs="Times New Roman"/>
          <w:color w:val="000000" w:themeColor="text1"/>
          <w:szCs w:val="24"/>
        </w:rPr>
        <w:t>DISCUSSION</w:t>
      </w:r>
      <w:r w:rsidR="00D93353" w:rsidRPr="00AF0CC3">
        <w:rPr>
          <w:rFonts w:cs="Times New Roman"/>
          <w:color w:val="000000" w:themeColor="text1"/>
          <w:szCs w:val="24"/>
        </w:rPr>
        <w:t>, CONCLUSIONS, POLICY IMPLICATIONS, AND RECOMMENDATIONS</w:t>
      </w:r>
      <w:bookmarkEnd w:id="487"/>
      <w:bookmarkEnd w:id="488"/>
      <w:bookmarkEnd w:id="489"/>
    </w:p>
    <w:p w14:paraId="659040C6" w14:textId="5D97C241" w:rsidR="00D93353" w:rsidRPr="00AF0CC3" w:rsidRDefault="00D93353" w:rsidP="00D93353">
      <w:pPr>
        <w:pStyle w:val="Heading2"/>
        <w:spacing w:before="240" w:line="360" w:lineRule="auto"/>
        <w:rPr>
          <w:rFonts w:cs="Times New Roman"/>
          <w:b w:val="0"/>
          <w:bCs/>
          <w:color w:val="000000" w:themeColor="text1"/>
          <w:szCs w:val="24"/>
        </w:rPr>
      </w:pPr>
      <w:bookmarkStart w:id="490" w:name="_Toc233318814"/>
      <w:bookmarkStart w:id="491" w:name="_Toc234344888"/>
      <w:bookmarkStart w:id="492" w:name="_Toc234489120"/>
      <w:r w:rsidRPr="00AF0CC3">
        <w:rPr>
          <w:rFonts w:cs="Times New Roman"/>
          <w:bCs/>
          <w:color w:val="000000" w:themeColor="text1"/>
          <w:szCs w:val="24"/>
        </w:rPr>
        <w:t>Introduction</w:t>
      </w:r>
      <w:bookmarkEnd w:id="490"/>
      <w:bookmarkEnd w:id="491"/>
      <w:bookmarkEnd w:id="492"/>
    </w:p>
    <w:p w14:paraId="6A11DBDF" w14:textId="77777777" w:rsidR="00D93353" w:rsidRPr="00AF0CC3" w:rsidRDefault="00D93353" w:rsidP="00D93353">
      <w:pPr>
        <w:spacing w:before="240" w:line="360" w:lineRule="auto"/>
        <w:rPr>
          <w:rFonts w:ascii="Times New Roman" w:hAnsi="Times New Roman" w:cs="Times New Roman"/>
          <w:color w:val="000000" w:themeColor="text1"/>
        </w:rPr>
      </w:pPr>
      <w:r w:rsidRPr="00AF0CC3">
        <w:rPr>
          <w:rFonts w:ascii="Times New Roman" w:hAnsi="Times New Roman" w:cs="Times New Roman"/>
          <w:color w:val="000000" w:themeColor="text1"/>
        </w:rPr>
        <w:t>The preceding chapter presented the study's empirical findings and examined the relationship between governance quality and infrastructure delivery outcomes across selected water infrastructure projects in Kenya. Through descriptive analysis, comparative assessment, documentary review, and regression modeling, the results demonstrated that governance quality was closely associated with project stalling, implementation delays, financial delivery performance, and infrastructure resilience under conditions of climate and political disruption. The evidence revealed that projects characterized by stronger governance arrangements generally exhibited lower probabilities of implementation interruption, reduced schedule overruns, greater institutional stability, and stronger adaptive capacity than projects operating within weaker governance environments.</w:t>
      </w:r>
    </w:p>
    <w:p w14:paraId="4A2CE216" w14:textId="77777777" w:rsidR="00D93353" w:rsidRPr="00AF0CC3" w:rsidRDefault="00D93353" w:rsidP="00D93353">
      <w:pPr>
        <w:spacing w:before="240" w:line="360" w:lineRule="auto"/>
        <w:rPr>
          <w:rFonts w:ascii="Times New Roman" w:hAnsi="Times New Roman" w:cs="Times New Roman"/>
          <w:color w:val="000000" w:themeColor="text1"/>
        </w:rPr>
      </w:pPr>
    </w:p>
    <w:p w14:paraId="36EA4B4C" w14:textId="77777777" w:rsidR="00D93353" w:rsidRPr="00AF0CC3" w:rsidRDefault="00D93353" w:rsidP="00D93353">
      <w:pPr>
        <w:spacing w:before="240" w:line="360" w:lineRule="auto"/>
        <w:rPr>
          <w:rFonts w:ascii="Times New Roman" w:hAnsi="Times New Roman" w:cs="Times New Roman"/>
          <w:color w:val="000000" w:themeColor="text1"/>
        </w:rPr>
      </w:pPr>
      <w:r w:rsidRPr="00AF0CC3">
        <w:rPr>
          <w:rFonts w:ascii="Times New Roman" w:hAnsi="Times New Roman" w:cs="Times New Roman"/>
          <w:color w:val="000000" w:themeColor="text1"/>
        </w:rPr>
        <w:t>While Chapter Four focused on the presentation and analysis of empirical results, the purpose of the present chapter is to interpret the significance of those findings within the broader context of infrastructure governance theory, public-sector institutional performance, and infrastructure development practice. The chapter, therefore, moves beyond the identification of statistical relationships to consider their implications for understanding how governance systems influence infrastructure delivery outcomes. In doing so, the discussion seeks to explain not only whether governance quality matters, but also why it matters, how governance influences project performance, and what the findings contribute to existing knowledge on infrastructure governance in developing-country contexts.</w:t>
      </w:r>
    </w:p>
    <w:p w14:paraId="55576C43" w14:textId="77777777" w:rsidR="00D93353" w:rsidRPr="00AF0CC3" w:rsidRDefault="00D93353" w:rsidP="00D93353">
      <w:pPr>
        <w:spacing w:before="240" w:line="360" w:lineRule="auto"/>
        <w:rPr>
          <w:rFonts w:ascii="Times New Roman" w:hAnsi="Times New Roman" w:cs="Times New Roman"/>
          <w:color w:val="000000" w:themeColor="text1"/>
        </w:rPr>
      </w:pPr>
      <w:r w:rsidRPr="00AF0CC3">
        <w:rPr>
          <w:rFonts w:ascii="Times New Roman" w:hAnsi="Times New Roman" w:cs="Times New Roman"/>
          <w:color w:val="000000" w:themeColor="text1"/>
        </w:rPr>
        <w:t xml:space="preserve">Because the study employed a cross-sectional design, the findings should be interpreted primarily as evidence of association rather than definitive causation. While the discussion considers potential mechanisms through which governance quality may shape infrastructure </w:t>
      </w:r>
      <w:r w:rsidRPr="00AF0CC3">
        <w:rPr>
          <w:rFonts w:ascii="Times New Roman" w:hAnsi="Times New Roman" w:cs="Times New Roman"/>
          <w:color w:val="000000" w:themeColor="text1"/>
        </w:rPr>
        <w:lastRenderedPageBreak/>
        <w:t>outcomes, these mechanisms are presented as theoretically informed explanations of the observed relationships rather than empirically established causal effects.</w:t>
      </w:r>
    </w:p>
    <w:p w14:paraId="15E13563" w14:textId="77777777" w:rsidR="00D93353" w:rsidRPr="00AF0CC3" w:rsidRDefault="00D93353" w:rsidP="00D93353">
      <w:pPr>
        <w:spacing w:before="240" w:line="360" w:lineRule="auto"/>
        <w:rPr>
          <w:rFonts w:ascii="Times New Roman" w:hAnsi="Times New Roman" w:cs="Times New Roman"/>
          <w:color w:val="000000" w:themeColor="text1"/>
        </w:rPr>
      </w:pPr>
      <w:r w:rsidRPr="00AF0CC3">
        <w:rPr>
          <w:rFonts w:ascii="Times New Roman" w:hAnsi="Times New Roman" w:cs="Times New Roman"/>
          <w:color w:val="000000" w:themeColor="text1"/>
        </w:rPr>
        <w:t>The study was motivated by the observation that despite substantial investment in water infrastructure, many projects continue to experience implementation delays, prolonged interruptions, escalating costs, and reduced delivery effectiveness. Existing explanations for these challenges have frequently emphasized financial constraints, technical complexity, procurement difficulties, or project management weaknesses. Although these factors remain important, the findings of this study indicate that governance quality constitutes a critical institutional dimension through which many implementation challenges are either mitigated or amplified. The results suggest that infrastructure performance cannot be understood solely through the availability of financial resources or technical expertise. Rather, infrastructure outcomes appear to be influenced by the quality of the governance systems that coordinate decisions, manage risks, maintain accountability, oversee implementation, and sustain institutional continuity throughout the project lifecycle.</w:t>
      </w:r>
    </w:p>
    <w:p w14:paraId="7BC9D1C8" w14:textId="77777777" w:rsidR="00D93353" w:rsidRPr="00AF0CC3" w:rsidRDefault="00D93353" w:rsidP="00D93353">
      <w:pPr>
        <w:spacing w:before="240" w:line="360" w:lineRule="auto"/>
        <w:rPr>
          <w:rFonts w:ascii="Times New Roman" w:hAnsi="Times New Roman" w:cs="Times New Roman"/>
          <w:color w:val="000000" w:themeColor="text1"/>
        </w:rPr>
      </w:pPr>
    </w:p>
    <w:p w14:paraId="0881D60D" w14:textId="77777777" w:rsidR="00D93353" w:rsidRPr="00AF0CC3" w:rsidRDefault="00D93353" w:rsidP="00D93353">
      <w:pPr>
        <w:spacing w:before="240" w:line="360" w:lineRule="auto"/>
        <w:rPr>
          <w:rFonts w:ascii="Times New Roman" w:hAnsi="Times New Roman" w:cs="Times New Roman"/>
          <w:color w:val="000000" w:themeColor="text1"/>
        </w:rPr>
      </w:pPr>
      <w:r w:rsidRPr="00AF0CC3">
        <w:rPr>
          <w:rFonts w:ascii="Times New Roman" w:hAnsi="Times New Roman" w:cs="Times New Roman"/>
          <w:color w:val="000000" w:themeColor="text1"/>
        </w:rPr>
        <w:t>A particularly important observation emerging from the study concerns the interconnected nature of governance processes. The empirical evidence demonstrated that governance dimensions rarely operate independently. Procurement transparency, institutional coordination, audit responsiveness, documentation accessibility, contract supervision, payment reliability, and implementation oversight appeared to reinforce one another throughout the delivery process. Conversely, weaknesses within one governance area frequently had consequences that extended across multiple aspects of project implementation. The findings, therefore, point toward a conception of governance quality as a system of interdependent governance processes operating across the infrastructure project lifecycle. This perspective aligns with contemporary governance scholarship, which increasingly views infrastructure delivery outcomes as the product of interactions among multiple governance processes operating across project preparation, procurement, implementation, monitoring, and accountability stages (OECD, 2020; World Bank, 2017).</w:t>
      </w:r>
    </w:p>
    <w:p w14:paraId="77FD75E1" w14:textId="77777777" w:rsidR="00D93353" w:rsidRPr="00AF0CC3" w:rsidRDefault="00D93353" w:rsidP="00D93353">
      <w:pPr>
        <w:spacing w:before="240" w:line="360" w:lineRule="auto"/>
        <w:rPr>
          <w:rFonts w:ascii="Times New Roman" w:hAnsi="Times New Roman" w:cs="Times New Roman"/>
          <w:color w:val="000000" w:themeColor="text1"/>
        </w:rPr>
      </w:pPr>
    </w:p>
    <w:p w14:paraId="51A02BAD" w14:textId="77777777" w:rsidR="00D93353" w:rsidRPr="00AF0CC3" w:rsidRDefault="00D93353" w:rsidP="00D93353">
      <w:pPr>
        <w:spacing w:before="240" w:line="360" w:lineRule="auto"/>
        <w:rPr>
          <w:rFonts w:ascii="Times New Roman" w:hAnsi="Times New Roman" w:cs="Times New Roman"/>
          <w:color w:val="000000" w:themeColor="text1"/>
        </w:rPr>
      </w:pPr>
      <w:r w:rsidRPr="00AF0CC3">
        <w:rPr>
          <w:rFonts w:ascii="Times New Roman" w:hAnsi="Times New Roman" w:cs="Times New Roman"/>
          <w:color w:val="000000" w:themeColor="text1"/>
        </w:rPr>
        <w:lastRenderedPageBreak/>
        <w:t>The findings further indicate that infrastructure performance is shaped through a range of interconnected institutional mechanisms. Effective administrative arrangements support continuity by promoting coordination, reducing uncertainty, strengthening oversight, and facilitating timely responses to emerging challenges. They also enhance resilience by enabling projects to maintain stability during periods of environmental disruption, political transition, and operational uncertainty. These observations suggest that institutional capacity serves not only an administrative function but also a strategic role in supporting delivery effectiveness, adaptability, and long-term performance.</w:t>
      </w:r>
    </w:p>
    <w:p w14:paraId="08B87E44" w14:textId="77777777" w:rsidR="00D93353" w:rsidRPr="00AF0CC3" w:rsidRDefault="00D93353" w:rsidP="00D93353">
      <w:pPr>
        <w:spacing w:before="240" w:line="360" w:lineRule="auto"/>
        <w:rPr>
          <w:rFonts w:ascii="Times New Roman" w:hAnsi="Times New Roman" w:cs="Times New Roman"/>
          <w:color w:val="000000" w:themeColor="text1"/>
        </w:rPr>
      </w:pPr>
    </w:p>
    <w:p w14:paraId="28D0B831" w14:textId="77777777" w:rsidR="00D93353" w:rsidRPr="00AF0CC3" w:rsidRDefault="00D93353" w:rsidP="00D93353">
      <w:pPr>
        <w:spacing w:before="240" w:line="360" w:lineRule="auto"/>
        <w:rPr>
          <w:rFonts w:ascii="Times New Roman" w:hAnsi="Times New Roman" w:cs="Times New Roman"/>
          <w:color w:val="000000" w:themeColor="text1"/>
        </w:rPr>
      </w:pPr>
      <w:r w:rsidRPr="00AF0CC3">
        <w:rPr>
          <w:rFonts w:ascii="Times New Roman" w:hAnsi="Times New Roman" w:cs="Times New Roman"/>
          <w:color w:val="000000" w:themeColor="text1"/>
        </w:rPr>
        <w:t>An additional contribution of the study arises from the analysis of documentation accessibility and transparency. The exclusion of nineteen projects from the initial sample due to insufficient documentation highlighted important differences in institutional record management, transparency practices, and administrative capacity across implementation environments. This finding suggests that documentation accessibility should be viewed not only as a methodological issue but also as a substantive governance consideration. The ability of institutions to maintain accessible, verifiable, and transparent records influences both accountability and the capacity to evaluate governance performance objectively. Consequently, the study contributes to emerging discussions on the relationship between information transparency, institutional capability, and the effectiveness of infrastructure governance.</w:t>
      </w:r>
    </w:p>
    <w:p w14:paraId="6A370032" w14:textId="77777777" w:rsidR="00D93353" w:rsidRPr="00AF0CC3" w:rsidRDefault="00D93353" w:rsidP="00D93353">
      <w:pPr>
        <w:spacing w:before="240" w:line="360" w:lineRule="auto"/>
        <w:rPr>
          <w:rFonts w:ascii="Times New Roman" w:hAnsi="Times New Roman" w:cs="Times New Roman"/>
          <w:color w:val="000000" w:themeColor="text1"/>
        </w:rPr>
      </w:pPr>
    </w:p>
    <w:p w14:paraId="5B0F7A8B" w14:textId="77777777" w:rsidR="00D93353" w:rsidRPr="00AF0CC3" w:rsidRDefault="00D93353" w:rsidP="00D93353">
      <w:pPr>
        <w:spacing w:before="240" w:line="360" w:lineRule="auto"/>
        <w:rPr>
          <w:rFonts w:ascii="Times New Roman" w:hAnsi="Times New Roman" w:cs="Times New Roman"/>
          <w:color w:val="000000" w:themeColor="text1"/>
        </w:rPr>
      </w:pPr>
      <w:r w:rsidRPr="00AF0CC3">
        <w:rPr>
          <w:rFonts w:ascii="Times New Roman" w:hAnsi="Times New Roman" w:cs="Times New Roman"/>
          <w:color w:val="000000" w:themeColor="text1"/>
        </w:rPr>
        <w:t xml:space="preserve">The broader significance of the findings extends beyond the specific projects examined in this study. Similar governance challenges affecting infrastructure implementation have been documented across a range of low- and middle-income countries characterized by decentralized governance systems, procurement complexity, institutional fragmentation, and climate-related implementation pressures. Consequently, the governance patterns identified in the Kenyan water infrastructure sector may hold broader analytical relevance for understanding infrastructure delivery challenges in comparable institutional environments. While the study does not seek to generalize statistically beyond the sampled projects, the findings contribute to the development </w:t>
      </w:r>
      <w:r w:rsidRPr="00AF0CC3">
        <w:rPr>
          <w:rFonts w:ascii="Times New Roman" w:hAnsi="Times New Roman" w:cs="Times New Roman"/>
          <w:color w:val="000000" w:themeColor="text1"/>
        </w:rPr>
        <w:lastRenderedPageBreak/>
        <w:t>of analytical insights that may inform infrastructure governance reform in similar developing-country contexts.</w:t>
      </w:r>
    </w:p>
    <w:p w14:paraId="7BDD146A" w14:textId="77777777" w:rsidR="00D93353" w:rsidRPr="00AF0CC3" w:rsidRDefault="00D93353" w:rsidP="00D93353">
      <w:pPr>
        <w:spacing w:before="240" w:line="360" w:lineRule="auto"/>
        <w:rPr>
          <w:rFonts w:ascii="Times New Roman" w:hAnsi="Times New Roman" w:cs="Times New Roman"/>
          <w:color w:val="000000" w:themeColor="text1"/>
        </w:rPr>
      </w:pPr>
    </w:p>
    <w:p w14:paraId="6B651241" w14:textId="77777777" w:rsidR="00D93353" w:rsidRPr="00AF0CC3" w:rsidRDefault="00D93353" w:rsidP="00D93353">
      <w:pPr>
        <w:spacing w:before="240" w:line="360" w:lineRule="auto"/>
        <w:rPr>
          <w:rFonts w:ascii="Times New Roman" w:hAnsi="Times New Roman" w:cs="Times New Roman"/>
          <w:color w:val="000000" w:themeColor="text1"/>
        </w:rPr>
      </w:pPr>
      <w:r w:rsidRPr="00AF0CC3">
        <w:rPr>
          <w:rFonts w:ascii="Times New Roman" w:hAnsi="Times New Roman" w:cs="Times New Roman"/>
          <w:color w:val="000000" w:themeColor="text1"/>
        </w:rPr>
        <w:t>The chapter integrates discussion of the findings, contributions to knowledge, policy implications, conclusions, recommendations, limitations, and future research directions. The discussion begins with a summary of the study before examining the findings in relation to existing theory and empirical literature. The chapter subsequently considers the study's theoretical, methodological, empirical, and practical contributions, evaluates the implications of the findings for infrastructure governance policy and practice, and presents conclusions corresponding to the study's research questions. Recommendations for governance reform, institutional strengthening, and future research are then provided before concluding with a final reflection on the significance of governance quality for infrastructure delivery performance.</w:t>
      </w:r>
    </w:p>
    <w:p w14:paraId="1F7A293F" w14:textId="77777777" w:rsidR="00D93353" w:rsidRPr="00AF0CC3" w:rsidRDefault="00D93353" w:rsidP="00D93353">
      <w:pPr>
        <w:spacing w:before="240" w:line="360" w:lineRule="auto"/>
        <w:rPr>
          <w:rFonts w:ascii="Times New Roman" w:hAnsi="Times New Roman" w:cs="Times New Roman"/>
          <w:color w:val="000000" w:themeColor="text1"/>
        </w:rPr>
      </w:pPr>
    </w:p>
    <w:p w14:paraId="2C8D2370" w14:textId="62312922" w:rsidR="00D93353" w:rsidRPr="00AF0CC3" w:rsidRDefault="00D93353" w:rsidP="00D93353">
      <w:pPr>
        <w:pStyle w:val="Heading2"/>
        <w:spacing w:before="240" w:line="360" w:lineRule="auto"/>
        <w:rPr>
          <w:rFonts w:cs="Times New Roman"/>
          <w:b w:val="0"/>
          <w:bCs/>
          <w:color w:val="000000" w:themeColor="text1"/>
          <w:szCs w:val="24"/>
        </w:rPr>
      </w:pPr>
      <w:bookmarkStart w:id="493" w:name="_Toc233318815"/>
      <w:bookmarkStart w:id="494" w:name="_Toc234344889"/>
      <w:bookmarkStart w:id="495" w:name="_Toc234489121"/>
      <w:r w:rsidRPr="00AF0CC3">
        <w:rPr>
          <w:rFonts w:cs="Times New Roman"/>
          <w:bCs/>
          <w:color w:val="000000" w:themeColor="text1"/>
          <w:szCs w:val="24"/>
        </w:rPr>
        <w:t>Summary of the Study</w:t>
      </w:r>
      <w:bookmarkEnd w:id="493"/>
      <w:bookmarkEnd w:id="494"/>
      <w:bookmarkEnd w:id="495"/>
    </w:p>
    <w:p w14:paraId="3D955974" w14:textId="263D6380" w:rsidR="00D93353" w:rsidRPr="00AF0CC3" w:rsidRDefault="00D93353" w:rsidP="00D93353">
      <w:pPr>
        <w:pStyle w:val="Heading3"/>
        <w:spacing w:before="240" w:line="360" w:lineRule="auto"/>
        <w:rPr>
          <w:rFonts w:cs="Times New Roman"/>
          <w:b w:val="0"/>
          <w:bCs/>
          <w:color w:val="000000" w:themeColor="text1"/>
          <w:szCs w:val="24"/>
        </w:rPr>
      </w:pPr>
      <w:bookmarkStart w:id="496" w:name="_Toc233318816"/>
      <w:bookmarkStart w:id="497" w:name="_Toc234344890"/>
      <w:bookmarkStart w:id="498" w:name="_Toc234489122"/>
      <w:r w:rsidRPr="00AF0CC3">
        <w:rPr>
          <w:rFonts w:cs="Times New Roman"/>
          <w:bCs/>
          <w:color w:val="000000" w:themeColor="text1"/>
          <w:szCs w:val="24"/>
        </w:rPr>
        <w:t>Research Problem</w:t>
      </w:r>
      <w:bookmarkEnd w:id="496"/>
      <w:bookmarkEnd w:id="497"/>
      <w:bookmarkEnd w:id="498"/>
    </w:p>
    <w:p w14:paraId="259581D9" w14:textId="77777777" w:rsidR="00D93353" w:rsidRPr="00AF0CC3" w:rsidRDefault="00D93353" w:rsidP="00D93353">
      <w:pPr>
        <w:spacing w:before="240" w:line="360" w:lineRule="auto"/>
        <w:rPr>
          <w:rFonts w:ascii="Times New Roman" w:hAnsi="Times New Roman" w:cs="Times New Roman"/>
          <w:b/>
          <w:bCs/>
          <w:color w:val="000000" w:themeColor="text1"/>
        </w:rPr>
      </w:pPr>
    </w:p>
    <w:p w14:paraId="73A318FA" w14:textId="77777777" w:rsidR="00D93353" w:rsidRPr="00AF0CC3" w:rsidRDefault="00D93353" w:rsidP="00D93353">
      <w:pPr>
        <w:spacing w:before="240" w:line="360" w:lineRule="auto"/>
        <w:rPr>
          <w:rFonts w:ascii="Times New Roman" w:hAnsi="Times New Roman" w:cs="Times New Roman"/>
          <w:color w:val="000000" w:themeColor="text1"/>
        </w:rPr>
      </w:pPr>
      <w:r w:rsidRPr="00AF0CC3">
        <w:rPr>
          <w:rFonts w:ascii="Times New Roman" w:hAnsi="Times New Roman" w:cs="Times New Roman"/>
          <w:color w:val="000000" w:themeColor="text1"/>
        </w:rPr>
        <w:t>Infrastructure investment plays a critical role in supporting economic development, water security, climate resilience, public health, and sustainable growth. Over the past decade, Kenya has committed substantial public resources to developing water infrastructure, including dams, water supply systems, irrigation projects, wastewater facilities, and flood control infrastructure. Despite these investments, many projects have experienced implementation delays, prolonged interruptions, escalating costs, and, in some cases, complete project stalling. These challenges have reduced the developmental benefits expected from infrastructure investment and raised concerns regarding the effectiveness of infrastructure governance systems.</w:t>
      </w:r>
    </w:p>
    <w:p w14:paraId="53022309" w14:textId="77777777" w:rsidR="00D93353" w:rsidRPr="00AF0CC3" w:rsidRDefault="00D93353" w:rsidP="00D93353">
      <w:pPr>
        <w:spacing w:before="240" w:line="360" w:lineRule="auto"/>
        <w:rPr>
          <w:rFonts w:ascii="Times New Roman" w:hAnsi="Times New Roman" w:cs="Times New Roman"/>
          <w:color w:val="000000" w:themeColor="text1"/>
        </w:rPr>
      </w:pPr>
    </w:p>
    <w:p w14:paraId="1406DF9F" w14:textId="77777777" w:rsidR="00D93353" w:rsidRPr="00AF0CC3" w:rsidRDefault="00D93353" w:rsidP="00D93353">
      <w:pPr>
        <w:spacing w:before="240" w:line="360" w:lineRule="auto"/>
        <w:rPr>
          <w:rFonts w:ascii="Times New Roman" w:hAnsi="Times New Roman" w:cs="Times New Roman"/>
          <w:color w:val="000000" w:themeColor="text1"/>
        </w:rPr>
      </w:pPr>
      <w:r w:rsidRPr="00AF0CC3">
        <w:rPr>
          <w:rFonts w:ascii="Times New Roman" w:hAnsi="Times New Roman" w:cs="Times New Roman"/>
          <w:color w:val="000000" w:themeColor="text1"/>
        </w:rPr>
        <w:lastRenderedPageBreak/>
        <w:t>Existing studies examining infrastructure performance have frequently emphasized financial constraints, technical complexity, procurement challenges, and project management weaknesses as major determinants of project outcomes. While these factors remain important, relatively limited empirical evidence exists regarding the extent to which governance quality influences infrastructure delivery performance, particularly within developing-country contexts. Consequently, the role of governance quality in shaping implementation continuity, project timeliness, financial performance, and institutional resilience remains insufficiently understood.</w:t>
      </w:r>
    </w:p>
    <w:p w14:paraId="66BD97F3" w14:textId="77777777" w:rsidR="00D93353" w:rsidRPr="00AF0CC3" w:rsidRDefault="00D93353" w:rsidP="00D93353">
      <w:pPr>
        <w:spacing w:before="240" w:line="360" w:lineRule="auto"/>
        <w:rPr>
          <w:rFonts w:ascii="Times New Roman" w:hAnsi="Times New Roman" w:cs="Times New Roman"/>
          <w:color w:val="000000" w:themeColor="text1"/>
        </w:rPr>
      </w:pPr>
    </w:p>
    <w:p w14:paraId="127B202B" w14:textId="77777777" w:rsidR="00D93353" w:rsidRPr="00AF0CC3" w:rsidRDefault="00D93353" w:rsidP="00D93353">
      <w:pPr>
        <w:spacing w:before="240" w:line="360" w:lineRule="auto"/>
        <w:rPr>
          <w:rFonts w:ascii="Times New Roman" w:hAnsi="Times New Roman" w:cs="Times New Roman"/>
          <w:color w:val="000000" w:themeColor="text1"/>
        </w:rPr>
      </w:pPr>
      <w:r w:rsidRPr="00AF0CC3">
        <w:rPr>
          <w:rFonts w:ascii="Times New Roman" w:hAnsi="Times New Roman" w:cs="Times New Roman"/>
          <w:color w:val="000000" w:themeColor="text1"/>
        </w:rPr>
        <w:t>A further challenge is the limited availability of project-level governance assessments that can systematically measure governance quality and link governance conditions to infrastructure delivery outcomes. Existing research has often focused on individual governance dimensions or qualitative institutional assessments, making it difficult to evaluate governance quality as a multidimensional governance system operating across project preparation, procurement, implementation, oversight, and accountability stages. The present study was undertaken to address this gap by examining the relationship between governance quality and infrastructure delivery outcomes within Kenya's water infrastructure sector.</w:t>
      </w:r>
    </w:p>
    <w:p w14:paraId="188DD1C3" w14:textId="77777777" w:rsidR="00D93353" w:rsidRPr="00AF0CC3" w:rsidRDefault="00D93353" w:rsidP="00D93353">
      <w:pPr>
        <w:spacing w:before="240" w:line="360" w:lineRule="auto"/>
        <w:rPr>
          <w:rFonts w:ascii="Times New Roman" w:hAnsi="Times New Roman" w:cs="Times New Roman"/>
          <w:color w:val="000000" w:themeColor="text1"/>
        </w:rPr>
      </w:pPr>
    </w:p>
    <w:p w14:paraId="13B4EBE7" w14:textId="31EFDAC7" w:rsidR="00D93353" w:rsidRPr="00AF0CC3" w:rsidRDefault="00D93353" w:rsidP="00D93353">
      <w:pPr>
        <w:pStyle w:val="Heading3"/>
        <w:spacing w:before="240" w:line="360" w:lineRule="auto"/>
        <w:rPr>
          <w:rFonts w:cs="Times New Roman"/>
          <w:b w:val="0"/>
          <w:bCs/>
          <w:color w:val="000000" w:themeColor="text1"/>
          <w:szCs w:val="24"/>
        </w:rPr>
      </w:pPr>
      <w:bookmarkStart w:id="499" w:name="_Toc233318817"/>
      <w:bookmarkStart w:id="500" w:name="_Toc234344891"/>
      <w:bookmarkStart w:id="501" w:name="_Toc234489123"/>
      <w:r w:rsidRPr="00AF0CC3">
        <w:rPr>
          <w:rFonts w:cs="Times New Roman"/>
          <w:bCs/>
          <w:color w:val="000000" w:themeColor="text1"/>
          <w:szCs w:val="24"/>
        </w:rPr>
        <w:t>Research Objectives and Questions</w:t>
      </w:r>
      <w:bookmarkEnd w:id="499"/>
      <w:bookmarkEnd w:id="500"/>
      <w:bookmarkEnd w:id="501"/>
    </w:p>
    <w:p w14:paraId="1ECAAA07" w14:textId="77777777" w:rsidR="00D93353" w:rsidRPr="00AF0CC3" w:rsidRDefault="00D93353" w:rsidP="00D93353">
      <w:pPr>
        <w:spacing w:before="240" w:line="360" w:lineRule="auto"/>
        <w:rPr>
          <w:rFonts w:ascii="Times New Roman" w:hAnsi="Times New Roman" w:cs="Times New Roman"/>
          <w:color w:val="000000" w:themeColor="text1"/>
        </w:rPr>
      </w:pPr>
    </w:p>
    <w:p w14:paraId="5FE98F5B" w14:textId="77777777" w:rsidR="00D93353" w:rsidRPr="00AF0CC3" w:rsidRDefault="00D93353" w:rsidP="00D93353">
      <w:pPr>
        <w:spacing w:before="240" w:line="360" w:lineRule="auto"/>
        <w:rPr>
          <w:rFonts w:ascii="Times New Roman" w:hAnsi="Times New Roman" w:cs="Times New Roman"/>
          <w:color w:val="000000" w:themeColor="text1"/>
        </w:rPr>
      </w:pPr>
      <w:r w:rsidRPr="00AF0CC3">
        <w:rPr>
          <w:rFonts w:ascii="Times New Roman" w:hAnsi="Times New Roman" w:cs="Times New Roman"/>
          <w:color w:val="000000" w:themeColor="text1"/>
        </w:rPr>
        <w:t>The overall objective of the study was to investigate the relationship between governance quality and infrastructure delivery outcomes within Kenya’s water infrastructure sector. Specifically, the study sought to determine whether governance quality influenced project stalling, implementation delays, cost-overrun performance, and infrastructure resilience under conditions of climate exposure and political transition.</w:t>
      </w:r>
    </w:p>
    <w:p w14:paraId="1E2D7478" w14:textId="77777777" w:rsidR="00D93353" w:rsidRPr="00AF0CC3" w:rsidRDefault="00D93353" w:rsidP="00D93353">
      <w:pPr>
        <w:spacing w:before="240" w:line="360" w:lineRule="auto"/>
        <w:rPr>
          <w:rFonts w:ascii="Times New Roman" w:hAnsi="Times New Roman" w:cs="Times New Roman"/>
          <w:color w:val="000000" w:themeColor="text1"/>
        </w:rPr>
      </w:pPr>
    </w:p>
    <w:p w14:paraId="50D9F456" w14:textId="77777777" w:rsidR="00D93353" w:rsidRPr="00AF0CC3" w:rsidRDefault="00D93353" w:rsidP="00D93353">
      <w:pPr>
        <w:spacing w:before="240" w:line="360" w:lineRule="auto"/>
        <w:rPr>
          <w:rFonts w:ascii="Times New Roman" w:hAnsi="Times New Roman" w:cs="Times New Roman"/>
          <w:color w:val="000000" w:themeColor="text1"/>
        </w:rPr>
      </w:pPr>
      <w:r w:rsidRPr="00AF0CC3">
        <w:rPr>
          <w:rFonts w:ascii="Times New Roman" w:hAnsi="Times New Roman" w:cs="Times New Roman"/>
          <w:color w:val="000000" w:themeColor="text1"/>
        </w:rPr>
        <w:t>The following research questions guided the study:</w:t>
      </w:r>
    </w:p>
    <w:p w14:paraId="547F71CA" w14:textId="77777777" w:rsidR="00D93353" w:rsidRPr="00AF0CC3" w:rsidRDefault="00D93353" w:rsidP="00D93353">
      <w:pPr>
        <w:spacing w:before="240" w:line="360" w:lineRule="auto"/>
        <w:rPr>
          <w:rFonts w:ascii="Times New Roman" w:hAnsi="Times New Roman" w:cs="Times New Roman"/>
          <w:color w:val="000000" w:themeColor="text1"/>
        </w:rPr>
      </w:pPr>
    </w:p>
    <w:p w14:paraId="383D3776" w14:textId="77777777" w:rsidR="00D93353" w:rsidRPr="00AF0CC3" w:rsidRDefault="00D93353" w:rsidP="00D93353">
      <w:pPr>
        <w:pStyle w:val="ListParagraph"/>
        <w:numPr>
          <w:ilvl w:val="0"/>
          <w:numId w:val="43"/>
        </w:numPr>
        <w:spacing w:before="240" w:line="360" w:lineRule="auto"/>
        <w:rPr>
          <w:rFonts w:ascii="Times New Roman" w:hAnsi="Times New Roman" w:cs="Times New Roman"/>
          <w:color w:val="000000" w:themeColor="text1"/>
        </w:rPr>
      </w:pPr>
      <w:r w:rsidRPr="00AF0CC3">
        <w:rPr>
          <w:rFonts w:ascii="Times New Roman" w:hAnsi="Times New Roman" w:cs="Times New Roman"/>
          <w:color w:val="000000" w:themeColor="text1"/>
        </w:rPr>
        <w:t>How does governance quality influence the likelihood of project stalling in water management infrastructure projects in Kenya?</w:t>
      </w:r>
    </w:p>
    <w:p w14:paraId="1F8584FB" w14:textId="77777777" w:rsidR="00D93353" w:rsidRPr="00AF0CC3" w:rsidRDefault="00D93353" w:rsidP="00D93353">
      <w:pPr>
        <w:pStyle w:val="ListParagraph"/>
        <w:numPr>
          <w:ilvl w:val="0"/>
          <w:numId w:val="43"/>
        </w:numPr>
        <w:spacing w:before="240" w:line="360" w:lineRule="auto"/>
        <w:rPr>
          <w:rFonts w:ascii="Times New Roman" w:hAnsi="Times New Roman" w:cs="Times New Roman"/>
          <w:color w:val="000000" w:themeColor="text1"/>
        </w:rPr>
      </w:pPr>
      <w:r w:rsidRPr="00AF0CC3">
        <w:rPr>
          <w:rFonts w:ascii="Times New Roman" w:hAnsi="Times New Roman" w:cs="Times New Roman"/>
          <w:color w:val="000000" w:themeColor="text1"/>
        </w:rPr>
        <w:t>How does governance quality affect time overruns of water management infrastructure projects in Kenya?</w:t>
      </w:r>
    </w:p>
    <w:p w14:paraId="604B663A" w14:textId="77777777" w:rsidR="00D93353" w:rsidRPr="00AF0CC3" w:rsidRDefault="00D93353" w:rsidP="00D93353">
      <w:pPr>
        <w:pStyle w:val="ListParagraph"/>
        <w:numPr>
          <w:ilvl w:val="0"/>
          <w:numId w:val="43"/>
        </w:numPr>
        <w:spacing w:before="240" w:line="360" w:lineRule="auto"/>
        <w:rPr>
          <w:rFonts w:ascii="Times New Roman" w:hAnsi="Times New Roman" w:cs="Times New Roman"/>
          <w:color w:val="000000" w:themeColor="text1"/>
        </w:rPr>
      </w:pPr>
      <w:r w:rsidRPr="00AF0CC3">
        <w:rPr>
          <w:rFonts w:ascii="Times New Roman" w:hAnsi="Times New Roman" w:cs="Times New Roman"/>
          <w:color w:val="000000" w:themeColor="text1"/>
        </w:rPr>
        <w:t>How does governance quality affect the cost overruns of water management infrastructure projects in Kenya?</w:t>
      </w:r>
    </w:p>
    <w:p w14:paraId="479D9F21" w14:textId="77777777" w:rsidR="00D93353" w:rsidRPr="00AF0CC3" w:rsidRDefault="00D93353" w:rsidP="00D93353">
      <w:pPr>
        <w:pStyle w:val="ListParagraph"/>
        <w:numPr>
          <w:ilvl w:val="0"/>
          <w:numId w:val="43"/>
        </w:numPr>
        <w:spacing w:before="240" w:line="360" w:lineRule="auto"/>
        <w:rPr>
          <w:rFonts w:ascii="Times New Roman" w:hAnsi="Times New Roman" w:cs="Times New Roman"/>
          <w:color w:val="000000" w:themeColor="text1"/>
        </w:rPr>
      </w:pPr>
      <w:r w:rsidRPr="00AF0CC3">
        <w:rPr>
          <w:rFonts w:ascii="Times New Roman" w:hAnsi="Times New Roman" w:cs="Times New Roman"/>
          <w:color w:val="000000" w:themeColor="text1"/>
        </w:rPr>
        <w:t>How does climate risk interact with governance quality to shape project outcomes of water management infrastructure projects in Kenya?</w:t>
      </w:r>
    </w:p>
    <w:p w14:paraId="04EE8996" w14:textId="77777777" w:rsidR="00D93353" w:rsidRPr="00AF0CC3" w:rsidRDefault="00D93353" w:rsidP="00D93353">
      <w:pPr>
        <w:spacing w:before="240" w:line="360" w:lineRule="auto"/>
        <w:rPr>
          <w:rFonts w:ascii="Times New Roman" w:hAnsi="Times New Roman" w:cs="Times New Roman"/>
          <w:color w:val="000000" w:themeColor="text1"/>
        </w:rPr>
      </w:pPr>
      <w:r w:rsidRPr="00AF0CC3">
        <w:rPr>
          <w:rFonts w:ascii="Times New Roman" w:hAnsi="Times New Roman" w:cs="Times New Roman"/>
          <w:color w:val="000000" w:themeColor="text1"/>
        </w:rPr>
        <w:t>These questions were examined through a series of hypotheses designed to test the relationship between governance quality and infrastructure performance outcomes across the sampled projects.</w:t>
      </w:r>
    </w:p>
    <w:p w14:paraId="4E20F5BD" w14:textId="77777777" w:rsidR="00D93353" w:rsidRPr="00AF0CC3" w:rsidRDefault="00D93353" w:rsidP="00D93353">
      <w:pPr>
        <w:spacing w:before="240" w:line="360" w:lineRule="auto"/>
        <w:rPr>
          <w:rFonts w:ascii="Times New Roman" w:hAnsi="Times New Roman" w:cs="Times New Roman"/>
          <w:b/>
          <w:bCs/>
          <w:color w:val="000000" w:themeColor="text1"/>
        </w:rPr>
      </w:pPr>
    </w:p>
    <w:p w14:paraId="618040FB" w14:textId="2547A994" w:rsidR="00D93353" w:rsidRPr="00AF0CC3" w:rsidRDefault="00D93353" w:rsidP="00D93353">
      <w:pPr>
        <w:pStyle w:val="Heading3"/>
        <w:spacing w:before="240" w:line="360" w:lineRule="auto"/>
        <w:rPr>
          <w:rFonts w:cs="Times New Roman"/>
          <w:b w:val="0"/>
          <w:bCs/>
          <w:color w:val="000000" w:themeColor="text1"/>
          <w:szCs w:val="24"/>
        </w:rPr>
      </w:pPr>
      <w:bookmarkStart w:id="502" w:name="_Toc233318818"/>
      <w:bookmarkStart w:id="503" w:name="_Toc234344892"/>
      <w:bookmarkStart w:id="504" w:name="_Toc234489124"/>
      <w:r w:rsidRPr="00AF0CC3">
        <w:rPr>
          <w:rFonts w:cs="Times New Roman"/>
          <w:bCs/>
          <w:color w:val="000000" w:themeColor="text1"/>
          <w:szCs w:val="24"/>
        </w:rPr>
        <w:t>Study Context and Scope</w:t>
      </w:r>
      <w:bookmarkEnd w:id="502"/>
      <w:bookmarkEnd w:id="503"/>
      <w:bookmarkEnd w:id="504"/>
    </w:p>
    <w:p w14:paraId="1049B78D" w14:textId="77777777" w:rsidR="00D93353" w:rsidRPr="00AF0CC3" w:rsidRDefault="00D93353" w:rsidP="00D93353">
      <w:pPr>
        <w:spacing w:before="240" w:line="360" w:lineRule="auto"/>
        <w:rPr>
          <w:rFonts w:ascii="Times New Roman" w:hAnsi="Times New Roman" w:cs="Times New Roman"/>
          <w:b/>
          <w:bCs/>
          <w:color w:val="000000" w:themeColor="text1"/>
        </w:rPr>
      </w:pPr>
    </w:p>
    <w:p w14:paraId="771351F1" w14:textId="77777777" w:rsidR="00D93353" w:rsidRPr="00AF0CC3" w:rsidRDefault="00D93353" w:rsidP="00D93353">
      <w:pPr>
        <w:spacing w:before="240" w:line="360" w:lineRule="auto"/>
        <w:rPr>
          <w:rFonts w:ascii="Times New Roman" w:hAnsi="Times New Roman" w:cs="Times New Roman"/>
          <w:color w:val="000000" w:themeColor="text1"/>
        </w:rPr>
      </w:pPr>
      <w:r w:rsidRPr="00AF0CC3">
        <w:rPr>
          <w:rFonts w:ascii="Times New Roman" w:hAnsi="Times New Roman" w:cs="Times New Roman"/>
          <w:color w:val="000000" w:themeColor="text1"/>
        </w:rPr>
        <w:t>The study focused on publicly funded water infrastructure projects implemented in Kenya between 2012 and 2025. This period encompassed significant institutional, political, and environmental changes, including the implementation of devolved governance structures following the 2010 Constitution, multiple national and county electoral cycles, and recurring climate-related shocks such as droughts and floods. These conditions provided an appropriate context for examining how governance quality influences infrastructure delivery performance under varying implementation environments.</w:t>
      </w:r>
    </w:p>
    <w:p w14:paraId="3B3B93D2" w14:textId="77777777" w:rsidR="00D93353" w:rsidRPr="00AF0CC3" w:rsidRDefault="00D93353" w:rsidP="00D93353">
      <w:pPr>
        <w:spacing w:before="240" w:line="360" w:lineRule="auto"/>
        <w:rPr>
          <w:rFonts w:ascii="Times New Roman" w:hAnsi="Times New Roman" w:cs="Times New Roman"/>
          <w:color w:val="000000" w:themeColor="text1"/>
        </w:rPr>
      </w:pPr>
    </w:p>
    <w:p w14:paraId="77A2B022" w14:textId="77777777" w:rsidR="00D93353" w:rsidRPr="00AF0CC3" w:rsidRDefault="00D93353" w:rsidP="00D93353">
      <w:pPr>
        <w:spacing w:before="240" w:line="360" w:lineRule="auto"/>
        <w:rPr>
          <w:rFonts w:ascii="Times New Roman" w:hAnsi="Times New Roman" w:cs="Times New Roman"/>
          <w:color w:val="000000" w:themeColor="text1"/>
        </w:rPr>
      </w:pPr>
      <w:r w:rsidRPr="00AF0CC3">
        <w:rPr>
          <w:rFonts w:ascii="Times New Roman" w:hAnsi="Times New Roman" w:cs="Times New Roman"/>
          <w:color w:val="000000" w:themeColor="text1"/>
        </w:rPr>
        <w:t xml:space="preserve">An initial population of fifty-one water infrastructure projects was identified through publicly available project records and government documentation. Following documentary sufficiency screening, nineteen projects were excluded because adequate governance documentation was </w:t>
      </w:r>
      <w:r w:rsidRPr="00AF0CC3">
        <w:rPr>
          <w:rFonts w:ascii="Times New Roman" w:hAnsi="Times New Roman" w:cs="Times New Roman"/>
          <w:color w:val="000000" w:themeColor="text1"/>
        </w:rPr>
        <w:lastRenderedPageBreak/>
        <w:t>unavailable for assessment. The final analytical sample, therefore, consisted of 32 projects with sufficiently verifiable information on governance and implementation.</w:t>
      </w:r>
    </w:p>
    <w:p w14:paraId="374C082E" w14:textId="77777777" w:rsidR="00D93353" w:rsidRPr="00AF0CC3" w:rsidRDefault="00D93353" w:rsidP="00D93353">
      <w:pPr>
        <w:spacing w:before="240" w:line="360" w:lineRule="auto"/>
        <w:rPr>
          <w:rFonts w:ascii="Times New Roman" w:hAnsi="Times New Roman" w:cs="Times New Roman"/>
          <w:color w:val="000000" w:themeColor="text1"/>
        </w:rPr>
      </w:pPr>
    </w:p>
    <w:p w14:paraId="7AE2A20D" w14:textId="77777777" w:rsidR="00D93353" w:rsidRPr="00AF0CC3" w:rsidRDefault="00D93353" w:rsidP="00D93353">
      <w:pPr>
        <w:spacing w:before="240" w:line="360" w:lineRule="auto"/>
        <w:rPr>
          <w:rFonts w:ascii="Times New Roman" w:hAnsi="Times New Roman" w:cs="Times New Roman"/>
          <w:color w:val="000000" w:themeColor="text1"/>
        </w:rPr>
      </w:pPr>
      <w:r w:rsidRPr="00AF0CC3">
        <w:rPr>
          <w:rFonts w:ascii="Times New Roman" w:hAnsi="Times New Roman" w:cs="Times New Roman"/>
          <w:color w:val="000000" w:themeColor="text1"/>
        </w:rPr>
        <w:t>The study considered projects implemented under both national and county government arrangements. Although documentation limitations affected the inclusion of some county projects, the study nevertheless provided important insights into the governance challenges associated with infrastructure implementation within both centralized and decentralized institutional environments.</w:t>
      </w:r>
    </w:p>
    <w:p w14:paraId="636FC8A7" w14:textId="77777777" w:rsidR="00D93353" w:rsidRPr="00AF0CC3" w:rsidRDefault="00D93353" w:rsidP="00D93353">
      <w:pPr>
        <w:spacing w:before="240" w:line="360" w:lineRule="auto"/>
        <w:rPr>
          <w:rFonts w:ascii="Times New Roman" w:hAnsi="Times New Roman" w:cs="Times New Roman"/>
          <w:color w:val="000000" w:themeColor="text1"/>
        </w:rPr>
      </w:pPr>
    </w:p>
    <w:p w14:paraId="5271994A" w14:textId="3D4C92E1" w:rsidR="00D93353" w:rsidRPr="00AF0CC3" w:rsidRDefault="00D93353" w:rsidP="00D93353">
      <w:pPr>
        <w:pStyle w:val="Heading3"/>
        <w:spacing w:before="240" w:line="360" w:lineRule="auto"/>
        <w:rPr>
          <w:rFonts w:cs="Times New Roman"/>
          <w:b w:val="0"/>
          <w:bCs/>
          <w:color w:val="000000" w:themeColor="text1"/>
          <w:szCs w:val="24"/>
        </w:rPr>
      </w:pPr>
      <w:bookmarkStart w:id="505" w:name="_Toc233318819"/>
      <w:bookmarkStart w:id="506" w:name="_Toc234344893"/>
      <w:bookmarkStart w:id="507" w:name="_Toc234489125"/>
      <w:r w:rsidRPr="00AF0CC3">
        <w:rPr>
          <w:rFonts w:cs="Times New Roman"/>
          <w:bCs/>
          <w:color w:val="000000" w:themeColor="text1"/>
          <w:szCs w:val="24"/>
        </w:rPr>
        <w:t>Methodological Approach</w:t>
      </w:r>
      <w:bookmarkEnd w:id="505"/>
      <w:bookmarkEnd w:id="506"/>
      <w:bookmarkEnd w:id="507"/>
    </w:p>
    <w:p w14:paraId="6B1297ED" w14:textId="77777777" w:rsidR="00D93353" w:rsidRPr="00AF0CC3" w:rsidRDefault="00D93353" w:rsidP="00D93353">
      <w:pPr>
        <w:spacing w:before="240" w:line="360" w:lineRule="auto"/>
        <w:rPr>
          <w:rFonts w:ascii="Times New Roman" w:hAnsi="Times New Roman" w:cs="Times New Roman"/>
          <w:b/>
          <w:bCs/>
          <w:color w:val="000000" w:themeColor="text1"/>
        </w:rPr>
      </w:pPr>
    </w:p>
    <w:p w14:paraId="435B5C74" w14:textId="77777777" w:rsidR="00D93353" w:rsidRPr="00AF0CC3" w:rsidRDefault="00D93353" w:rsidP="00D93353">
      <w:pPr>
        <w:spacing w:before="240" w:line="360" w:lineRule="auto"/>
        <w:rPr>
          <w:rFonts w:ascii="Times New Roman" w:hAnsi="Times New Roman" w:cs="Times New Roman"/>
          <w:color w:val="000000" w:themeColor="text1"/>
        </w:rPr>
      </w:pPr>
      <w:r w:rsidRPr="00AF0CC3">
        <w:rPr>
          <w:rFonts w:ascii="Times New Roman" w:hAnsi="Times New Roman" w:cs="Times New Roman"/>
          <w:color w:val="000000" w:themeColor="text1"/>
        </w:rPr>
        <w:t>The study adopted a positivist research philosophy and employed a quantitative cross-sectional comparative research design. The unit of analysis was the individual infrastructure project, enabling systematic comparison of governance quality and infrastructure delivery outcomes across multiple projects operating within a common national context.</w:t>
      </w:r>
    </w:p>
    <w:p w14:paraId="22F6A3A3" w14:textId="77777777" w:rsidR="00D93353" w:rsidRPr="00AF0CC3" w:rsidRDefault="00D93353" w:rsidP="00D93353">
      <w:pPr>
        <w:spacing w:before="240" w:line="360" w:lineRule="auto"/>
        <w:rPr>
          <w:rFonts w:ascii="Times New Roman" w:hAnsi="Times New Roman" w:cs="Times New Roman"/>
          <w:color w:val="000000" w:themeColor="text1"/>
        </w:rPr>
      </w:pPr>
    </w:p>
    <w:p w14:paraId="6AF0615B" w14:textId="77777777" w:rsidR="00D93353" w:rsidRPr="00AF0CC3" w:rsidRDefault="00D93353" w:rsidP="00D93353">
      <w:pPr>
        <w:spacing w:before="240" w:line="360" w:lineRule="auto"/>
        <w:rPr>
          <w:rFonts w:ascii="Times New Roman" w:hAnsi="Times New Roman" w:cs="Times New Roman"/>
          <w:color w:val="000000" w:themeColor="text1"/>
        </w:rPr>
      </w:pPr>
      <w:r w:rsidRPr="00AF0CC3">
        <w:rPr>
          <w:rFonts w:ascii="Times New Roman" w:hAnsi="Times New Roman" w:cs="Times New Roman"/>
          <w:color w:val="000000" w:themeColor="text1"/>
        </w:rPr>
        <w:t>Data was collected through documentary analysis of publicly available project records, including government reports, Auditor-General reports, procurement documentation, implementation reports, development partner records, and project appraisal documents. Governance quality was measured using the Governance Quality Index (GQI), a composite index developed specifically for the study and comprising nine governance dimensions reflecting key elements of infrastructure governance and institutional performance.</w:t>
      </w:r>
    </w:p>
    <w:p w14:paraId="22D3C24B" w14:textId="77777777" w:rsidR="00D93353" w:rsidRPr="00AF0CC3" w:rsidRDefault="00D93353" w:rsidP="00D93353">
      <w:pPr>
        <w:spacing w:before="240" w:line="360" w:lineRule="auto"/>
        <w:rPr>
          <w:rFonts w:ascii="Times New Roman" w:hAnsi="Times New Roman" w:cs="Times New Roman"/>
          <w:color w:val="000000" w:themeColor="text1"/>
        </w:rPr>
      </w:pPr>
    </w:p>
    <w:p w14:paraId="30D16FD1" w14:textId="77777777" w:rsidR="00D93353" w:rsidRPr="00AF0CC3" w:rsidRDefault="00D93353" w:rsidP="00D93353">
      <w:pPr>
        <w:spacing w:before="240" w:line="360" w:lineRule="auto"/>
        <w:rPr>
          <w:rFonts w:ascii="Times New Roman" w:hAnsi="Times New Roman" w:cs="Times New Roman"/>
          <w:color w:val="000000" w:themeColor="text1"/>
        </w:rPr>
      </w:pPr>
      <w:r w:rsidRPr="00AF0CC3">
        <w:rPr>
          <w:rFonts w:ascii="Times New Roman" w:hAnsi="Times New Roman" w:cs="Times New Roman"/>
          <w:color w:val="000000" w:themeColor="text1"/>
        </w:rPr>
        <w:t xml:space="preserve">The analytical strategy combined descriptive statistics, comparative analysis, documentary assessment, correlation analysis, logistic regression modelling, and ordinary least squares (OLS) </w:t>
      </w:r>
      <w:r w:rsidRPr="00AF0CC3">
        <w:rPr>
          <w:rFonts w:ascii="Times New Roman" w:hAnsi="Times New Roman" w:cs="Times New Roman"/>
          <w:color w:val="000000" w:themeColor="text1"/>
        </w:rPr>
        <w:lastRenderedPageBreak/>
        <w:t>estimation. Logistic regression was employed to evaluate the relationship between governance quality and project stalling. At the same time, OLS models were used to examine the relationships between governance quality and time and cost overruns. Climate exposure and political transition conditions were examined through structured documentary analysis and comparative assessment because the available sample size did not support formal interaction modelling.</w:t>
      </w:r>
    </w:p>
    <w:p w14:paraId="6DBB8415" w14:textId="77777777" w:rsidR="00D93353" w:rsidRPr="00AF0CC3" w:rsidRDefault="00D93353" w:rsidP="00D93353">
      <w:pPr>
        <w:spacing w:before="240" w:line="360" w:lineRule="auto"/>
        <w:rPr>
          <w:rFonts w:ascii="Times New Roman" w:hAnsi="Times New Roman" w:cs="Times New Roman"/>
          <w:color w:val="000000" w:themeColor="text1"/>
        </w:rPr>
      </w:pPr>
    </w:p>
    <w:p w14:paraId="4DC70DB1" w14:textId="77777777" w:rsidR="00D93353" w:rsidRPr="00AF0CC3" w:rsidRDefault="00D93353" w:rsidP="00D93353">
      <w:pPr>
        <w:spacing w:before="240" w:line="360" w:lineRule="auto"/>
        <w:rPr>
          <w:rFonts w:ascii="Times New Roman" w:hAnsi="Times New Roman" w:cs="Times New Roman"/>
          <w:color w:val="000000" w:themeColor="text1"/>
        </w:rPr>
      </w:pPr>
      <w:r w:rsidRPr="00AF0CC3">
        <w:rPr>
          <w:rFonts w:ascii="Times New Roman" w:hAnsi="Times New Roman" w:cs="Times New Roman"/>
          <w:color w:val="000000" w:themeColor="text1"/>
        </w:rPr>
        <w:t>These methodological procedures provided a systematic and transparent framework for evaluating the relationship between governance quality and infrastructure delivery outcomes.</w:t>
      </w:r>
    </w:p>
    <w:p w14:paraId="68652713" w14:textId="0CC3DBD0" w:rsidR="00D93353" w:rsidRPr="00AF0CC3" w:rsidRDefault="00D93353" w:rsidP="00D93353">
      <w:pPr>
        <w:pStyle w:val="Heading3"/>
        <w:spacing w:before="240" w:line="360" w:lineRule="auto"/>
        <w:rPr>
          <w:rFonts w:cs="Times New Roman"/>
          <w:b w:val="0"/>
          <w:bCs/>
          <w:color w:val="000000" w:themeColor="text1"/>
          <w:szCs w:val="24"/>
        </w:rPr>
      </w:pPr>
      <w:bookmarkStart w:id="508" w:name="_Toc233318820"/>
      <w:bookmarkStart w:id="509" w:name="_Toc234344894"/>
      <w:bookmarkStart w:id="510" w:name="_Toc234489126"/>
      <w:r w:rsidRPr="00AF0CC3">
        <w:rPr>
          <w:rFonts w:cs="Times New Roman"/>
          <w:bCs/>
          <w:color w:val="000000" w:themeColor="text1"/>
          <w:szCs w:val="24"/>
        </w:rPr>
        <w:t>Summary of Principal Findings</w:t>
      </w:r>
      <w:bookmarkEnd w:id="508"/>
      <w:bookmarkEnd w:id="509"/>
      <w:bookmarkEnd w:id="510"/>
    </w:p>
    <w:p w14:paraId="0B98F3B3" w14:textId="77777777" w:rsidR="00D93353" w:rsidRPr="00AF0CC3" w:rsidRDefault="00D93353" w:rsidP="00D93353">
      <w:pPr>
        <w:spacing w:before="240" w:line="360" w:lineRule="auto"/>
        <w:rPr>
          <w:rFonts w:ascii="Times New Roman" w:hAnsi="Times New Roman" w:cs="Times New Roman"/>
          <w:color w:val="000000" w:themeColor="text1"/>
        </w:rPr>
      </w:pPr>
    </w:p>
    <w:p w14:paraId="05C9CDCF" w14:textId="77777777" w:rsidR="00D93353" w:rsidRPr="00AF0CC3" w:rsidRDefault="00D93353" w:rsidP="00D93353">
      <w:pPr>
        <w:spacing w:before="240" w:line="360" w:lineRule="auto"/>
        <w:rPr>
          <w:rFonts w:ascii="Times New Roman" w:hAnsi="Times New Roman" w:cs="Times New Roman"/>
          <w:color w:val="000000" w:themeColor="text1"/>
        </w:rPr>
      </w:pPr>
      <w:r w:rsidRPr="00AF0CC3">
        <w:rPr>
          <w:rFonts w:ascii="Times New Roman" w:hAnsi="Times New Roman" w:cs="Times New Roman"/>
          <w:color w:val="000000" w:themeColor="text1"/>
        </w:rPr>
        <w:t>The empirical findings provided substantial support for the study’s central proposition that governance quality influences infrastructure delivery outcomes.</w:t>
      </w:r>
    </w:p>
    <w:p w14:paraId="29E91F05" w14:textId="77777777" w:rsidR="00D93353" w:rsidRPr="00AF0CC3" w:rsidRDefault="00D93353" w:rsidP="00D93353">
      <w:pPr>
        <w:spacing w:before="240" w:line="360" w:lineRule="auto"/>
        <w:rPr>
          <w:rFonts w:ascii="Times New Roman" w:hAnsi="Times New Roman" w:cs="Times New Roman"/>
          <w:color w:val="000000" w:themeColor="text1"/>
        </w:rPr>
      </w:pPr>
    </w:p>
    <w:p w14:paraId="6F57CBB8" w14:textId="77777777" w:rsidR="00D93353" w:rsidRPr="00AF0CC3" w:rsidRDefault="00D93353" w:rsidP="00D93353">
      <w:pPr>
        <w:spacing w:before="240" w:line="360" w:lineRule="auto"/>
        <w:rPr>
          <w:rFonts w:ascii="Times New Roman" w:hAnsi="Times New Roman" w:cs="Times New Roman"/>
          <w:color w:val="000000" w:themeColor="text1"/>
        </w:rPr>
      </w:pPr>
      <w:r w:rsidRPr="00AF0CC3">
        <w:rPr>
          <w:rFonts w:ascii="Times New Roman" w:hAnsi="Times New Roman" w:cs="Times New Roman"/>
          <w:color w:val="000000" w:themeColor="text1"/>
        </w:rPr>
        <w:t>Hypothesis One was supported. The analysis demonstrated a statistically significant negative relationship between governance quality and project stalling. Projects characterized by stronger governance arrangements were substantially less likely to experience prolonged implementation interruptions than those operating in weaker governance environments.</w:t>
      </w:r>
    </w:p>
    <w:p w14:paraId="162F47EF" w14:textId="77777777" w:rsidR="00D93353" w:rsidRPr="00AF0CC3" w:rsidRDefault="00D93353" w:rsidP="00D93353">
      <w:pPr>
        <w:spacing w:before="240" w:line="360" w:lineRule="auto"/>
        <w:rPr>
          <w:rFonts w:ascii="Times New Roman" w:hAnsi="Times New Roman" w:cs="Times New Roman"/>
          <w:color w:val="000000" w:themeColor="text1"/>
        </w:rPr>
      </w:pPr>
    </w:p>
    <w:p w14:paraId="2EE7597E" w14:textId="0B3BC798" w:rsidR="00D93353" w:rsidRPr="00AF0CC3" w:rsidRDefault="00D93353" w:rsidP="00D93353">
      <w:pPr>
        <w:spacing w:before="240" w:line="360" w:lineRule="auto"/>
        <w:rPr>
          <w:rFonts w:ascii="Times New Roman" w:hAnsi="Times New Roman" w:cs="Times New Roman"/>
          <w:color w:val="000000" w:themeColor="text1"/>
        </w:rPr>
      </w:pPr>
      <w:r w:rsidRPr="00AF0CC3">
        <w:rPr>
          <w:rFonts w:ascii="Times New Roman" w:hAnsi="Times New Roman" w:cs="Times New Roman"/>
          <w:color w:val="000000" w:themeColor="text1"/>
        </w:rPr>
        <w:t xml:space="preserve">Hypothesis Two was also supported. Stronger </w:t>
      </w:r>
      <w:r w:rsidR="00163866" w:rsidRPr="00AF0CC3">
        <w:rPr>
          <w:rFonts w:ascii="Times New Roman" w:hAnsi="Times New Roman" w:cs="Times New Roman"/>
          <w:color w:val="000000" w:themeColor="text1"/>
        </w:rPr>
        <w:t>quality of governance</w:t>
      </w:r>
      <w:r w:rsidRPr="00AF0CC3">
        <w:rPr>
          <w:rFonts w:ascii="Times New Roman" w:hAnsi="Times New Roman" w:cs="Times New Roman"/>
          <w:color w:val="000000" w:themeColor="text1"/>
        </w:rPr>
        <w:t xml:space="preserve"> was associated with reduced implementation delays and improved schedule performance. Projects with stronger governance arrangements generally recorded lower time overruns and greater implementation continuity than those with weaker governance conditions.</w:t>
      </w:r>
    </w:p>
    <w:p w14:paraId="7C60FD0E" w14:textId="77777777" w:rsidR="00D93353" w:rsidRPr="00AF0CC3" w:rsidRDefault="00D93353" w:rsidP="00D93353">
      <w:pPr>
        <w:spacing w:before="240" w:line="360" w:lineRule="auto"/>
        <w:rPr>
          <w:rFonts w:ascii="Times New Roman" w:hAnsi="Times New Roman" w:cs="Times New Roman"/>
          <w:color w:val="000000" w:themeColor="text1"/>
        </w:rPr>
      </w:pPr>
    </w:p>
    <w:p w14:paraId="2FD8EA76" w14:textId="77777777" w:rsidR="00D93353" w:rsidRPr="00AF0CC3" w:rsidRDefault="00D93353" w:rsidP="00D93353">
      <w:pPr>
        <w:spacing w:before="240" w:line="360" w:lineRule="auto"/>
        <w:rPr>
          <w:rFonts w:ascii="Times New Roman" w:hAnsi="Times New Roman" w:cs="Times New Roman"/>
          <w:color w:val="000000" w:themeColor="text1"/>
        </w:rPr>
      </w:pPr>
      <w:r w:rsidRPr="00AF0CC3">
        <w:rPr>
          <w:rFonts w:ascii="Times New Roman" w:hAnsi="Times New Roman" w:cs="Times New Roman"/>
          <w:color w:val="000000" w:themeColor="text1"/>
        </w:rPr>
        <w:lastRenderedPageBreak/>
        <w:t>Hypothesis Three received partial support. Although the evidence indicated that projects operating within stronger governance environments generally exhibited greater financial stability and lower expenditure variability, the explanatory power of the cost-overrun analysis was constrained by incomplete expenditure information associated with projects that had not reached financial completion. Consequently, the relationship between governance quality and financial performance was less conclusive than the relationships observed for project stalling and implementation delays.</w:t>
      </w:r>
    </w:p>
    <w:p w14:paraId="2FA78BC2" w14:textId="77777777" w:rsidR="00D93353" w:rsidRPr="00AF0CC3" w:rsidRDefault="00D93353" w:rsidP="00D93353">
      <w:pPr>
        <w:spacing w:before="240" w:line="360" w:lineRule="auto"/>
        <w:rPr>
          <w:rFonts w:ascii="Times New Roman" w:hAnsi="Times New Roman" w:cs="Times New Roman"/>
          <w:color w:val="000000" w:themeColor="text1"/>
        </w:rPr>
      </w:pPr>
    </w:p>
    <w:p w14:paraId="49A9519D" w14:textId="77777777" w:rsidR="00D93353" w:rsidRPr="00AF0CC3" w:rsidRDefault="00D93353" w:rsidP="00D93353">
      <w:pPr>
        <w:spacing w:before="240" w:line="360" w:lineRule="auto"/>
        <w:rPr>
          <w:rFonts w:ascii="Times New Roman" w:hAnsi="Times New Roman" w:cs="Times New Roman"/>
          <w:color w:val="000000" w:themeColor="text1"/>
        </w:rPr>
      </w:pPr>
      <w:r w:rsidRPr="00AF0CC3">
        <w:rPr>
          <w:rFonts w:ascii="Times New Roman" w:hAnsi="Times New Roman" w:cs="Times New Roman"/>
          <w:color w:val="000000" w:themeColor="text1"/>
        </w:rPr>
        <w:t>Hypothesis Four was supported. Documentary evidence indicated that projects characterized by stronger governance arrangements demonstrated greater resilience under conditions of climate-related disruption. Strong governance systems provide an enabling environment for institutional coordination, implementation continuity, and adaptive responses during periods of environmental stress.</w:t>
      </w:r>
    </w:p>
    <w:p w14:paraId="7FACE074" w14:textId="77777777" w:rsidR="00D93353" w:rsidRPr="00AF0CC3" w:rsidRDefault="00D93353" w:rsidP="00D93353">
      <w:pPr>
        <w:spacing w:before="240" w:line="360" w:lineRule="auto"/>
        <w:rPr>
          <w:rFonts w:ascii="Times New Roman" w:hAnsi="Times New Roman" w:cs="Times New Roman"/>
          <w:color w:val="000000" w:themeColor="text1"/>
        </w:rPr>
      </w:pPr>
      <w:r w:rsidRPr="00AF0CC3">
        <w:rPr>
          <w:rFonts w:ascii="Times New Roman" w:hAnsi="Times New Roman" w:cs="Times New Roman"/>
          <w:color w:val="000000" w:themeColor="text1"/>
        </w:rPr>
        <w:t>Hypothesis Five was also supported. Projects operating within stronger governance environments created conditions conducive to maintaining implementation continuity during periods of political transition. Conversely, weaker governance arrangements were associated with greater vulnerability to administrative disruption and implementation instability during political change.</w:t>
      </w:r>
    </w:p>
    <w:p w14:paraId="262BBBFA" w14:textId="77777777" w:rsidR="00D93353" w:rsidRPr="00AF0CC3" w:rsidRDefault="00D93353" w:rsidP="00D93353">
      <w:pPr>
        <w:spacing w:before="240" w:line="360" w:lineRule="auto"/>
        <w:rPr>
          <w:rFonts w:ascii="Times New Roman" w:hAnsi="Times New Roman" w:cs="Times New Roman"/>
          <w:color w:val="000000" w:themeColor="text1"/>
        </w:rPr>
      </w:pPr>
      <w:r w:rsidRPr="00AF0CC3">
        <w:rPr>
          <w:rFonts w:ascii="Times New Roman" w:hAnsi="Times New Roman" w:cs="Times New Roman"/>
          <w:color w:val="000000" w:themeColor="text1"/>
        </w:rPr>
        <w:t>The cumulative evidence indicates that governance quality constitutes a significant institutional factor influencing infrastructure delivery performance. Stronger governance arrangements were consistently associated with improved implementation continuity, reduced delays, enhanced resilience, and greater institutional stability across the infrastructure project lifecycle.</w:t>
      </w:r>
    </w:p>
    <w:p w14:paraId="76D726C8" w14:textId="77777777" w:rsidR="00D93353" w:rsidRPr="00AF0CC3" w:rsidRDefault="00D93353" w:rsidP="00D93353">
      <w:pPr>
        <w:spacing w:before="240" w:line="360" w:lineRule="auto"/>
        <w:rPr>
          <w:rFonts w:ascii="Times New Roman" w:hAnsi="Times New Roman" w:cs="Times New Roman"/>
          <w:b/>
          <w:bCs/>
          <w:color w:val="000000" w:themeColor="text1"/>
        </w:rPr>
      </w:pPr>
    </w:p>
    <w:p w14:paraId="36F7B301" w14:textId="4D1FADC2" w:rsidR="00D93353" w:rsidRPr="00AF0CC3" w:rsidRDefault="00D93353" w:rsidP="00D93353">
      <w:pPr>
        <w:pStyle w:val="Heading2"/>
        <w:spacing w:before="240" w:line="360" w:lineRule="auto"/>
        <w:rPr>
          <w:rFonts w:cs="Times New Roman"/>
          <w:b w:val="0"/>
          <w:bCs/>
          <w:color w:val="000000" w:themeColor="text1"/>
          <w:szCs w:val="24"/>
        </w:rPr>
      </w:pPr>
      <w:bookmarkStart w:id="511" w:name="_Toc233318821"/>
      <w:bookmarkStart w:id="512" w:name="_Toc234344895"/>
      <w:bookmarkStart w:id="513" w:name="_Toc234489127"/>
      <w:r w:rsidRPr="00AF0CC3">
        <w:rPr>
          <w:rFonts w:cs="Times New Roman"/>
          <w:bCs/>
          <w:color w:val="000000" w:themeColor="text1"/>
          <w:szCs w:val="24"/>
        </w:rPr>
        <w:t>Discussion of Findings</w:t>
      </w:r>
      <w:bookmarkEnd w:id="511"/>
      <w:bookmarkEnd w:id="512"/>
      <w:bookmarkEnd w:id="513"/>
    </w:p>
    <w:p w14:paraId="579AFA04" w14:textId="4BE21C5E" w:rsidR="00D93353" w:rsidRPr="00AF0CC3" w:rsidRDefault="00D93353" w:rsidP="00D93353">
      <w:pPr>
        <w:pStyle w:val="Heading3"/>
        <w:spacing w:before="240" w:line="360" w:lineRule="auto"/>
        <w:rPr>
          <w:rFonts w:cs="Times New Roman"/>
          <w:b w:val="0"/>
          <w:bCs/>
          <w:color w:val="000000" w:themeColor="text1"/>
          <w:szCs w:val="24"/>
        </w:rPr>
      </w:pPr>
      <w:bookmarkStart w:id="514" w:name="_Toc233318822"/>
      <w:bookmarkStart w:id="515" w:name="_Toc234344896"/>
      <w:bookmarkStart w:id="516" w:name="_Toc234489128"/>
      <w:r w:rsidRPr="00AF0CC3">
        <w:rPr>
          <w:rFonts w:cs="Times New Roman"/>
          <w:bCs/>
          <w:color w:val="000000" w:themeColor="text1"/>
          <w:szCs w:val="24"/>
        </w:rPr>
        <w:t>Governance Quality and Project Stalling</w:t>
      </w:r>
      <w:bookmarkEnd w:id="514"/>
      <w:bookmarkEnd w:id="515"/>
      <w:bookmarkEnd w:id="516"/>
    </w:p>
    <w:p w14:paraId="6F763E52" w14:textId="77777777" w:rsidR="00D93353" w:rsidRPr="00AF0CC3" w:rsidRDefault="00D93353" w:rsidP="00D93353">
      <w:pPr>
        <w:spacing w:before="240" w:line="360" w:lineRule="auto"/>
        <w:rPr>
          <w:rFonts w:ascii="Times New Roman" w:hAnsi="Times New Roman" w:cs="Times New Roman"/>
          <w:color w:val="000000" w:themeColor="text1"/>
        </w:rPr>
      </w:pPr>
    </w:p>
    <w:p w14:paraId="2641CBF2" w14:textId="77777777" w:rsidR="00D93353" w:rsidRPr="00AF0CC3" w:rsidRDefault="00D93353" w:rsidP="00D93353">
      <w:pPr>
        <w:spacing w:before="240" w:line="360" w:lineRule="auto"/>
        <w:rPr>
          <w:rFonts w:ascii="Times New Roman" w:hAnsi="Times New Roman" w:cs="Times New Roman"/>
          <w:color w:val="000000" w:themeColor="text1"/>
        </w:rPr>
      </w:pPr>
      <w:r w:rsidRPr="00AF0CC3">
        <w:rPr>
          <w:rFonts w:ascii="Times New Roman" w:hAnsi="Times New Roman" w:cs="Times New Roman"/>
          <w:color w:val="000000" w:themeColor="text1"/>
        </w:rPr>
        <w:lastRenderedPageBreak/>
        <w:t>One of the most important findings of this study was the statistically significant relationship between governance quality and project stalling. The results demonstrated that projects characterized by stronger governance arrangements were substantially less likely to experience prolonged implementation interruptions than those operating in weaker governance environments. This finding provides empirical support for the proposition that governance quality is a critical institutional factor influencing the continuity of infrastructure implementation.</w:t>
      </w:r>
    </w:p>
    <w:p w14:paraId="4539DC01" w14:textId="77777777" w:rsidR="00D93353" w:rsidRPr="00AF0CC3" w:rsidRDefault="00D93353" w:rsidP="00D93353">
      <w:pPr>
        <w:spacing w:before="240" w:line="360" w:lineRule="auto"/>
        <w:rPr>
          <w:rFonts w:ascii="Times New Roman" w:hAnsi="Times New Roman" w:cs="Times New Roman"/>
          <w:color w:val="000000" w:themeColor="text1"/>
        </w:rPr>
      </w:pPr>
    </w:p>
    <w:p w14:paraId="57B9EB14" w14:textId="77777777" w:rsidR="00D93353" w:rsidRPr="00AF0CC3" w:rsidRDefault="00D93353" w:rsidP="00D93353">
      <w:pPr>
        <w:spacing w:before="240" w:line="360" w:lineRule="auto"/>
        <w:rPr>
          <w:rFonts w:ascii="Times New Roman" w:hAnsi="Times New Roman" w:cs="Times New Roman"/>
          <w:color w:val="000000" w:themeColor="text1"/>
        </w:rPr>
      </w:pPr>
      <w:r w:rsidRPr="00AF0CC3">
        <w:rPr>
          <w:rFonts w:ascii="Times New Roman" w:hAnsi="Times New Roman" w:cs="Times New Roman"/>
          <w:color w:val="000000" w:themeColor="text1"/>
        </w:rPr>
        <w:t>The observed relationship may be explained by the role that governance systems play in maintaining coordination, accountability, oversight, and decision-making continuity throughout the infrastructure project lifecycle. Large-scale infrastructure projects typically involve multiple actors, including government agencies, contractors, consultants, financiers, regulators, and local communities. Effective implementation, therefore, depends on the ability of governance systems to coordinate these actors, manage competing interests, resolve disputes, and respond to emerging implementation challenges. Where governance systems are weak, implementation difficulties may accumulate over time, increasing the likelihood of project interruption and eventually stalling.</w:t>
      </w:r>
    </w:p>
    <w:p w14:paraId="127C3A81" w14:textId="77777777" w:rsidR="00D93353" w:rsidRPr="00AF0CC3" w:rsidRDefault="00D93353" w:rsidP="00D93353">
      <w:pPr>
        <w:spacing w:before="240" w:line="360" w:lineRule="auto"/>
        <w:rPr>
          <w:rFonts w:ascii="Times New Roman" w:hAnsi="Times New Roman" w:cs="Times New Roman"/>
          <w:color w:val="000000" w:themeColor="text1"/>
        </w:rPr>
      </w:pPr>
    </w:p>
    <w:p w14:paraId="42DD3158" w14:textId="77777777" w:rsidR="00D93353" w:rsidRPr="00AF0CC3" w:rsidRDefault="00D93353" w:rsidP="00D93353">
      <w:pPr>
        <w:spacing w:before="240" w:line="360" w:lineRule="auto"/>
        <w:rPr>
          <w:rFonts w:ascii="Times New Roman" w:hAnsi="Times New Roman" w:cs="Times New Roman"/>
          <w:color w:val="000000" w:themeColor="text1"/>
        </w:rPr>
      </w:pPr>
      <w:r w:rsidRPr="00AF0CC3">
        <w:rPr>
          <w:rFonts w:ascii="Times New Roman" w:hAnsi="Times New Roman" w:cs="Times New Roman"/>
          <w:color w:val="000000" w:themeColor="text1"/>
        </w:rPr>
        <w:t>The findings are consistent with institutional governance theory, which argues that organizational outcomes are shaped not only by resource availability but also by the quality of the institutional arrangements through which resources are managed and coordinated. From this perspective, project stalling represents not merely a technical or financial failure but often reflects weaknesses in institutional coordination, oversight, accountability, and governance capacity. The evidence from this study suggests that governance quality influences infrastructure performance by creating conditions that either facilitate or constrain the continuity of implementation.</w:t>
      </w:r>
    </w:p>
    <w:p w14:paraId="3ABAC593" w14:textId="77777777" w:rsidR="00D93353" w:rsidRPr="00AF0CC3" w:rsidRDefault="00D93353" w:rsidP="00D93353">
      <w:pPr>
        <w:spacing w:before="240" w:line="360" w:lineRule="auto"/>
        <w:rPr>
          <w:rFonts w:ascii="Times New Roman" w:hAnsi="Times New Roman" w:cs="Times New Roman"/>
          <w:color w:val="000000" w:themeColor="text1"/>
        </w:rPr>
      </w:pPr>
    </w:p>
    <w:p w14:paraId="2A3A729E" w14:textId="77777777" w:rsidR="00D93353" w:rsidRPr="00AF0CC3" w:rsidRDefault="00D93353" w:rsidP="00D93353">
      <w:pPr>
        <w:spacing w:before="240" w:line="360" w:lineRule="auto"/>
        <w:rPr>
          <w:rFonts w:ascii="Times New Roman" w:hAnsi="Times New Roman" w:cs="Times New Roman"/>
          <w:color w:val="000000" w:themeColor="text1"/>
        </w:rPr>
      </w:pPr>
      <w:r w:rsidRPr="00AF0CC3">
        <w:rPr>
          <w:rFonts w:ascii="Times New Roman" w:hAnsi="Times New Roman" w:cs="Times New Roman"/>
          <w:color w:val="000000" w:themeColor="text1"/>
        </w:rPr>
        <w:t xml:space="preserve">The results also align closely with the OECD infrastructure governance framework, which emphasizes strategic planning, institutional coordination, stakeholder accountability, transparent </w:t>
      </w:r>
      <w:r w:rsidRPr="00AF0CC3">
        <w:rPr>
          <w:rFonts w:ascii="Times New Roman" w:hAnsi="Times New Roman" w:cs="Times New Roman"/>
          <w:color w:val="000000" w:themeColor="text1"/>
        </w:rPr>
        <w:lastRenderedPageBreak/>
        <w:t>decision-making, and effective oversight throughout the infrastructure lifecycle (OECD, 2020). Several governance dimensions incorporated within the Governance Quality Index—including procurement transparency, institutional coordination, audit responsiveness, and contract supervision capacity—reflect principles identified by the OECD as essential for successful infrastructure delivery. The observed relationship between governance quality and project stalling, therefore, provides empirical support for the practical relevance of these governance principles within developing-country infrastructure contexts.</w:t>
      </w:r>
    </w:p>
    <w:p w14:paraId="1F4BE58D" w14:textId="77777777" w:rsidR="00D93353" w:rsidRPr="00AF0CC3" w:rsidRDefault="00D93353" w:rsidP="00D93353">
      <w:pPr>
        <w:spacing w:before="240" w:line="360" w:lineRule="auto"/>
        <w:rPr>
          <w:rFonts w:ascii="Times New Roman" w:hAnsi="Times New Roman" w:cs="Times New Roman"/>
          <w:color w:val="000000" w:themeColor="text1"/>
        </w:rPr>
      </w:pPr>
    </w:p>
    <w:p w14:paraId="3DB21702" w14:textId="77777777" w:rsidR="00D93353" w:rsidRPr="00AF0CC3" w:rsidRDefault="00D93353" w:rsidP="00D93353">
      <w:pPr>
        <w:spacing w:before="240" w:line="360" w:lineRule="auto"/>
        <w:rPr>
          <w:rFonts w:ascii="Times New Roman" w:hAnsi="Times New Roman" w:cs="Times New Roman"/>
          <w:color w:val="000000" w:themeColor="text1"/>
        </w:rPr>
      </w:pPr>
      <w:r w:rsidRPr="00AF0CC3">
        <w:rPr>
          <w:rFonts w:ascii="Times New Roman" w:hAnsi="Times New Roman" w:cs="Times New Roman"/>
          <w:color w:val="000000" w:themeColor="text1"/>
        </w:rPr>
        <w:t>The findings further correspond with international research highlighting the importance of governance quality in shaping infrastructure outcomes. Flyvbjerg (2014) argues that major infrastructure failures frequently emerge from governance weaknesses, including inadequate oversight, unrealistic planning assumptions, weak accountability systems, and ineffective risk management. Similarly, Osei-Kyei and Chan (2017) identify governance quality, stakeholder coordination, and institutional capacity as critical determinants of infrastructure project success. The consistency between the present findings and international evidence strengthens confidence in the study's broader analytical relevance and suggests that the governance-performance relationship observed in Kenya may reflect more general institutional dynamics that affect infrastructure implementation across developing-country settings.</w:t>
      </w:r>
    </w:p>
    <w:p w14:paraId="742977D2" w14:textId="77777777" w:rsidR="00D93353" w:rsidRPr="00AF0CC3" w:rsidRDefault="00D93353" w:rsidP="00D93353">
      <w:pPr>
        <w:spacing w:before="240" w:line="360" w:lineRule="auto"/>
        <w:rPr>
          <w:rFonts w:ascii="Times New Roman" w:hAnsi="Times New Roman" w:cs="Times New Roman"/>
          <w:color w:val="000000" w:themeColor="text1"/>
        </w:rPr>
      </w:pPr>
    </w:p>
    <w:p w14:paraId="75E6BA28" w14:textId="7378284A" w:rsidR="00D93353" w:rsidRPr="00AF0CC3" w:rsidRDefault="00D93353" w:rsidP="00D93353">
      <w:pPr>
        <w:spacing w:before="240" w:line="360" w:lineRule="auto"/>
        <w:rPr>
          <w:rFonts w:ascii="Times New Roman" w:hAnsi="Times New Roman" w:cs="Times New Roman"/>
          <w:color w:val="000000" w:themeColor="text1"/>
        </w:rPr>
      </w:pPr>
      <w:r w:rsidRPr="00AF0CC3">
        <w:rPr>
          <w:rFonts w:ascii="Times New Roman" w:hAnsi="Times New Roman" w:cs="Times New Roman"/>
          <w:color w:val="000000" w:themeColor="text1"/>
        </w:rPr>
        <w:t>Existing governance literature often explains stalled infrastructure primarily through financing shortfalls, procurement disputes, or political interference (Flyvbjerg, 2014; Osei-Kyei &amp; Chan, 2017). The findings of the present study suggest that these explanations may be incomplete</w:t>
      </w:r>
      <w:r w:rsidR="00831678" w:rsidRPr="00AF0CC3">
        <w:rPr>
          <w:rFonts w:ascii="Times New Roman" w:hAnsi="Times New Roman" w:cs="Times New Roman"/>
          <w:color w:val="000000" w:themeColor="text1"/>
        </w:rPr>
        <w:t>, as they often</w:t>
      </w:r>
      <w:r w:rsidRPr="00AF0CC3">
        <w:rPr>
          <w:rFonts w:ascii="Times New Roman" w:hAnsi="Times New Roman" w:cs="Times New Roman"/>
          <w:color w:val="000000" w:themeColor="text1"/>
        </w:rPr>
        <w:t xml:space="preserve"> treat governance failures as isolated administrative events rather than interconnected institutional processes. The evidence indicates that project stalling is more appropriately understood as the cumulative outcome of multiple governance weaknesses operating simultaneously across procurement, coordination, documentation, contract supervision, payment reliability, and oversight. This interpretation extends lifecycle governance perspectives by demonstrating that governance failures are systemic rather than discrete administrative events, </w:t>
      </w:r>
      <w:r w:rsidRPr="00AF0CC3">
        <w:rPr>
          <w:rFonts w:ascii="Times New Roman" w:hAnsi="Times New Roman" w:cs="Times New Roman"/>
          <w:color w:val="000000" w:themeColor="text1"/>
        </w:rPr>
        <w:lastRenderedPageBreak/>
        <w:t>thereby highlighting the importance of governance interdependence in shaping infrastructure delivery outcomes (OECD, 2020).</w:t>
      </w:r>
    </w:p>
    <w:p w14:paraId="1F88CC02" w14:textId="77777777" w:rsidR="00992B4B" w:rsidRPr="00AF0CC3" w:rsidRDefault="00992B4B" w:rsidP="00D93353">
      <w:pPr>
        <w:spacing w:before="240" w:line="360" w:lineRule="auto"/>
        <w:rPr>
          <w:rFonts w:ascii="Times New Roman" w:hAnsi="Times New Roman" w:cs="Times New Roman"/>
          <w:color w:val="000000" w:themeColor="text1"/>
        </w:rPr>
      </w:pPr>
    </w:p>
    <w:p w14:paraId="5327D92C" w14:textId="4565F1E8" w:rsidR="00992B4B" w:rsidRPr="00AF0CC3" w:rsidRDefault="00992B4B" w:rsidP="00D93353">
      <w:pPr>
        <w:spacing w:before="240" w:line="360" w:lineRule="auto"/>
        <w:rPr>
          <w:rFonts w:ascii="Times New Roman" w:hAnsi="Times New Roman" w:cs="Times New Roman"/>
          <w:color w:val="000000" w:themeColor="text1"/>
        </w:rPr>
      </w:pPr>
      <w:r w:rsidRPr="00AF0CC3">
        <w:rPr>
          <w:rFonts w:ascii="Times New Roman" w:hAnsi="Times New Roman" w:cs="Times New Roman"/>
          <w:color w:val="000000" w:themeColor="text1"/>
        </w:rPr>
        <w:t xml:space="preserve">Although Flyvbjerg (2014) explains infrastructure underperformance primarily through optimism bias and strategic misrepresentation, the findings of the present study suggest that these behavioural explanations alone may not fully account for the variation observed across projects operating within the same institutional environment. Projects exposed to broadly comparable political, financial, and regulatory conditions exhibited markedly different implementation outcomes, with stronger governance arrangements consistently associated with lower probabilities of </w:t>
      </w:r>
      <w:r w:rsidR="00163866" w:rsidRPr="00AF0CC3">
        <w:rPr>
          <w:rFonts w:ascii="Times New Roman" w:hAnsi="Times New Roman" w:cs="Times New Roman"/>
          <w:color w:val="000000" w:themeColor="text1"/>
        </w:rPr>
        <w:t>stalling projects</w:t>
      </w:r>
      <w:r w:rsidRPr="00AF0CC3">
        <w:rPr>
          <w:rFonts w:ascii="Times New Roman" w:hAnsi="Times New Roman" w:cs="Times New Roman"/>
          <w:color w:val="000000" w:themeColor="text1"/>
        </w:rPr>
        <w:t xml:space="preserve">. This pattern suggests that governance quality may function as an institutional mechanism that either constrains or amplifies the consequences of </w:t>
      </w:r>
      <w:r w:rsidR="0003278F" w:rsidRPr="00AF0CC3">
        <w:rPr>
          <w:rFonts w:ascii="Times New Roman" w:hAnsi="Times New Roman" w:cs="Times New Roman"/>
          <w:color w:val="000000" w:themeColor="text1"/>
        </w:rPr>
        <w:t>behavioral</w:t>
      </w:r>
      <w:r w:rsidRPr="00AF0CC3">
        <w:rPr>
          <w:rFonts w:ascii="Times New Roman" w:hAnsi="Times New Roman" w:cs="Times New Roman"/>
          <w:color w:val="000000" w:themeColor="text1"/>
        </w:rPr>
        <w:t xml:space="preserve"> and </w:t>
      </w:r>
      <w:r w:rsidR="0003278F" w:rsidRPr="00AF0CC3">
        <w:rPr>
          <w:rFonts w:ascii="Times New Roman" w:hAnsi="Times New Roman" w:cs="Times New Roman"/>
          <w:color w:val="000000" w:themeColor="text1"/>
        </w:rPr>
        <w:t>organizational</w:t>
      </w:r>
      <w:r w:rsidRPr="00AF0CC3">
        <w:rPr>
          <w:rFonts w:ascii="Times New Roman" w:hAnsi="Times New Roman" w:cs="Times New Roman"/>
          <w:color w:val="000000" w:themeColor="text1"/>
        </w:rPr>
        <w:t xml:space="preserve"> risks. Rather than replacing </w:t>
      </w:r>
      <w:r w:rsidR="0003278F" w:rsidRPr="00AF0CC3">
        <w:rPr>
          <w:rFonts w:ascii="Times New Roman" w:hAnsi="Times New Roman" w:cs="Times New Roman"/>
          <w:color w:val="000000" w:themeColor="text1"/>
        </w:rPr>
        <w:t>behavioral</w:t>
      </w:r>
      <w:r w:rsidRPr="00AF0CC3">
        <w:rPr>
          <w:rFonts w:ascii="Times New Roman" w:hAnsi="Times New Roman" w:cs="Times New Roman"/>
          <w:color w:val="000000" w:themeColor="text1"/>
        </w:rPr>
        <w:t xml:space="preserve"> explanations of project failure, the findings extend existing infrastructure governance literature by indicating that institutional governance capability provides an important complementary explanation for differences in infrastructure delivery outcomes.</w:t>
      </w:r>
    </w:p>
    <w:p w14:paraId="2F808EF0" w14:textId="50A8E6F8" w:rsidR="00D93353" w:rsidRPr="00AF0CC3" w:rsidRDefault="00D93353" w:rsidP="00D93353">
      <w:pPr>
        <w:pStyle w:val="Heading3"/>
        <w:spacing w:before="240" w:line="360" w:lineRule="auto"/>
        <w:rPr>
          <w:rFonts w:cs="Times New Roman"/>
          <w:b w:val="0"/>
          <w:bCs/>
          <w:color w:val="000000" w:themeColor="text1"/>
          <w:szCs w:val="24"/>
        </w:rPr>
      </w:pPr>
      <w:bookmarkStart w:id="517" w:name="_Toc233318823"/>
      <w:bookmarkStart w:id="518" w:name="_Toc234344897"/>
      <w:bookmarkStart w:id="519" w:name="_Toc234489129"/>
      <w:r w:rsidRPr="00AF0CC3">
        <w:rPr>
          <w:rFonts w:cs="Times New Roman"/>
          <w:bCs/>
          <w:color w:val="000000" w:themeColor="text1"/>
          <w:szCs w:val="24"/>
        </w:rPr>
        <w:t>Governance Quality and Time Overruns</w:t>
      </w:r>
      <w:bookmarkEnd w:id="517"/>
      <w:bookmarkEnd w:id="518"/>
      <w:bookmarkEnd w:id="519"/>
    </w:p>
    <w:p w14:paraId="71F85125" w14:textId="77777777" w:rsidR="00D93353" w:rsidRPr="00AF0CC3" w:rsidRDefault="00D93353" w:rsidP="00D93353">
      <w:pPr>
        <w:spacing w:before="240" w:line="360" w:lineRule="auto"/>
        <w:rPr>
          <w:rFonts w:ascii="Times New Roman" w:hAnsi="Times New Roman" w:cs="Times New Roman"/>
          <w:color w:val="000000" w:themeColor="text1"/>
        </w:rPr>
      </w:pPr>
    </w:p>
    <w:p w14:paraId="5E4DEEFA" w14:textId="77777777" w:rsidR="00D93353" w:rsidRPr="00AF0CC3" w:rsidRDefault="00D93353" w:rsidP="00D93353">
      <w:pPr>
        <w:spacing w:before="240" w:line="360" w:lineRule="auto"/>
        <w:rPr>
          <w:rFonts w:ascii="Times New Roman" w:hAnsi="Times New Roman" w:cs="Times New Roman"/>
          <w:color w:val="000000" w:themeColor="text1"/>
        </w:rPr>
      </w:pPr>
      <w:r w:rsidRPr="00AF0CC3">
        <w:rPr>
          <w:rFonts w:ascii="Times New Roman" w:hAnsi="Times New Roman" w:cs="Times New Roman"/>
          <w:color w:val="000000" w:themeColor="text1"/>
        </w:rPr>
        <w:t>The findings also revealed a significant relationship between governance quality and implementation delays. Projects characterized by stronger governance arrangements generally experienced lower time overruns and greater schedule adherence than those operating in weaker governance environments. This finding suggests that governance quality influences not only whether projects are completed but also how efficiently they progress through implementation.</w:t>
      </w:r>
    </w:p>
    <w:p w14:paraId="6ED5D472" w14:textId="77777777" w:rsidR="00D93353" w:rsidRPr="00AF0CC3" w:rsidRDefault="00D93353" w:rsidP="00D93353">
      <w:pPr>
        <w:spacing w:before="240" w:line="360" w:lineRule="auto"/>
        <w:rPr>
          <w:rFonts w:ascii="Times New Roman" w:hAnsi="Times New Roman" w:cs="Times New Roman"/>
          <w:color w:val="000000" w:themeColor="text1"/>
        </w:rPr>
      </w:pPr>
    </w:p>
    <w:p w14:paraId="1C43FB46" w14:textId="77777777" w:rsidR="00D93353" w:rsidRPr="00AF0CC3" w:rsidRDefault="00D93353" w:rsidP="00D93353">
      <w:pPr>
        <w:spacing w:before="240" w:line="360" w:lineRule="auto"/>
        <w:rPr>
          <w:rFonts w:ascii="Times New Roman" w:hAnsi="Times New Roman" w:cs="Times New Roman"/>
          <w:color w:val="000000" w:themeColor="text1"/>
        </w:rPr>
      </w:pPr>
      <w:r w:rsidRPr="00AF0CC3">
        <w:rPr>
          <w:rFonts w:ascii="Times New Roman" w:hAnsi="Times New Roman" w:cs="Times New Roman"/>
          <w:color w:val="000000" w:themeColor="text1"/>
        </w:rPr>
        <w:t xml:space="preserve">One explanation for this relationship lies in the role of governance systems in reducing coordination failures. Infrastructure implementation frequently requires collaboration among multiple institutions with differing mandates, priorities, and decision-making processes. Weak coordination mechanisms can result in delays in approvals, land acquisition processes, </w:t>
      </w:r>
      <w:r w:rsidRPr="00AF0CC3">
        <w:rPr>
          <w:rFonts w:ascii="Times New Roman" w:hAnsi="Times New Roman" w:cs="Times New Roman"/>
          <w:color w:val="000000" w:themeColor="text1"/>
        </w:rPr>
        <w:lastRenderedPageBreak/>
        <w:t>procurement decisions, contract administration, and resource allocation. Strong governance arrangements help reduce these risks by providing clearer institutional responsibilities, more effective communication channels, and stronger mechanisms for resolving implementation bottlenecks.</w:t>
      </w:r>
    </w:p>
    <w:p w14:paraId="770B6898" w14:textId="77777777" w:rsidR="00D93353" w:rsidRPr="00AF0CC3" w:rsidRDefault="00D93353" w:rsidP="00D93353">
      <w:pPr>
        <w:spacing w:before="240" w:line="360" w:lineRule="auto"/>
        <w:rPr>
          <w:rFonts w:ascii="Times New Roman" w:hAnsi="Times New Roman" w:cs="Times New Roman"/>
          <w:color w:val="000000" w:themeColor="text1"/>
        </w:rPr>
      </w:pPr>
    </w:p>
    <w:p w14:paraId="0BB889F4" w14:textId="77777777" w:rsidR="00D93353" w:rsidRPr="00AF0CC3" w:rsidRDefault="00D93353" w:rsidP="00D93353">
      <w:pPr>
        <w:spacing w:before="240" w:line="360" w:lineRule="auto"/>
        <w:rPr>
          <w:rFonts w:ascii="Times New Roman" w:hAnsi="Times New Roman" w:cs="Times New Roman"/>
          <w:color w:val="000000" w:themeColor="text1"/>
        </w:rPr>
      </w:pPr>
      <w:r w:rsidRPr="00AF0CC3">
        <w:rPr>
          <w:rFonts w:ascii="Times New Roman" w:hAnsi="Times New Roman" w:cs="Times New Roman"/>
          <w:color w:val="000000" w:themeColor="text1"/>
        </w:rPr>
        <w:t>Procurement governance also appears to play an important role in explaining implementation delays. Procurement disputes, contract management challenges, tender irregularities, and prolonged approval processes frequently contribute to project delays in both developed and developing countries. The Governance Quality Index incorporated procurement transparency as a key governance dimension, and the findings suggest that projects operating within more transparent procurement environments experienced fewer implementation disruptions. This observation is consistent with previous studies indicating that procurement governance constitutes a major determinant of infrastructure delivery performance (Osei-Kyei &amp; Chan, 2017).</w:t>
      </w:r>
    </w:p>
    <w:p w14:paraId="41911D7F" w14:textId="77777777" w:rsidR="00D93353" w:rsidRPr="00AF0CC3" w:rsidRDefault="00D93353" w:rsidP="00D93353">
      <w:pPr>
        <w:spacing w:before="240" w:line="360" w:lineRule="auto"/>
        <w:rPr>
          <w:rFonts w:ascii="Times New Roman" w:hAnsi="Times New Roman" w:cs="Times New Roman"/>
          <w:color w:val="000000" w:themeColor="text1"/>
        </w:rPr>
      </w:pPr>
    </w:p>
    <w:p w14:paraId="77257264" w14:textId="77777777" w:rsidR="00D93353" w:rsidRPr="00AF0CC3" w:rsidRDefault="00D93353" w:rsidP="00D93353">
      <w:pPr>
        <w:spacing w:before="240" w:line="360" w:lineRule="auto"/>
        <w:rPr>
          <w:rFonts w:ascii="Times New Roman" w:hAnsi="Times New Roman" w:cs="Times New Roman"/>
          <w:color w:val="000000" w:themeColor="text1"/>
        </w:rPr>
      </w:pPr>
      <w:r w:rsidRPr="00AF0CC3">
        <w:rPr>
          <w:rFonts w:ascii="Times New Roman" w:hAnsi="Times New Roman" w:cs="Times New Roman"/>
          <w:color w:val="000000" w:themeColor="text1"/>
        </w:rPr>
        <w:t>The results further highlight the importance of oversight mechanisms in supporting timely implementation. Effective monitoring systems facilitate early identification of implementation risks, enable corrective action, and strengthen accountability among project stakeholders. Conversely, weak oversight systems may allow implementation problems to remain unaddressed until delays become difficult to reverse. The strong performance of audit responsiveness and institutional coordination within the Governance Quality Index suggests that formal oversight structures may have contributed to implementation continuity across the sampled projects.</w:t>
      </w:r>
    </w:p>
    <w:p w14:paraId="72A25DB0" w14:textId="77777777" w:rsidR="00D93353" w:rsidRPr="00AF0CC3" w:rsidRDefault="00D93353" w:rsidP="00D93353">
      <w:pPr>
        <w:spacing w:before="240" w:line="360" w:lineRule="auto"/>
        <w:rPr>
          <w:rFonts w:ascii="Times New Roman" w:hAnsi="Times New Roman" w:cs="Times New Roman"/>
          <w:color w:val="000000" w:themeColor="text1"/>
        </w:rPr>
      </w:pPr>
    </w:p>
    <w:p w14:paraId="4A9A8C52" w14:textId="38A78252" w:rsidR="00423ECB" w:rsidRPr="00AF0CC3" w:rsidRDefault="00423ECB" w:rsidP="00D93353">
      <w:pPr>
        <w:spacing w:before="240" w:line="360" w:lineRule="auto"/>
        <w:rPr>
          <w:rFonts w:ascii="Times New Roman" w:hAnsi="Times New Roman" w:cs="Times New Roman"/>
          <w:color w:val="000000" w:themeColor="text1"/>
        </w:rPr>
      </w:pPr>
      <w:r w:rsidRPr="00AF0CC3">
        <w:rPr>
          <w:rFonts w:ascii="Times New Roman" w:hAnsi="Times New Roman" w:cs="Times New Roman"/>
          <w:color w:val="000000" w:themeColor="text1"/>
        </w:rPr>
        <w:t xml:space="preserve">The Kenyan institutional context provides an important explanation for these findings. As discussed in Chapter One, infrastructure delivery increasingly occurs within a devolved governance system involving multiple national and county institutions with differing mandates, capacities, and accountability arrangements. Under these conditions, implementation delays appear to arise not only from technical or financial constraints but also from the administrative </w:t>
      </w:r>
      <w:r w:rsidRPr="00AF0CC3">
        <w:rPr>
          <w:rFonts w:ascii="Times New Roman" w:hAnsi="Times New Roman" w:cs="Times New Roman"/>
          <w:color w:val="000000" w:themeColor="text1"/>
        </w:rPr>
        <w:lastRenderedPageBreak/>
        <w:t>complexity of coordinating multiple actors throughout the project lifecycle. This suggests that governance quality is particularly important in decentralized governance environments, as stronger coordination mechanisms help maintain implementation continuity despite institutional complexity.</w:t>
      </w:r>
    </w:p>
    <w:p w14:paraId="51A218D6" w14:textId="77777777" w:rsidR="00423ECB" w:rsidRPr="00AF0CC3" w:rsidRDefault="00423ECB" w:rsidP="00D93353">
      <w:pPr>
        <w:spacing w:before="240" w:line="360" w:lineRule="auto"/>
        <w:rPr>
          <w:rFonts w:ascii="Times New Roman" w:hAnsi="Times New Roman" w:cs="Times New Roman"/>
          <w:color w:val="000000" w:themeColor="text1"/>
        </w:rPr>
      </w:pPr>
    </w:p>
    <w:p w14:paraId="59F1106A" w14:textId="77777777" w:rsidR="00D93353" w:rsidRPr="00AF0CC3" w:rsidRDefault="00D93353" w:rsidP="00D93353">
      <w:pPr>
        <w:spacing w:before="240" w:line="360" w:lineRule="auto"/>
        <w:rPr>
          <w:rFonts w:ascii="Times New Roman" w:hAnsi="Times New Roman" w:cs="Times New Roman"/>
          <w:color w:val="000000" w:themeColor="text1"/>
        </w:rPr>
      </w:pPr>
      <w:r w:rsidRPr="00AF0CC3">
        <w:rPr>
          <w:rFonts w:ascii="Times New Roman" w:hAnsi="Times New Roman" w:cs="Times New Roman"/>
          <w:color w:val="000000" w:themeColor="text1"/>
        </w:rPr>
        <w:t>Within the Kenyan context, the importance of administrative predictability appears particularly pronounced because many infrastructure projects span multiple electoral cycles and involve both national and county institutions operating under devolved governance arrangements. Since the implementation of devolution following the 2010 Constitution, infrastructure delivery has increasingly required coordination among national ministries, county governments, regulators, development partners, and contractors operating with differing capacities, priorities, and political incentives. As Andrews, Pritchett, and Woolcock (2017) observe, institutional complexity tends to increase as governance responsibilities become distributed across multiple organizations. The findings suggest that implementation delays arise not only from technical or operational challenges but also from the complexity of managing relationships across multiple institutions within a decentralized governance system.</w:t>
      </w:r>
    </w:p>
    <w:p w14:paraId="100F8681" w14:textId="77777777" w:rsidR="00D93353" w:rsidRPr="00AF0CC3" w:rsidRDefault="00D93353" w:rsidP="00D93353">
      <w:pPr>
        <w:spacing w:before="240" w:line="360" w:lineRule="auto"/>
        <w:rPr>
          <w:rFonts w:ascii="Times New Roman" w:hAnsi="Times New Roman" w:cs="Times New Roman"/>
          <w:color w:val="000000" w:themeColor="text1"/>
        </w:rPr>
      </w:pPr>
    </w:p>
    <w:p w14:paraId="3EA7CE17" w14:textId="77777777" w:rsidR="00D93353" w:rsidRPr="00AF0CC3" w:rsidRDefault="00D93353" w:rsidP="00D93353">
      <w:pPr>
        <w:spacing w:before="240" w:line="360" w:lineRule="auto"/>
        <w:rPr>
          <w:rFonts w:ascii="Times New Roman" w:hAnsi="Times New Roman" w:cs="Times New Roman"/>
          <w:color w:val="000000" w:themeColor="text1"/>
        </w:rPr>
      </w:pPr>
      <w:r w:rsidRPr="00AF0CC3">
        <w:rPr>
          <w:rFonts w:ascii="Times New Roman" w:hAnsi="Times New Roman" w:cs="Times New Roman"/>
          <w:color w:val="000000" w:themeColor="text1"/>
        </w:rPr>
        <w:t>This interpretation extends existing infrastructure governance literature by indicating that the effectiveness of governance arrangements may be context dependent. While previous studies have emphasized procurement efficiency, project management, and institutional coordination as important determinants of implementation performance (Flyvbjerg, 2014; Osei-Kyei &amp; Chan, 2017), the present findings suggest that coordination capacity is particularly important within devolved governance systems. Rather than serving solely to improve administrative efficiency, stronger governance arrangements appear to support continuity of implementation by enabling institutions to manage organizational complexity, sustain coordination among multiple actors, and respond more effectively to changing administrative and political circumstances.</w:t>
      </w:r>
    </w:p>
    <w:p w14:paraId="469A3048" w14:textId="3C4D82AF" w:rsidR="00D93353" w:rsidRPr="00AF0CC3" w:rsidRDefault="00D93353" w:rsidP="00D93353">
      <w:pPr>
        <w:pStyle w:val="Heading3"/>
        <w:spacing w:before="240" w:line="360" w:lineRule="auto"/>
        <w:rPr>
          <w:rFonts w:cs="Times New Roman"/>
          <w:b w:val="0"/>
          <w:bCs/>
          <w:color w:val="000000" w:themeColor="text1"/>
          <w:szCs w:val="24"/>
        </w:rPr>
      </w:pPr>
      <w:bookmarkStart w:id="520" w:name="_Toc233318824"/>
      <w:bookmarkStart w:id="521" w:name="_Toc234344898"/>
      <w:bookmarkStart w:id="522" w:name="_Toc234489130"/>
      <w:r w:rsidRPr="00AF0CC3">
        <w:rPr>
          <w:rFonts w:cs="Times New Roman"/>
          <w:bCs/>
          <w:color w:val="000000" w:themeColor="text1"/>
          <w:szCs w:val="24"/>
        </w:rPr>
        <w:t>Governance Quality and Cost Overruns</w:t>
      </w:r>
      <w:bookmarkEnd w:id="520"/>
      <w:bookmarkEnd w:id="521"/>
      <w:bookmarkEnd w:id="522"/>
    </w:p>
    <w:p w14:paraId="243B1186" w14:textId="77777777" w:rsidR="00D93353" w:rsidRPr="00AF0CC3" w:rsidRDefault="00D93353" w:rsidP="00D93353">
      <w:pPr>
        <w:spacing w:before="240" w:line="360" w:lineRule="auto"/>
        <w:rPr>
          <w:rFonts w:ascii="Times New Roman" w:hAnsi="Times New Roman" w:cs="Times New Roman"/>
          <w:color w:val="000000" w:themeColor="text1"/>
        </w:rPr>
      </w:pPr>
    </w:p>
    <w:p w14:paraId="091C1394" w14:textId="77777777" w:rsidR="00D93353" w:rsidRPr="00AF0CC3" w:rsidRDefault="00D93353" w:rsidP="00D93353">
      <w:pPr>
        <w:spacing w:before="240" w:line="360" w:lineRule="auto"/>
        <w:rPr>
          <w:rFonts w:ascii="Times New Roman" w:hAnsi="Times New Roman" w:cs="Times New Roman"/>
          <w:color w:val="000000" w:themeColor="text1"/>
        </w:rPr>
      </w:pPr>
      <w:r w:rsidRPr="00AF0CC3">
        <w:rPr>
          <w:rFonts w:ascii="Times New Roman" w:hAnsi="Times New Roman" w:cs="Times New Roman"/>
          <w:color w:val="000000" w:themeColor="text1"/>
        </w:rPr>
        <w:lastRenderedPageBreak/>
        <w:t>The relationship between governance quality and financial delivery performance proved more complex than the relationships observed for project stalling and implementation delays. Although the evidence generally indicated that projects operating within stronger governance environments experienced greater financial stability and lower expenditure variability, the statistical results provided only partial support for the hypothesis that governance quality significantly influences cost-overrun performance.</w:t>
      </w:r>
    </w:p>
    <w:p w14:paraId="1527DCB3" w14:textId="77777777" w:rsidR="00D93353" w:rsidRPr="00AF0CC3" w:rsidRDefault="00D93353" w:rsidP="00D93353">
      <w:pPr>
        <w:spacing w:before="240" w:line="360" w:lineRule="auto"/>
        <w:rPr>
          <w:rFonts w:ascii="Times New Roman" w:hAnsi="Times New Roman" w:cs="Times New Roman"/>
          <w:color w:val="000000" w:themeColor="text1"/>
        </w:rPr>
      </w:pPr>
    </w:p>
    <w:p w14:paraId="354A80E4" w14:textId="77777777" w:rsidR="00D93353" w:rsidRPr="00AF0CC3" w:rsidRDefault="00D93353" w:rsidP="00D93353">
      <w:pPr>
        <w:spacing w:before="240" w:line="360" w:lineRule="auto"/>
        <w:rPr>
          <w:rFonts w:ascii="Times New Roman" w:hAnsi="Times New Roman" w:cs="Times New Roman"/>
          <w:color w:val="000000" w:themeColor="text1"/>
        </w:rPr>
      </w:pPr>
      <w:r w:rsidRPr="00AF0CC3">
        <w:rPr>
          <w:rFonts w:ascii="Times New Roman" w:hAnsi="Times New Roman" w:cs="Times New Roman"/>
          <w:color w:val="000000" w:themeColor="text1"/>
        </w:rPr>
        <w:t>The weaker support observed for cost outcomes likely reflects both incomplete expenditure data and the multidimensional nature of infrastructure cost performance. Unlike project stalling and implementation delays, which are often closely linked to governance processes, infrastructure costs are influenced by a broader range of factors extending beyond governance arrangements alone. Consequently, the relationship between governance quality and cost performance may be less direct and more difficult to isolate empirically.</w:t>
      </w:r>
    </w:p>
    <w:p w14:paraId="063F77B5" w14:textId="77777777" w:rsidR="00D93353" w:rsidRPr="00AF0CC3" w:rsidRDefault="00D93353" w:rsidP="00D93353">
      <w:pPr>
        <w:spacing w:before="240" w:line="360" w:lineRule="auto"/>
        <w:rPr>
          <w:rFonts w:ascii="Times New Roman" w:hAnsi="Times New Roman" w:cs="Times New Roman"/>
          <w:color w:val="000000" w:themeColor="text1"/>
        </w:rPr>
      </w:pPr>
    </w:p>
    <w:p w14:paraId="4BE01C2A" w14:textId="77777777" w:rsidR="00D93353" w:rsidRPr="00AF0CC3" w:rsidRDefault="00D93353" w:rsidP="00D93353">
      <w:pPr>
        <w:spacing w:before="240" w:line="360" w:lineRule="auto"/>
        <w:rPr>
          <w:rFonts w:ascii="Times New Roman" w:hAnsi="Times New Roman" w:cs="Times New Roman"/>
          <w:color w:val="000000" w:themeColor="text1"/>
        </w:rPr>
      </w:pPr>
      <w:r w:rsidRPr="00AF0CC3">
        <w:rPr>
          <w:rFonts w:ascii="Times New Roman" w:hAnsi="Times New Roman" w:cs="Times New Roman"/>
          <w:color w:val="000000" w:themeColor="text1"/>
        </w:rPr>
        <w:t>Several external factors may influence infrastructure expenditure outcomes independently of governance quality. Inflation can substantially increase project costs during extended implementation periods, particularly in large-scale infrastructure projects spanning multiple years. Exchange-rate fluctuations may affect the cost of imported materials, equipment, and specialized services. Similarly, changes in global commodity prices can influence the cost of construction inputs such as steel, cement, fuel, and machinery. These factors may contribute to expenditure variability even within projects characterized by relatively strong governance arrangements.</w:t>
      </w:r>
    </w:p>
    <w:p w14:paraId="6FA5670C" w14:textId="77777777" w:rsidR="00D93353" w:rsidRPr="00AF0CC3" w:rsidRDefault="00D93353" w:rsidP="00D93353">
      <w:pPr>
        <w:spacing w:before="240" w:line="360" w:lineRule="auto"/>
        <w:rPr>
          <w:rFonts w:ascii="Times New Roman" w:hAnsi="Times New Roman" w:cs="Times New Roman"/>
          <w:color w:val="000000" w:themeColor="text1"/>
        </w:rPr>
      </w:pPr>
    </w:p>
    <w:p w14:paraId="376F37DD" w14:textId="77777777" w:rsidR="00D93353" w:rsidRPr="00AF0CC3" w:rsidRDefault="00D93353" w:rsidP="00D93353">
      <w:pPr>
        <w:spacing w:before="240" w:line="360" w:lineRule="auto"/>
        <w:rPr>
          <w:rFonts w:ascii="Times New Roman" w:hAnsi="Times New Roman" w:cs="Times New Roman"/>
          <w:color w:val="000000" w:themeColor="text1"/>
        </w:rPr>
      </w:pPr>
      <w:r w:rsidRPr="00AF0CC3">
        <w:rPr>
          <w:rFonts w:ascii="Times New Roman" w:hAnsi="Times New Roman" w:cs="Times New Roman"/>
          <w:color w:val="000000" w:themeColor="text1"/>
        </w:rPr>
        <w:t xml:space="preserve">At the same time, governance quality may still influence financial performance indirectly through its effect on project execution conditions. Procurement disputes, financing interruptions, delayed payments, contractual disputes, implementation inefficiencies, and weak oversight mechanisms can contribute to expenditure volatility by disrupting implementation processes and </w:t>
      </w:r>
      <w:r w:rsidRPr="00AF0CC3">
        <w:rPr>
          <w:rFonts w:ascii="Times New Roman" w:hAnsi="Times New Roman" w:cs="Times New Roman"/>
          <w:color w:val="000000" w:themeColor="text1"/>
        </w:rPr>
        <w:lastRenderedPageBreak/>
        <w:t>increasing project uncertainty. Strong governance arrangements may therefore support financial stability by reducing the occurrence and severity of such implementation disruptions.</w:t>
      </w:r>
    </w:p>
    <w:p w14:paraId="40BEE08B" w14:textId="77777777" w:rsidR="00D93353" w:rsidRPr="00AF0CC3" w:rsidRDefault="00D93353" w:rsidP="00D93353">
      <w:pPr>
        <w:spacing w:before="240" w:line="360" w:lineRule="auto"/>
        <w:rPr>
          <w:rFonts w:ascii="Times New Roman" w:hAnsi="Times New Roman" w:cs="Times New Roman"/>
          <w:color w:val="000000" w:themeColor="text1"/>
        </w:rPr>
      </w:pPr>
    </w:p>
    <w:p w14:paraId="75B9045E" w14:textId="77777777" w:rsidR="00D93353" w:rsidRPr="00AF0CC3" w:rsidRDefault="00D93353" w:rsidP="00D93353">
      <w:pPr>
        <w:spacing w:before="240" w:line="360" w:lineRule="auto"/>
        <w:rPr>
          <w:rFonts w:ascii="Times New Roman" w:hAnsi="Times New Roman" w:cs="Times New Roman"/>
          <w:color w:val="000000" w:themeColor="text1"/>
        </w:rPr>
      </w:pPr>
      <w:r w:rsidRPr="00AF0CC3">
        <w:rPr>
          <w:rFonts w:ascii="Times New Roman" w:hAnsi="Times New Roman" w:cs="Times New Roman"/>
          <w:color w:val="000000" w:themeColor="text1"/>
        </w:rPr>
        <w:t>The weaker association observed between governance quality and cost performance provides an important qualification to existing infrastructure governance literature. Although governance reforms are frequently expected to improve both implementation efficiency and financial performance (World Bank, 2017; OECD, 2020), the findings suggest that project-level governance may exert a stronger association with implementation continuity and schedule performance than with expenditure outcomes. Cost performance appears to remain substantially influenced by external factors, including inflation, exchange-rate movements, commodity price fluctuations, contractual claims, financing structures, and broader macroeconomic conditions, many of which operate beyond the direct influence of project governance arrangements. Rather than indicating that governance is unimportant for financial performance, these findings suggest that its influence may be mediated by wider economic and market conditions. This interpretation refines existing infrastructure governance literature by indicating that governance effectiveness may vary across dimensions of project performance, exerting a stronger influence on implementation processes than on final cost outcomes, in which external economic forces play a more dominant role. Further research using more comprehensive expenditure datasets and longitudinal designs would help clarify these relationships.</w:t>
      </w:r>
    </w:p>
    <w:p w14:paraId="55E97C1D" w14:textId="77777777" w:rsidR="00D93353" w:rsidRPr="00AF0CC3" w:rsidRDefault="00D93353" w:rsidP="00D93353">
      <w:pPr>
        <w:spacing w:before="240" w:line="360" w:lineRule="auto"/>
        <w:rPr>
          <w:rFonts w:ascii="Times New Roman" w:hAnsi="Times New Roman" w:cs="Times New Roman"/>
          <w:color w:val="000000" w:themeColor="text1"/>
        </w:rPr>
      </w:pPr>
    </w:p>
    <w:p w14:paraId="794B4903" w14:textId="62F21B99" w:rsidR="00D93353" w:rsidRPr="00AF0CC3" w:rsidRDefault="00D93353" w:rsidP="00D93353">
      <w:pPr>
        <w:pStyle w:val="Heading3"/>
        <w:spacing w:before="240" w:line="360" w:lineRule="auto"/>
        <w:rPr>
          <w:rFonts w:cs="Times New Roman"/>
          <w:b w:val="0"/>
          <w:bCs/>
          <w:color w:val="000000" w:themeColor="text1"/>
          <w:szCs w:val="24"/>
        </w:rPr>
      </w:pPr>
      <w:bookmarkStart w:id="523" w:name="_Toc233318825"/>
      <w:bookmarkStart w:id="524" w:name="_Toc234344899"/>
      <w:bookmarkStart w:id="525" w:name="_Toc234489131"/>
      <w:r w:rsidRPr="00AF0CC3">
        <w:rPr>
          <w:rFonts w:cs="Times New Roman"/>
          <w:bCs/>
          <w:color w:val="000000" w:themeColor="text1"/>
          <w:szCs w:val="24"/>
        </w:rPr>
        <w:t>Governance Quality, Climate Risk, and Political Transition</w:t>
      </w:r>
      <w:bookmarkEnd w:id="523"/>
      <w:bookmarkEnd w:id="524"/>
      <w:bookmarkEnd w:id="525"/>
    </w:p>
    <w:p w14:paraId="583CE82E" w14:textId="77777777" w:rsidR="00D93353" w:rsidRPr="00AF0CC3" w:rsidRDefault="00D93353" w:rsidP="00D93353">
      <w:pPr>
        <w:spacing w:before="240" w:line="360" w:lineRule="auto"/>
        <w:rPr>
          <w:rFonts w:ascii="Times New Roman" w:hAnsi="Times New Roman" w:cs="Times New Roman"/>
          <w:color w:val="000000" w:themeColor="text1"/>
        </w:rPr>
      </w:pPr>
    </w:p>
    <w:p w14:paraId="33A422B9" w14:textId="77777777" w:rsidR="00D93353" w:rsidRPr="00AF0CC3" w:rsidRDefault="00D93353" w:rsidP="00D93353">
      <w:pPr>
        <w:spacing w:before="240" w:line="360" w:lineRule="auto"/>
        <w:rPr>
          <w:rFonts w:ascii="Times New Roman" w:hAnsi="Times New Roman" w:cs="Times New Roman"/>
          <w:color w:val="000000" w:themeColor="text1"/>
        </w:rPr>
      </w:pPr>
      <w:r w:rsidRPr="00AF0CC3">
        <w:rPr>
          <w:rFonts w:ascii="Times New Roman" w:hAnsi="Times New Roman" w:cs="Times New Roman"/>
          <w:color w:val="000000" w:themeColor="text1"/>
        </w:rPr>
        <w:t xml:space="preserve">The findings indicate that governance quality influences infrastructure performance not only through implementation efficiency but also through institutional resilience. Projects characterized by stronger governance arrangements contributed to greater implementation continuity during periods of climate-related disruption and political transition than projects operating within weaker governance environments. This observation suggests that governance </w:t>
      </w:r>
      <w:r w:rsidRPr="00AF0CC3">
        <w:rPr>
          <w:rFonts w:ascii="Times New Roman" w:hAnsi="Times New Roman" w:cs="Times New Roman"/>
          <w:color w:val="000000" w:themeColor="text1"/>
        </w:rPr>
        <w:lastRenderedPageBreak/>
        <w:t>quality may function as a form of institutional resilience capacity capable of supporting adaptation and continuity under conditions of uncertainty.</w:t>
      </w:r>
    </w:p>
    <w:p w14:paraId="3AD4F045" w14:textId="77777777" w:rsidR="00D93353" w:rsidRPr="00AF0CC3" w:rsidRDefault="00D93353" w:rsidP="00D93353">
      <w:pPr>
        <w:spacing w:before="240" w:line="360" w:lineRule="auto"/>
        <w:rPr>
          <w:rFonts w:ascii="Times New Roman" w:hAnsi="Times New Roman" w:cs="Times New Roman"/>
          <w:color w:val="000000" w:themeColor="text1"/>
        </w:rPr>
      </w:pPr>
    </w:p>
    <w:p w14:paraId="16125179" w14:textId="77777777" w:rsidR="00D93353" w:rsidRPr="00AF0CC3" w:rsidRDefault="00D93353" w:rsidP="00D93353">
      <w:pPr>
        <w:spacing w:before="240" w:line="360" w:lineRule="auto"/>
        <w:rPr>
          <w:rFonts w:ascii="Times New Roman" w:hAnsi="Times New Roman" w:cs="Times New Roman"/>
          <w:color w:val="000000" w:themeColor="text1"/>
        </w:rPr>
      </w:pPr>
      <w:r w:rsidRPr="00AF0CC3">
        <w:rPr>
          <w:rFonts w:ascii="Times New Roman" w:hAnsi="Times New Roman" w:cs="Times New Roman"/>
          <w:color w:val="000000" w:themeColor="text1"/>
        </w:rPr>
        <w:t>Climate-related disruptions have become increasingly important determinants of infrastructure performance, particularly in countries experiencing growing climate variability and extreme weather events. Droughts, floods, changing hydrological conditions, and environmental shocks can disrupt construction schedules, increase implementation costs, alter project priorities, and strain institutional resources. Under such conditions, effective governance systems become critical for coordinating responses, reallocating resources, managing risks, and maintaining implementation momentum.</w:t>
      </w:r>
    </w:p>
    <w:p w14:paraId="57CC5098" w14:textId="77777777" w:rsidR="00D93353" w:rsidRPr="00AF0CC3" w:rsidRDefault="00D93353" w:rsidP="00D93353">
      <w:pPr>
        <w:spacing w:before="240" w:line="360" w:lineRule="auto"/>
        <w:rPr>
          <w:rFonts w:ascii="Times New Roman" w:hAnsi="Times New Roman" w:cs="Times New Roman"/>
          <w:color w:val="000000" w:themeColor="text1"/>
        </w:rPr>
      </w:pPr>
    </w:p>
    <w:p w14:paraId="543CB58D" w14:textId="77777777" w:rsidR="00D93353" w:rsidRPr="00AF0CC3" w:rsidRDefault="00D93353" w:rsidP="00D93353">
      <w:pPr>
        <w:spacing w:before="240" w:line="360" w:lineRule="auto"/>
        <w:rPr>
          <w:rFonts w:ascii="Times New Roman" w:hAnsi="Times New Roman" w:cs="Times New Roman"/>
          <w:color w:val="000000" w:themeColor="text1"/>
        </w:rPr>
      </w:pPr>
      <w:r w:rsidRPr="00AF0CC3">
        <w:rPr>
          <w:rFonts w:ascii="Times New Roman" w:hAnsi="Times New Roman" w:cs="Times New Roman"/>
          <w:color w:val="000000" w:themeColor="text1"/>
        </w:rPr>
        <w:t>The results are consistent with emerging perspectives on climate adaptation governance, which emphasize the importance of institutional capacity, coordination mechanisms, information systems, and adaptive decision-making processes in supporting resilience (OECD, 2020; World Bank, 2017). Strong governance arrangements appear to provide organizational structures capable of responding more effectively to environmental uncertainty while preserving implementation continuity.</w:t>
      </w:r>
    </w:p>
    <w:p w14:paraId="380DD65D" w14:textId="77777777" w:rsidR="00D93353" w:rsidRPr="00AF0CC3" w:rsidRDefault="00D93353" w:rsidP="00D93353">
      <w:pPr>
        <w:spacing w:before="240" w:line="360" w:lineRule="auto"/>
        <w:rPr>
          <w:rFonts w:ascii="Times New Roman" w:hAnsi="Times New Roman" w:cs="Times New Roman"/>
          <w:color w:val="000000" w:themeColor="text1"/>
        </w:rPr>
      </w:pPr>
    </w:p>
    <w:p w14:paraId="05E57618" w14:textId="77777777" w:rsidR="00D93353" w:rsidRPr="00AF0CC3" w:rsidRDefault="00D93353" w:rsidP="00D93353">
      <w:pPr>
        <w:spacing w:before="240" w:line="360" w:lineRule="auto"/>
        <w:rPr>
          <w:rFonts w:ascii="Times New Roman" w:hAnsi="Times New Roman" w:cs="Times New Roman"/>
          <w:color w:val="000000" w:themeColor="text1"/>
        </w:rPr>
      </w:pPr>
      <w:r w:rsidRPr="00AF0CC3">
        <w:rPr>
          <w:rFonts w:ascii="Times New Roman" w:hAnsi="Times New Roman" w:cs="Times New Roman"/>
          <w:color w:val="000000" w:themeColor="text1"/>
        </w:rPr>
        <w:t>A similar pattern emerged in relation to political transition conditions. Infrastructure projects often extend across multiple electoral cycles and administrative transitions. Changes in political leadership can affect funding priorities, institutional structures, implementation arrangements, and project oversight mechanisms. Projects operating within stronger governance environments strengthened the ability to withstand these disruptions because institutional processes, accountability mechanisms, and oversight structures provided continuity beyond individual political administration.</w:t>
      </w:r>
    </w:p>
    <w:p w14:paraId="4EF0350F" w14:textId="77777777" w:rsidR="00D93353" w:rsidRPr="00AF0CC3" w:rsidRDefault="00D93353" w:rsidP="00D93353">
      <w:pPr>
        <w:spacing w:before="240" w:line="360" w:lineRule="auto"/>
        <w:rPr>
          <w:rFonts w:ascii="Times New Roman" w:hAnsi="Times New Roman" w:cs="Times New Roman"/>
          <w:color w:val="000000" w:themeColor="text1"/>
        </w:rPr>
      </w:pPr>
    </w:p>
    <w:p w14:paraId="70305F15" w14:textId="77777777" w:rsidR="00D93353" w:rsidRPr="00AF0CC3" w:rsidRDefault="00D93353" w:rsidP="00D93353">
      <w:pPr>
        <w:spacing w:before="240" w:line="360" w:lineRule="auto"/>
        <w:rPr>
          <w:rFonts w:ascii="Times New Roman" w:hAnsi="Times New Roman" w:cs="Times New Roman"/>
          <w:color w:val="000000" w:themeColor="text1"/>
        </w:rPr>
      </w:pPr>
      <w:r w:rsidRPr="00AF0CC3">
        <w:rPr>
          <w:rFonts w:ascii="Times New Roman" w:hAnsi="Times New Roman" w:cs="Times New Roman"/>
          <w:color w:val="000000" w:themeColor="text1"/>
        </w:rPr>
        <w:lastRenderedPageBreak/>
        <w:t>The findings also contribute to the growing literature on governance and resilience. Existing infrastructure governance frameworks primarily emphasize governance as a mechanism for improving efficiency, accountability, transparency, and implementation performance (OECD, 2020; World Bank, 2017). However, the documentary evidence reviewed in this study suggests that governance arrangements may also function as a form of institutional resilience capacity. Projects characterized by stronger documentation systems, clearer institutional responsibilities, more consistent oversight, and effective coordination demonstrated greater ability to sustain implementation during periods of drought, flooding, and political transition. In contrast, projects operating within weaker governance environments experienced greater implementation disruption when external shocks occurred. Although these observations identify associations rather than causal relationships, they suggest that governance may contribute to adaptive capacity by enabling institutions to coordinate responses, manage uncertainty, and sustain implementation under changing conditions. This interpretation extends existing governance literature by positioning resilience as a core governance function rather than simply an indirect consequence of effective administration (Andrews, Pritchett, &amp; Woolcock, 2017).</w:t>
      </w:r>
    </w:p>
    <w:p w14:paraId="0ABC9248" w14:textId="77777777" w:rsidR="00D93353" w:rsidRPr="00AF0CC3" w:rsidRDefault="00D93353" w:rsidP="00D93353">
      <w:pPr>
        <w:spacing w:before="240" w:line="360" w:lineRule="auto"/>
        <w:rPr>
          <w:rFonts w:ascii="Times New Roman" w:hAnsi="Times New Roman" w:cs="Times New Roman"/>
          <w:color w:val="000000" w:themeColor="text1"/>
        </w:rPr>
      </w:pPr>
      <w:r w:rsidRPr="00AF0CC3">
        <w:rPr>
          <w:rFonts w:ascii="Times New Roman" w:hAnsi="Times New Roman" w:cs="Times New Roman"/>
          <w:color w:val="000000" w:themeColor="text1"/>
        </w:rPr>
        <w:t>Documentary evidence from the sampled projects provides illustrative support for this interpretation. For example, Karimenu II Dam maintained implementation progress despite prolonged drought conditions and changing administrative contexts, supported by relatively strong procurement management, institutional coordination, and project oversight. By contrast, projects such as Arror Dam experienced prolonged implementation disruption following governance-related investigations, procurement disputes, and financing interruptions, illustrating how external shocks can be amplified where governance systems are fragmented or institutional coordination is weakened. Although these examples are illustrative rather than causal, they demonstrate how governance arrangements may influence an institution's capacity to sustain implementation under conditions of uncertainty.</w:t>
      </w:r>
    </w:p>
    <w:p w14:paraId="7F448C20" w14:textId="77777777" w:rsidR="00D93353" w:rsidRPr="00AF0CC3" w:rsidRDefault="00D93353" w:rsidP="00D93353">
      <w:pPr>
        <w:spacing w:before="240" w:line="360" w:lineRule="auto"/>
        <w:rPr>
          <w:rFonts w:ascii="Times New Roman" w:hAnsi="Times New Roman" w:cs="Times New Roman"/>
          <w:color w:val="000000" w:themeColor="text1"/>
        </w:rPr>
      </w:pPr>
    </w:p>
    <w:p w14:paraId="03C09BC5" w14:textId="77777777" w:rsidR="00D93353" w:rsidRPr="00AF0CC3" w:rsidRDefault="00D93353" w:rsidP="00D93353">
      <w:pPr>
        <w:spacing w:before="240" w:line="360" w:lineRule="auto"/>
        <w:rPr>
          <w:rFonts w:ascii="Times New Roman" w:hAnsi="Times New Roman" w:cs="Times New Roman"/>
          <w:color w:val="000000" w:themeColor="text1"/>
        </w:rPr>
      </w:pPr>
      <w:r w:rsidRPr="00AF0CC3">
        <w:rPr>
          <w:rFonts w:ascii="Times New Roman" w:hAnsi="Times New Roman" w:cs="Times New Roman"/>
          <w:color w:val="000000" w:themeColor="text1"/>
        </w:rPr>
        <w:t xml:space="preserve">An important implication of this study is that governance should be conceptualized not only as an administrative mechanism for improving infrastructure delivery but also as an institutional capability that enables resilience under conditions of environmental, political, and administrative </w:t>
      </w:r>
      <w:r w:rsidRPr="00AF0CC3">
        <w:rPr>
          <w:rFonts w:ascii="Times New Roman" w:hAnsi="Times New Roman" w:cs="Times New Roman"/>
          <w:color w:val="000000" w:themeColor="text1"/>
        </w:rPr>
        <w:lastRenderedPageBreak/>
        <w:t>uncertainty. Viewing governance through this broader lens extends conventional perspectives on infrastructure governance by positioning resilience as a fundamental governance function rather than an incidental outcome of effective administration.</w:t>
      </w:r>
    </w:p>
    <w:p w14:paraId="0F2476A9" w14:textId="17832FC2" w:rsidR="00D93353" w:rsidRPr="00AF0CC3" w:rsidRDefault="00D93353" w:rsidP="00D93353">
      <w:pPr>
        <w:pStyle w:val="Heading3"/>
        <w:spacing w:before="240" w:line="360" w:lineRule="auto"/>
        <w:rPr>
          <w:rFonts w:cs="Times New Roman"/>
          <w:b w:val="0"/>
          <w:bCs/>
          <w:color w:val="000000" w:themeColor="text1"/>
          <w:szCs w:val="24"/>
        </w:rPr>
      </w:pPr>
      <w:bookmarkStart w:id="526" w:name="_Toc233318826"/>
      <w:bookmarkStart w:id="527" w:name="_Toc234344900"/>
      <w:bookmarkStart w:id="528" w:name="_Toc234489132"/>
      <w:r w:rsidRPr="00AF0CC3">
        <w:rPr>
          <w:rFonts w:cs="Times New Roman"/>
          <w:bCs/>
          <w:color w:val="000000" w:themeColor="text1"/>
          <w:szCs w:val="24"/>
        </w:rPr>
        <w:t>Documentation Accessibility and Decentralized Governance Capacity</w:t>
      </w:r>
      <w:bookmarkEnd w:id="526"/>
      <w:bookmarkEnd w:id="527"/>
      <w:bookmarkEnd w:id="528"/>
    </w:p>
    <w:p w14:paraId="04E8FDAD" w14:textId="77777777" w:rsidR="00D93353" w:rsidRPr="00AF0CC3" w:rsidRDefault="00D93353" w:rsidP="00D93353">
      <w:pPr>
        <w:spacing w:before="240" w:line="360" w:lineRule="auto"/>
        <w:rPr>
          <w:rFonts w:ascii="Times New Roman" w:hAnsi="Times New Roman" w:cs="Times New Roman"/>
          <w:color w:val="000000" w:themeColor="text1"/>
        </w:rPr>
      </w:pPr>
    </w:p>
    <w:p w14:paraId="795885E0" w14:textId="77777777" w:rsidR="00D93353" w:rsidRPr="00AF0CC3" w:rsidRDefault="00D93353" w:rsidP="00D93353">
      <w:pPr>
        <w:spacing w:before="240" w:line="360" w:lineRule="auto"/>
        <w:rPr>
          <w:rFonts w:ascii="Times New Roman" w:hAnsi="Times New Roman" w:cs="Times New Roman"/>
          <w:color w:val="000000" w:themeColor="text1"/>
        </w:rPr>
      </w:pPr>
      <w:r w:rsidRPr="00AF0CC3">
        <w:rPr>
          <w:rFonts w:ascii="Times New Roman" w:hAnsi="Times New Roman" w:cs="Times New Roman"/>
          <w:color w:val="000000" w:themeColor="text1"/>
        </w:rPr>
        <w:t>One of the most distinctive findings emerging from this study relates to documentation accessibility and transparency. Of the fifty-one projects initially identified, nineteen were excluded from the final analytical sample because sufficient governance documentation was unavailable for consistent assessment. This represented approximately 37.3 percent of the original project population and occurred predominantly among county government-implemented projects.</w:t>
      </w:r>
    </w:p>
    <w:p w14:paraId="5414CCC6" w14:textId="77777777" w:rsidR="00D93353" w:rsidRPr="00AF0CC3" w:rsidRDefault="00D93353" w:rsidP="00D93353">
      <w:pPr>
        <w:spacing w:before="240" w:line="360" w:lineRule="auto"/>
        <w:rPr>
          <w:rFonts w:ascii="Times New Roman" w:hAnsi="Times New Roman" w:cs="Times New Roman"/>
          <w:color w:val="000000" w:themeColor="text1"/>
        </w:rPr>
      </w:pPr>
    </w:p>
    <w:p w14:paraId="3D009F12" w14:textId="77777777" w:rsidR="00D93353" w:rsidRPr="00AF0CC3" w:rsidRDefault="00D93353" w:rsidP="00D93353">
      <w:pPr>
        <w:spacing w:before="240" w:line="360" w:lineRule="auto"/>
        <w:rPr>
          <w:rFonts w:ascii="Times New Roman" w:hAnsi="Times New Roman" w:cs="Times New Roman"/>
          <w:color w:val="000000" w:themeColor="text1"/>
        </w:rPr>
      </w:pPr>
      <w:r w:rsidRPr="00AF0CC3">
        <w:rPr>
          <w:rFonts w:ascii="Times New Roman" w:hAnsi="Times New Roman" w:cs="Times New Roman"/>
          <w:color w:val="000000" w:themeColor="text1"/>
        </w:rPr>
        <w:t>The absence of accessible documentation emerged as both a methodological challenge and a substantive governance finding. Methodologically, incomplete records limit the ability to consistently evaluate governance quality across all identified projects. From a governance perspective, however, documentation deficiencies pointed to broader institutional issues relating to transparency, administrative capacity, records management, and accountability within decentralized implementation environments.</w:t>
      </w:r>
    </w:p>
    <w:p w14:paraId="5BE358E5" w14:textId="77777777" w:rsidR="00D93353" w:rsidRPr="00AF0CC3" w:rsidRDefault="00D93353" w:rsidP="00D93353">
      <w:pPr>
        <w:spacing w:before="240" w:line="360" w:lineRule="auto"/>
        <w:rPr>
          <w:rFonts w:ascii="Times New Roman" w:hAnsi="Times New Roman" w:cs="Times New Roman"/>
          <w:color w:val="000000" w:themeColor="text1"/>
        </w:rPr>
      </w:pPr>
    </w:p>
    <w:p w14:paraId="3BD61D7C" w14:textId="77777777" w:rsidR="00D93353" w:rsidRPr="00AF0CC3" w:rsidRDefault="00D93353" w:rsidP="00D93353">
      <w:pPr>
        <w:spacing w:before="240" w:line="360" w:lineRule="auto"/>
        <w:rPr>
          <w:rFonts w:ascii="Times New Roman" w:hAnsi="Times New Roman" w:cs="Times New Roman"/>
          <w:color w:val="000000" w:themeColor="text1"/>
        </w:rPr>
      </w:pPr>
      <w:r w:rsidRPr="00AF0CC3">
        <w:rPr>
          <w:rFonts w:ascii="Times New Roman" w:hAnsi="Times New Roman" w:cs="Times New Roman"/>
          <w:color w:val="000000" w:themeColor="text1"/>
        </w:rPr>
        <w:t>Effective governance depends not only on the existence of formal policies, procedures, and oversight mechanisms but also on institutions' capacity to maintain complete, accessible, and verifiable records throughout the project lifecycle. Documentary evidence provides the basis for audit review, public accountability, performance evaluation, organizational learning, and informed decision-making. Where record management systems are weak, the ability to demonstrate effective governance and objectively assess project performance becomes substantially constrained.</w:t>
      </w:r>
    </w:p>
    <w:p w14:paraId="20360527" w14:textId="77777777" w:rsidR="00D93353" w:rsidRPr="00AF0CC3" w:rsidRDefault="00D93353" w:rsidP="00D93353">
      <w:pPr>
        <w:spacing w:before="240" w:line="360" w:lineRule="auto"/>
        <w:rPr>
          <w:rFonts w:ascii="Times New Roman" w:hAnsi="Times New Roman" w:cs="Times New Roman"/>
          <w:color w:val="000000" w:themeColor="text1"/>
        </w:rPr>
      </w:pPr>
    </w:p>
    <w:p w14:paraId="53705A3F" w14:textId="77777777" w:rsidR="00D93353" w:rsidRPr="00AF0CC3" w:rsidRDefault="00D93353" w:rsidP="00D93353">
      <w:pPr>
        <w:spacing w:before="240" w:line="360" w:lineRule="auto"/>
        <w:rPr>
          <w:rFonts w:ascii="Times New Roman" w:hAnsi="Times New Roman" w:cs="Times New Roman"/>
          <w:color w:val="000000" w:themeColor="text1"/>
        </w:rPr>
      </w:pPr>
      <w:r w:rsidRPr="00AF0CC3">
        <w:rPr>
          <w:rFonts w:ascii="Times New Roman" w:hAnsi="Times New Roman" w:cs="Times New Roman"/>
          <w:color w:val="000000" w:themeColor="text1"/>
        </w:rPr>
        <w:lastRenderedPageBreak/>
        <w:t>The concentration of documentation deficiencies among county-level projects also provides insight into the governance implications of devolution. Although decentralization has expanded county responsibility for infrastructure planning and implementation, institutional capacity has not developed uniformly across all counties. Variations in administrative systems, records management practices, staffing capacity, and organizational maturity may contribute to differences in documentation quality and governance performance. This observation suggests that the effectiveness of decentralized governance depends not only on the transfer of functions but also on the institutional capacity required to support them.</w:t>
      </w:r>
    </w:p>
    <w:p w14:paraId="1842FBC1" w14:textId="77777777" w:rsidR="00D93353" w:rsidRPr="00AF0CC3" w:rsidRDefault="00D93353" w:rsidP="00D93353">
      <w:pPr>
        <w:spacing w:before="240" w:line="360" w:lineRule="auto"/>
        <w:rPr>
          <w:rFonts w:ascii="Times New Roman" w:hAnsi="Times New Roman" w:cs="Times New Roman"/>
          <w:color w:val="000000" w:themeColor="text1"/>
        </w:rPr>
      </w:pPr>
    </w:p>
    <w:p w14:paraId="5CC0DEEC" w14:textId="77777777" w:rsidR="00D93353" w:rsidRPr="00AF0CC3" w:rsidRDefault="00D93353" w:rsidP="00D93353">
      <w:pPr>
        <w:spacing w:before="240" w:line="360" w:lineRule="auto"/>
        <w:rPr>
          <w:rFonts w:ascii="Times New Roman" w:hAnsi="Times New Roman" w:cs="Times New Roman"/>
          <w:color w:val="000000" w:themeColor="text1"/>
        </w:rPr>
      </w:pPr>
      <w:r w:rsidRPr="00AF0CC3">
        <w:rPr>
          <w:rFonts w:ascii="Times New Roman" w:hAnsi="Times New Roman" w:cs="Times New Roman"/>
          <w:color w:val="000000" w:themeColor="text1"/>
        </w:rPr>
        <w:t>Documentation accessibility should therefore be understood as more than a methodological consideration. Infrastructure governance research generally assumes that documentary evidence exists and typically treats incomplete records as a limitation affecting data quality or research validity (OECD, 2020). The present study suggests that the availability of documentation may itself constitute an indicator of institutional capability. The ability to produce complete, accessible, and verifiable project records reflects institutional capacity to sustain transparency, accountability, administrative continuity, and organizational learning. This interpretation extends existing governance literature by positioning documentation quality as a measurable governance outcome rather than simply an administrative by-product of project implementation.</w:t>
      </w:r>
    </w:p>
    <w:p w14:paraId="6E34EC55" w14:textId="77777777" w:rsidR="00D93353" w:rsidRPr="00AF0CC3" w:rsidRDefault="00D93353" w:rsidP="00D93353">
      <w:pPr>
        <w:spacing w:before="240" w:line="360" w:lineRule="auto"/>
        <w:rPr>
          <w:rFonts w:ascii="Times New Roman" w:hAnsi="Times New Roman" w:cs="Times New Roman"/>
          <w:color w:val="000000" w:themeColor="text1"/>
        </w:rPr>
      </w:pPr>
    </w:p>
    <w:p w14:paraId="7F5B6898" w14:textId="77777777" w:rsidR="00D93353" w:rsidRPr="00AF0CC3" w:rsidRDefault="00D93353" w:rsidP="00D93353">
      <w:pPr>
        <w:spacing w:before="240" w:line="360" w:lineRule="auto"/>
        <w:rPr>
          <w:rFonts w:ascii="Times New Roman" w:hAnsi="Times New Roman" w:cs="Times New Roman"/>
          <w:color w:val="000000" w:themeColor="text1"/>
        </w:rPr>
      </w:pPr>
      <w:r w:rsidRPr="00AF0CC3">
        <w:rPr>
          <w:rFonts w:ascii="Times New Roman" w:hAnsi="Times New Roman" w:cs="Times New Roman"/>
          <w:color w:val="000000" w:themeColor="text1"/>
        </w:rPr>
        <w:t>An important implication of this discussion is that documentation systems should be regarded as a strategic component of infrastructure governance rather than merely an administrative support function. Strengthening records management, information transparency, and documentation practices may improve not only accountability and oversight but also institutional learning, governance assessment, and implementation effectiveness, particularly within decentralized and resource-constrained implementation environments.</w:t>
      </w:r>
    </w:p>
    <w:p w14:paraId="70C888D3" w14:textId="4536ED6F" w:rsidR="00D93353" w:rsidRPr="00AF0CC3" w:rsidRDefault="00D93353" w:rsidP="00C316F2">
      <w:pPr>
        <w:pStyle w:val="Heading2"/>
        <w:rPr>
          <w:rFonts w:cs="Times New Roman"/>
          <w:color w:val="000000" w:themeColor="text1"/>
          <w:szCs w:val="24"/>
        </w:rPr>
      </w:pPr>
      <w:bookmarkStart w:id="529" w:name="_Toc233318827"/>
      <w:bookmarkStart w:id="530" w:name="_Toc234344901"/>
      <w:bookmarkStart w:id="531" w:name="_Toc234489133"/>
      <w:r w:rsidRPr="00AF0CC3">
        <w:rPr>
          <w:rFonts w:cs="Times New Roman"/>
          <w:color w:val="000000" w:themeColor="text1"/>
          <w:szCs w:val="24"/>
        </w:rPr>
        <w:t>Contribution to Knowledge</w:t>
      </w:r>
      <w:bookmarkEnd w:id="529"/>
      <w:bookmarkEnd w:id="530"/>
      <w:bookmarkEnd w:id="531"/>
    </w:p>
    <w:p w14:paraId="5835FF5C" w14:textId="77777777" w:rsidR="00D93353" w:rsidRPr="00AF0CC3" w:rsidRDefault="00D93353" w:rsidP="00D93353">
      <w:pPr>
        <w:spacing w:before="240" w:line="360" w:lineRule="auto"/>
        <w:rPr>
          <w:rFonts w:ascii="Times New Roman" w:hAnsi="Times New Roman" w:cs="Times New Roman"/>
          <w:color w:val="000000" w:themeColor="text1"/>
        </w:rPr>
      </w:pPr>
    </w:p>
    <w:p w14:paraId="2A925E3D" w14:textId="77777777" w:rsidR="00D93353" w:rsidRPr="00AF0CC3" w:rsidRDefault="00D93353" w:rsidP="00D93353">
      <w:pPr>
        <w:spacing w:before="240" w:line="360" w:lineRule="auto"/>
        <w:rPr>
          <w:rFonts w:ascii="Times New Roman" w:hAnsi="Times New Roman" w:cs="Times New Roman"/>
          <w:color w:val="000000" w:themeColor="text1"/>
        </w:rPr>
      </w:pPr>
      <w:r w:rsidRPr="00AF0CC3">
        <w:rPr>
          <w:rFonts w:ascii="Times New Roman" w:hAnsi="Times New Roman" w:cs="Times New Roman"/>
          <w:color w:val="000000" w:themeColor="text1"/>
        </w:rPr>
        <w:lastRenderedPageBreak/>
        <w:t xml:space="preserve">A central objective of doctoral research is to generate original knowledge that advances theory, methodology, empirical understanding, and professional practice. Beyond examining the relationship between governance quality and infrastructure delivery outcomes, this study contributes to the broader infrastructure governance literature by extending existing theoretical perspectives, developing a novel governance measurement framework, providing new empirical evidence from a developing-country context, and generating practical tools for governance reform and institutional strengthening. </w:t>
      </w:r>
    </w:p>
    <w:p w14:paraId="4C3620A1" w14:textId="77777777" w:rsidR="00D93353" w:rsidRPr="00AF0CC3" w:rsidRDefault="00D93353" w:rsidP="00D93353">
      <w:pPr>
        <w:spacing w:before="240" w:line="360" w:lineRule="auto"/>
        <w:rPr>
          <w:rFonts w:ascii="Times New Roman" w:hAnsi="Times New Roman" w:cs="Times New Roman"/>
          <w:color w:val="000000" w:themeColor="text1"/>
        </w:rPr>
      </w:pPr>
      <w:r w:rsidRPr="00AF0CC3">
        <w:rPr>
          <w:rFonts w:ascii="Times New Roman" w:hAnsi="Times New Roman" w:cs="Times New Roman"/>
          <w:color w:val="000000" w:themeColor="text1"/>
        </w:rPr>
        <w:t>The theoretical, methodological, empirical, and practical insights generated by this study strengthen the understanding of the role of governance in shaping infrastructure performance and provide a basis for future scholarly inquiry, policy reform, and implementation practice.</w:t>
      </w:r>
    </w:p>
    <w:p w14:paraId="538E8B7E" w14:textId="77777777" w:rsidR="00D93353" w:rsidRPr="00AF0CC3" w:rsidRDefault="00D93353" w:rsidP="00D93353">
      <w:pPr>
        <w:spacing w:before="240" w:line="360" w:lineRule="auto"/>
        <w:rPr>
          <w:rFonts w:ascii="Times New Roman" w:hAnsi="Times New Roman" w:cs="Times New Roman"/>
          <w:color w:val="000000" w:themeColor="text1"/>
        </w:rPr>
      </w:pPr>
    </w:p>
    <w:p w14:paraId="1E8A33CC" w14:textId="1E6DFB93" w:rsidR="00D93353" w:rsidRPr="00AF0CC3" w:rsidRDefault="00D93353" w:rsidP="00D93353">
      <w:pPr>
        <w:pStyle w:val="Heading3"/>
        <w:spacing w:before="240" w:line="360" w:lineRule="auto"/>
        <w:rPr>
          <w:rFonts w:cs="Times New Roman"/>
          <w:b w:val="0"/>
          <w:bCs/>
          <w:color w:val="000000" w:themeColor="text1"/>
          <w:szCs w:val="24"/>
        </w:rPr>
      </w:pPr>
      <w:bookmarkStart w:id="532" w:name="_Toc233318828"/>
      <w:bookmarkStart w:id="533" w:name="_Toc234344902"/>
      <w:bookmarkStart w:id="534" w:name="_Toc234489134"/>
      <w:r w:rsidRPr="00AF0CC3">
        <w:rPr>
          <w:rFonts w:cs="Times New Roman"/>
          <w:bCs/>
          <w:color w:val="000000" w:themeColor="text1"/>
          <w:szCs w:val="24"/>
        </w:rPr>
        <w:t>Theoretical Contribution</w:t>
      </w:r>
      <w:bookmarkEnd w:id="532"/>
      <w:bookmarkEnd w:id="533"/>
      <w:bookmarkEnd w:id="534"/>
    </w:p>
    <w:p w14:paraId="36F1D67A" w14:textId="77777777" w:rsidR="00D93353" w:rsidRPr="00AF0CC3" w:rsidRDefault="00D93353" w:rsidP="00D93353">
      <w:pPr>
        <w:spacing w:before="240" w:line="360" w:lineRule="auto"/>
        <w:rPr>
          <w:rFonts w:ascii="Times New Roman" w:hAnsi="Times New Roman" w:cs="Times New Roman"/>
          <w:color w:val="000000" w:themeColor="text1"/>
        </w:rPr>
      </w:pPr>
    </w:p>
    <w:p w14:paraId="76BDD717" w14:textId="77777777" w:rsidR="00D93353" w:rsidRPr="00AF0CC3" w:rsidRDefault="00D93353" w:rsidP="00D93353">
      <w:pPr>
        <w:spacing w:before="240" w:line="360" w:lineRule="auto"/>
        <w:rPr>
          <w:rFonts w:ascii="Times New Roman" w:hAnsi="Times New Roman" w:cs="Times New Roman"/>
          <w:color w:val="000000" w:themeColor="text1"/>
        </w:rPr>
      </w:pPr>
      <w:r w:rsidRPr="00AF0CC3">
        <w:rPr>
          <w:rFonts w:ascii="Times New Roman" w:hAnsi="Times New Roman" w:cs="Times New Roman"/>
          <w:color w:val="000000" w:themeColor="text1"/>
        </w:rPr>
        <w:t>The primary theoretical contribution of this study lies in its extension of lifecycle governance perspectives within infrastructure delivery research. Existing infrastructure governance literature has frequently examined governance in terms of individual dimensions, such as procurement systems, accountability mechanisms, stakeholder participation, project management practices, and institutional capacity. While these approaches have generated valuable insights, they often treat governance components as discrete variables operating independently of one another.</w:t>
      </w:r>
    </w:p>
    <w:p w14:paraId="6BF18636" w14:textId="77777777" w:rsidR="00D93353" w:rsidRPr="00AF0CC3" w:rsidRDefault="00D93353" w:rsidP="00D93353">
      <w:pPr>
        <w:spacing w:before="240" w:line="360" w:lineRule="auto"/>
        <w:rPr>
          <w:rFonts w:ascii="Times New Roman" w:hAnsi="Times New Roman" w:cs="Times New Roman"/>
          <w:color w:val="000000" w:themeColor="text1"/>
        </w:rPr>
      </w:pPr>
    </w:p>
    <w:p w14:paraId="2BB6C55F" w14:textId="77777777" w:rsidR="00D93353" w:rsidRPr="00AF0CC3" w:rsidRDefault="00D93353" w:rsidP="00D93353">
      <w:pPr>
        <w:spacing w:before="240" w:line="360" w:lineRule="auto"/>
        <w:rPr>
          <w:rFonts w:ascii="Times New Roman" w:hAnsi="Times New Roman" w:cs="Times New Roman"/>
          <w:color w:val="000000" w:themeColor="text1"/>
        </w:rPr>
      </w:pPr>
      <w:r w:rsidRPr="00AF0CC3">
        <w:rPr>
          <w:rFonts w:ascii="Times New Roman" w:hAnsi="Times New Roman" w:cs="Times New Roman"/>
          <w:color w:val="000000" w:themeColor="text1"/>
        </w:rPr>
        <w:t xml:space="preserve">The findings of this study indicate that infrastructure delivery is influenced by a set of interconnected institutional arrangements operating throughout the project lifecycle. The analysis demonstrated that procurement transparency, institutional coordination, audit responsiveness, contract supervision, payment reliability, documentation transparency, and risk management function as mutually reinforcing elements rather than independent administrative features. Their interaction across project preparation, procurement, implementation, monitoring, oversight, and </w:t>
      </w:r>
      <w:r w:rsidRPr="00AF0CC3">
        <w:rPr>
          <w:rFonts w:ascii="Times New Roman" w:hAnsi="Times New Roman" w:cs="Times New Roman"/>
          <w:color w:val="000000" w:themeColor="text1"/>
        </w:rPr>
        <w:lastRenderedPageBreak/>
        <w:t>accountability activities create conditions that either support or constrain implementation continuity, resilience, and delivery performance.</w:t>
      </w:r>
    </w:p>
    <w:p w14:paraId="1DBE9BD0" w14:textId="77777777" w:rsidR="00D93353" w:rsidRPr="00AF0CC3" w:rsidRDefault="00D93353" w:rsidP="00D93353">
      <w:pPr>
        <w:spacing w:before="240" w:line="360" w:lineRule="auto"/>
        <w:rPr>
          <w:rFonts w:ascii="Times New Roman" w:hAnsi="Times New Roman" w:cs="Times New Roman"/>
          <w:color w:val="000000" w:themeColor="text1"/>
        </w:rPr>
      </w:pPr>
    </w:p>
    <w:p w14:paraId="346C4D49" w14:textId="77777777" w:rsidR="00D93353" w:rsidRPr="00AF0CC3" w:rsidRDefault="00D93353" w:rsidP="00D93353">
      <w:pPr>
        <w:spacing w:before="240" w:line="360" w:lineRule="auto"/>
        <w:rPr>
          <w:rFonts w:ascii="Times New Roman" w:hAnsi="Times New Roman" w:cs="Times New Roman"/>
          <w:color w:val="000000" w:themeColor="text1"/>
        </w:rPr>
      </w:pPr>
      <w:r w:rsidRPr="00AF0CC3">
        <w:rPr>
          <w:rFonts w:ascii="Times New Roman" w:hAnsi="Times New Roman" w:cs="Times New Roman"/>
          <w:color w:val="000000" w:themeColor="text1"/>
        </w:rPr>
        <w:t>The study extends lifecycle governance perspectives by demonstrating that infrastructure outcomes are associated with the cumulative interaction of governance processes operating across the project lifecycle. Existing frameworks typically emphasize the importance of governance at different stages of project development but provide limited explanation of how weaknesses emerging in one phase may influence performance in subsequent stages. The findings indicate that project stalling, implementation delays, financial uncertainty, and delivery disruption were rarely associated with isolated governance deficiencies. Rather, procurement weaknesses, documentation gaps, payment delays, coordination challenges, and oversight shortcomings frequently reinforced one another, creating cumulative effects that influenced project performance. This observation suggests that governance failures are often systemic rather than stage-specific and highlights the importance of governance interdependence in shaping infrastructure outcomes.</w:t>
      </w:r>
    </w:p>
    <w:p w14:paraId="39DDB160" w14:textId="77777777" w:rsidR="00D93353" w:rsidRPr="00AF0CC3" w:rsidRDefault="00D93353" w:rsidP="00D93353">
      <w:pPr>
        <w:spacing w:before="240" w:line="360" w:lineRule="auto"/>
        <w:rPr>
          <w:rFonts w:ascii="Times New Roman" w:hAnsi="Times New Roman" w:cs="Times New Roman"/>
          <w:color w:val="000000" w:themeColor="text1"/>
        </w:rPr>
      </w:pPr>
      <w:r w:rsidRPr="00AF0CC3">
        <w:rPr>
          <w:rFonts w:ascii="Times New Roman" w:hAnsi="Times New Roman" w:cs="Times New Roman"/>
          <w:color w:val="000000" w:themeColor="text1"/>
        </w:rPr>
        <w:t>The study also contributes to infrastructure governance scholarship by highlighting the relationship between governance arrangements and resilience. Existing frameworks commonly emphasize efficiency, accountability, transparency, and compliance as the principal functions of governance. However, the evidence suggests that administrative arrangements may also support continuity and adaptation amid environmental disruption and political transition. This finding broadens the theoretical understanding of governance beyond administrative control and positions it as an institutional resource that may enhance infrastructure systems' capacity to absorb disruption and sustain performance under uncertainty.</w:t>
      </w:r>
    </w:p>
    <w:p w14:paraId="08EA9123" w14:textId="77777777" w:rsidR="00D93353" w:rsidRPr="00AF0CC3" w:rsidRDefault="00D93353" w:rsidP="00D93353">
      <w:pPr>
        <w:spacing w:before="240" w:line="360" w:lineRule="auto"/>
        <w:rPr>
          <w:rFonts w:ascii="Times New Roman" w:hAnsi="Times New Roman" w:cs="Times New Roman"/>
          <w:color w:val="000000" w:themeColor="text1"/>
        </w:rPr>
      </w:pPr>
      <w:r w:rsidRPr="00AF0CC3">
        <w:rPr>
          <w:rFonts w:ascii="Times New Roman" w:hAnsi="Times New Roman" w:cs="Times New Roman"/>
          <w:color w:val="000000" w:themeColor="text1"/>
        </w:rPr>
        <w:t>Existing lifecycle governance frameworks largely emphasize governance functions associated with project efficiency, accountability, and delivery performance. The findings of this study suggest that such frameworks may understate the role of governance as a resilience capability operating under conditions of climate disruption and political transition. This observation indicates that resilience should be treated as a core governance outcome rather than a secondary implementation consideration.</w:t>
      </w:r>
    </w:p>
    <w:p w14:paraId="29CE965A" w14:textId="77777777" w:rsidR="00D93353" w:rsidRPr="00AF0CC3" w:rsidRDefault="00D93353" w:rsidP="00D93353">
      <w:pPr>
        <w:spacing w:before="240" w:line="360" w:lineRule="auto"/>
        <w:rPr>
          <w:rFonts w:ascii="Times New Roman" w:hAnsi="Times New Roman" w:cs="Times New Roman"/>
          <w:color w:val="000000" w:themeColor="text1"/>
        </w:rPr>
      </w:pPr>
      <w:r w:rsidRPr="00AF0CC3">
        <w:rPr>
          <w:rFonts w:ascii="Times New Roman" w:hAnsi="Times New Roman" w:cs="Times New Roman"/>
          <w:color w:val="000000" w:themeColor="text1"/>
        </w:rPr>
        <w:lastRenderedPageBreak/>
        <w:t>More broadly, the findings contribute to institutional governance theory by indicating that infrastructure performance is associated with a range of interconnected institutional mechanisms. Stronger governance environments were associated with reduced uncertainty, more effective coordination, greater accountability, and improved responsiveness to implementation challenges. Rather than functioning solely as a compliance mechanism, governance emerges as a strategic institutional capability that helps shape delivery effectiveness, continuity, and resilience throughout the infrastructure lifecycle.</w:t>
      </w:r>
    </w:p>
    <w:p w14:paraId="756ABBBB" w14:textId="77777777" w:rsidR="00D93353" w:rsidRPr="00AF0CC3" w:rsidRDefault="00D93353" w:rsidP="00D93353">
      <w:pPr>
        <w:spacing w:before="240" w:line="360" w:lineRule="auto"/>
        <w:rPr>
          <w:rFonts w:ascii="Times New Roman" w:hAnsi="Times New Roman" w:cs="Times New Roman"/>
          <w:color w:val="000000" w:themeColor="text1"/>
        </w:rPr>
      </w:pPr>
    </w:p>
    <w:p w14:paraId="1AB0E840" w14:textId="1F4BAB7A" w:rsidR="00D93353" w:rsidRPr="00AF0CC3" w:rsidRDefault="00D93353" w:rsidP="00D93353">
      <w:pPr>
        <w:pStyle w:val="Heading3"/>
        <w:spacing w:before="240" w:line="360" w:lineRule="auto"/>
        <w:rPr>
          <w:rFonts w:cs="Times New Roman"/>
          <w:b w:val="0"/>
          <w:bCs/>
          <w:color w:val="000000" w:themeColor="text1"/>
          <w:szCs w:val="24"/>
        </w:rPr>
      </w:pPr>
      <w:bookmarkStart w:id="535" w:name="_Toc233318829"/>
      <w:bookmarkStart w:id="536" w:name="_Toc234344903"/>
      <w:bookmarkStart w:id="537" w:name="_Toc234489135"/>
      <w:r w:rsidRPr="00AF0CC3">
        <w:rPr>
          <w:rFonts w:cs="Times New Roman"/>
          <w:bCs/>
          <w:color w:val="000000" w:themeColor="text1"/>
          <w:szCs w:val="24"/>
        </w:rPr>
        <w:t>Methodological Contribution</w:t>
      </w:r>
      <w:bookmarkEnd w:id="535"/>
      <w:bookmarkEnd w:id="536"/>
      <w:bookmarkEnd w:id="537"/>
    </w:p>
    <w:p w14:paraId="0FCAA7B5" w14:textId="77777777" w:rsidR="00D93353" w:rsidRPr="00AF0CC3" w:rsidRDefault="00D93353" w:rsidP="00D93353">
      <w:pPr>
        <w:spacing w:before="240" w:line="360" w:lineRule="auto"/>
        <w:rPr>
          <w:rFonts w:ascii="Times New Roman" w:hAnsi="Times New Roman" w:cs="Times New Roman"/>
          <w:color w:val="000000" w:themeColor="text1"/>
        </w:rPr>
      </w:pPr>
    </w:p>
    <w:p w14:paraId="6C909707" w14:textId="77777777" w:rsidR="00D93353" w:rsidRPr="00AF0CC3" w:rsidRDefault="00D93353" w:rsidP="00D93353">
      <w:pPr>
        <w:spacing w:before="240" w:line="360" w:lineRule="auto"/>
        <w:rPr>
          <w:rFonts w:ascii="Times New Roman" w:hAnsi="Times New Roman" w:cs="Times New Roman"/>
          <w:color w:val="000000" w:themeColor="text1"/>
        </w:rPr>
      </w:pPr>
      <w:r w:rsidRPr="00AF0CC3">
        <w:rPr>
          <w:rFonts w:ascii="Times New Roman" w:hAnsi="Times New Roman" w:cs="Times New Roman"/>
          <w:color w:val="000000" w:themeColor="text1"/>
        </w:rPr>
        <w:t>A significant methodological contribution of this study is the development and application of the Governance Quality Index (GQI) as a project-level governance assessment framework. Measuring governance quality remains a persistent challenge within infrastructure research because governance is inherently multidimensional and often difficult to operationalize using observable indicators. Existing studies frequently rely on broad national governance indicators, qualitative institutional assessments, or individual governance variables that may not adequately capture project-level governance conditions.</w:t>
      </w:r>
    </w:p>
    <w:p w14:paraId="01FEE44D" w14:textId="77777777" w:rsidR="00D93353" w:rsidRPr="00AF0CC3" w:rsidRDefault="00D93353" w:rsidP="00D93353">
      <w:pPr>
        <w:spacing w:before="240" w:line="360" w:lineRule="auto"/>
        <w:rPr>
          <w:rFonts w:ascii="Times New Roman" w:hAnsi="Times New Roman" w:cs="Times New Roman"/>
          <w:color w:val="000000" w:themeColor="text1"/>
        </w:rPr>
      </w:pPr>
    </w:p>
    <w:p w14:paraId="2A892216" w14:textId="77777777" w:rsidR="00D93353" w:rsidRPr="00AF0CC3" w:rsidRDefault="00D93353" w:rsidP="00D93353">
      <w:pPr>
        <w:spacing w:before="240" w:line="360" w:lineRule="auto"/>
        <w:rPr>
          <w:rFonts w:ascii="Times New Roman" w:hAnsi="Times New Roman" w:cs="Times New Roman"/>
          <w:color w:val="000000" w:themeColor="text1"/>
        </w:rPr>
      </w:pPr>
      <w:r w:rsidRPr="00AF0CC3">
        <w:rPr>
          <w:rFonts w:ascii="Times New Roman" w:hAnsi="Times New Roman" w:cs="Times New Roman"/>
          <w:color w:val="000000" w:themeColor="text1"/>
        </w:rPr>
        <w:t>To address this challenge, the study developed and applied a project-level Governance Quality Index based on governance dimensions derived from OECD infrastructure governance principles, infrastructure governance literature, and project governance frameworks. The index enabled the systematic measurement of governance quality across projects using a transparent and replicable coding methodology. By converting governance characteristics into a structured quantitative measure, the study provided a practical mechanism for examining governance-performance relationships using project-level data.</w:t>
      </w:r>
    </w:p>
    <w:p w14:paraId="69ED5DBD" w14:textId="77777777" w:rsidR="00D93353" w:rsidRPr="00AF0CC3" w:rsidRDefault="00D93353" w:rsidP="00D93353">
      <w:pPr>
        <w:spacing w:before="240" w:line="360" w:lineRule="auto"/>
        <w:rPr>
          <w:rFonts w:ascii="Times New Roman" w:hAnsi="Times New Roman" w:cs="Times New Roman"/>
          <w:color w:val="000000" w:themeColor="text1"/>
        </w:rPr>
      </w:pPr>
    </w:p>
    <w:p w14:paraId="523211E5" w14:textId="77777777" w:rsidR="00D93353" w:rsidRPr="00AF0CC3" w:rsidRDefault="00D93353" w:rsidP="00D93353">
      <w:pPr>
        <w:spacing w:before="240" w:line="360" w:lineRule="auto"/>
        <w:rPr>
          <w:rFonts w:ascii="Times New Roman" w:hAnsi="Times New Roman" w:cs="Times New Roman"/>
          <w:color w:val="000000" w:themeColor="text1"/>
        </w:rPr>
      </w:pPr>
      <w:r w:rsidRPr="00AF0CC3">
        <w:rPr>
          <w:rFonts w:ascii="Times New Roman" w:hAnsi="Times New Roman" w:cs="Times New Roman"/>
          <w:color w:val="000000" w:themeColor="text1"/>
        </w:rPr>
        <w:lastRenderedPageBreak/>
        <w:t>The Governance Quality Index contributes methodologically by demonstrating how governance quality can be operationalized as an empirical construct capable of supporting comparative analysis, statistical modeling, and infrastructure performance evaluation. The framework may provide a foundation for future governance assessment studies and could be adapted for application within other infrastructure sectors, geographic regions, or institutional contexts.</w:t>
      </w:r>
    </w:p>
    <w:p w14:paraId="65E57028" w14:textId="77777777" w:rsidR="00D93353" w:rsidRPr="00AF0CC3" w:rsidRDefault="00D93353" w:rsidP="00D93353">
      <w:pPr>
        <w:spacing w:before="240" w:line="360" w:lineRule="auto"/>
        <w:rPr>
          <w:rFonts w:ascii="Times New Roman" w:hAnsi="Times New Roman" w:cs="Times New Roman"/>
          <w:color w:val="000000" w:themeColor="text1"/>
        </w:rPr>
      </w:pPr>
    </w:p>
    <w:p w14:paraId="2E0C92F0" w14:textId="77777777" w:rsidR="00D93353" w:rsidRPr="00AF0CC3" w:rsidRDefault="00D93353" w:rsidP="00D93353">
      <w:pPr>
        <w:spacing w:before="240" w:line="360" w:lineRule="auto"/>
        <w:rPr>
          <w:rFonts w:ascii="Times New Roman" w:hAnsi="Times New Roman" w:cs="Times New Roman"/>
          <w:color w:val="000000" w:themeColor="text1"/>
        </w:rPr>
      </w:pPr>
      <w:r w:rsidRPr="00AF0CC3">
        <w:rPr>
          <w:rFonts w:ascii="Times New Roman" w:hAnsi="Times New Roman" w:cs="Times New Roman"/>
          <w:color w:val="000000" w:themeColor="text1"/>
        </w:rPr>
        <w:t>The study also demonstrates the value of combining documentary analysis with quantitative modelling techniques to investigate governance-performance relationships. The integration of governance scoring, documentary assessment, descriptive statistics, comparative analysis, and regression modelling provides a methodological approach capable of addressing governance questions in environments where conventional survey or administrative datasets may be unavailable.</w:t>
      </w:r>
    </w:p>
    <w:p w14:paraId="336DC3F3" w14:textId="77777777" w:rsidR="00D93353" w:rsidRPr="00AF0CC3" w:rsidRDefault="00D93353" w:rsidP="00D93353">
      <w:pPr>
        <w:spacing w:before="240" w:line="360" w:lineRule="auto"/>
        <w:rPr>
          <w:rFonts w:ascii="Times New Roman" w:hAnsi="Times New Roman" w:cs="Times New Roman"/>
          <w:color w:val="000000" w:themeColor="text1"/>
        </w:rPr>
      </w:pPr>
    </w:p>
    <w:p w14:paraId="1503150D" w14:textId="6E1793A1" w:rsidR="00D93353" w:rsidRPr="00AF0CC3" w:rsidRDefault="00D93353" w:rsidP="00D93353">
      <w:pPr>
        <w:pStyle w:val="Heading3"/>
        <w:spacing w:before="240" w:line="360" w:lineRule="auto"/>
        <w:rPr>
          <w:rFonts w:cs="Times New Roman"/>
          <w:b w:val="0"/>
          <w:bCs/>
          <w:color w:val="000000" w:themeColor="text1"/>
          <w:szCs w:val="24"/>
        </w:rPr>
      </w:pPr>
      <w:r w:rsidRPr="00AF0CC3">
        <w:rPr>
          <w:rFonts w:cs="Times New Roman"/>
          <w:color w:val="000000" w:themeColor="text1"/>
          <w:szCs w:val="24"/>
        </w:rPr>
        <w:t xml:space="preserve"> </w:t>
      </w:r>
      <w:bookmarkStart w:id="538" w:name="_Toc233318830"/>
      <w:bookmarkStart w:id="539" w:name="_Toc234344904"/>
      <w:bookmarkStart w:id="540" w:name="_Toc234489136"/>
      <w:r w:rsidRPr="00AF0CC3">
        <w:rPr>
          <w:rFonts w:cs="Times New Roman"/>
          <w:bCs/>
          <w:color w:val="000000" w:themeColor="text1"/>
          <w:szCs w:val="24"/>
        </w:rPr>
        <w:t>Empirical Contribution</w:t>
      </w:r>
      <w:bookmarkEnd w:id="538"/>
      <w:bookmarkEnd w:id="539"/>
      <w:bookmarkEnd w:id="540"/>
    </w:p>
    <w:p w14:paraId="324B4A0C" w14:textId="77777777" w:rsidR="00D93353" w:rsidRPr="00AF0CC3" w:rsidRDefault="00D93353" w:rsidP="00D93353">
      <w:pPr>
        <w:spacing w:before="240" w:line="360" w:lineRule="auto"/>
        <w:rPr>
          <w:rFonts w:ascii="Times New Roman" w:hAnsi="Times New Roman" w:cs="Times New Roman"/>
          <w:color w:val="000000" w:themeColor="text1"/>
        </w:rPr>
      </w:pPr>
    </w:p>
    <w:p w14:paraId="0D647C4A" w14:textId="77777777" w:rsidR="00D93353" w:rsidRPr="00AF0CC3" w:rsidRDefault="00D93353" w:rsidP="00D93353">
      <w:pPr>
        <w:spacing w:before="240" w:line="360" w:lineRule="auto"/>
        <w:rPr>
          <w:rFonts w:ascii="Times New Roman" w:hAnsi="Times New Roman" w:cs="Times New Roman"/>
          <w:color w:val="000000" w:themeColor="text1"/>
        </w:rPr>
      </w:pPr>
      <w:r w:rsidRPr="00AF0CC3">
        <w:rPr>
          <w:rFonts w:ascii="Times New Roman" w:hAnsi="Times New Roman" w:cs="Times New Roman"/>
          <w:color w:val="000000" w:themeColor="text1"/>
        </w:rPr>
        <w:t>The study contributes new empirical evidence to an area of research where project-level governance data remains relatively limited. While governance and infrastructure performance have attracted growing scholarly attention, much of the existing evidence originates from developed economies, cross-country governance indices, public-private partnership studies, or sector-specific case analyses. Comparatively fewer studies have examined governance-performance relationships using project-level infrastructure data from low- and middle-income countries.</w:t>
      </w:r>
    </w:p>
    <w:p w14:paraId="6300D2C3" w14:textId="77777777" w:rsidR="00D93353" w:rsidRPr="00AF0CC3" w:rsidRDefault="00D93353" w:rsidP="00D93353">
      <w:pPr>
        <w:spacing w:before="240" w:line="360" w:lineRule="auto"/>
        <w:rPr>
          <w:rFonts w:ascii="Times New Roman" w:hAnsi="Times New Roman" w:cs="Times New Roman"/>
          <w:color w:val="000000" w:themeColor="text1"/>
        </w:rPr>
      </w:pPr>
    </w:p>
    <w:p w14:paraId="31A25F4D" w14:textId="77777777" w:rsidR="00D93353" w:rsidRPr="00AF0CC3" w:rsidRDefault="00D93353" w:rsidP="00D93353">
      <w:pPr>
        <w:spacing w:before="240" w:line="360" w:lineRule="auto"/>
        <w:rPr>
          <w:rFonts w:ascii="Times New Roman" w:hAnsi="Times New Roman" w:cs="Times New Roman"/>
          <w:color w:val="000000" w:themeColor="text1"/>
        </w:rPr>
      </w:pPr>
      <w:r w:rsidRPr="00AF0CC3">
        <w:rPr>
          <w:rFonts w:ascii="Times New Roman" w:hAnsi="Times New Roman" w:cs="Times New Roman"/>
          <w:color w:val="000000" w:themeColor="text1"/>
        </w:rPr>
        <w:t xml:space="preserve">The present study contributes to this literature by providing empirical evidence from thirty-two water infrastructure projects implemented in Kenya between 2012 and 2025. The findings demonstrate a consistent relationship between governance quality and infrastructure delivery </w:t>
      </w:r>
      <w:r w:rsidRPr="00AF0CC3">
        <w:rPr>
          <w:rFonts w:ascii="Times New Roman" w:hAnsi="Times New Roman" w:cs="Times New Roman"/>
          <w:color w:val="000000" w:themeColor="text1"/>
        </w:rPr>
        <w:lastRenderedPageBreak/>
        <w:t>outcomes, including project stalling, implementation delays, implementation continuity, and resilience under conditions of climate-related and political disruption.</w:t>
      </w:r>
    </w:p>
    <w:p w14:paraId="3D2EEC5B" w14:textId="77777777" w:rsidR="00D93353" w:rsidRPr="00AF0CC3" w:rsidRDefault="00D93353" w:rsidP="00D93353">
      <w:pPr>
        <w:spacing w:before="240" w:line="360" w:lineRule="auto"/>
        <w:rPr>
          <w:rFonts w:ascii="Times New Roman" w:hAnsi="Times New Roman" w:cs="Times New Roman"/>
          <w:color w:val="000000" w:themeColor="text1"/>
        </w:rPr>
      </w:pPr>
    </w:p>
    <w:p w14:paraId="4C2E41AA" w14:textId="77777777" w:rsidR="00D93353" w:rsidRPr="00AF0CC3" w:rsidRDefault="00D93353" w:rsidP="00D93353">
      <w:pPr>
        <w:spacing w:before="240" w:line="360" w:lineRule="auto"/>
        <w:rPr>
          <w:rFonts w:ascii="Times New Roman" w:hAnsi="Times New Roman" w:cs="Times New Roman"/>
          <w:color w:val="000000" w:themeColor="text1"/>
        </w:rPr>
      </w:pPr>
      <w:r w:rsidRPr="00AF0CC3">
        <w:rPr>
          <w:rFonts w:ascii="Times New Roman" w:hAnsi="Times New Roman" w:cs="Times New Roman"/>
          <w:color w:val="000000" w:themeColor="text1"/>
        </w:rPr>
        <w:t>The study further contributes empirical evidence concerning governance performance within decentralized implementation environments. The exclusion of 19 projects due to documentation limitations highlighted important institutional differences in transparency, records management, and administrative capacity. This finding extends existing discussions on decentralized governance by illustrating how the accessibility of documentation itself may serve as an indicator of governance capability.</w:t>
      </w:r>
    </w:p>
    <w:p w14:paraId="2599F219" w14:textId="77777777" w:rsidR="00D93353" w:rsidRPr="00AF0CC3" w:rsidRDefault="00D93353" w:rsidP="00D93353">
      <w:pPr>
        <w:spacing w:before="240" w:line="360" w:lineRule="auto"/>
        <w:rPr>
          <w:rFonts w:ascii="Times New Roman" w:hAnsi="Times New Roman" w:cs="Times New Roman"/>
          <w:color w:val="000000" w:themeColor="text1"/>
        </w:rPr>
      </w:pPr>
    </w:p>
    <w:p w14:paraId="1EFAAFD1" w14:textId="11F12D6D" w:rsidR="00D93353" w:rsidRPr="00AF0CC3" w:rsidRDefault="00D93353" w:rsidP="00646A2C">
      <w:pPr>
        <w:spacing w:before="240" w:line="360" w:lineRule="auto"/>
        <w:rPr>
          <w:rFonts w:ascii="Times New Roman" w:hAnsi="Times New Roman" w:cs="Times New Roman"/>
          <w:color w:val="000000" w:themeColor="text1"/>
        </w:rPr>
      </w:pPr>
      <w:r w:rsidRPr="00AF0CC3">
        <w:rPr>
          <w:rFonts w:ascii="Times New Roman" w:hAnsi="Times New Roman" w:cs="Times New Roman"/>
          <w:color w:val="000000" w:themeColor="text1"/>
        </w:rPr>
        <w:t>By generating project-level evidence from a developing-country infrastructure context, the study helps address an important gap in the governance literature and contributes to broader efforts to understand how institutional quality influences infrastructure performance under conditions of administrative complexity, resource constraints, and implementation uncertainty.</w:t>
      </w:r>
    </w:p>
    <w:p w14:paraId="1237BAA6" w14:textId="7F27E21F" w:rsidR="00D93353" w:rsidRPr="00AF0CC3" w:rsidRDefault="00D93353" w:rsidP="00D93353">
      <w:pPr>
        <w:pStyle w:val="Heading3"/>
        <w:spacing w:before="240" w:line="360" w:lineRule="auto"/>
        <w:rPr>
          <w:rFonts w:cs="Times New Roman"/>
          <w:b w:val="0"/>
          <w:bCs/>
          <w:color w:val="000000" w:themeColor="text1"/>
          <w:szCs w:val="24"/>
        </w:rPr>
      </w:pPr>
      <w:bookmarkStart w:id="541" w:name="_Toc233318831"/>
      <w:bookmarkStart w:id="542" w:name="_Toc234344905"/>
      <w:bookmarkStart w:id="543" w:name="_Toc234489137"/>
      <w:r w:rsidRPr="00AF0CC3">
        <w:rPr>
          <w:rFonts w:cs="Times New Roman"/>
          <w:bCs/>
          <w:color w:val="000000" w:themeColor="text1"/>
          <w:szCs w:val="24"/>
        </w:rPr>
        <w:t>Practical Contribution</w:t>
      </w:r>
      <w:bookmarkEnd w:id="541"/>
      <w:bookmarkEnd w:id="542"/>
      <w:bookmarkEnd w:id="543"/>
    </w:p>
    <w:p w14:paraId="7F001DFC" w14:textId="77777777" w:rsidR="00D93353" w:rsidRPr="00AF0CC3" w:rsidRDefault="00D93353" w:rsidP="00D93353">
      <w:pPr>
        <w:spacing w:before="240" w:line="360" w:lineRule="auto"/>
        <w:rPr>
          <w:rFonts w:ascii="Times New Roman" w:hAnsi="Times New Roman" w:cs="Times New Roman"/>
          <w:color w:val="000000" w:themeColor="text1"/>
        </w:rPr>
      </w:pPr>
    </w:p>
    <w:p w14:paraId="428B48C7" w14:textId="77777777" w:rsidR="00D93353" w:rsidRPr="00AF0CC3" w:rsidRDefault="00D93353" w:rsidP="00D93353">
      <w:pPr>
        <w:spacing w:before="240" w:line="360" w:lineRule="auto"/>
        <w:rPr>
          <w:rFonts w:ascii="Times New Roman" w:hAnsi="Times New Roman" w:cs="Times New Roman"/>
          <w:color w:val="000000" w:themeColor="text1"/>
        </w:rPr>
      </w:pPr>
      <w:r w:rsidRPr="00AF0CC3">
        <w:rPr>
          <w:rFonts w:ascii="Times New Roman" w:hAnsi="Times New Roman" w:cs="Times New Roman"/>
          <w:color w:val="000000" w:themeColor="text1"/>
        </w:rPr>
        <w:t>Beyond its theoretical, methodological, and empirical contributions, the study also generates practical tools to support infrastructure governance reform and implementation practice. The findings informed the development of several governance frameworks designed to translate empirical evidence into actionable policy and management guidance.</w:t>
      </w:r>
    </w:p>
    <w:p w14:paraId="7473DA6C" w14:textId="77777777" w:rsidR="00D93353" w:rsidRPr="00AF0CC3" w:rsidRDefault="00D93353" w:rsidP="00D93353">
      <w:pPr>
        <w:spacing w:before="240" w:line="360" w:lineRule="auto"/>
        <w:rPr>
          <w:rFonts w:ascii="Times New Roman" w:hAnsi="Times New Roman" w:cs="Times New Roman"/>
          <w:color w:val="000000" w:themeColor="text1"/>
        </w:rPr>
      </w:pPr>
    </w:p>
    <w:p w14:paraId="1B8F632A" w14:textId="77777777" w:rsidR="00D93353" w:rsidRPr="00AF0CC3" w:rsidRDefault="00D93353" w:rsidP="00D93353">
      <w:pPr>
        <w:spacing w:before="240" w:line="360" w:lineRule="auto"/>
        <w:rPr>
          <w:rFonts w:ascii="Times New Roman" w:hAnsi="Times New Roman" w:cs="Times New Roman"/>
          <w:color w:val="000000" w:themeColor="text1"/>
        </w:rPr>
      </w:pPr>
      <w:r w:rsidRPr="00AF0CC3">
        <w:rPr>
          <w:rFonts w:ascii="Times New Roman" w:hAnsi="Times New Roman" w:cs="Times New Roman"/>
          <w:color w:val="000000" w:themeColor="text1"/>
        </w:rPr>
        <w:t>First, the study developed the Integrated Governance Reform and Implementation Framework- Table 5.1, which identifies key governance weaknesses associated with infrastructure underperformance and proposes corresponding reform priorities. The framework provides policymakers, infrastructure agencies, and development partners with a structured approach for strengthening governance systems across the infrastructure lifecycle.</w:t>
      </w:r>
    </w:p>
    <w:p w14:paraId="66DBF488" w14:textId="77777777" w:rsidR="00D93353" w:rsidRPr="00AF0CC3" w:rsidRDefault="00D93353" w:rsidP="00D93353">
      <w:pPr>
        <w:spacing w:before="240" w:line="360" w:lineRule="auto"/>
        <w:rPr>
          <w:rFonts w:ascii="Times New Roman" w:hAnsi="Times New Roman" w:cs="Times New Roman"/>
          <w:color w:val="000000" w:themeColor="text1"/>
        </w:rPr>
      </w:pPr>
    </w:p>
    <w:p w14:paraId="1F41010A" w14:textId="77777777" w:rsidR="00D93353" w:rsidRPr="00AF0CC3" w:rsidRDefault="00D93353" w:rsidP="00D93353">
      <w:pPr>
        <w:spacing w:before="240" w:line="360" w:lineRule="auto"/>
        <w:rPr>
          <w:rFonts w:ascii="Times New Roman" w:hAnsi="Times New Roman" w:cs="Times New Roman"/>
          <w:color w:val="000000" w:themeColor="text1"/>
        </w:rPr>
      </w:pPr>
      <w:r w:rsidRPr="00AF0CC3">
        <w:rPr>
          <w:rFonts w:ascii="Times New Roman" w:hAnsi="Times New Roman" w:cs="Times New Roman"/>
          <w:color w:val="000000" w:themeColor="text1"/>
        </w:rPr>
        <w:t>Second, the Governance Implementation Relationship Model -Figure 5.1 provides a conceptual representation of the pathways through which governance quality influences infrastructure delivery outcomes. By linking governance processes to implementation continuity, delivery efficiency, resilience, accountability, and project performance, the model offers a practical framework for integrating governance considerations into infrastructure planning, monitoring, and evaluation systems.</w:t>
      </w:r>
    </w:p>
    <w:p w14:paraId="1BD1AB3C" w14:textId="77777777" w:rsidR="00D93353" w:rsidRPr="00AF0CC3" w:rsidRDefault="00D93353" w:rsidP="00D93353">
      <w:pPr>
        <w:spacing w:before="240" w:line="360" w:lineRule="auto"/>
        <w:rPr>
          <w:rFonts w:ascii="Times New Roman" w:hAnsi="Times New Roman" w:cs="Times New Roman"/>
          <w:color w:val="000000" w:themeColor="text1"/>
        </w:rPr>
      </w:pPr>
      <w:r w:rsidRPr="00AF0CC3">
        <w:rPr>
          <w:rFonts w:ascii="Times New Roman" w:hAnsi="Times New Roman" w:cs="Times New Roman"/>
          <w:color w:val="000000" w:themeColor="text1"/>
        </w:rPr>
        <w:t>Third, the Infrastructure Governance Failure Pathway model -Figure 5.2 illustrates how governance deficiencies occurring during the project preparation, procurement, implementation, oversight, and accountability stages may interact to produce implementation delays, project stalling, financial instability, and reduced delivery performance. The model provides a practical tool for understanding the mechanisms through which governance failures affect infrastructure outcomes and highlights potential intervention points for governance reform.</w:t>
      </w:r>
    </w:p>
    <w:p w14:paraId="55A2E507" w14:textId="77777777" w:rsidR="00D93353" w:rsidRPr="00AF0CC3" w:rsidRDefault="00D93353" w:rsidP="00D93353">
      <w:pPr>
        <w:spacing w:before="240" w:line="360" w:lineRule="auto"/>
        <w:rPr>
          <w:rFonts w:ascii="Times New Roman" w:hAnsi="Times New Roman" w:cs="Times New Roman"/>
          <w:color w:val="000000" w:themeColor="text1"/>
        </w:rPr>
      </w:pPr>
    </w:p>
    <w:p w14:paraId="65391B47" w14:textId="77777777" w:rsidR="00D93353" w:rsidRPr="00AF0CC3" w:rsidRDefault="00D93353" w:rsidP="00D93353">
      <w:pPr>
        <w:spacing w:before="240" w:line="360" w:lineRule="auto"/>
        <w:rPr>
          <w:rFonts w:ascii="Times New Roman" w:hAnsi="Times New Roman" w:cs="Times New Roman"/>
          <w:color w:val="000000" w:themeColor="text1"/>
        </w:rPr>
      </w:pPr>
      <w:r w:rsidRPr="00AF0CC3">
        <w:rPr>
          <w:rFonts w:ascii="Times New Roman" w:hAnsi="Times New Roman" w:cs="Times New Roman"/>
          <w:color w:val="000000" w:themeColor="text1"/>
        </w:rPr>
        <w:t>These practical contributions extend the research's relevance beyond academic scholarship by demonstrating how governance evidence can inform policy development, institutional strengthening, and infrastructure management practices. The findings indicate that sustainable improvements in infrastructure delivery depend not only on financial resources and technical expertise but also on the effectiveness of the institutional arrangements that guide project preparation, implementation, oversight, and accountability.</w:t>
      </w:r>
    </w:p>
    <w:p w14:paraId="5AD8558C" w14:textId="77777777" w:rsidR="00D93353" w:rsidRPr="00AF0CC3" w:rsidRDefault="00D93353" w:rsidP="00D93353">
      <w:pPr>
        <w:spacing w:before="240" w:line="360" w:lineRule="auto"/>
        <w:rPr>
          <w:rFonts w:ascii="Times New Roman" w:hAnsi="Times New Roman" w:cs="Times New Roman"/>
          <w:color w:val="000000" w:themeColor="text1"/>
        </w:rPr>
      </w:pPr>
    </w:p>
    <w:p w14:paraId="3856C522" w14:textId="77777777" w:rsidR="00D93353" w:rsidRPr="00AF0CC3" w:rsidRDefault="00D93353" w:rsidP="00D93353">
      <w:pPr>
        <w:spacing w:before="240" w:line="360" w:lineRule="auto"/>
        <w:rPr>
          <w:rFonts w:ascii="Times New Roman" w:hAnsi="Times New Roman" w:cs="Times New Roman"/>
          <w:color w:val="000000" w:themeColor="text1"/>
        </w:rPr>
      </w:pPr>
      <w:r w:rsidRPr="00AF0CC3">
        <w:rPr>
          <w:rFonts w:ascii="Times New Roman" w:hAnsi="Times New Roman" w:cs="Times New Roman"/>
          <w:color w:val="000000" w:themeColor="text1"/>
        </w:rPr>
        <w:t xml:space="preserve">The theoretical, methodological, empirical, and practical insights generated by this study advance understanding of infrastructure governance within developing-country contexts. The principal contribution lies in demonstrating that governance quality functions as an integrated institutional capability that significantly influences implementation continuity, delivery efficiency, resilience, and infrastructure performance outcomes. By establishing a systematic approach to assessing governance conditions at the project level, the study provides a foundation </w:t>
      </w:r>
      <w:r w:rsidRPr="00AF0CC3">
        <w:rPr>
          <w:rFonts w:ascii="Times New Roman" w:hAnsi="Times New Roman" w:cs="Times New Roman"/>
          <w:color w:val="000000" w:themeColor="text1"/>
        </w:rPr>
        <w:lastRenderedPageBreak/>
        <w:t>for future research, governance assessment, and evidence-based reform initiatives to strengthen the effectiveness of infrastructure delivery.</w:t>
      </w:r>
    </w:p>
    <w:p w14:paraId="73D58B0E" w14:textId="77777777" w:rsidR="00D93353" w:rsidRPr="00AF0CC3" w:rsidRDefault="00D93353" w:rsidP="00D93353">
      <w:pPr>
        <w:spacing w:before="240" w:line="360" w:lineRule="auto"/>
        <w:rPr>
          <w:rFonts w:ascii="Times New Roman" w:hAnsi="Times New Roman" w:cs="Times New Roman"/>
          <w:color w:val="000000" w:themeColor="text1"/>
        </w:rPr>
      </w:pPr>
    </w:p>
    <w:p w14:paraId="624492E4" w14:textId="77777777" w:rsidR="00D93353" w:rsidRPr="00AF0CC3" w:rsidRDefault="00D93353" w:rsidP="00D93353">
      <w:pPr>
        <w:spacing w:before="240" w:line="360" w:lineRule="auto"/>
        <w:rPr>
          <w:rFonts w:ascii="Times New Roman" w:hAnsi="Times New Roman" w:cs="Times New Roman"/>
          <w:color w:val="000000" w:themeColor="text1"/>
        </w:rPr>
      </w:pPr>
      <w:r w:rsidRPr="00AF0CC3">
        <w:rPr>
          <w:rFonts w:ascii="Times New Roman" w:hAnsi="Times New Roman" w:cs="Times New Roman"/>
          <w:color w:val="000000" w:themeColor="text1"/>
        </w:rPr>
        <w:t>The findings demonstrate that governance conditions can be examined systematically and linked directly to infrastructure delivery outcomes. This perspective strengthens the evidence base available to researchers, policymakers, and practitioners seeking to improve infrastructure performance through institutional reform and more effective project governance arrangements.</w:t>
      </w:r>
    </w:p>
    <w:p w14:paraId="7BC429F0" w14:textId="77777777" w:rsidR="00D93353" w:rsidRPr="00AF0CC3" w:rsidRDefault="00D93353" w:rsidP="00D93353">
      <w:pPr>
        <w:spacing w:before="240" w:line="360" w:lineRule="auto"/>
        <w:rPr>
          <w:rFonts w:ascii="Times New Roman" w:hAnsi="Times New Roman" w:cs="Times New Roman"/>
          <w:color w:val="000000" w:themeColor="text1"/>
        </w:rPr>
      </w:pPr>
    </w:p>
    <w:p w14:paraId="2F89D8B8" w14:textId="77777777" w:rsidR="00D93353" w:rsidRPr="00AF0CC3" w:rsidRDefault="00D93353" w:rsidP="00D93353">
      <w:pPr>
        <w:spacing w:before="240" w:line="360" w:lineRule="auto"/>
        <w:rPr>
          <w:rFonts w:ascii="Times New Roman" w:hAnsi="Times New Roman" w:cs="Times New Roman"/>
          <w:color w:val="000000" w:themeColor="text1"/>
        </w:rPr>
      </w:pPr>
      <w:r w:rsidRPr="00AF0CC3">
        <w:rPr>
          <w:rFonts w:ascii="Times New Roman" w:hAnsi="Times New Roman" w:cs="Times New Roman"/>
          <w:color w:val="000000" w:themeColor="text1"/>
        </w:rPr>
        <w:t>To synthesize the study's principal findings and theoretical contribution, Figure 5.1 presents the Governance–Implementation Relationship Model. The framework depicts the mechanisms through which institutional arrangements influence infrastructure delivery outcomes by shaping coordination, oversight, accountability, financial stability, and implementation effectiveness across successive stages of project delivery.</w:t>
      </w:r>
    </w:p>
    <w:p w14:paraId="3C04EE95" w14:textId="00FDAA60" w:rsidR="00BF2261" w:rsidRPr="00AF0CC3" w:rsidRDefault="00BF2261" w:rsidP="00BF2261">
      <w:pPr>
        <w:pStyle w:val="Caption"/>
        <w:keepNext/>
        <w:jc w:val="center"/>
        <w:rPr>
          <w:rFonts w:ascii="Times New Roman" w:hAnsi="Times New Roman" w:cs="Times New Roman"/>
          <w:sz w:val="24"/>
          <w:szCs w:val="24"/>
        </w:rPr>
      </w:pPr>
      <w:bookmarkStart w:id="544" w:name="_Toc234481936"/>
      <w:r w:rsidRPr="00AF0CC3">
        <w:rPr>
          <w:rFonts w:ascii="Times New Roman" w:hAnsi="Times New Roman" w:cs="Times New Roman"/>
          <w:sz w:val="24"/>
          <w:szCs w:val="24"/>
        </w:rPr>
        <w:lastRenderedPageBreak/>
        <w:t xml:space="preserve">Figure </w:t>
      </w:r>
      <w:r w:rsidR="00052921" w:rsidRPr="00AF0CC3">
        <w:rPr>
          <w:rFonts w:ascii="Times New Roman" w:hAnsi="Times New Roman" w:cs="Times New Roman"/>
          <w:sz w:val="24"/>
          <w:szCs w:val="24"/>
        </w:rPr>
        <w:fldChar w:fldCharType="begin"/>
      </w:r>
      <w:r w:rsidR="00052921" w:rsidRPr="00AF0CC3">
        <w:rPr>
          <w:rFonts w:ascii="Times New Roman" w:hAnsi="Times New Roman" w:cs="Times New Roman"/>
          <w:sz w:val="24"/>
          <w:szCs w:val="24"/>
        </w:rPr>
        <w:instrText xml:space="preserve"> STYLEREF 1 \s </w:instrText>
      </w:r>
      <w:r w:rsidR="00052921" w:rsidRPr="00AF0CC3">
        <w:rPr>
          <w:rFonts w:ascii="Times New Roman" w:hAnsi="Times New Roman" w:cs="Times New Roman"/>
          <w:sz w:val="24"/>
          <w:szCs w:val="24"/>
        </w:rPr>
        <w:fldChar w:fldCharType="separate"/>
      </w:r>
      <w:r w:rsidR="00052921" w:rsidRPr="00AF0CC3">
        <w:rPr>
          <w:rFonts w:ascii="Times New Roman" w:hAnsi="Times New Roman" w:cs="Times New Roman"/>
          <w:noProof/>
          <w:sz w:val="24"/>
          <w:szCs w:val="24"/>
        </w:rPr>
        <w:t>5</w:t>
      </w:r>
      <w:r w:rsidR="00052921" w:rsidRPr="00AF0CC3">
        <w:rPr>
          <w:rFonts w:ascii="Times New Roman" w:hAnsi="Times New Roman" w:cs="Times New Roman"/>
          <w:noProof/>
          <w:sz w:val="24"/>
          <w:szCs w:val="24"/>
        </w:rPr>
        <w:fldChar w:fldCharType="end"/>
      </w:r>
      <w:r w:rsidRPr="00AF0CC3">
        <w:rPr>
          <w:rFonts w:ascii="Times New Roman" w:hAnsi="Times New Roman" w:cs="Times New Roman"/>
          <w:sz w:val="24"/>
          <w:szCs w:val="24"/>
        </w:rPr>
        <w:t>.</w:t>
      </w:r>
      <w:r w:rsidR="00052921" w:rsidRPr="00AF0CC3">
        <w:rPr>
          <w:rFonts w:ascii="Times New Roman" w:hAnsi="Times New Roman" w:cs="Times New Roman"/>
          <w:sz w:val="24"/>
          <w:szCs w:val="24"/>
        </w:rPr>
        <w:fldChar w:fldCharType="begin"/>
      </w:r>
      <w:r w:rsidR="00052921" w:rsidRPr="00AF0CC3">
        <w:rPr>
          <w:rFonts w:ascii="Times New Roman" w:hAnsi="Times New Roman" w:cs="Times New Roman"/>
          <w:sz w:val="24"/>
          <w:szCs w:val="24"/>
        </w:rPr>
        <w:instrText xml:space="preserve"> SEQ Figure \* ARABIC \s 1 </w:instrText>
      </w:r>
      <w:r w:rsidR="00052921" w:rsidRPr="00AF0CC3">
        <w:rPr>
          <w:rFonts w:ascii="Times New Roman" w:hAnsi="Times New Roman" w:cs="Times New Roman"/>
          <w:sz w:val="24"/>
          <w:szCs w:val="24"/>
        </w:rPr>
        <w:fldChar w:fldCharType="separate"/>
      </w:r>
      <w:r w:rsidR="00052921" w:rsidRPr="00AF0CC3">
        <w:rPr>
          <w:rFonts w:ascii="Times New Roman" w:hAnsi="Times New Roman" w:cs="Times New Roman"/>
          <w:noProof/>
          <w:sz w:val="24"/>
          <w:szCs w:val="24"/>
        </w:rPr>
        <w:t>1</w:t>
      </w:r>
      <w:r w:rsidR="00052921" w:rsidRPr="00AF0CC3">
        <w:rPr>
          <w:rFonts w:ascii="Times New Roman" w:hAnsi="Times New Roman" w:cs="Times New Roman"/>
          <w:noProof/>
          <w:sz w:val="24"/>
          <w:szCs w:val="24"/>
        </w:rPr>
        <w:fldChar w:fldCharType="end"/>
      </w:r>
      <w:r w:rsidRPr="00AF0CC3">
        <w:rPr>
          <w:rFonts w:ascii="Times New Roman" w:hAnsi="Times New Roman" w:cs="Times New Roman"/>
          <w:sz w:val="24"/>
          <w:szCs w:val="24"/>
        </w:rPr>
        <w:t>Governance–Implementation Relationship Model</w:t>
      </w:r>
      <w:bookmarkEnd w:id="544"/>
    </w:p>
    <w:p w14:paraId="37EFE67D" w14:textId="77777777" w:rsidR="00D93353" w:rsidRPr="00AF0CC3" w:rsidRDefault="00D93353" w:rsidP="00D93353">
      <w:pPr>
        <w:spacing w:before="240" w:line="360" w:lineRule="auto"/>
        <w:jc w:val="center"/>
        <w:rPr>
          <w:rFonts w:ascii="Times New Roman" w:hAnsi="Times New Roman" w:cs="Times New Roman"/>
          <w:color w:val="000000" w:themeColor="text1"/>
        </w:rPr>
      </w:pPr>
      <w:r w:rsidRPr="00AF0CC3">
        <w:rPr>
          <w:rFonts w:ascii="Times New Roman" w:hAnsi="Times New Roman" w:cs="Times New Roman"/>
          <w:noProof/>
          <w:color w:val="000000" w:themeColor="text1"/>
        </w:rPr>
        <w:drawing>
          <wp:inline distT="0" distB="0" distL="0" distR="0" wp14:anchorId="09030ED6" wp14:editId="555CCDBB">
            <wp:extent cx="4933950" cy="5640604"/>
            <wp:effectExtent l="0" t="0" r="0" b="0"/>
            <wp:docPr id="147294253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4972972" cy="5685215"/>
                    </a:xfrm>
                    <a:prstGeom prst="rect">
                      <a:avLst/>
                    </a:prstGeom>
                    <a:noFill/>
                  </pic:spPr>
                </pic:pic>
              </a:graphicData>
            </a:graphic>
          </wp:inline>
        </w:drawing>
      </w:r>
    </w:p>
    <w:p w14:paraId="096A2367" w14:textId="77777777" w:rsidR="00D93353" w:rsidRPr="00AF0CC3" w:rsidRDefault="00D93353" w:rsidP="00D93353">
      <w:pPr>
        <w:spacing w:before="240" w:line="360" w:lineRule="auto"/>
        <w:rPr>
          <w:rFonts w:ascii="Times New Roman" w:hAnsi="Times New Roman" w:cs="Times New Roman"/>
          <w:color w:val="000000" w:themeColor="text1"/>
        </w:rPr>
      </w:pPr>
    </w:p>
    <w:p w14:paraId="47DCDFAA" w14:textId="77777777" w:rsidR="00D93353" w:rsidRPr="00AF0CC3" w:rsidRDefault="00D93353" w:rsidP="00D93353">
      <w:pPr>
        <w:spacing w:before="240" w:line="360" w:lineRule="auto"/>
        <w:rPr>
          <w:rFonts w:ascii="Times New Roman" w:hAnsi="Times New Roman" w:cs="Times New Roman"/>
          <w:color w:val="000000" w:themeColor="text1"/>
        </w:rPr>
      </w:pPr>
      <w:r w:rsidRPr="00AF0CC3">
        <w:rPr>
          <w:rFonts w:ascii="Times New Roman" w:hAnsi="Times New Roman" w:cs="Times New Roman"/>
          <w:color w:val="000000" w:themeColor="text1"/>
        </w:rPr>
        <w:t xml:space="preserve">Figure 5.1 presents a conceptual representation of the mechanisms linking governance conditions to infrastructure delivery outcomes. The model indicates that effective governance strengthens administrative stability, coordination, oversight, and decision-making capacity, thereby supporting more predictable implementation environments. These institutional effects are associated with reduced project stalling, improved schedule performance, stronger financial management, and enhanced resilience under environmental and political uncertainty conditions. </w:t>
      </w:r>
      <w:r w:rsidRPr="00AF0CC3">
        <w:rPr>
          <w:rFonts w:ascii="Times New Roman" w:hAnsi="Times New Roman" w:cs="Times New Roman"/>
          <w:color w:val="000000" w:themeColor="text1"/>
        </w:rPr>
        <w:lastRenderedPageBreak/>
        <w:t>The framework underscores the importance of viewing infrastructure performance as the product of interacting governance functions operating across the project lifecycle.</w:t>
      </w:r>
    </w:p>
    <w:p w14:paraId="7F7D4DE7" w14:textId="77777777" w:rsidR="00D93353" w:rsidRPr="00AF0CC3" w:rsidRDefault="00D93353" w:rsidP="00D93353">
      <w:pPr>
        <w:spacing w:before="240" w:line="360" w:lineRule="auto"/>
        <w:rPr>
          <w:rFonts w:ascii="Times New Roman" w:hAnsi="Times New Roman" w:cs="Times New Roman"/>
          <w:color w:val="000000" w:themeColor="text1"/>
        </w:rPr>
      </w:pPr>
      <w:r w:rsidRPr="00AF0CC3">
        <w:rPr>
          <w:rFonts w:ascii="Times New Roman" w:hAnsi="Times New Roman" w:cs="Times New Roman"/>
          <w:color w:val="000000" w:themeColor="text1"/>
        </w:rPr>
        <w:t>To further illustrate the mechanisms identified through the empirical analysis, Figure 5.2 presents the Infrastructure Governance Failure Pathway Model. The model synthesizes the study's findings by demonstrating how governance deficiencies that arise at different stages of the infrastructure project lifecycle can accumulate and reinforce one another, ultimately influencing implementation continuity, financial stability, and overall infrastructure performance. Rather than viewing governance failures as isolated administrative events, the model conceptualizes them as interconnected institutional processes that generate cascading effects throughout project preparation, procurement, implementation, oversight, and accountability.</w:t>
      </w:r>
    </w:p>
    <w:p w14:paraId="5741D1B1" w14:textId="76484EB4" w:rsidR="00BF2261" w:rsidRPr="00AF0CC3" w:rsidRDefault="00BF2261" w:rsidP="00BF2261">
      <w:pPr>
        <w:pStyle w:val="Caption"/>
        <w:keepNext/>
        <w:rPr>
          <w:rFonts w:ascii="Times New Roman" w:hAnsi="Times New Roman" w:cs="Times New Roman"/>
          <w:sz w:val="24"/>
          <w:szCs w:val="24"/>
        </w:rPr>
      </w:pPr>
      <w:bookmarkStart w:id="545" w:name="_Toc234481937"/>
      <w:r w:rsidRPr="00AF0CC3">
        <w:rPr>
          <w:rFonts w:ascii="Times New Roman" w:hAnsi="Times New Roman" w:cs="Times New Roman"/>
          <w:sz w:val="24"/>
          <w:szCs w:val="24"/>
        </w:rPr>
        <w:t xml:space="preserve">Figure </w:t>
      </w:r>
      <w:r w:rsidR="00052921" w:rsidRPr="00AF0CC3">
        <w:rPr>
          <w:rFonts w:ascii="Times New Roman" w:hAnsi="Times New Roman" w:cs="Times New Roman"/>
          <w:sz w:val="24"/>
          <w:szCs w:val="24"/>
        </w:rPr>
        <w:fldChar w:fldCharType="begin"/>
      </w:r>
      <w:r w:rsidR="00052921" w:rsidRPr="00AF0CC3">
        <w:rPr>
          <w:rFonts w:ascii="Times New Roman" w:hAnsi="Times New Roman" w:cs="Times New Roman"/>
          <w:sz w:val="24"/>
          <w:szCs w:val="24"/>
        </w:rPr>
        <w:instrText xml:space="preserve"> STYLEREF 1 \s </w:instrText>
      </w:r>
      <w:r w:rsidR="00052921" w:rsidRPr="00AF0CC3">
        <w:rPr>
          <w:rFonts w:ascii="Times New Roman" w:hAnsi="Times New Roman" w:cs="Times New Roman"/>
          <w:sz w:val="24"/>
          <w:szCs w:val="24"/>
        </w:rPr>
        <w:fldChar w:fldCharType="separate"/>
      </w:r>
      <w:r w:rsidR="00052921" w:rsidRPr="00AF0CC3">
        <w:rPr>
          <w:rFonts w:ascii="Times New Roman" w:hAnsi="Times New Roman" w:cs="Times New Roman"/>
          <w:noProof/>
          <w:sz w:val="24"/>
          <w:szCs w:val="24"/>
        </w:rPr>
        <w:t>5</w:t>
      </w:r>
      <w:r w:rsidR="00052921" w:rsidRPr="00AF0CC3">
        <w:rPr>
          <w:rFonts w:ascii="Times New Roman" w:hAnsi="Times New Roman" w:cs="Times New Roman"/>
          <w:noProof/>
          <w:sz w:val="24"/>
          <w:szCs w:val="24"/>
        </w:rPr>
        <w:fldChar w:fldCharType="end"/>
      </w:r>
      <w:r w:rsidRPr="00AF0CC3">
        <w:rPr>
          <w:rFonts w:ascii="Times New Roman" w:hAnsi="Times New Roman" w:cs="Times New Roman"/>
          <w:sz w:val="24"/>
          <w:szCs w:val="24"/>
        </w:rPr>
        <w:t>.</w:t>
      </w:r>
      <w:r w:rsidR="00052921" w:rsidRPr="00AF0CC3">
        <w:rPr>
          <w:rFonts w:ascii="Times New Roman" w:hAnsi="Times New Roman" w:cs="Times New Roman"/>
          <w:sz w:val="24"/>
          <w:szCs w:val="24"/>
        </w:rPr>
        <w:fldChar w:fldCharType="begin"/>
      </w:r>
      <w:r w:rsidR="00052921" w:rsidRPr="00AF0CC3">
        <w:rPr>
          <w:rFonts w:ascii="Times New Roman" w:hAnsi="Times New Roman" w:cs="Times New Roman"/>
          <w:sz w:val="24"/>
          <w:szCs w:val="24"/>
        </w:rPr>
        <w:instrText xml:space="preserve"> SEQ Figure \* ARABIC \s 1 </w:instrText>
      </w:r>
      <w:r w:rsidR="00052921" w:rsidRPr="00AF0CC3">
        <w:rPr>
          <w:rFonts w:ascii="Times New Roman" w:hAnsi="Times New Roman" w:cs="Times New Roman"/>
          <w:sz w:val="24"/>
          <w:szCs w:val="24"/>
        </w:rPr>
        <w:fldChar w:fldCharType="separate"/>
      </w:r>
      <w:r w:rsidR="00052921" w:rsidRPr="00AF0CC3">
        <w:rPr>
          <w:rFonts w:ascii="Times New Roman" w:hAnsi="Times New Roman" w:cs="Times New Roman"/>
          <w:noProof/>
          <w:sz w:val="24"/>
          <w:szCs w:val="24"/>
        </w:rPr>
        <w:t>2</w:t>
      </w:r>
      <w:r w:rsidR="00052921" w:rsidRPr="00AF0CC3">
        <w:rPr>
          <w:rFonts w:ascii="Times New Roman" w:hAnsi="Times New Roman" w:cs="Times New Roman"/>
          <w:noProof/>
          <w:sz w:val="24"/>
          <w:szCs w:val="24"/>
        </w:rPr>
        <w:fldChar w:fldCharType="end"/>
      </w:r>
      <w:r w:rsidRPr="00AF0CC3">
        <w:rPr>
          <w:rFonts w:ascii="Times New Roman" w:hAnsi="Times New Roman" w:cs="Times New Roman"/>
          <w:sz w:val="24"/>
          <w:szCs w:val="24"/>
        </w:rPr>
        <w:t xml:space="preserve"> Infrastructure Governance Failure Pathway Model</w:t>
      </w:r>
      <w:bookmarkEnd w:id="545"/>
    </w:p>
    <w:p w14:paraId="05228C42" w14:textId="77777777" w:rsidR="00D93353" w:rsidRPr="00AF0CC3" w:rsidRDefault="00D93353" w:rsidP="00D93353">
      <w:pPr>
        <w:spacing w:before="240" w:line="360" w:lineRule="auto"/>
        <w:rPr>
          <w:rFonts w:ascii="Times New Roman" w:hAnsi="Times New Roman" w:cs="Times New Roman"/>
          <w:color w:val="000000" w:themeColor="text1"/>
        </w:rPr>
      </w:pPr>
      <w:r w:rsidRPr="00AF0CC3">
        <w:rPr>
          <w:rFonts w:ascii="Times New Roman" w:hAnsi="Times New Roman" w:cs="Times New Roman"/>
          <w:noProof/>
          <w:color w:val="000000" w:themeColor="text1"/>
        </w:rPr>
        <w:drawing>
          <wp:inline distT="0" distB="0" distL="0" distR="0" wp14:anchorId="644D5C4B" wp14:editId="06DA8F87">
            <wp:extent cx="6076950" cy="3618111"/>
            <wp:effectExtent l="0" t="0" r="0" b="1905"/>
            <wp:docPr id="35594658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5946586" name=""/>
                    <pic:cNvPicPr/>
                  </pic:nvPicPr>
                  <pic:blipFill>
                    <a:blip r:embed="rId34"/>
                    <a:stretch>
                      <a:fillRect/>
                    </a:stretch>
                  </pic:blipFill>
                  <pic:spPr>
                    <a:xfrm>
                      <a:off x="0" y="0"/>
                      <a:ext cx="6086575" cy="3623842"/>
                    </a:xfrm>
                    <a:prstGeom prst="rect">
                      <a:avLst/>
                    </a:prstGeom>
                  </pic:spPr>
                </pic:pic>
              </a:graphicData>
            </a:graphic>
          </wp:inline>
        </w:drawing>
      </w:r>
    </w:p>
    <w:p w14:paraId="196B84D7" w14:textId="3D2A60BF" w:rsidR="00D93353" w:rsidRPr="00AF0CC3" w:rsidRDefault="00D93353" w:rsidP="00D93353">
      <w:pPr>
        <w:spacing w:before="240" w:line="360" w:lineRule="auto"/>
        <w:rPr>
          <w:rFonts w:ascii="Times New Roman" w:hAnsi="Times New Roman" w:cs="Times New Roman"/>
          <w:color w:val="000000" w:themeColor="text1"/>
        </w:rPr>
      </w:pPr>
      <w:r w:rsidRPr="00AF0CC3">
        <w:rPr>
          <w:rFonts w:ascii="Times New Roman" w:hAnsi="Times New Roman" w:cs="Times New Roman"/>
          <w:color w:val="000000" w:themeColor="text1"/>
        </w:rPr>
        <w:t xml:space="preserve">Figure 5.2 illustrates that governance failures rarely occur independently. Weaknesses introduced during project preparation, procurement, implementation, oversight, or accountability can create vulnerabilities that progressively compound throughout the project lifecycle, increasing the likelihood of implementation delays, project stalling, financial instability, and reduced </w:t>
      </w:r>
      <w:r w:rsidRPr="00AF0CC3">
        <w:rPr>
          <w:rFonts w:ascii="Times New Roman" w:hAnsi="Times New Roman" w:cs="Times New Roman"/>
          <w:color w:val="000000" w:themeColor="text1"/>
        </w:rPr>
        <w:lastRenderedPageBreak/>
        <w:t xml:space="preserve">infrastructure performance. The model also identifies strategic intervention points </w:t>
      </w:r>
      <w:r w:rsidR="006E76C0" w:rsidRPr="00AF0CC3">
        <w:rPr>
          <w:rFonts w:ascii="Times New Roman" w:hAnsi="Times New Roman" w:cs="Times New Roman"/>
          <w:color w:val="000000" w:themeColor="text1"/>
        </w:rPr>
        <w:t>at which strengthening governance systems</w:t>
      </w:r>
      <w:r w:rsidR="0007454D" w:rsidRPr="00AF0CC3">
        <w:rPr>
          <w:rFonts w:ascii="Times New Roman" w:hAnsi="Times New Roman" w:cs="Times New Roman"/>
          <w:color w:val="000000" w:themeColor="text1"/>
        </w:rPr>
        <w:t>, including procurement transparency, documentation management, payment reliability, contract supervision, and institutional accountability,</w:t>
      </w:r>
      <w:r w:rsidR="006E76C0" w:rsidRPr="00AF0CC3">
        <w:rPr>
          <w:rFonts w:ascii="Times New Roman" w:hAnsi="Times New Roman" w:cs="Times New Roman"/>
          <w:color w:val="000000" w:themeColor="text1"/>
        </w:rPr>
        <w:t xml:space="preserve"> can</w:t>
      </w:r>
      <w:r w:rsidRPr="00AF0CC3">
        <w:rPr>
          <w:rFonts w:ascii="Times New Roman" w:hAnsi="Times New Roman" w:cs="Times New Roman"/>
          <w:color w:val="000000" w:themeColor="text1"/>
        </w:rPr>
        <w:t xml:space="preserve"> interrupt these cascading effects before they compromise project delivery. In doing so, the model reinforces the study's central argument that infrastructure performance is associated with the interaction of governance processes operating across the project lifecycle rather than with isolated governance mechanisms.</w:t>
      </w:r>
    </w:p>
    <w:p w14:paraId="4CD3DCCF" w14:textId="2B449146" w:rsidR="00D93353" w:rsidRPr="00AF0CC3" w:rsidRDefault="00071994" w:rsidP="00071994">
      <w:pPr>
        <w:pStyle w:val="Heading3"/>
        <w:rPr>
          <w:rFonts w:cs="Times New Roman"/>
          <w:b w:val="0"/>
          <w:bCs/>
          <w:color w:val="000000" w:themeColor="text1"/>
          <w:szCs w:val="24"/>
        </w:rPr>
      </w:pPr>
      <w:bookmarkStart w:id="546" w:name="_Toc234344906"/>
      <w:bookmarkStart w:id="547" w:name="_Toc234489138"/>
      <w:r w:rsidRPr="00AF0CC3">
        <w:rPr>
          <w:rFonts w:cs="Times New Roman"/>
          <w:bCs/>
          <w:color w:val="000000" w:themeColor="text1"/>
          <w:szCs w:val="24"/>
        </w:rPr>
        <w:t>Integrated Contribution of the Study</w:t>
      </w:r>
      <w:bookmarkEnd w:id="546"/>
      <w:bookmarkEnd w:id="547"/>
    </w:p>
    <w:p w14:paraId="5C397B77" w14:textId="77777777" w:rsidR="00071994" w:rsidRPr="00AF0CC3" w:rsidRDefault="00071994" w:rsidP="00071994">
      <w:pPr>
        <w:rPr>
          <w:rFonts w:ascii="Times New Roman" w:hAnsi="Times New Roman" w:cs="Times New Roman"/>
          <w:color w:val="000000" w:themeColor="text1"/>
        </w:rPr>
      </w:pPr>
    </w:p>
    <w:p w14:paraId="21DA81CF" w14:textId="7F0224B2" w:rsidR="00071994" w:rsidRPr="00AF0CC3" w:rsidRDefault="00470635" w:rsidP="00071994">
      <w:pPr>
        <w:rPr>
          <w:rFonts w:ascii="Times New Roman" w:hAnsi="Times New Roman" w:cs="Times New Roman"/>
          <w:color w:val="000000" w:themeColor="text1"/>
        </w:rPr>
      </w:pPr>
      <w:r w:rsidRPr="00AF0CC3">
        <w:rPr>
          <w:rFonts w:ascii="Times New Roman" w:hAnsi="Times New Roman" w:cs="Times New Roman"/>
          <w:color w:val="000000" w:themeColor="text1"/>
        </w:rPr>
        <w:t>Collectively, these theoretical, methodological, empirical, and practical contributions advance understanding of infrastructure governance by showing that governance quality is a measurable institutional capability systematically linked to infrastructure delivery outcomes. The study establishes that governance should be understood not merely as a mechanism for ensuring administrative compliance but as a strategic institutional capability that enables infrastructure systems to sustain implementation continuity, strengthen resilience, enhance accountability, and improve delivery performance. In doing so, it extends existing infrastructure governance scholarship by positioning governance as an institutional capacity that complements financial, technical, and managerial resources to achieve sustainable infrastructure development.</w:t>
      </w:r>
    </w:p>
    <w:p w14:paraId="2CF287BA" w14:textId="77777777" w:rsidR="00071994" w:rsidRPr="00AF0CC3" w:rsidRDefault="00071994" w:rsidP="00071994">
      <w:pPr>
        <w:rPr>
          <w:rFonts w:ascii="Times New Roman" w:hAnsi="Times New Roman" w:cs="Times New Roman"/>
          <w:color w:val="000000" w:themeColor="text1"/>
        </w:rPr>
      </w:pPr>
    </w:p>
    <w:p w14:paraId="76CACD95" w14:textId="0C75A8E0" w:rsidR="00D93353" w:rsidRPr="00AF0CC3" w:rsidRDefault="00D93353" w:rsidP="00D93353">
      <w:pPr>
        <w:pStyle w:val="Heading2"/>
        <w:spacing w:before="240" w:line="360" w:lineRule="auto"/>
        <w:rPr>
          <w:rFonts w:cs="Times New Roman"/>
          <w:b w:val="0"/>
          <w:bCs/>
          <w:color w:val="000000" w:themeColor="text1"/>
          <w:szCs w:val="24"/>
        </w:rPr>
      </w:pPr>
      <w:bookmarkStart w:id="548" w:name="_Toc233318832"/>
      <w:bookmarkStart w:id="549" w:name="_Toc234344907"/>
      <w:bookmarkStart w:id="550" w:name="_Toc234489139"/>
      <w:r w:rsidRPr="00AF0CC3">
        <w:rPr>
          <w:rFonts w:cs="Times New Roman"/>
          <w:bCs/>
          <w:color w:val="000000" w:themeColor="text1"/>
          <w:szCs w:val="24"/>
        </w:rPr>
        <w:t>Policy Implications</w:t>
      </w:r>
      <w:bookmarkEnd w:id="548"/>
      <w:bookmarkEnd w:id="549"/>
      <w:bookmarkEnd w:id="550"/>
    </w:p>
    <w:p w14:paraId="5D3DCBE8" w14:textId="77777777" w:rsidR="00D93353" w:rsidRPr="00AF0CC3" w:rsidRDefault="00D93353" w:rsidP="00D93353">
      <w:pPr>
        <w:spacing w:before="240" w:line="360" w:lineRule="auto"/>
        <w:rPr>
          <w:rFonts w:ascii="Times New Roman" w:hAnsi="Times New Roman" w:cs="Times New Roman"/>
          <w:color w:val="000000" w:themeColor="text1"/>
        </w:rPr>
      </w:pPr>
    </w:p>
    <w:p w14:paraId="26C46A03" w14:textId="77777777" w:rsidR="00D93353" w:rsidRPr="00AF0CC3" w:rsidRDefault="00D93353" w:rsidP="00D93353">
      <w:pPr>
        <w:spacing w:before="240" w:line="360" w:lineRule="auto"/>
        <w:rPr>
          <w:rFonts w:ascii="Times New Roman" w:hAnsi="Times New Roman" w:cs="Times New Roman"/>
          <w:color w:val="000000" w:themeColor="text1"/>
        </w:rPr>
      </w:pPr>
      <w:r w:rsidRPr="00AF0CC3">
        <w:rPr>
          <w:rFonts w:ascii="Times New Roman" w:hAnsi="Times New Roman" w:cs="Times New Roman"/>
          <w:color w:val="000000" w:themeColor="text1"/>
        </w:rPr>
        <w:t>The findings of this study have important implications for infrastructure governance policy and institutional reform within Kenya and comparable developing-country contexts. The evidence consistently demonstrated that governance quality is associated with infrastructure delivery performance through its influence on implementation continuity, schedule adherence, institutional resilience, accountability, and administrative stability. Consequently, improving infrastructure outcomes require more than increased financial investment or technical capacity. Sustainable improvements in infrastructure performance depend equally upon strengthening the governance systems through which projects are planned, procured, implemented, monitored, and evaluated.</w:t>
      </w:r>
    </w:p>
    <w:p w14:paraId="5823A9B0" w14:textId="77777777" w:rsidR="00D93353" w:rsidRPr="00AF0CC3" w:rsidRDefault="00D93353" w:rsidP="00D93353">
      <w:pPr>
        <w:spacing w:before="240" w:line="360" w:lineRule="auto"/>
        <w:rPr>
          <w:rFonts w:ascii="Times New Roman" w:hAnsi="Times New Roman" w:cs="Times New Roman"/>
          <w:color w:val="000000" w:themeColor="text1"/>
        </w:rPr>
      </w:pPr>
    </w:p>
    <w:p w14:paraId="6B31B268" w14:textId="77777777" w:rsidR="00D93353" w:rsidRPr="00AF0CC3" w:rsidRDefault="00D93353" w:rsidP="00D93353">
      <w:pPr>
        <w:spacing w:before="240" w:line="360" w:lineRule="auto"/>
        <w:rPr>
          <w:rFonts w:ascii="Times New Roman" w:hAnsi="Times New Roman" w:cs="Times New Roman"/>
          <w:color w:val="000000" w:themeColor="text1"/>
        </w:rPr>
      </w:pPr>
      <w:r w:rsidRPr="00AF0CC3">
        <w:rPr>
          <w:rFonts w:ascii="Times New Roman" w:hAnsi="Times New Roman" w:cs="Times New Roman"/>
          <w:color w:val="000000" w:themeColor="text1"/>
        </w:rPr>
        <w:t>The policy implications emerging from the study suggest that governance reform should be approached as a comprehensive institutional agenda rather than a series of isolated administrative interventions. Because governance dimensions were found to operate as interconnected and mutually reinforcing processes, weaknesses in a single governance area frequently generated consequences that extended across multiple stages of project implementation. Effective infrastructure governance reform, therefore, requires coordinated improvements across procurement systems, oversight structures, accountability mechanisms, information management systems, financial governance processes, and institutional capacity development.</w:t>
      </w:r>
    </w:p>
    <w:p w14:paraId="6C962814" w14:textId="77777777" w:rsidR="00D93353" w:rsidRPr="00AF0CC3" w:rsidRDefault="00D93353" w:rsidP="00D93353">
      <w:pPr>
        <w:spacing w:before="240" w:line="360" w:lineRule="auto"/>
        <w:rPr>
          <w:rFonts w:ascii="Times New Roman" w:hAnsi="Times New Roman" w:cs="Times New Roman"/>
          <w:color w:val="000000" w:themeColor="text1"/>
        </w:rPr>
      </w:pPr>
    </w:p>
    <w:p w14:paraId="578C8179" w14:textId="05D13CE2" w:rsidR="00D93353" w:rsidRPr="00AF0CC3" w:rsidRDefault="00D93353" w:rsidP="00D93353">
      <w:pPr>
        <w:pStyle w:val="Heading3"/>
        <w:spacing w:before="240" w:line="360" w:lineRule="auto"/>
        <w:rPr>
          <w:rFonts w:cs="Times New Roman"/>
          <w:b w:val="0"/>
          <w:bCs/>
          <w:color w:val="000000" w:themeColor="text1"/>
          <w:szCs w:val="24"/>
        </w:rPr>
      </w:pPr>
      <w:bookmarkStart w:id="551" w:name="_Toc233318833"/>
      <w:bookmarkStart w:id="552" w:name="_Toc234344908"/>
      <w:bookmarkStart w:id="553" w:name="_Toc234489140"/>
      <w:r w:rsidRPr="00AF0CC3">
        <w:rPr>
          <w:rFonts w:cs="Times New Roman"/>
          <w:bCs/>
          <w:color w:val="000000" w:themeColor="text1"/>
          <w:szCs w:val="24"/>
        </w:rPr>
        <w:t>Governance Reform Priorities</w:t>
      </w:r>
      <w:bookmarkEnd w:id="551"/>
      <w:bookmarkEnd w:id="552"/>
      <w:bookmarkEnd w:id="553"/>
    </w:p>
    <w:p w14:paraId="444FE2B0" w14:textId="77777777" w:rsidR="00D93353" w:rsidRPr="00AF0CC3" w:rsidRDefault="00D93353" w:rsidP="00D93353">
      <w:pPr>
        <w:spacing w:before="240" w:line="360" w:lineRule="auto"/>
        <w:rPr>
          <w:rFonts w:ascii="Times New Roman" w:hAnsi="Times New Roman" w:cs="Times New Roman"/>
          <w:color w:val="000000" w:themeColor="text1"/>
        </w:rPr>
      </w:pPr>
    </w:p>
    <w:p w14:paraId="47B84AB6" w14:textId="77777777" w:rsidR="00D93353" w:rsidRPr="00AF0CC3" w:rsidRDefault="00D93353" w:rsidP="00D93353">
      <w:pPr>
        <w:spacing w:before="240" w:line="360" w:lineRule="auto"/>
        <w:rPr>
          <w:rFonts w:ascii="Times New Roman" w:hAnsi="Times New Roman" w:cs="Times New Roman"/>
          <w:color w:val="000000" w:themeColor="text1"/>
        </w:rPr>
      </w:pPr>
      <w:r w:rsidRPr="00AF0CC3">
        <w:rPr>
          <w:rFonts w:ascii="Times New Roman" w:hAnsi="Times New Roman" w:cs="Times New Roman"/>
          <w:color w:val="000000" w:themeColor="text1"/>
        </w:rPr>
        <w:t>One of the clearest policy implications arising from the study concerns the need to strengthen core governance systems responsible for infrastructure planning and delivery. The findings demonstrated that procurement transparency, institutional coordination, audit responsiveness, contract supervision, and oversight effectiveness were consistently associated with stronger implementation performance. Conversely, governance deficiencies within these areas were frequently associated with project stalling, implementation delays, and administrative instability.</w:t>
      </w:r>
    </w:p>
    <w:p w14:paraId="0416FA9E" w14:textId="77777777" w:rsidR="00D93353" w:rsidRPr="00AF0CC3" w:rsidRDefault="00D93353" w:rsidP="00D93353">
      <w:pPr>
        <w:spacing w:before="240" w:line="360" w:lineRule="auto"/>
        <w:rPr>
          <w:rFonts w:ascii="Times New Roman" w:hAnsi="Times New Roman" w:cs="Times New Roman"/>
          <w:color w:val="000000" w:themeColor="text1"/>
        </w:rPr>
      </w:pPr>
    </w:p>
    <w:p w14:paraId="0099325B" w14:textId="77777777" w:rsidR="00D93353" w:rsidRPr="00AF0CC3" w:rsidRDefault="00D93353" w:rsidP="00D93353">
      <w:pPr>
        <w:spacing w:before="240" w:line="360" w:lineRule="auto"/>
        <w:rPr>
          <w:rFonts w:ascii="Times New Roman" w:hAnsi="Times New Roman" w:cs="Times New Roman"/>
          <w:color w:val="000000" w:themeColor="text1"/>
        </w:rPr>
      </w:pPr>
      <w:r w:rsidRPr="00AF0CC3">
        <w:rPr>
          <w:rFonts w:ascii="Times New Roman" w:hAnsi="Times New Roman" w:cs="Times New Roman"/>
          <w:color w:val="000000" w:themeColor="text1"/>
        </w:rPr>
        <w:t>Procurement governance should therefore remain a central reform priority. Transparent procurement systems reduce opportunities for irregularities, strengthen competition, improve contractor selection, and enhance public confidence in infrastructure investment processes. Strengthening procurement oversight mechanisms may also reduce the likelihood of disputes, contract interruptions, and implementation delays that undermine project continuity.</w:t>
      </w:r>
    </w:p>
    <w:p w14:paraId="102D6DF5" w14:textId="77777777" w:rsidR="00D93353" w:rsidRPr="00AF0CC3" w:rsidRDefault="00D93353" w:rsidP="00D93353">
      <w:pPr>
        <w:spacing w:before="240" w:line="360" w:lineRule="auto"/>
        <w:rPr>
          <w:rFonts w:ascii="Times New Roman" w:hAnsi="Times New Roman" w:cs="Times New Roman"/>
          <w:color w:val="000000" w:themeColor="text1"/>
        </w:rPr>
      </w:pPr>
    </w:p>
    <w:p w14:paraId="39DFF984" w14:textId="77777777" w:rsidR="00D93353" w:rsidRPr="00AF0CC3" w:rsidRDefault="00D93353" w:rsidP="00D93353">
      <w:pPr>
        <w:spacing w:before="240" w:line="360" w:lineRule="auto"/>
        <w:rPr>
          <w:rFonts w:ascii="Times New Roman" w:hAnsi="Times New Roman" w:cs="Times New Roman"/>
          <w:color w:val="000000" w:themeColor="text1"/>
        </w:rPr>
      </w:pPr>
      <w:r w:rsidRPr="00AF0CC3">
        <w:rPr>
          <w:rFonts w:ascii="Times New Roman" w:hAnsi="Times New Roman" w:cs="Times New Roman"/>
          <w:color w:val="000000" w:themeColor="text1"/>
        </w:rPr>
        <w:lastRenderedPageBreak/>
        <w:t>The findings further highlight the importance of institutional coordination mechanisms. Large-scale infrastructure projects typically involve multiple ministries, agencies, regulators, contractors, financiers, and local stakeholders. Weak coordination arrangements can generate delays, duplication, fragmented decision-making, and implementation bottlenecks. Strengthening inter-agency coordination structures, clarifying institutional responsibilities, and establishing formal mechanisms for dispute resolution may therefore contribute significantly to improved implementation performance.</w:t>
      </w:r>
    </w:p>
    <w:p w14:paraId="6074140E" w14:textId="77777777" w:rsidR="00D93353" w:rsidRPr="00AF0CC3" w:rsidRDefault="00D93353" w:rsidP="00D93353">
      <w:pPr>
        <w:spacing w:before="240" w:line="360" w:lineRule="auto"/>
        <w:rPr>
          <w:rFonts w:ascii="Times New Roman" w:hAnsi="Times New Roman" w:cs="Times New Roman"/>
          <w:color w:val="000000" w:themeColor="text1"/>
        </w:rPr>
      </w:pPr>
    </w:p>
    <w:p w14:paraId="6032502D" w14:textId="77777777" w:rsidR="00D93353" w:rsidRPr="00AF0CC3" w:rsidRDefault="00D93353" w:rsidP="00D93353">
      <w:pPr>
        <w:spacing w:before="240" w:line="360" w:lineRule="auto"/>
        <w:rPr>
          <w:rFonts w:ascii="Times New Roman" w:hAnsi="Times New Roman" w:cs="Times New Roman"/>
          <w:color w:val="000000" w:themeColor="text1"/>
        </w:rPr>
      </w:pPr>
      <w:r w:rsidRPr="00AF0CC3">
        <w:rPr>
          <w:rFonts w:ascii="Times New Roman" w:hAnsi="Times New Roman" w:cs="Times New Roman"/>
          <w:color w:val="000000" w:themeColor="text1"/>
        </w:rPr>
        <w:t>Oversight systems also require continued strengthening. Audit institutions, project monitoring units, and infrastructure oversight bodies play a critical role in identifying implementation risks, ensuring compliance, and facilitating corrective action. Governance reforms should therefore emphasize proactive monitoring systems that identify governance weaknesses before they lead to major implementation failures.</w:t>
      </w:r>
    </w:p>
    <w:p w14:paraId="053AA831" w14:textId="77777777" w:rsidR="00D93353" w:rsidRPr="00AF0CC3" w:rsidRDefault="00D93353" w:rsidP="00D93353">
      <w:pPr>
        <w:spacing w:before="240" w:line="360" w:lineRule="auto"/>
        <w:rPr>
          <w:rFonts w:ascii="Times New Roman" w:hAnsi="Times New Roman" w:cs="Times New Roman"/>
          <w:color w:val="000000" w:themeColor="text1"/>
        </w:rPr>
      </w:pPr>
    </w:p>
    <w:p w14:paraId="36530B1C" w14:textId="5ABB156F" w:rsidR="00D93353" w:rsidRPr="00AF0CC3" w:rsidRDefault="00D93353" w:rsidP="00D93353">
      <w:pPr>
        <w:pStyle w:val="Heading3"/>
        <w:spacing w:before="240" w:line="360" w:lineRule="auto"/>
        <w:rPr>
          <w:rFonts w:cs="Times New Roman"/>
          <w:b w:val="0"/>
          <w:bCs/>
          <w:color w:val="000000" w:themeColor="text1"/>
          <w:szCs w:val="24"/>
        </w:rPr>
      </w:pPr>
      <w:bookmarkStart w:id="554" w:name="_Toc233318834"/>
      <w:bookmarkStart w:id="555" w:name="_Toc234344909"/>
      <w:bookmarkStart w:id="556" w:name="_Toc234489141"/>
      <w:r w:rsidRPr="00AF0CC3">
        <w:rPr>
          <w:rFonts w:cs="Times New Roman"/>
          <w:bCs/>
          <w:color w:val="000000" w:themeColor="text1"/>
          <w:szCs w:val="24"/>
        </w:rPr>
        <w:t>Documentation and Transparency Systems</w:t>
      </w:r>
      <w:bookmarkEnd w:id="554"/>
      <w:bookmarkEnd w:id="555"/>
      <w:bookmarkEnd w:id="556"/>
    </w:p>
    <w:p w14:paraId="2ADE0A90" w14:textId="77777777" w:rsidR="00D93353" w:rsidRPr="00AF0CC3" w:rsidRDefault="00D93353" w:rsidP="00D93353">
      <w:pPr>
        <w:spacing w:before="240" w:line="360" w:lineRule="auto"/>
        <w:rPr>
          <w:rFonts w:ascii="Times New Roman" w:hAnsi="Times New Roman" w:cs="Times New Roman"/>
          <w:color w:val="000000" w:themeColor="text1"/>
        </w:rPr>
      </w:pPr>
    </w:p>
    <w:p w14:paraId="2348048A" w14:textId="77777777" w:rsidR="00D93353" w:rsidRPr="00AF0CC3" w:rsidRDefault="00D93353" w:rsidP="00D93353">
      <w:pPr>
        <w:spacing w:before="240" w:line="360" w:lineRule="auto"/>
        <w:rPr>
          <w:rFonts w:ascii="Times New Roman" w:hAnsi="Times New Roman" w:cs="Times New Roman"/>
          <w:color w:val="000000" w:themeColor="text1"/>
        </w:rPr>
      </w:pPr>
      <w:r w:rsidRPr="00AF0CC3">
        <w:rPr>
          <w:rFonts w:ascii="Times New Roman" w:hAnsi="Times New Roman" w:cs="Times New Roman"/>
          <w:color w:val="000000" w:themeColor="text1"/>
        </w:rPr>
        <w:t>The findings regarding documentation accessibility have significant implications for transparency and accountability policies. The exclusion of nineteen projects from the analytical sample due to insufficient governance documentation highlighted important weaknesses in records management, information accessibility, and administrative transparency within certain implementation environments.</w:t>
      </w:r>
    </w:p>
    <w:p w14:paraId="1CE2EDE3" w14:textId="77777777" w:rsidR="00D93353" w:rsidRPr="00AF0CC3" w:rsidRDefault="00D93353" w:rsidP="00D93353">
      <w:pPr>
        <w:spacing w:before="240" w:line="360" w:lineRule="auto"/>
        <w:rPr>
          <w:rFonts w:ascii="Times New Roman" w:hAnsi="Times New Roman" w:cs="Times New Roman"/>
          <w:color w:val="000000" w:themeColor="text1"/>
        </w:rPr>
      </w:pPr>
    </w:p>
    <w:p w14:paraId="48CCE971" w14:textId="77777777" w:rsidR="00D93353" w:rsidRPr="00AF0CC3" w:rsidRDefault="00D93353" w:rsidP="00D93353">
      <w:pPr>
        <w:spacing w:before="240" w:line="360" w:lineRule="auto"/>
        <w:rPr>
          <w:rFonts w:ascii="Times New Roman" w:hAnsi="Times New Roman" w:cs="Times New Roman"/>
          <w:color w:val="000000" w:themeColor="text1"/>
        </w:rPr>
      </w:pPr>
      <w:r w:rsidRPr="00AF0CC3">
        <w:rPr>
          <w:rFonts w:ascii="Times New Roman" w:hAnsi="Times New Roman" w:cs="Times New Roman"/>
          <w:color w:val="000000" w:themeColor="text1"/>
        </w:rPr>
        <w:t>A key policy implication is the need to strengthen digital documentation and information management systems across the infrastructure sector. Infrastructure projects generate extensive documentation throughout project preparation, procurement, implementation, monitoring, and evaluation stages. Maintaining accessible and verifiable records is essential for accountability, audit review, institutional learning, performance assessment, and public oversight.</w:t>
      </w:r>
    </w:p>
    <w:p w14:paraId="782474EE" w14:textId="77777777" w:rsidR="00D93353" w:rsidRPr="00AF0CC3" w:rsidRDefault="00D93353" w:rsidP="00D93353">
      <w:pPr>
        <w:spacing w:before="240" w:line="360" w:lineRule="auto"/>
        <w:rPr>
          <w:rFonts w:ascii="Times New Roman" w:hAnsi="Times New Roman" w:cs="Times New Roman"/>
          <w:color w:val="000000" w:themeColor="text1"/>
        </w:rPr>
      </w:pPr>
    </w:p>
    <w:p w14:paraId="29A6C958" w14:textId="77777777" w:rsidR="00D93353" w:rsidRPr="00AF0CC3" w:rsidRDefault="00D93353" w:rsidP="00D93353">
      <w:pPr>
        <w:spacing w:before="240" w:line="360" w:lineRule="auto"/>
        <w:rPr>
          <w:rFonts w:ascii="Times New Roman" w:hAnsi="Times New Roman" w:cs="Times New Roman"/>
          <w:color w:val="000000" w:themeColor="text1"/>
        </w:rPr>
      </w:pPr>
      <w:r w:rsidRPr="00AF0CC3">
        <w:rPr>
          <w:rFonts w:ascii="Times New Roman" w:hAnsi="Times New Roman" w:cs="Times New Roman"/>
          <w:color w:val="000000" w:themeColor="text1"/>
        </w:rPr>
        <w:t>The adoption of integrated digital project information systems could substantially improve the accessibility and transparency of documentation. Such systems would facilitate centralized storage of project records, strengthen institutional memory, improve monitoring capacity, and reduce the risk of information loss due to administrative transitions or personnel changes.</w:t>
      </w:r>
    </w:p>
    <w:p w14:paraId="7E870A9C" w14:textId="77777777" w:rsidR="00D93353" w:rsidRPr="00AF0CC3" w:rsidRDefault="00D93353" w:rsidP="00D93353">
      <w:pPr>
        <w:spacing w:before="240" w:line="360" w:lineRule="auto"/>
        <w:rPr>
          <w:rFonts w:ascii="Times New Roman" w:hAnsi="Times New Roman" w:cs="Times New Roman"/>
          <w:color w:val="000000" w:themeColor="text1"/>
        </w:rPr>
      </w:pPr>
    </w:p>
    <w:p w14:paraId="1DAEF41E" w14:textId="77777777" w:rsidR="00D93353" w:rsidRPr="00AF0CC3" w:rsidRDefault="00D93353" w:rsidP="00D93353">
      <w:pPr>
        <w:spacing w:before="240" w:line="360" w:lineRule="auto"/>
        <w:rPr>
          <w:rFonts w:ascii="Times New Roman" w:hAnsi="Times New Roman" w:cs="Times New Roman"/>
          <w:color w:val="000000" w:themeColor="text1"/>
        </w:rPr>
      </w:pPr>
      <w:r w:rsidRPr="00AF0CC3">
        <w:rPr>
          <w:rFonts w:ascii="Times New Roman" w:hAnsi="Times New Roman" w:cs="Times New Roman"/>
          <w:color w:val="000000" w:themeColor="text1"/>
        </w:rPr>
        <w:t>The findings also support greater emphasis on open project information policies. Public access to infrastructure documentation enhances transparency, strengthens accountability, facilitates independent evaluation, and promotes public confidence in infrastructure investment decisions. Improved transparency may also strengthen governance incentives by increasing scrutiny of project implementation processes and outcomes.</w:t>
      </w:r>
    </w:p>
    <w:p w14:paraId="5BD7D6AC" w14:textId="77777777" w:rsidR="00D93353" w:rsidRPr="00AF0CC3" w:rsidRDefault="00D93353" w:rsidP="00D93353">
      <w:pPr>
        <w:spacing w:before="240" w:line="360" w:lineRule="auto"/>
        <w:rPr>
          <w:rFonts w:ascii="Times New Roman" w:hAnsi="Times New Roman" w:cs="Times New Roman"/>
          <w:color w:val="000000" w:themeColor="text1"/>
        </w:rPr>
      </w:pPr>
    </w:p>
    <w:p w14:paraId="02537209" w14:textId="54712C91" w:rsidR="00D93353" w:rsidRPr="00AF0CC3" w:rsidRDefault="00D93353" w:rsidP="00D93353">
      <w:pPr>
        <w:pStyle w:val="Heading3"/>
        <w:spacing w:before="240" w:line="360" w:lineRule="auto"/>
        <w:rPr>
          <w:rFonts w:cs="Times New Roman"/>
          <w:b w:val="0"/>
          <w:bCs/>
          <w:color w:val="000000" w:themeColor="text1"/>
          <w:szCs w:val="24"/>
        </w:rPr>
      </w:pPr>
      <w:r w:rsidRPr="00AF0CC3">
        <w:rPr>
          <w:rFonts w:cs="Times New Roman"/>
          <w:color w:val="000000" w:themeColor="text1"/>
          <w:szCs w:val="24"/>
        </w:rPr>
        <w:t xml:space="preserve"> </w:t>
      </w:r>
      <w:bookmarkStart w:id="557" w:name="_Toc233318835"/>
      <w:bookmarkStart w:id="558" w:name="_Toc234344910"/>
      <w:bookmarkStart w:id="559" w:name="_Toc234489142"/>
      <w:r w:rsidRPr="00AF0CC3">
        <w:rPr>
          <w:rFonts w:cs="Times New Roman"/>
          <w:bCs/>
          <w:color w:val="000000" w:themeColor="text1"/>
          <w:szCs w:val="24"/>
        </w:rPr>
        <w:t>Financial Governance Reform</w:t>
      </w:r>
      <w:bookmarkEnd w:id="557"/>
      <w:bookmarkEnd w:id="558"/>
      <w:bookmarkEnd w:id="559"/>
    </w:p>
    <w:p w14:paraId="564A65CF" w14:textId="77777777" w:rsidR="00D93353" w:rsidRPr="00AF0CC3" w:rsidRDefault="00D93353" w:rsidP="00D93353">
      <w:pPr>
        <w:spacing w:before="240" w:line="360" w:lineRule="auto"/>
        <w:rPr>
          <w:rFonts w:ascii="Times New Roman" w:hAnsi="Times New Roman" w:cs="Times New Roman"/>
          <w:color w:val="000000" w:themeColor="text1"/>
        </w:rPr>
      </w:pPr>
    </w:p>
    <w:p w14:paraId="7F30AC49" w14:textId="77777777" w:rsidR="00D93353" w:rsidRPr="00AF0CC3" w:rsidRDefault="00D93353" w:rsidP="00D93353">
      <w:pPr>
        <w:spacing w:before="240" w:line="360" w:lineRule="auto"/>
        <w:rPr>
          <w:rFonts w:ascii="Times New Roman" w:hAnsi="Times New Roman" w:cs="Times New Roman"/>
          <w:color w:val="000000" w:themeColor="text1"/>
        </w:rPr>
      </w:pPr>
      <w:r w:rsidRPr="00AF0CC3">
        <w:rPr>
          <w:rFonts w:ascii="Times New Roman" w:hAnsi="Times New Roman" w:cs="Times New Roman"/>
          <w:color w:val="000000" w:themeColor="text1"/>
        </w:rPr>
        <w:t>The study identified important implications for financial governance and infrastructure expenditure management. Although the relationship between governance quality and cost-overrun performance was less conclusive than the relationships observed for project stalling and implementation delays, the findings nevertheless suggest that financial governance systems play an important role in supporting implementation stability and reducing uncertainty.</w:t>
      </w:r>
    </w:p>
    <w:p w14:paraId="094E678E" w14:textId="77777777" w:rsidR="00D93353" w:rsidRPr="00AF0CC3" w:rsidRDefault="00D93353" w:rsidP="00D93353">
      <w:pPr>
        <w:spacing w:before="240" w:line="360" w:lineRule="auto"/>
        <w:rPr>
          <w:rFonts w:ascii="Times New Roman" w:hAnsi="Times New Roman" w:cs="Times New Roman"/>
          <w:color w:val="000000" w:themeColor="text1"/>
        </w:rPr>
      </w:pPr>
    </w:p>
    <w:p w14:paraId="1FE76FF4" w14:textId="77777777" w:rsidR="00D93353" w:rsidRPr="00AF0CC3" w:rsidRDefault="00D93353" w:rsidP="00D93353">
      <w:pPr>
        <w:spacing w:before="240" w:line="360" w:lineRule="auto"/>
        <w:rPr>
          <w:rFonts w:ascii="Times New Roman" w:hAnsi="Times New Roman" w:cs="Times New Roman"/>
          <w:color w:val="000000" w:themeColor="text1"/>
        </w:rPr>
      </w:pPr>
      <w:r w:rsidRPr="00AF0CC3">
        <w:rPr>
          <w:rFonts w:ascii="Times New Roman" w:hAnsi="Times New Roman" w:cs="Times New Roman"/>
          <w:color w:val="000000" w:themeColor="text1"/>
        </w:rPr>
        <w:t xml:space="preserve">Particular attention should be given to payment reliability, which recorded the lowest score among the governance components assessed in this study. Delays in payment processing can create cascading effects throughout the implementation process by disrupting contractor operations, delaying procurement activities, increasing contractual tensions, and undermining financial predictability. Enhancing the timeliness and consistency of disbursement mechanisms </w:t>
      </w:r>
      <w:r w:rsidRPr="00AF0CC3">
        <w:rPr>
          <w:rFonts w:ascii="Times New Roman" w:hAnsi="Times New Roman" w:cs="Times New Roman"/>
          <w:color w:val="000000" w:themeColor="text1"/>
        </w:rPr>
        <w:lastRenderedPageBreak/>
        <w:t>may therefore offer a high-impact reform opportunity to improve implementation continuity, reduce project disruption, and strengthen overall delivery performance.</w:t>
      </w:r>
    </w:p>
    <w:p w14:paraId="0CBEB46B" w14:textId="77777777" w:rsidR="00D93353" w:rsidRPr="00AF0CC3" w:rsidRDefault="00D93353" w:rsidP="00D93353">
      <w:pPr>
        <w:spacing w:before="240" w:line="360" w:lineRule="auto"/>
        <w:rPr>
          <w:rFonts w:ascii="Times New Roman" w:hAnsi="Times New Roman" w:cs="Times New Roman"/>
          <w:color w:val="000000" w:themeColor="text1"/>
        </w:rPr>
      </w:pPr>
      <w:r w:rsidRPr="00AF0CC3">
        <w:rPr>
          <w:rFonts w:ascii="Times New Roman" w:hAnsi="Times New Roman" w:cs="Times New Roman"/>
          <w:color w:val="000000" w:themeColor="text1"/>
        </w:rPr>
        <w:t>The findings also highlight the importance of contract administration systems. Effective contract management facilitates timely issue resolution, strengthens accountability, reduces implementation disputes, and supports project continuity. Infrastructure agencies should therefore invest in contract management capacity, monitoring systems, and dispute resolution mechanisms to minimize implementation disruption.</w:t>
      </w:r>
    </w:p>
    <w:p w14:paraId="0B1C1902" w14:textId="77777777" w:rsidR="00D93353" w:rsidRPr="00AF0CC3" w:rsidRDefault="00D93353" w:rsidP="00D93353">
      <w:pPr>
        <w:spacing w:before="240" w:line="360" w:lineRule="auto"/>
        <w:rPr>
          <w:rFonts w:ascii="Times New Roman" w:hAnsi="Times New Roman" w:cs="Times New Roman"/>
          <w:color w:val="000000" w:themeColor="text1"/>
        </w:rPr>
      </w:pPr>
    </w:p>
    <w:p w14:paraId="4FF814AD" w14:textId="20DC9EE1" w:rsidR="00D93353" w:rsidRPr="00AF0CC3" w:rsidRDefault="00D93353" w:rsidP="00D93353">
      <w:pPr>
        <w:spacing w:before="240" w:line="360" w:lineRule="auto"/>
        <w:rPr>
          <w:rFonts w:ascii="Times New Roman" w:hAnsi="Times New Roman" w:cs="Times New Roman"/>
          <w:color w:val="000000" w:themeColor="text1"/>
        </w:rPr>
      </w:pPr>
      <w:r w:rsidRPr="00AF0CC3">
        <w:rPr>
          <w:rFonts w:ascii="Times New Roman" w:hAnsi="Times New Roman" w:cs="Times New Roman"/>
          <w:color w:val="000000" w:themeColor="text1"/>
        </w:rPr>
        <w:t xml:space="preserve">In addition, improvements in disbursement systems may strengthen financial predictability and implementation stability. Delays in the release of funds and the authorization of </w:t>
      </w:r>
      <w:r w:rsidR="00FF3E3C" w:rsidRPr="00AF0CC3">
        <w:rPr>
          <w:rFonts w:ascii="Times New Roman" w:hAnsi="Times New Roman" w:cs="Times New Roman"/>
          <w:color w:val="000000" w:themeColor="text1"/>
        </w:rPr>
        <w:t>expenditure</w:t>
      </w:r>
      <w:r w:rsidRPr="00AF0CC3">
        <w:rPr>
          <w:rFonts w:ascii="Times New Roman" w:hAnsi="Times New Roman" w:cs="Times New Roman"/>
          <w:color w:val="000000" w:themeColor="text1"/>
        </w:rPr>
        <w:t xml:space="preserve"> can disrupt project activities and contribute to implementation uncertainty. Governance reforms should therefore seek to improve the efficiency, predictability, and transparency of infrastructure financing processes.</w:t>
      </w:r>
    </w:p>
    <w:p w14:paraId="7B3E1E77" w14:textId="77777777" w:rsidR="00D93353" w:rsidRPr="00AF0CC3" w:rsidRDefault="00D93353" w:rsidP="00D93353">
      <w:pPr>
        <w:spacing w:before="240" w:line="360" w:lineRule="auto"/>
        <w:rPr>
          <w:rFonts w:ascii="Times New Roman" w:hAnsi="Times New Roman" w:cs="Times New Roman"/>
          <w:color w:val="000000" w:themeColor="text1"/>
        </w:rPr>
      </w:pPr>
    </w:p>
    <w:p w14:paraId="1923B178" w14:textId="142AB9E7" w:rsidR="00D93353" w:rsidRPr="00AF0CC3" w:rsidRDefault="00D93353" w:rsidP="00D93353">
      <w:pPr>
        <w:pStyle w:val="Heading3"/>
        <w:spacing w:before="240" w:line="360" w:lineRule="auto"/>
        <w:rPr>
          <w:rFonts w:cs="Times New Roman"/>
          <w:b w:val="0"/>
          <w:bCs/>
          <w:color w:val="000000" w:themeColor="text1"/>
          <w:szCs w:val="24"/>
        </w:rPr>
      </w:pPr>
      <w:bookmarkStart w:id="560" w:name="_Toc233318836"/>
      <w:bookmarkStart w:id="561" w:name="_Toc234344911"/>
      <w:bookmarkStart w:id="562" w:name="_Toc234489143"/>
      <w:r w:rsidRPr="00AF0CC3">
        <w:rPr>
          <w:rFonts w:cs="Times New Roman"/>
          <w:bCs/>
          <w:color w:val="000000" w:themeColor="text1"/>
          <w:szCs w:val="24"/>
        </w:rPr>
        <w:t>Climate Governance Integration</w:t>
      </w:r>
      <w:bookmarkEnd w:id="560"/>
      <w:bookmarkEnd w:id="561"/>
      <w:bookmarkEnd w:id="562"/>
    </w:p>
    <w:p w14:paraId="095C145A" w14:textId="77777777" w:rsidR="00D93353" w:rsidRPr="00AF0CC3" w:rsidRDefault="00D93353" w:rsidP="00D93353">
      <w:pPr>
        <w:spacing w:before="240" w:line="360" w:lineRule="auto"/>
        <w:rPr>
          <w:rFonts w:ascii="Times New Roman" w:hAnsi="Times New Roman" w:cs="Times New Roman"/>
          <w:color w:val="000000" w:themeColor="text1"/>
        </w:rPr>
      </w:pPr>
    </w:p>
    <w:p w14:paraId="2C856650" w14:textId="77777777" w:rsidR="00D93353" w:rsidRPr="00AF0CC3" w:rsidRDefault="00D93353" w:rsidP="00D93353">
      <w:pPr>
        <w:spacing w:before="240" w:line="360" w:lineRule="auto"/>
        <w:rPr>
          <w:rFonts w:ascii="Times New Roman" w:hAnsi="Times New Roman" w:cs="Times New Roman"/>
          <w:color w:val="000000" w:themeColor="text1"/>
        </w:rPr>
      </w:pPr>
      <w:r w:rsidRPr="00AF0CC3">
        <w:rPr>
          <w:rFonts w:ascii="Times New Roman" w:hAnsi="Times New Roman" w:cs="Times New Roman"/>
          <w:color w:val="000000" w:themeColor="text1"/>
        </w:rPr>
        <w:t>The evidence generated by this study suggests that governance quality contributes not only to implementation efficiency but also to institutional resilience. Projects operating within stronger governance environments exhibited a greater capacity to sustain implementation continuity amid climate-related disruption and environmental uncertainty.</w:t>
      </w:r>
    </w:p>
    <w:p w14:paraId="14B2C596" w14:textId="77777777" w:rsidR="00D93353" w:rsidRPr="00AF0CC3" w:rsidRDefault="00D93353" w:rsidP="00D93353">
      <w:pPr>
        <w:spacing w:before="240" w:line="360" w:lineRule="auto"/>
        <w:rPr>
          <w:rFonts w:ascii="Times New Roman" w:hAnsi="Times New Roman" w:cs="Times New Roman"/>
          <w:color w:val="000000" w:themeColor="text1"/>
        </w:rPr>
      </w:pPr>
    </w:p>
    <w:p w14:paraId="2952B9A6" w14:textId="77777777" w:rsidR="00D93353" w:rsidRPr="00AF0CC3" w:rsidRDefault="00D93353" w:rsidP="00D93353">
      <w:pPr>
        <w:spacing w:before="240" w:line="360" w:lineRule="auto"/>
        <w:rPr>
          <w:rFonts w:ascii="Times New Roman" w:hAnsi="Times New Roman" w:cs="Times New Roman"/>
          <w:color w:val="000000" w:themeColor="text1"/>
        </w:rPr>
      </w:pPr>
      <w:r w:rsidRPr="00AF0CC3">
        <w:rPr>
          <w:rFonts w:ascii="Times New Roman" w:hAnsi="Times New Roman" w:cs="Times New Roman"/>
          <w:color w:val="000000" w:themeColor="text1"/>
        </w:rPr>
        <w:t xml:space="preserve">This finding has important implications for climate adaptation governance. Climate resilience should not be viewed solely as a technical design issue but also as a governance challenge requiring effective coordination, risk management, institutional flexibility, and adaptive decision-making. Infrastructure governance frameworks should therefore integrate climate resilience </w:t>
      </w:r>
      <w:r w:rsidRPr="00AF0CC3">
        <w:rPr>
          <w:rFonts w:ascii="Times New Roman" w:hAnsi="Times New Roman" w:cs="Times New Roman"/>
          <w:color w:val="000000" w:themeColor="text1"/>
        </w:rPr>
        <w:lastRenderedPageBreak/>
        <w:t>considerations throughout project planning, procurement, implementation, and monitoring processes.</w:t>
      </w:r>
    </w:p>
    <w:p w14:paraId="65A8EAF2" w14:textId="77777777" w:rsidR="00D93353" w:rsidRPr="00AF0CC3" w:rsidRDefault="00D93353" w:rsidP="00D93353">
      <w:pPr>
        <w:spacing w:before="240" w:line="360" w:lineRule="auto"/>
        <w:rPr>
          <w:rFonts w:ascii="Times New Roman" w:hAnsi="Times New Roman" w:cs="Times New Roman"/>
          <w:color w:val="000000" w:themeColor="text1"/>
        </w:rPr>
      </w:pPr>
    </w:p>
    <w:p w14:paraId="1C4A375C" w14:textId="77777777" w:rsidR="00D93353" w:rsidRPr="00AF0CC3" w:rsidRDefault="00D93353" w:rsidP="00D93353">
      <w:pPr>
        <w:spacing w:before="240" w:line="360" w:lineRule="auto"/>
        <w:rPr>
          <w:rFonts w:ascii="Times New Roman" w:hAnsi="Times New Roman" w:cs="Times New Roman"/>
          <w:color w:val="000000" w:themeColor="text1"/>
        </w:rPr>
      </w:pPr>
      <w:r w:rsidRPr="00AF0CC3">
        <w:rPr>
          <w:rFonts w:ascii="Times New Roman" w:hAnsi="Times New Roman" w:cs="Times New Roman"/>
          <w:color w:val="000000" w:themeColor="text1"/>
        </w:rPr>
        <w:t>Climate adaptation planning should also be embedded within infrastructure governance systems. This includes strengthening climate risk assessment procedures, incorporating climate adaptation requirements into project appraisal processes, improving environmental monitoring systems, and developing contingency planning mechanisms to support continuity of implementation during periods of environmental stress.</w:t>
      </w:r>
    </w:p>
    <w:p w14:paraId="663A780C" w14:textId="77777777" w:rsidR="00D93353" w:rsidRPr="00AF0CC3" w:rsidRDefault="00D93353" w:rsidP="00D93353">
      <w:pPr>
        <w:spacing w:before="240" w:line="360" w:lineRule="auto"/>
        <w:rPr>
          <w:rFonts w:ascii="Times New Roman" w:hAnsi="Times New Roman" w:cs="Times New Roman"/>
          <w:color w:val="000000" w:themeColor="text1"/>
        </w:rPr>
      </w:pPr>
    </w:p>
    <w:p w14:paraId="6C1C43F7" w14:textId="77777777" w:rsidR="00D93353" w:rsidRPr="00AF0CC3" w:rsidRDefault="00D93353" w:rsidP="00D93353">
      <w:pPr>
        <w:spacing w:before="240" w:line="360" w:lineRule="auto"/>
        <w:rPr>
          <w:rFonts w:ascii="Times New Roman" w:hAnsi="Times New Roman" w:cs="Times New Roman"/>
          <w:color w:val="000000" w:themeColor="text1"/>
        </w:rPr>
      </w:pPr>
      <w:r w:rsidRPr="00AF0CC3">
        <w:rPr>
          <w:rFonts w:ascii="Times New Roman" w:hAnsi="Times New Roman" w:cs="Times New Roman"/>
          <w:color w:val="000000" w:themeColor="text1"/>
        </w:rPr>
        <w:t>The findings further highlight the importance of resilience as a governance objective within climate-vulnerable infrastructure environments. Institutions that can respond effectively to uncertainty, coordinate adaptive actions, and sustain implementation continuity are better equipped to manage environmental disruption and evolving risk conditions. Consequently, strengthening adaptive capacity and institutional flexibility should form an integral component of long-term infrastructure governance strategies.</w:t>
      </w:r>
    </w:p>
    <w:p w14:paraId="335D7E9C" w14:textId="7B1CEB06" w:rsidR="000D3DDE" w:rsidRPr="00AF0CC3" w:rsidRDefault="00E51251" w:rsidP="00806BB2">
      <w:pPr>
        <w:pStyle w:val="Heading4"/>
        <w:rPr>
          <w:rFonts w:cs="Times New Roman"/>
          <w:color w:val="000000" w:themeColor="text1"/>
        </w:rPr>
      </w:pPr>
      <w:r w:rsidRPr="00AF0CC3">
        <w:rPr>
          <w:rFonts w:cs="Times New Roman"/>
          <w:color w:val="000000" w:themeColor="text1"/>
        </w:rPr>
        <w:t>Climate Resilience as a Governance Priority Rather than a Financing Objective</w:t>
      </w:r>
    </w:p>
    <w:p w14:paraId="3F6C7D97" w14:textId="77777777" w:rsidR="00806BB2" w:rsidRPr="00AF0CC3" w:rsidRDefault="00806BB2" w:rsidP="00806BB2">
      <w:pPr>
        <w:spacing w:before="240" w:line="360" w:lineRule="auto"/>
        <w:rPr>
          <w:rFonts w:ascii="Times New Roman" w:hAnsi="Times New Roman" w:cs="Times New Roman"/>
          <w:color w:val="000000" w:themeColor="text1"/>
        </w:rPr>
      </w:pPr>
      <w:r w:rsidRPr="00AF0CC3">
        <w:rPr>
          <w:rFonts w:ascii="Times New Roman" w:hAnsi="Times New Roman" w:cs="Times New Roman"/>
          <w:color w:val="000000" w:themeColor="text1"/>
        </w:rPr>
        <w:t>One of the principal implications of this study is that climate resilience should be understood primarily as a governance challenge rather than solely a financing challenge. Contemporary international discourse frequently emphasizes mobilizing additional climate finance through mechanisms such as the Green Climate Fund, Adaptation Fund, climate bonds, blended finance, concessional lending, and other international financing instruments (IPCC, 2022; OECD, 2023). While expanding financial resources remains important, the findings of this study suggest that additional finance alone is unlikely to improve infrastructure resilience where governance systems remain weak.</w:t>
      </w:r>
    </w:p>
    <w:p w14:paraId="401AEC76" w14:textId="77777777" w:rsidR="00806BB2" w:rsidRPr="00AF0CC3" w:rsidRDefault="00806BB2" w:rsidP="00806BB2">
      <w:pPr>
        <w:spacing w:before="240" w:line="360" w:lineRule="auto"/>
        <w:rPr>
          <w:rFonts w:ascii="Times New Roman" w:hAnsi="Times New Roman" w:cs="Times New Roman"/>
          <w:color w:val="000000" w:themeColor="text1"/>
        </w:rPr>
      </w:pPr>
    </w:p>
    <w:p w14:paraId="63EE4634" w14:textId="77777777" w:rsidR="00806BB2" w:rsidRPr="00AF0CC3" w:rsidRDefault="00806BB2" w:rsidP="00806BB2">
      <w:pPr>
        <w:spacing w:before="240" w:line="360" w:lineRule="auto"/>
        <w:rPr>
          <w:rFonts w:ascii="Times New Roman" w:hAnsi="Times New Roman" w:cs="Times New Roman"/>
          <w:color w:val="000000" w:themeColor="text1"/>
        </w:rPr>
      </w:pPr>
      <w:r w:rsidRPr="00AF0CC3">
        <w:rPr>
          <w:rFonts w:ascii="Times New Roman" w:hAnsi="Times New Roman" w:cs="Times New Roman"/>
          <w:color w:val="000000" w:themeColor="text1"/>
        </w:rPr>
        <w:t xml:space="preserve">This observation aligns with emerging research arguing that institutional quality frequently determines the effectiveness of climate investments (Hallegatte et al., 2019; World Bank, 2019). </w:t>
      </w:r>
      <w:r w:rsidRPr="00AF0CC3">
        <w:rPr>
          <w:rFonts w:ascii="Times New Roman" w:hAnsi="Times New Roman" w:cs="Times New Roman"/>
          <w:color w:val="000000" w:themeColor="text1"/>
        </w:rPr>
        <w:lastRenderedPageBreak/>
        <w:t>Infrastructure projects financed through conventional public investment, development assistance, or climate-specific funding are all subject to the same governance processes governing procurement, coordination, implementation, monitoring, financial management, and accountability. Consequently, the distinction between climate finance and infrastructure finance may be less important than ensuring that all infrastructure investment is governed through institutions capable of integrating climate risk throughout the project lifecycle.</w:t>
      </w:r>
    </w:p>
    <w:p w14:paraId="470822D7" w14:textId="77777777" w:rsidR="00806BB2" w:rsidRPr="00AF0CC3" w:rsidRDefault="00806BB2" w:rsidP="00806BB2">
      <w:pPr>
        <w:spacing w:before="240" w:line="360" w:lineRule="auto"/>
        <w:rPr>
          <w:rFonts w:ascii="Times New Roman" w:hAnsi="Times New Roman" w:cs="Times New Roman"/>
          <w:color w:val="000000" w:themeColor="text1"/>
        </w:rPr>
      </w:pPr>
    </w:p>
    <w:p w14:paraId="316DD4A1" w14:textId="1E2D65CE" w:rsidR="000D3DDE" w:rsidRPr="00AF0CC3" w:rsidRDefault="00806BB2" w:rsidP="00806BB2">
      <w:pPr>
        <w:spacing w:before="240" w:line="360" w:lineRule="auto"/>
        <w:rPr>
          <w:rFonts w:ascii="Times New Roman" w:hAnsi="Times New Roman" w:cs="Times New Roman"/>
          <w:color w:val="000000" w:themeColor="text1"/>
        </w:rPr>
      </w:pPr>
      <w:r w:rsidRPr="00AF0CC3">
        <w:rPr>
          <w:rFonts w:ascii="Times New Roman" w:hAnsi="Times New Roman" w:cs="Times New Roman"/>
          <w:color w:val="000000" w:themeColor="text1"/>
        </w:rPr>
        <w:t>The study therefore supports an integrated perspective in which climate resilience becomes a fundamental governance objective embedded within all infrastructure development rather than a separate category of climate-funded projects. Such an approach recognizes that resilience depends as much on institutional capability as on the availability of financial resources.</w:t>
      </w:r>
    </w:p>
    <w:p w14:paraId="03AEC1D9" w14:textId="46669436" w:rsidR="000D3DDE" w:rsidRPr="00AF0CC3" w:rsidRDefault="00580BB8" w:rsidP="00580BB8">
      <w:pPr>
        <w:pStyle w:val="Heading4"/>
        <w:rPr>
          <w:rFonts w:cs="Times New Roman"/>
          <w:color w:val="000000" w:themeColor="text1"/>
        </w:rPr>
      </w:pPr>
      <w:r w:rsidRPr="00AF0CC3">
        <w:rPr>
          <w:rFonts w:cs="Times New Roman"/>
          <w:color w:val="000000" w:themeColor="text1"/>
        </w:rPr>
        <w:t>Mainstreaming Climate Governance Across the Infrastructure Lifecycle</w:t>
      </w:r>
    </w:p>
    <w:p w14:paraId="4B6CF47D" w14:textId="77777777" w:rsidR="00580BB8" w:rsidRPr="00AF0CC3" w:rsidRDefault="00580BB8" w:rsidP="00580BB8">
      <w:pPr>
        <w:spacing w:before="240" w:line="360" w:lineRule="auto"/>
        <w:rPr>
          <w:rFonts w:ascii="Times New Roman" w:hAnsi="Times New Roman" w:cs="Times New Roman"/>
          <w:color w:val="000000" w:themeColor="text1"/>
        </w:rPr>
      </w:pPr>
      <w:r w:rsidRPr="00AF0CC3">
        <w:rPr>
          <w:rFonts w:ascii="Times New Roman" w:hAnsi="Times New Roman" w:cs="Times New Roman"/>
          <w:color w:val="000000" w:themeColor="text1"/>
        </w:rPr>
        <w:t>The documentary evidence reviewed in this study indicates that climate considerations should be integrated throughout every phase of infrastructure development rather than confined to environmental impact assessment or project appraisal. Climate risk evolves continuously throughout infrastructure planning, procurement, implementation, operation, and maintenance. Governance systems should therefore institutionalize climate resilience across the entire infrastructure lifecycle.</w:t>
      </w:r>
    </w:p>
    <w:p w14:paraId="2DEC32BB" w14:textId="77777777" w:rsidR="00580BB8" w:rsidRPr="00AF0CC3" w:rsidRDefault="00580BB8" w:rsidP="00580BB8">
      <w:pPr>
        <w:spacing w:before="240" w:line="360" w:lineRule="auto"/>
        <w:rPr>
          <w:rFonts w:ascii="Times New Roman" w:hAnsi="Times New Roman" w:cs="Times New Roman"/>
          <w:color w:val="000000" w:themeColor="text1"/>
        </w:rPr>
      </w:pPr>
    </w:p>
    <w:p w14:paraId="5963092C" w14:textId="77777777" w:rsidR="00580BB8" w:rsidRPr="00AF0CC3" w:rsidRDefault="00580BB8" w:rsidP="00580BB8">
      <w:pPr>
        <w:spacing w:before="240" w:line="360" w:lineRule="auto"/>
        <w:rPr>
          <w:rFonts w:ascii="Times New Roman" w:hAnsi="Times New Roman" w:cs="Times New Roman"/>
          <w:color w:val="000000" w:themeColor="text1"/>
        </w:rPr>
      </w:pPr>
      <w:r w:rsidRPr="00AF0CC3">
        <w:rPr>
          <w:rFonts w:ascii="Times New Roman" w:hAnsi="Times New Roman" w:cs="Times New Roman"/>
          <w:color w:val="000000" w:themeColor="text1"/>
        </w:rPr>
        <w:t>Mainstreaming climate governance requires climate risk assessment to inform project selection, procurement specifications, engineering design, contract management, monitoring systems, maintenance planning, and performance evaluation. This approach is increasingly supported within international resilience frameworks, which emphasize integrating adaptation into mainstream public investment rather than relying exclusively on dedicated climate programmes (OECD, 2021; World Bank, 2024).</w:t>
      </w:r>
    </w:p>
    <w:p w14:paraId="4763C3A3" w14:textId="77777777" w:rsidR="00580BB8" w:rsidRPr="00AF0CC3" w:rsidRDefault="00580BB8" w:rsidP="00580BB8">
      <w:pPr>
        <w:spacing w:before="240" w:line="360" w:lineRule="auto"/>
        <w:rPr>
          <w:rFonts w:ascii="Times New Roman" w:hAnsi="Times New Roman" w:cs="Times New Roman"/>
          <w:color w:val="000000" w:themeColor="text1"/>
        </w:rPr>
      </w:pPr>
    </w:p>
    <w:p w14:paraId="1368523F" w14:textId="59551835" w:rsidR="00D93353" w:rsidRPr="00AF0CC3" w:rsidRDefault="00580BB8" w:rsidP="00580BB8">
      <w:pPr>
        <w:spacing w:before="240" w:line="360" w:lineRule="auto"/>
        <w:rPr>
          <w:rFonts w:ascii="Times New Roman" w:hAnsi="Times New Roman" w:cs="Times New Roman"/>
          <w:color w:val="000000" w:themeColor="text1"/>
        </w:rPr>
      </w:pPr>
      <w:r w:rsidRPr="00AF0CC3">
        <w:rPr>
          <w:rFonts w:ascii="Times New Roman" w:hAnsi="Times New Roman" w:cs="Times New Roman"/>
          <w:color w:val="000000" w:themeColor="text1"/>
        </w:rPr>
        <w:lastRenderedPageBreak/>
        <w:t>For Kenya, where droughts, floods, and climate variability increasingly affect infrastructure performance, mainstreaming climate governance offers a practical strategy for improving long-term infrastructure sustainability without necessarily requiring entirely new institutional structures.</w:t>
      </w:r>
    </w:p>
    <w:p w14:paraId="2ADF818F" w14:textId="4CE25A4C" w:rsidR="00580BB8" w:rsidRPr="00AF0CC3" w:rsidRDefault="00A1414D" w:rsidP="00A1414D">
      <w:pPr>
        <w:pStyle w:val="Heading4"/>
        <w:rPr>
          <w:rFonts w:cs="Times New Roman"/>
          <w:color w:val="000000" w:themeColor="text1"/>
        </w:rPr>
      </w:pPr>
      <w:r w:rsidRPr="00AF0CC3">
        <w:rPr>
          <w:rFonts w:cs="Times New Roman"/>
          <w:color w:val="000000" w:themeColor="text1"/>
        </w:rPr>
        <w:t>Climate Finance Requires Governance before Additional Funding</w:t>
      </w:r>
    </w:p>
    <w:p w14:paraId="2E15D263" w14:textId="4C74249D" w:rsidR="00A1414D" w:rsidRPr="00AF0CC3" w:rsidRDefault="00A1414D" w:rsidP="00A1414D">
      <w:pPr>
        <w:spacing w:before="240" w:line="360" w:lineRule="auto"/>
        <w:rPr>
          <w:rFonts w:ascii="Times New Roman" w:hAnsi="Times New Roman" w:cs="Times New Roman"/>
          <w:color w:val="000000" w:themeColor="text1"/>
        </w:rPr>
      </w:pPr>
      <w:r w:rsidRPr="00AF0CC3">
        <w:rPr>
          <w:rFonts w:ascii="Times New Roman" w:hAnsi="Times New Roman" w:cs="Times New Roman"/>
          <w:color w:val="000000" w:themeColor="text1"/>
        </w:rPr>
        <w:t xml:space="preserve">A particularly important implication emerging from this research concerns the relationship between governance quality and climate finance. International discussions frequently focus on mobilizing additional climate finance to support adaptation and resilience (UNFCCC, 2023). However, the evidence </w:t>
      </w:r>
      <w:r w:rsidR="00C42F72" w:rsidRPr="00AF0CC3">
        <w:rPr>
          <w:rFonts w:ascii="Times New Roman" w:hAnsi="Times New Roman" w:cs="Times New Roman"/>
          <w:color w:val="000000" w:themeColor="text1"/>
        </w:rPr>
        <w:t>from this study suggests that governance quality may be a prerequisite for the effective use</w:t>
      </w:r>
      <w:r w:rsidRPr="00AF0CC3">
        <w:rPr>
          <w:rFonts w:ascii="Times New Roman" w:hAnsi="Times New Roman" w:cs="Times New Roman"/>
          <w:color w:val="000000" w:themeColor="text1"/>
        </w:rPr>
        <w:t xml:space="preserve"> of climate finance rather than a consequence of increased investment.</w:t>
      </w:r>
    </w:p>
    <w:p w14:paraId="1634F2EA" w14:textId="77777777" w:rsidR="00A1414D" w:rsidRPr="00AF0CC3" w:rsidRDefault="00A1414D" w:rsidP="00A1414D">
      <w:pPr>
        <w:spacing w:before="240" w:line="360" w:lineRule="auto"/>
        <w:rPr>
          <w:rFonts w:ascii="Times New Roman" w:hAnsi="Times New Roman" w:cs="Times New Roman"/>
          <w:color w:val="000000" w:themeColor="text1"/>
        </w:rPr>
      </w:pPr>
    </w:p>
    <w:p w14:paraId="0857B169" w14:textId="33FBC1D5" w:rsidR="00A1414D" w:rsidRPr="00AF0CC3" w:rsidRDefault="00A1414D" w:rsidP="00A1414D">
      <w:pPr>
        <w:spacing w:before="240" w:line="360" w:lineRule="auto"/>
        <w:rPr>
          <w:rFonts w:ascii="Times New Roman" w:hAnsi="Times New Roman" w:cs="Times New Roman"/>
          <w:color w:val="000000" w:themeColor="text1"/>
        </w:rPr>
      </w:pPr>
      <w:r w:rsidRPr="00AF0CC3">
        <w:rPr>
          <w:rFonts w:ascii="Times New Roman" w:hAnsi="Times New Roman" w:cs="Times New Roman"/>
          <w:color w:val="000000" w:themeColor="text1"/>
        </w:rPr>
        <w:t xml:space="preserve">Climate finance should therefore not be interpreted solely as additional financial resources allocated to climate-specific projects. Instead, climate resilience should become an organizing principle </w:t>
      </w:r>
      <w:r w:rsidR="00C42F72" w:rsidRPr="00AF0CC3">
        <w:rPr>
          <w:rFonts w:ascii="Times New Roman" w:hAnsi="Times New Roman" w:cs="Times New Roman"/>
          <w:color w:val="000000" w:themeColor="text1"/>
        </w:rPr>
        <w:t>for planning, implementing, monitoring, and evaluating infrastructure investments, whether financed by domestic budgets, concessional loans, grants, public-private partnerships, infrastructure bonds, or commercial borrowing</w:t>
      </w:r>
      <w:r w:rsidRPr="00AF0CC3">
        <w:rPr>
          <w:rFonts w:ascii="Times New Roman" w:hAnsi="Times New Roman" w:cs="Times New Roman"/>
          <w:color w:val="000000" w:themeColor="text1"/>
        </w:rPr>
        <w:t>.</w:t>
      </w:r>
    </w:p>
    <w:p w14:paraId="273DB7AD" w14:textId="77777777" w:rsidR="00A1414D" w:rsidRPr="00AF0CC3" w:rsidRDefault="00A1414D" w:rsidP="00A1414D">
      <w:pPr>
        <w:spacing w:before="240" w:line="360" w:lineRule="auto"/>
        <w:rPr>
          <w:rFonts w:ascii="Times New Roman" w:hAnsi="Times New Roman" w:cs="Times New Roman"/>
          <w:color w:val="000000" w:themeColor="text1"/>
        </w:rPr>
      </w:pPr>
    </w:p>
    <w:p w14:paraId="05BC39F9" w14:textId="70ACF86F" w:rsidR="00A1414D" w:rsidRPr="00AF0CC3" w:rsidRDefault="00A1414D" w:rsidP="00A1414D">
      <w:pPr>
        <w:spacing w:before="240" w:line="360" w:lineRule="auto"/>
        <w:rPr>
          <w:rFonts w:ascii="Times New Roman" w:hAnsi="Times New Roman" w:cs="Times New Roman"/>
          <w:color w:val="000000" w:themeColor="text1"/>
        </w:rPr>
      </w:pPr>
      <w:r w:rsidRPr="00AF0CC3">
        <w:rPr>
          <w:rFonts w:ascii="Times New Roman" w:hAnsi="Times New Roman" w:cs="Times New Roman"/>
          <w:color w:val="000000" w:themeColor="text1"/>
        </w:rPr>
        <w:t xml:space="preserve">This interpretation aligns with recent OECD (2023) and World Bank (2024) guidance emphasizing that effective climate adaptation increasingly depends upon institutional capability, governance quality, and implementation capacity rather than financial </w:t>
      </w:r>
      <w:r w:rsidR="00C42F72" w:rsidRPr="00AF0CC3">
        <w:rPr>
          <w:rFonts w:ascii="Times New Roman" w:hAnsi="Times New Roman" w:cs="Times New Roman"/>
          <w:color w:val="000000" w:themeColor="text1"/>
        </w:rPr>
        <w:t>mobilization</w:t>
      </w:r>
      <w:r w:rsidRPr="00AF0CC3">
        <w:rPr>
          <w:rFonts w:ascii="Times New Roman" w:hAnsi="Times New Roman" w:cs="Times New Roman"/>
          <w:color w:val="000000" w:themeColor="text1"/>
        </w:rPr>
        <w:t xml:space="preserve"> alone.</w:t>
      </w:r>
    </w:p>
    <w:p w14:paraId="2108BBEF" w14:textId="77777777" w:rsidR="00A1414D" w:rsidRPr="00AF0CC3" w:rsidRDefault="00A1414D" w:rsidP="00A1414D">
      <w:pPr>
        <w:spacing w:before="240" w:line="360" w:lineRule="auto"/>
        <w:rPr>
          <w:rFonts w:ascii="Times New Roman" w:hAnsi="Times New Roman" w:cs="Times New Roman"/>
          <w:color w:val="000000" w:themeColor="text1"/>
        </w:rPr>
      </w:pPr>
    </w:p>
    <w:p w14:paraId="5FF449B1" w14:textId="671E7552" w:rsidR="00580BB8" w:rsidRPr="00AF0CC3" w:rsidRDefault="00A1414D" w:rsidP="00A1414D">
      <w:pPr>
        <w:spacing w:before="240" w:line="360" w:lineRule="auto"/>
        <w:rPr>
          <w:rFonts w:ascii="Times New Roman" w:hAnsi="Times New Roman" w:cs="Times New Roman"/>
          <w:color w:val="000000" w:themeColor="text1"/>
        </w:rPr>
      </w:pPr>
      <w:r w:rsidRPr="00AF0CC3">
        <w:rPr>
          <w:rFonts w:ascii="Times New Roman" w:hAnsi="Times New Roman" w:cs="Times New Roman"/>
          <w:color w:val="000000" w:themeColor="text1"/>
        </w:rPr>
        <w:t>Accordingly, strengthening governance quality may represent one of the most cost-effective climate adaptation investments available to developing countries.</w:t>
      </w:r>
    </w:p>
    <w:p w14:paraId="55422D83" w14:textId="5EA47C0B" w:rsidR="00A1414D" w:rsidRPr="00AF0CC3" w:rsidRDefault="00961B2F" w:rsidP="00961B2F">
      <w:pPr>
        <w:pStyle w:val="Heading4"/>
        <w:rPr>
          <w:rFonts w:cs="Times New Roman"/>
          <w:color w:val="000000" w:themeColor="text1"/>
        </w:rPr>
      </w:pPr>
      <w:r w:rsidRPr="00AF0CC3">
        <w:rPr>
          <w:rFonts w:cs="Times New Roman"/>
          <w:color w:val="000000" w:themeColor="text1"/>
        </w:rPr>
        <w:t>Climate-Resilient Development Pathways for Kenya</w:t>
      </w:r>
    </w:p>
    <w:p w14:paraId="1EEFC26A" w14:textId="77777777" w:rsidR="00961B2F" w:rsidRPr="00AF0CC3" w:rsidRDefault="00961B2F" w:rsidP="00961B2F">
      <w:pPr>
        <w:rPr>
          <w:rFonts w:ascii="Times New Roman" w:hAnsi="Times New Roman" w:cs="Times New Roman"/>
        </w:rPr>
      </w:pPr>
    </w:p>
    <w:p w14:paraId="6367D92B" w14:textId="4C396745" w:rsidR="00C9150A" w:rsidRPr="00AF0CC3" w:rsidRDefault="00C9150A" w:rsidP="00C9150A">
      <w:pPr>
        <w:rPr>
          <w:rFonts w:ascii="Times New Roman" w:hAnsi="Times New Roman" w:cs="Times New Roman"/>
        </w:rPr>
      </w:pPr>
      <w:r w:rsidRPr="00AF0CC3">
        <w:rPr>
          <w:rFonts w:ascii="Times New Roman" w:hAnsi="Times New Roman" w:cs="Times New Roman"/>
        </w:rPr>
        <w:t xml:space="preserve">The findings have particular relevance for Kenya's long-term climate-resilient development agenda. Kenya has committed to strengthening climate adaptation through Vision 2030, the </w:t>
      </w:r>
      <w:r w:rsidRPr="00AF0CC3">
        <w:rPr>
          <w:rFonts w:ascii="Times New Roman" w:hAnsi="Times New Roman" w:cs="Times New Roman"/>
        </w:rPr>
        <w:lastRenderedPageBreak/>
        <w:t xml:space="preserve">National Climate Change Action Plan, the National Adaptation Plan, and its Nationally Determined Contributions under the Paris Agreement. Achieving these commitments requires governance arrangements </w:t>
      </w:r>
      <w:r w:rsidR="001D23FD" w:rsidRPr="00AF0CC3">
        <w:rPr>
          <w:rFonts w:ascii="Times New Roman" w:hAnsi="Times New Roman" w:cs="Times New Roman"/>
        </w:rPr>
        <w:t>that integrate climate resilience into</w:t>
      </w:r>
      <w:r w:rsidRPr="00AF0CC3">
        <w:rPr>
          <w:rFonts w:ascii="Times New Roman" w:hAnsi="Times New Roman" w:cs="Times New Roman"/>
        </w:rPr>
        <w:t xml:space="preserve"> routine infrastructure decision-making.</w:t>
      </w:r>
    </w:p>
    <w:p w14:paraId="22033A76" w14:textId="77777777" w:rsidR="00C9150A" w:rsidRPr="00AF0CC3" w:rsidRDefault="00C9150A" w:rsidP="00C9150A">
      <w:pPr>
        <w:rPr>
          <w:rFonts w:ascii="Times New Roman" w:hAnsi="Times New Roman" w:cs="Times New Roman"/>
        </w:rPr>
      </w:pPr>
    </w:p>
    <w:p w14:paraId="70E693A9" w14:textId="645EF00B" w:rsidR="00C9150A" w:rsidRPr="00AF0CC3" w:rsidRDefault="00C9150A" w:rsidP="00C9150A">
      <w:pPr>
        <w:rPr>
          <w:rFonts w:ascii="Times New Roman" w:hAnsi="Times New Roman" w:cs="Times New Roman"/>
        </w:rPr>
      </w:pPr>
      <w:r w:rsidRPr="00AF0CC3">
        <w:rPr>
          <w:rFonts w:ascii="Times New Roman" w:hAnsi="Times New Roman" w:cs="Times New Roman"/>
        </w:rPr>
        <w:t xml:space="preserve">Rather than viewing climate resilience as a </w:t>
      </w:r>
      <w:r w:rsidR="001D23FD" w:rsidRPr="00AF0CC3">
        <w:rPr>
          <w:rFonts w:ascii="Times New Roman" w:hAnsi="Times New Roman" w:cs="Times New Roman"/>
        </w:rPr>
        <w:t>specialized</w:t>
      </w:r>
      <w:r w:rsidRPr="00AF0CC3">
        <w:rPr>
          <w:rFonts w:ascii="Times New Roman" w:hAnsi="Times New Roman" w:cs="Times New Roman"/>
        </w:rPr>
        <w:t xml:space="preserve"> sectoral objective, infrastructure governance should incorporate climate considerations into procurement standards, investment appraisal, asset management, financial oversight, monitoring systems, and institutional coordination mechanisms.</w:t>
      </w:r>
    </w:p>
    <w:p w14:paraId="58BBAF95" w14:textId="77777777" w:rsidR="00C9150A" w:rsidRPr="00AF0CC3" w:rsidRDefault="00C9150A" w:rsidP="00C9150A">
      <w:pPr>
        <w:rPr>
          <w:rFonts w:ascii="Times New Roman" w:hAnsi="Times New Roman" w:cs="Times New Roman"/>
        </w:rPr>
      </w:pPr>
    </w:p>
    <w:p w14:paraId="3DEF7F6D" w14:textId="334BC444" w:rsidR="00961B2F" w:rsidRPr="00AF0CC3" w:rsidRDefault="00C9150A" w:rsidP="00C9150A">
      <w:pPr>
        <w:rPr>
          <w:rFonts w:ascii="Times New Roman" w:hAnsi="Times New Roman" w:cs="Times New Roman"/>
        </w:rPr>
      </w:pPr>
      <w:r w:rsidRPr="00AF0CC3">
        <w:rPr>
          <w:rFonts w:ascii="Times New Roman" w:hAnsi="Times New Roman" w:cs="Times New Roman"/>
        </w:rPr>
        <w:t>Strengthening governance quality may therefore enable Kenya to improve the effectiveness of both traditional infrastructure investment and emerging climate finance while supporting broader sustainable development objectives.</w:t>
      </w:r>
    </w:p>
    <w:p w14:paraId="358B0AB3" w14:textId="77777777" w:rsidR="00C9150A" w:rsidRPr="00AF0CC3" w:rsidRDefault="00C9150A" w:rsidP="00C9150A">
      <w:pPr>
        <w:rPr>
          <w:rFonts w:ascii="Times New Roman" w:hAnsi="Times New Roman" w:cs="Times New Roman"/>
        </w:rPr>
      </w:pPr>
    </w:p>
    <w:p w14:paraId="5E6C78CD" w14:textId="666A7799" w:rsidR="00C9150A" w:rsidRPr="00AF0CC3" w:rsidRDefault="00C9150A" w:rsidP="00C9150A">
      <w:pPr>
        <w:pStyle w:val="Heading4"/>
        <w:rPr>
          <w:rFonts w:cs="Times New Roman"/>
          <w:color w:val="000000" w:themeColor="text1"/>
        </w:rPr>
      </w:pPr>
      <w:r w:rsidRPr="00AF0CC3">
        <w:rPr>
          <w:rFonts w:cs="Times New Roman"/>
          <w:color w:val="000000" w:themeColor="text1"/>
        </w:rPr>
        <w:t>Implications for Developing Countries</w:t>
      </w:r>
    </w:p>
    <w:p w14:paraId="64566D9C" w14:textId="77777777" w:rsidR="00C9150A" w:rsidRPr="00AF0CC3" w:rsidRDefault="00C9150A" w:rsidP="00C9150A">
      <w:pPr>
        <w:rPr>
          <w:rFonts w:ascii="Times New Roman" w:hAnsi="Times New Roman" w:cs="Times New Roman"/>
        </w:rPr>
      </w:pPr>
    </w:p>
    <w:p w14:paraId="2F427B6A" w14:textId="77777777" w:rsidR="001D23FD" w:rsidRPr="00AF0CC3" w:rsidRDefault="001D23FD" w:rsidP="001D23FD">
      <w:pPr>
        <w:rPr>
          <w:rFonts w:ascii="Times New Roman" w:hAnsi="Times New Roman" w:cs="Times New Roman"/>
        </w:rPr>
      </w:pPr>
      <w:r w:rsidRPr="00AF0CC3">
        <w:rPr>
          <w:rFonts w:ascii="Times New Roman" w:hAnsi="Times New Roman" w:cs="Times New Roman"/>
        </w:rPr>
        <w:t>Although this study focuses on Kenya, the broader governance implications extend across many low- and middle-income countries facing increasing climate vulnerability, rapid infrastructure expansion, fiscal constraints, and decentralized governance arrangements.</w:t>
      </w:r>
    </w:p>
    <w:p w14:paraId="248556BF" w14:textId="77777777" w:rsidR="001D23FD" w:rsidRPr="00AF0CC3" w:rsidRDefault="001D23FD" w:rsidP="001D23FD">
      <w:pPr>
        <w:rPr>
          <w:rFonts w:ascii="Times New Roman" w:hAnsi="Times New Roman" w:cs="Times New Roman"/>
        </w:rPr>
      </w:pPr>
    </w:p>
    <w:p w14:paraId="2A5DA193" w14:textId="51477B40" w:rsidR="001D23FD" w:rsidRPr="00AF0CC3" w:rsidRDefault="001D23FD" w:rsidP="001D23FD">
      <w:pPr>
        <w:rPr>
          <w:rFonts w:ascii="Times New Roman" w:hAnsi="Times New Roman" w:cs="Times New Roman"/>
        </w:rPr>
      </w:pPr>
      <w:r w:rsidRPr="00AF0CC3">
        <w:rPr>
          <w:rFonts w:ascii="Times New Roman" w:hAnsi="Times New Roman" w:cs="Times New Roman"/>
        </w:rPr>
        <w:t>Many developing countries are actively pursuing climate finance while simultaneously experiencing institutional weaknesses affecting procurement, project implementation, monitoring, financial management, and accountability. The present findings suggest that governance reform should accompany climate finance mobilization if investments are to achieve intended resilience outcomes.</w:t>
      </w:r>
    </w:p>
    <w:p w14:paraId="650C431E" w14:textId="77777777" w:rsidR="001D23FD" w:rsidRPr="00AF0CC3" w:rsidRDefault="001D23FD" w:rsidP="001D23FD">
      <w:pPr>
        <w:rPr>
          <w:rFonts w:ascii="Times New Roman" w:hAnsi="Times New Roman" w:cs="Times New Roman"/>
        </w:rPr>
      </w:pPr>
    </w:p>
    <w:p w14:paraId="52BDE8CE" w14:textId="375618EE" w:rsidR="001D23FD" w:rsidRPr="00AF0CC3" w:rsidRDefault="001D23FD" w:rsidP="001D23FD">
      <w:pPr>
        <w:rPr>
          <w:rFonts w:ascii="Times New Roman" w:hAnsi="Times New Roman" w:cs="Times New Roman"/>
        </w:rPr>
      </w:pPr>
      <w:r w:rsidRPr="00AF0CC3">
        <w:rPr>
          <w:rFonts w:ascii="Times New Roman" w:hAnsi="Times New Roman" w:cs="Times New Roman"/>
        </w:rPr>
        <w:t xml:space="preserve">This perspective contributes to emerging international discussions </w:t>
      </w:r>
      <w:r w:rsidR="00AF0CC3" w:rsidRPr="00AF0CC3">
        <w:rPr>
          <w:rFonts w:ascii="Times New Roman" w:hAnsi="Times New Roman" w:cs="Times New Roman"/>
        </w:rPr>
        <w:t>on climate-resilient development pathways by emphasizing the quality of governance as a foundational institutional capability that supports</w:t>
      </w:r>
      <w:r w:rsidRPr="00AF0CC3">
        <w:rPr>
          <w:rFonts w:ascii="Times New Roman" w:hAnsi="Times New Roman" w:cs="Times New Roman"/>
        </w:rPr>
        <w:t xml:space="preserve"> adaptation, implementation continuity, accountability, and sustainable infrastructure delivery.</w:t>
      </w:r>
    </w:p>
    <w:p w14:paraId="46B7BB05" w14:textId="77777777" w:rsidR="00C9150A" w:rsidRPr="00AF0CC3" w:rsidRDefault="00C9150A" w:rsidP="00C9150A">
      <w:pPr>
        <w:rPr>
          <w:rFonts w:ascii="Times New Roman" w:hAnsi="Times New Roman" w:cs="Times New Roman"/>
        </w:rPr>
      </w:pPr>
    </w:p>
    <w:p w14:paraId="11D7826F" w14:textId="77777777" w:rsidR="00C9150A" w:rsidRPr="00AF0CC3" w:rsidRDefault="00C9150A" w:rsidP="00C9150A">
      <w:pPr>
        <w:rPr>
          <w:rFonts w:ascii="Times New Roman" w:hAnsi="Times New Roman" w:cs="Times New Roman"/>
        </w:rPr>
      </w:pPr>
    </w:p>
    <w:p w14:paraId="2427E393" w14:textId="7D33A122" w:rsidR="00D93353" w:rsidRPr="00AF0CC3" w:rsidRDefault="00D93353" w:rsidP="00D93353">
      <w:pPr>
        <w:pStyle w:val="Heading3"/>
        <w:spacing w:before="240" w:line="360" w:lineRule="auto"/>
        <w:rPr>
          <w:rFonts w:cs="Times New Roman"/>
          <w:b w:val="0"/>
          <w:bCs/>
          <w:color w:val="000000" w:themeColor="text1"/>
          <w:szCs w:val="24"/>
        </w:rPr>
      </w:pPr>
      <w:bookmarkStart w:id="563" w:name="_Toc233318837"/>
      <w:bookmarkStart w:id="564" w:name="_Toc234344912"/>
      <w:bookmarkStart w:id="565" w:name="_Toc234489144"/>
      <w:r w:rsidRPr="00AF0CC3">
        <w:rPr>
          <w:rFonts w:cs="Times New Roman"/>
          <w:bCs/>
          <w:color w:val="000000" w:themeColor="text1"/>
          <w:szCs w:val="24"/>
        </w:rPr>
        <w:lastRenderedPageBreak/>
        <w:t>County Government Capacity Strengthening</w:t>
      </w:r>
      <w:bookmarkEnd w:id="563"/>
      <w:bookmarkEnd w:id="564"/>
      <w:bookmarkEnd w:id="565"/>
    </w:p>
    <w:p w14:paraId="29524A15" w14:textId="77777777" w:rsidR="00D93353" w:rsidRPr="00AF0CC3" w:rsidRDefault="00D93353" w:rsidP="00D93353">
      <w:pPr>
        <w:spacing w:before="240" w:line="360" w:lineRule="auto"/>
        <w:rPr>
          <w:rFonts w:ascii="Times New Roman" w:hAnsi="Times New Roman" w:cs="Times New Roman"/>
          <w:color w:val="000000" w:themeColor="text1"/>
        </w:rPr>
      </w:pPr>
    </w:p>
    <w:p w14:paraId="54F0CCA3" w14:textId="77777777" w:rsidR="00D93353" w:rsidRPr="00AF0CC3" w:rsidRDefault="00D93353" w:rsidP="00D93353">
      <w:pPr>
        <w:spacing w:before="240" w:line="360" w:lineRule="auto"/>
        <w:rPr>
          <w:rFonts w:ascii="Times New Roman" w:hAnsi="Times New Roman" w:cs="Times New Roman"/>
          <w:color w:val="000000" w:themeColor="text1"/>
        </w:rPr>
      </w:pPr>
      <w:r w:rsidRPr="00AF0CC3">
        <w:rPr>
          <w:rFonts w:ascii="Times New Roman" w:hAnsi="Times New Roman" w:cs="Times New Roman"/>
          <w:color w:val="000000" w:themeColor="text1"/>
        </w:rPr>
        <w:t>The study also highlights the importance of strengthening governance capacity within county governments and decentralized implementation environments. Although devolution has expanded local responsibility for infrastructure planning and delivery, the findings indicate that differences in administrative capacity, documentation systems, governance maturity, and institutional resources continue to affect implementation performance.</w:t>
      </w:r>
    </w:p>
    <w:p w14:paraId="34E76E38" w14:textId="77777777" w:rsidR="00D93353" w:rsidRPr="00AF0CC3" w:rsidRDefault="00D93353" w:rsidP="00D93353">
      <w:pPr>
        <w:spacing w:before="240" w:line="360" w:lineRule="auto"/>
        <w:rPr>
          <w:rFonts w:ascii="Times New Roman" w:hAnsi="Times New Roman" w:cs="Times New Roman"/>
          <w:color w:val="000000" w:themeColor="text1"/>
        </w:rPr>
      </w:pPr>
    </w:p>
    <w:p w14:paraId="2D7C2E7D" w14:textId="77777777" w:rsidR="00D93353" w:rsidRPr="00AF0CC3" w:rsidRDefault="00D93353" w:rsidP="00D93353">
      <w:pPr>
        <w:spacing w:before="240" w:line="360" w:lineRule="auto"/>
        <w:rPr>
          <w:rFonts w:ascii="Times New Roman" w:hAnsi="Times New Roman" w:cs="Times New Roman"/>
          <w:color w:val="000000" w:themeColor="text1"/>
        </w:rPr>
      </w:pPr>
      <w:r w:rsidRPr="00AF0CC3">
        <w:rPr>
          <w:rFonts w:ascii="Times New Roman" w:hAnsi="Times New Roman" w:cs="Times New Roman"/>
          <w:color w:val="000000" w:themeColor="text1"/>
        </w:rPr>
        <w:t>The concentration of documentation gaps among county-implemented projects suggests that records management systems require particular attention. Investments in digital documentation systems, information management infrastructure, and records management procedures may substantially improve transparency, accountability, and the capacity for governance assessment within county administrations.</w:t>
      </w:r>
    </w:p>
    <w:p w14:paraId="10104A94" w14:textId="77777777" w:rsidR="00D93353" w:rsidRPr="00AF0CC3" w:rsidRDefault="00D93353" w:rsidP="00D93353">
      <w:pPr>
        <w:spacing w:before="240" w:line="360" w:lineRule="auto"/>
        <w:rPr>
          <w:rFonts w:ascii="Times New Roman" w:hAnsi="Times New Roman" w:cs="Times New Roman"/>
          <w:color w:val="000000" w:themeColor="text1"/>
        </w:rPr>
      </w:pPr>
    </w:p>
    <w:p w14:paraId="5C09C916" w14:textId="77777777" w:rsidR="00D93353" w:rsidRPr="00AF0CC3" w:rsidRDefault="00D93353" w:rsidP="00D93353">
      <w:pPr>
        <w:spacing w:before="240" w:line="360" w:lineRule="auto"/>
        <w:rPr>
          <w:rFonts w:ascii="Times New Roman" w:hAnsi="Times New Roman" w:cs="Times New Roman"/>
          <w:color w:val="000000" w:themeColor="text1"/>
        </w:rPr>
      </w:pPr>
      <w:r w:rsidRPr="00AF0CC3">
        <w:rPr>
          <w:rFonts w:ascii="Times New Roman" w:hAnsi="Times New Roman" w:cs="Times New Roman"/>
          <w:color w:val="000000" w:themeColor="text1"/>
        </w:rPr>
        <w:t>Governance training also represents an important policy priority. Strengthening technical capacity in procurement management, contract administration, project monitoring, risk management, financial governance, and accountability systems may enhance implementation effectiveness and reduce governance-related implementation risks. Capacity-building initiatives should therefore focus not only on technical infrastructure skills but also on governance competencies required for effective project delivery.</w:t>
      </w:r>
    </w:p>
    <w:p w14:paraId="7E74291B" w14:textId="77777777" w:rsidR="00D93353" w:rsidRPr="00AF0CC3" w:rsidRDefault="00D93353" w:rsidP="00D93353">
      <w:pPr>
        <w:spacing w:before="240" w:line="360" w:lineRule="auto"/>
        <w:rPr>
          <w:rFonts w:ascii="Times New Roman" w:hAnsi="Times New Roman" w:cs="Times New Roman"/>
          <w:color w:val="000000" w:themeColor="text1"/>
        </w:rPr>
      </w:pPr>
    </w:p>
    <w:p w14:paraId="4959E206" w14:textId="77777777" w:rsidR="00D93353" w:rsidRPr="00AF0CC3" w:rsidRDefault="00D93353" w:rsidP="00D93353">
      <w:pPr>
        <w:spacing w:before="240" w:line="360" w:lineRule="auto"/>
        <w:rPr>
          <w:rFonts w:ascii="Times New Roman" w:hAnsi="Times New Roman" w:cs="Times New Roman"/>
          <w:color w:val="000000" w:themeColor="text1"/>
        </w:rPr>
      </w:pPr>
      <w:r w:rsidRPr="00AF0CC3">
        <w:rPr>
          <w:rFonts w:ascii="Times New Roman" w:hAnsi="Times New Roman" w:cs="Times New Roman"/>
          <w:color w:val="000000" w:themeColor="text1"/>
        </w:rPr>
        <w:t>Finally, the findings underscore the need to strengthen monitoring and evaluation capacity within decentralized governance environments. Effective monitoring systems facilitate early identification of implementation challenges, support evidence-based decision-making, and strengthen institutional learning. Enhancing monitoring capacity may therefore improve both governance performance and infrastructure delivery outcomes.</w:t>
      </w:r>
    </w:p>
    <w:p w14:paraId="1840EBB4" w14:textId="77777777" w:rsidR="00D93353" w:rsidRPr="00AF0CC3" w:rsidRDefault="00D93353" w:rsidP="00D93353">
      <w:pPr>
        <w:spacing w:before="240" w:line="360" w:lineRule="auto"/>
        <w:rPr>
          <w:rFonts w:ascii="Times New Roman" w:hAnsi="Times New Roman" w:cs="Times New Roman"/>
          <w:color w:val="000000" w:themeColor="text1"/>
        </w:rPr>
      </w:pPr>
    </w:p>
    <w:p w14:paraId="0D9F24F9" w14:textId="77777777" w:rsidR="00D93353" w:rsidRPr="00AF0CC3" w:rsidRDefault="00D93353" w:rsidP="00D93353">
      <w:pPr>
        <w:spacing w:before="240" w:line="360" w:lineRule="auto"/>
        <w:rPr>
          <w:rFonts w:ascii="Times New Roman" w:hAnsi="Times New Roman" w:cs="Times New Roman"/>
          <w:color w:val="000000" w:themeColor="text1"/>
        </w:rPr>
      </w:pPr>
      <w:r w:rsidRPr="00AF0CC3">
        <w:rPr>
          <w:rFonts w:ascii="Times New Roman" w:hAnsi="Times New Roman" w:cs="Times New Roman"/>
          <w:color w:val="000000" w:themeColor="text1"/>
        </w:rPr>
        <w:t>The evidence presented in this study reinforces the importance of institutional reform as a strategic component of infrastructure development. Enhancing transparency, accountability, coordination, oversight, and administrative effectiveness may contribute significantly to implementation continuity, delivery efficiency, and resilience under conditions of uncertainty. Consequently, long-term improvements in project outcomes will depend not only on resource mobilization and technical capability but also on the effectiveness of the institutional arrangements that guide decision-making, implementation, and accountability throughout the project lifecycle.</w:t>
      </w:r>
    </w:p>
    <w:p w14:paraId="2D5A09FF" w14:textId="77777777" w:rsidR="00D93353" w:rsidRPr="00AF0CC3" w:rsidRDefault="00D93353" w:rsidP="00D93353">
      <w:pPr>
        <w:spacing w:before="240" w:line="360" w:lineRule="auto"/>
        <w:rPr>
          <w:rFonts w:ascii="Times New Roman" w:hAnsi="Times New Roman" w:cs="Times New Roman"/>
          <w:color w:val="000000" w:themeColor="text1"/>
        </w:rPr>
      </w:pPr>
    </w:p>
    <w:p w14:paraId="723E558C" w14:textId="171C9B39" w:rsidR="00D93353" w:rsidRPr="00AF0CC3" w:rsidRDefault="00D93353" w:rsidP="00D93353">
      <w:pPr>
        <w:pStyle w:val="Heading2"/>
        <w:spacing w:before="240" w:line="360" w:lineRule="auto"/>
        <w:rPr>
          <w:rFonts w:cs="Times New Roman"/>
          <w:b w:val="0"/>
          <w:bCs/>
          <w:color w:val="000000" w:themeColor="text1"/>
          <w:szCs w:val="24"/>
        </w:rPr>
      </w:pPr>
      <w:bookmarkStart w:id="566" w:name="_Toc233318838"/>
      <w:bookmarkStart w:id="567" w:name="_Toc234344913"/>
      <w:bookmarkStart w:id="568" w:name="_Toc234489145"/>
      <w:r w:rsidRPr="00AF0CC3">
        <w:rPr>
          <w:rFonts w:cs="Times New Roman"/>
          <w:bCs/>
          <w:color w:val="000000" w:themeColor="text1"/>
          <w:szCs w:val="24"/>
        </w:rPr>
        <w:t>Conclusions</w:t>
      </w:r>
      <w:bookmarkEnd w:id="566"/>
      <w:bookmarkEnd w:id="567"/>
      <w:bookmarkEnd w:id="568"/>
    </w:p>
    <w:p w14:paraId="5C64DADD" w14:textId="77777777" w:rsidR="00D93353" w:rsidRPr="00AF0CC3" w:rsidRDefault="00D93353" w:rsidP="00D93353">
      <w:pPr>
        <w:spacing w:before="240" w:line="360" w:lineRule="auto"/>
        <w:rPr>
          <w:rFonts w:ascii="Times New Roman" w:hAnsi="Times New Roman" w:cs="Times New Roman"/>
          <w:b/>
          <w:bCs/>
          <w:color w:val="000000" w:themeColor="text1"/>
        </w:rPr>
      </w:pPr>
    </w:p>
    <w:p w14:paraId="242D25A1" w14:textId="372359B1" w:rsidR="00D93353" w:rsidRPr="00AF0CC3" w:rsidRDefault="00D93353" w:rsidP="00D93353">
      <w:pPr>
        <w:pStyle w:val="Heading3"/>
        <w:spacing w:before="240" w:line="360" w:lineRule="auto"/>
        <w:rPr>
          <w:rFonts w:cs="Times New Roman"/>
          <w:b w:val="0"/>
          <w:bCs/>
          <w:color w:val="000000" w:themeColor="text1"/>
          <w:szCs w:val="24"/>
        </w:rPr>
      </w:pPr>
      <w:bookmarkStart w:id="569" w:name="_Toc233318839"/>
      <w:bookmarkStart w:id="570" w:name="_Toc234344914"/>
      <w:bookmarkStart w:id="571" w:name="_Toc234489146"/>
      <w:r w:rsidRPr="00AF0CC3">
        <w:rPr>
          <w:rFonts w:cs="Times New Roman"/>
          <w:bCs/>
          <w:color w:val="000000" w:themeColor="text1"/>
          <w:szCs w:val="24"/>
        </w:rPr>
        <w:t>Conclusion to Research Question One: Governance Quality and Project Stalling</w:t>
      </w:r>
      <w:bookmarkEnd w:id="569"/>
      <w:bookmarkEnd w:id="570"/>
      <w:bookmarkEnd w:id="571"/>
    </w:p>
    <w:p w14:paraId="7309670E" w14:textId="77777777" w:rsidR="00D93353" w:rsidRPr="00AF0CC3" w:rsidRDefault="00D93353" w:rsidP="00D93353">
      <w:pPr>
        <w:spacing w:before="240" w:line="360" w:lineRule="auto"/>
        <w:rPr>
          <w:rFonts w:ascii="Times New Roman" w:hAnsi="Times New Roman" w:cs="Times New Roman"/>
          <w:color w:val="000000" w:themeColor="text1"/>
        </w:rPr>
      </w:pPr>
    </w:p>
    <w:p w14:paraId="4AC36E8F" w14:textId="77777777" w:rsidR="00D93353" w:rsidRPr="00AF0CC3" w:rsidRDefault="00D93353" w:rsidP="00D93353">
      <w:pPr>
        <w:spacing w:before="240" w:line="360" w:lineRule="auto"/>
        <w:rPr>
          <w:rFonts w:ascii="Times New Roman" w:hAnsi="Times New Roman" w:cs="Times New Roman"/>
          <w:color w:val="000000" w:themeColor="text1"/>
        </w:rPr>
      </w:pPr>
      <w:r w:rsidRPr="00AF0CC3">
        <w:rPr>
          <w:rFonts w:ascii="Times New Roman" w:hAnsi="Times New Roman" w:cs="Times New Roman"/>
          <w:color w:val="000000" w:themeColor="text1"/>
        </w:rPr>
        <w:t>The study sought to determine the extent to which governance quality was associated with project stalling among water infrastructure projects in Kenya. The evidence demonstrated a clear and statistically significant relationship between governance quality and implementation continuity. Projects characterized by stronger governance arrangements were substantially less likely to experience prolonged implementation interruption than projects operating within weaker governance environments. The results indicate that governance quality influences project continuity through its effects on institutional coordination, procurement management, oversight effectiveness, accountability mechanisms, and implementation responsiveness.</w:t>
      </w:r>
    </w:p>
    <w:p w14:paraId="46754222" w14:textId="77777777" w:rsidR="00D93353" w:rsidRPr="00AF0CC3" w:rsidRDefault="00D93353" w:rsidP="00D93353">
      <w:pPr>
        <w:spacing w:before="240" w:line="360" w:lineRule="auto"/>
        <w:rPr>
          <w:rFonts w:ascii="Times New Roman" w:hAnsi="Times New Roman" w:cs="Times New Roman"/>
          <w:color w:val="000000" w:themeColor="text1"/>
        </w:rPr>
      </w:pPr>
    </w:p>
    <w:p w14:paraId="1B76F88E" w14:textId="77777777" w:rsidR="00D93353" w:rsidRPr="00AF0CC3" w:rsidRDefault="00D93353" w:rsidP="00D93353">
      <w:pPr>
        <w:spacing w:before="240" w:line="360" w:lineRule="auto"/>
        <w:rPr>
          <w:rFonts w:ascii="Times New Roman" w:hAnsi="Times New Roman" w:cs="Times New Roman"/>
          <w:color w:val="000000" w:themeColor="text1"/>
        </w:rPr>
      </w:pPr>
      <w:r w:rsidRPr="00AF0CC3">
        <w:rPr>
          <w:rFonts w:ascii="Times New Roman" w:hAnsi="Times New Roman" w:cs="Times New Roman"/>
          <w:color w:val="000000" w:themeColor="text1"/>
        </w:rPr>
        <w:t xml:space="preserve">The findings support the conclusion that project stalling is not solely the consequence of financial, technical, or operational challenges. Rather, prolonged implementation interruption frequently reflects underlying governance weaknesses that accumulate across multiple stages of </w:t>
      </w:r>
      <w:r w:rsidRPr="00AF0CC3">
        <w:rPr>
          <w:rFonts w:ascii="Times New Roman" w:hAnsi="Times New Roman" w:cs="Times New Roman"/>
          <w:color w:val="000000" w:themeColor="text1"/>
        </w:rPr>
        <w:lastRenderedPageBreak/>
        <w:t>the infrastructure delivery process. Strong governance arrangements appear to reduce these risks by providing institutional mechanisms capable of supporting coordination, resolving implementation challenges, and maintaining project momentum throughout the implementation lifecycle.</w:t>
      </w:r>
    </w:p>
    <w:p w14:paraId="3E2A3022" w14:textId="77777777" w:rsidR="00D93353" w:rsidRPr="00AF0CC3" w:rsidRDefault="00D93353" w:rsidP="00D93353">
      <w:pPr>
        <w:spacing w:before="240" w:line="360" w:lineRule="auto"/>
        <w:rPr>
          <w:rFonts w:ascii="Times New Roman" w:hAnsi="Times New Roman" w:cs="Times New Roman"/>
          <w:color w:val="000000" w:themeColor="text1"/>
        </w:rPr>
      </w:pPr>
    </w:p>
    <w:p w14:paraId="73856C4E" w14:textId="7DA402ED" w:rsidR="00D93353" w:rsidRPr="00AF0CC3" w:rsidRDefault="00D93353" w:rsidP="00D93353">
      <w:pPr>
        <w:pStyle w:val="Heading3"/>
        <w:spacing w:before="240" w:line="360" w:lineRule="auto"/>
        <w:rPr>
          <w:rFonts w:cs="Times New Roman"/>
          <w:b w:val="0"/>
          <w:bCs/>
          <w:color w:val="000000" w:themeColor="text1"/>
          <w:szCs w:val="24"/>
        </w:rPr>
      </w:pPr>
      <w:bookmarkStart w:id="572" w:name="_Toc233318840"/>
      <w:bookmarkStart w:id="573" w:name="_Toc234344915"/>
      <w:bookmarkStart w:id="574" w:name="_Toc234489147"/>
      <w:r w:rsidRPr="00AF0CC3">
        <w:rPr>
          <w:rFonts w:cs="Times New Roman"/>
          <w:bCs/>
          <w:color w:val="000000" w:themeColor="text1"/>
          <w:szCs w:val="24"/>
        </w:rPr>
        <w:t>Conclusion to Research Question Two: Governance Quality and Time Overruns</w:t>
      </w:r>
      <w:bookmarkEnd w:id="572"/>
      <w:bookmarkEnd w:id="573"/>
      <w:bookmarkEnd w:id="574"/>
    </w:p>
    <w:p w14:paraId="6098D203" w14:textId="77777777" w:rsidR="00D93353" w:rsidRPr="00AF0CC3" w:rsidRDefault="00D93353" w:rsidP="00D93353">
      <w:pPr>
        <w:spacing w:before="240" w:line="360" w:lineRule="auto"/>
        <w:rPr>
          <w:rFonts w:ascii="Times New Roman" w:hAnsi="Times New Roman" w:cs="Times New Roman"/>
          <w:color w:val="000000" w:themeColor="text1"/>
        </w:rPr>
      </w:pPr>
    </w:p>
    <w:p w14:paraId="61BDA9A9" w14:textId="77777777" w:rsidR="00D93353" w:rsidRPr="00AF0CC3" w:rsidRDefault="00D93353" w:rsidP="00D93353">
      <w:pPr>
        <w:spacing w:before="240" w:line="360" w:lineRule="auto"/>
        <w:rPr>
          <w:rFonts w:ascii="Times New Roman" w:hAnsi="Times New Roman" w:cs="Times New Roman"/>
          <w:color w:val="000000" w:themeColor="text1"/>
        </w:rPr>
      </w:pPr>
      <w:r w:rsidRPr="00AF0CC3">
        <w:rPr>
          <w:rFonts w:ascii="Times New Roman" w:hAnsi="Times New Roman" w:cs="Times New Roman"/>
          <w:color w:val="000000" w:themeColor="text1"/>
        </w:rPr>
        <w:t>The study further examined the relationship between governance quality and implementation delays. The evidence consistently indicated that projects operating within stronger governance environments experienced fewer and less severe schedule overruns than projects characterized by weaker governance conditions. Governance quality was therefore found to be an important determinant of implementation timeliness and project delivery efficiency.</w:t>
      </w:r>
    </w:p>
    <w:p w14:paraId="442299CD" w14:textId="77777777" w:rsidR="00D93353" w:rsidRPr="00AF0CC3" w:rsidRDefault="00D93353" w:rsidP="00D93353">
      <w:pPr>
        <w:spacing w:before="240" w:line="360" w:lineRule="auto"/>
        <w:rPr>
          <w:rFonts w:ascii="Times New Roman" w:hAnsi="Times New Roman" w:cs="Times New Roman"/>
          <w:color w:val="000000" w:themeColor="text1"/>
        </w:rPr>
      </w:pPr>
    </w:p>
    <w:p w14:paraId="7E732C67" w14:textId="77777777" w:rsidR="00D93353" w:rsidRPr="00AF0CC3" w:rsidRDefault="00D93353" w:rsidP="00D93353">
      <w:pPr>
        <w:spacing w:before="240" w:line="360" w:lineRule="auto"/>
        <w:rPr>
          <w:rFonts w:ascii="Times New Roman" w:hAnsi="Times New Roman" w:cs="Times New Roman"/>
          <w:color w:val="000000" w:themeColor="text1"/>
        </w:rPr>
      </w:pPr>
      <w:r w:rsidRPr="00AF0CC3">
        <w:rPr>
          <w:rFonts w:ascii="Times New Roman" w:hAnsi="Times New Roman" w:cs="Times New Roman"/>
          <w:color w:val="000000" w:themeColor="text1"/>
        </w:rPr>
        <w:t>The results indicate that timely project delivery is closely associated with administrative predictability, inter-organizational coordination, procurement effectiveness, and oversight capacity. Schedule overruns often emerge when institutional arrangements are unable to manage the complexity of interactions among the multiple actors involved in infrastructure delivery. Enhancing these capabilities may contribute to more efficient project execution and a lower incidence of prolonged implementation delays.</w:t>
      </w:r>
    </w:p>
    <w:p w14:paraId="237B70F1" w14:textId="77777777" w:rsidR="00D93353" w:rsidRPr="00AF0CC3" w:rsidRDefault="00D93353" w:rsidP="00D93353">
      <w:pPr>
        <w:spacing w:before="240" w:line="360" w:lineRule="auto"/>
        <w:rPr>
          <w:rFonts w:ascii="Times New Roman" w:hAnsi="Times New Roman" w:cs="Times New Roman"/>
          <w:color w:val="000000" w:themeColor="text1"/>
        </w:rPr>
      </w:pPr>
    </w:p>
    <w:p w14:paraId="51A89B67" w14:textId="5A430B96" w:rsidR="00D93353" w:rsidRPr="00AF0CC3" w:rsidRDefault="00D93353" w:rsidP="00D93353">
      <w:pPr>
        <w:pStyle w:val="Heading3"/>
        <w:spacing w:before="240" w:line="360" w:lineRule="auto"/>
        <w:rPr>
          <w:rFonts w:cs="Times New Roman"/>
          <w:b w:val="0"/>
          <w:bCs/>
          <w:color w:val="000000" w:themeColor="text1"/>
          <w:szCs w:val="24"/>
        </w:rPr>
      </w:pPr>
      <w:bookmarkStart w:id="575" w:name="_Toc233318841"/>
      <w:bookmarkStart w:id="576" w:name="_Toc234344916"/>
      <w:bookmarkStart w:id="577" w:name="_Toc234489148"/>
      <w:r w:rsidRPr="00AF0CC3">
        <w:rPr>
          <w:rFonts w:cs="Times New Roman"/>
          <w:bCs/>
          <w:color w:val="000000" w:themeColor="text1"/>
          <w:szCs w:val="24"/>
        </w:rPr>
        <w:t>Conclusion to Research Question Three: Governance Quality and Cost Overruns</w:t>
      </w:r>
      <w:bookmarkEnd w:id="575"/>
      <w:bookmarkEnd w:id="576"/>
      <w:bookmarkEnd w:id="577"/>
    </w:p>
    <w:p w14:paraId="4C5E8DB1" w14:textId="77777777" w:rsidR="00D93353" w:rsidRPr="00AF0CC3" w:rsidRDefault="00D93353" w:rsidP="00D93353">
      <w:pPr>
        <w:spacing w:before="240" w:line="360" w:lineRule="auto"/>
        <w:rPr>
          <w:rFonts w:ascii="Times New Roman" w:hAnsi="Times New Roman" w:cs="Times New Roman"/>
          <w:color w:val="000000" w:themeColor="text1"/>
        </w:rPr>
      </w:pPr>
    </w:p>
    <w:p w14:paraId="626E9FE2" w14:textId="77777777" w:rsidR="00D93353" w:rsidRPr="00AF0CC3" w:rsidRDefault="00D93353" w:rsidP="00D93353">
      <w:pPr>
        <w:spacing w:before="240" w:line="360" w:lineRule="auto"/>
        <w:rPr>
          <w:rFonts w:ascii="Times New Roman" w:hAnsi="Times New Roman" w:cs="Times New Roman"/>
          <w:color w:val="000000" w:themeColor="text1"/>
        </w:rPr>
      </w:pPr>
      <w:r w:rsidRPr="00AF0CC3">
        <w:rPr>
          <w:rFonts w:ascii="Times New Roman" w:hAnsi="Times New Roman" w:cs="Times New Roman"/>
          <w:color w:val="000000" w:themeColor="text1"/>
        </w:rPr>
        <w:t xml:space="preserve">The study investigated whether governance quality influenced financial delivery performance as reflected in project cost outcomes. The results provided partial support for this relationship. Although projects characterized by stronger governance arrangements generally demonstrated </w:t>
      </w:r>
      <w:r w:rsidRPr="00AF0CC3">
        <w:rPr>
          <w:rFonts w:ascii="Times New Roman" w:hAnsi="Times New Roman" w:cs="Times New Roman"/>
          <w:color w:val="000000" w:themeColor="text1"/>
        </w:rPr>
        <w:lastRenderedPageBreak/>
        <w:t>greater financial stability and lower expenditure variability, the statistical evidence was less conclusive than that observed for project stalling and implementation delays.</w:t>
      </w:r>
    </w:p>
    <w:p w14:paraId="48F8801C" w14:textId="77777777" w:rsidR="00D93353" w:rsidRPr="00AF0CC3" w:rsidRDefault="00D93353" w:rsidP="00D93353">
      <w:pPr>
        <w:spacing w:before="240" w:line="360" w:lineRule="auto"/>
        <w:rPr>
          <w:rFonts w:ascii="Times New Roman" w:hAnsi="Times New Roman" w:cs="Times New Roman"/>
          <w:color w:val="000000" w:themeColor="text1"/>
        </w:rPr>
      </w:pPr>
    </w:p>
    <w:p w14:paraId="0057984E" w14:textId="77777777" w:rsidR="00D93353" w:rsidRPr="00AF0CC3" w:rsidRDefault="00D93353" w:rsidP="00D93353">
      <w:pPr>
        <w:spacing w:before="240" w:line="360" w:lineRule="auto"/>
        <w:rPr>
          <w:rFonts w:ascii="Times New Roman" w:hAnsi="Times New Roman" w:cs="Times New Roman"/>
          <w:color w:val="000000" w:themeColor="text1"/>
        </w:rPr>
      </w:pPr>
      <w:r w:rsidRPr="00AF0CC3">
        <w:rPr>
          <w:rFonts w:ascii="Times New Roman" w:hAnsi="Times New Roman" w:cs="Times New Roman"/>
          <w:color w:val="000000" w:themeColor="text1"/>
        </w:rPr>
        <w:t>The weaker support observed for cost outcomes likely reflects both incomplete expenditure data and the multidimensional nature of infrastructure cost performance. Infrastructure costs are influenced by numerous factors beyond governance quality, including inflation, exchange-rate fluctuations, commodity price changes, financing conditions, and project-specific technical characteristics. Nevertheless, the observed patterns indicate that governance quality contributes to financial stability by reducing implementation disruptions, procurement disputes, contractual uncertainty, and administrative inefficiencies. The findings therefore suggest that governance quality remains relevant to financial delivery performance, although its influence may be more indirect than its influence on implementation continuity and schedule performance.</w:t>
      </w:r>
    </w:p>
    <w:p w14:paraId="3B7A8B8E" w14:textId="77777777" w:rsidR="00D93353" w:rsidRPr="00AF0CC3" w:rsidRDefault="00D93353" w:rsidP="00D93353">
      <w:pPr>
        <w:spacing w:before="240" w:line="360" w:lineRule="auto"/>
        <w:rPr>
          <w:rFonts w:ascii="Times New Roman" w:hAnsi="Times New Roman" w:cs="Times New Roman"/>
          <w:color w:val="000000" w:themeColor="text1"/>
        </w:rPr>
      </w:pPr>
    </w:p>
    <w:p w14:paraId="6748884C" w14:textId="18173D2A" w:rsidR="00D93353" w:rsidRPr="00AF0CC3" w:rsidRDefault="00D93353" w:rsidP="00D93353">
      <w:pPr>
        <w:pStyle w:val="Heading3"/>
        <w:spacing w:before="240" w:line="360" w:lineRule="auto"/>
        <w:rPr>
          <w:rFonts w:cs="Times New Roman"/>
          <w:b w:val="0"/>
          <w:bCs/>
          <w:color w:val="000000" w:themeColor="text1"/>
          <w:szCs w:val="24"/>
        </w:rPr>
      </w:pPr>
      <w:bookmarkStart w:id="578" w:name="_Toc233318842"/>
      <w:bookmarkStart w:id="579" w:name="_Toc234344917"/>
      <w:bookmarkStart w:id="580" w:name="_Toc234489149"/>
      <w:r w:rsidRPr="00AF0CC3">
        <w:rPr>
          <w:rFonts w:cs="Times New Roman"/>
          <w:bCs/>
          <w:color w:val="000000" w:themeColor="text1"/>
          <w:szCs w:val="24"/>
        </w:rPr>
        <w:t>Conclusion to Research Question Four: Governance Quality, Climate Risk, and Political Transition</w:t>
      </w:r>
      <w:bookmarkEnd w:id="578"/>
      <w:bookmarkEnd w:id="579"/>
      <w:bookmarkEnd w:id="580"/>
    </w:p>
    <w:p w14:paraId="64A1BF4C" w14:textId="77777777" w:rsidR="00D93353" w:rsidRPr="00AF0CC3" w:rsidRDefault="00D93353" w:rsidP="00D93353">
      <w:pPr>
        <w:spacing w:before="240" w:line="360" w:lineRule="auto"/>
        <w:rPr>
          <w:rFonts w:ascii="Times New Roman" w:hAnsi="Times New Roman" w:cs="Times New Roman"/>
          <w:color w:val="000000" w:themeColor="text1"/>
        </w:rPr>
      </w:pPr>
    </w:p>
    <w:p w14:paraId="2C34B1D5" w14:textId="77777777" w:rsidR="00D93353" w:rsidRPr="00AF0CC3" w:rsidRDefault="00D93353" w:rsidP="00D93353">
      <w:pPr>
        <w:spacing w:before="240" w:line="360" w:lineRule="auto"/>
        <w:rPr>
          <w:rFonts w:ascii="Times New Roman" w:hAnsi="Times New Roman" w:cs="Times New Roman"/>
          <w:color w:val="000000" w:themeColor="text1"/>
        </w:rPr>
      </w:pPr>
      <w:r w:rsidRPr="00AF0CC3">
        <w:rPr>
          <w:rFonts w:ascii="Times New Roman" w:hAnsi="Times New Roman" w:cs="Times New Roman"/>
          <w:color w:val="000000" w:themeColor="text1"/>
        </w:rPr>
        <w:t>The final research question examined how governance quality interacted with climate exposure and political transition conditions to influence infrastructure delivery outcomes. The evidence indicated that projects characterized by stronger governance arrangements demonstrated greater resilience under conditions of environmental disruption and political change than projects operating within weaker governance environments.</w:t>
      </w:r>
    </w:p>
    <w:p w14:paraId="7C970F71" w14:textId="77777777" w:rsidR="00D93353" w:rsidRPr="00AF0CC3" w:rsidRDefault="00D93353" w:rsidP="00D93353">
      <w:pPr>
        <w:spacing w:before="240" w:line="360" w:lineRule="auto"/>
        <w:rPr>
          <w:rFonts w:ascii="Times New Roman" w:hAnsi="Times New Roman" w:cs="Times New Roman"/>
          <w:color w:val="000000" w:themeColor="text1"/>
        </w:rPr>
      </w:pPr>
    </w:p>
    <w:p w14:paraId="4A3864CD" w14:textId="77777777" w:rsidR="00D93353" w:rsidRPr="00AF0CC3" w:rsidRDefault="00D93353" w:rsidP="00D93353">
      <w:pPr>
        <w:spacing w:before="240" w:line="360" w:lineRule="auto"/>
        <w:rPr>
          <w:rFonts w:ascii="Times New Roman" w:hAnsi="Times New Roman" w:cs="Times New Roman"/>
          <w:color w:val="000000" w:themeColor="text1"/>
        </w:rPr>
      </w:pPr>
      <w:r w:rsidRPr="00AF0CC3">
        <w:rPr>
          <w:rFonts w:ascii="Times New Roman" w:hAnsi="Times New Roman" w:cs="Times New Roman"/>
          <w:color w:val="000000" w:themeColor="text1"/>
        </w:rPr>
        <w:t xml:space="preserve">The findings indicate that resilience is closely linked to continuity, adaptability, effective risk management, and coordinated decision-making. Projects operating within stronger administrative environments demonstrated greater ability to sustain progress despite environmental shocks, leadership transitions, and shifting political priorities. These observations suggest that well-functioning governance arrangements enhance not only delivery effectiveness but also the ability </w:t>
      </w:r>
      <w:r w:rsidRPr="00AF0CC3">
        <w:rPr>
          <w:rFonts w:ascii="Times New Roman" w:hAnsi="Times New Roman" w:cs="Times New Roman"/>
          <w:color w:val="000000" w:themeColor="text1"/>
        </w:rPr>
        <w:lastRenderedPageBreak/>
        <w:t>to withstand disruption, adjust to changing circumstances, and sustain results over extended implementation periods.</w:t>
      </w:r>
    </w:p>
    <w:p w14:paraId="707FE4F6" w14:textId="3534FF67" w:rsidR="00D93353" w:rsidRPr="00AF0CC3" w:rsidRDefault="00D93353" w:rsidP="00D93353">
      <w:pPr>
        <w:pStyle w:val="Heading3"/>
        <w:spacing w:before="240" w:line="360" w:lineRule="auto"/>
        <w:rPr>
          <w:rFonts w:cs="Times New Roman"/>
          <w:b w:val="0"/>
          <w:bCs/>
          <w:color w:val="000000" w:themeColor="text1"/>
          <w:szCs w:val="24"/>
        </w:rPr>
      </w:pPr>
      <w:bookmarkStart w:id="581" w:name="_Toc233318843"/>
      <w:bookmarkStart w:id="582" w:name="_Toc234344918"/>
      <w:bookmarkStart w:id="583" w:name="_Toc234489150"/>
      <w:r w:rsidRPr="00AF0CC3">
        <w:rPr>
          <w:rFonts w:cs="Times New Roman"/>
          <w:bCs/>
          <w:color w:val="000000" w:themeColor="text1"/>
          <w:szCs w:val="24"/>
        </w:rPr>
        <w:t>Integrated Conclusion</w:t>
      </w:r>
      <w:bookmarkEnd w:id="581"/>
      <w:bookmarkEnd w:id="582"/>
      <w:bookmarkEnd w:id="583"/>
    </w:p>
    <w:p w14:paraId="757F9F0F" w14:textId="11D7C33B" w:rsidR="00D93353" w:rsidRPr="00AF0CC3" w:rsidRDefault="0078061D" w:rsidP="00D93353">
      <w:pPr>
        <w:spacing w:before="240" w:line="360" w:lineRule="auto"/>
        <w:rPr>
          <w:rFonts w:ascii="Times New Roman" w:hAnsi="Times New Roman" w:cs="Times New Roman"/>
          <w:color w:val="000000" w:themeColor="text1"/>
        </w:rPr>
      </w:pPr>
      <w:r w:rsidRPr="00AF0CC3">
        <w:rPr>
          <w:rFonts w:ascii="Times New Roman" w:hAnsi="Times New Roman" w:cs="Times New Roman"/>
          <w:color w:val="000000" w:themeColor="text1"/>
        </w:rPr>
        <w:t>A central implication of this study is that infrastructure development should not be understood primarily as a capital mobilization challenge but as a governance challenge. Financial resources are a necessary condition for infrastructure investment; however, they are not sufficient to ensure successful project delivery. The findings indicate that the effectiveness of infrastructure financing</w:t>
      </w:r>
      <w:r w:rsidR="00684A88" w:rsidRPr="00AF0CC3">
        <w:rPr>
          <w:rFonts w:ascii="Times New Roman" w:hAnsi="Times New Roman" w:cs="Times New Roman"/>
          <w:color w:val="000000" w:themeColor="text1"/>
        </w:rPr>
        <w:t xml:space="preserve">, </w:t>
      </w:r>
      <w:r w:rsidRPr="00AF0CC3">
        <w:rPr>
          <w:rFonts w:ascii="Times New Roman" w:hAnsi="Times New Roman" w:cs="Times New Roman"/>
          <w:color w:val="000000" w:themeColor="text1"/>
        </w:rPr>
        <w:t>whether derived from grants, concessional loans, commercial borrowing, infrastructure bonds, public–private partnerships, or domestic revenue mobilization</w:t>
      </w:r>
      <w:r w:rsidR="00684A88" w:rsidRPr="00AF0CC3">
        <w:rPr>
          <w:rFonts w:ascii="Times New Roman" w:hAnsi="Times New Roman" w:cs="Times New Roman"/>
          <w:color w:val="000000" w:themeColor="text1"/>
        </w:rPr>
        <w:t xml:space="preserve">, </w:t>
      </w:r>
      <w:r w:rsidRPr="00AF0CC3">
        <w:rPr>
          <w:rFonts w:ascii="Times New Roman" w:hAnsi="Times New Roman" w:cs="Times New Roman"/>
          <w:color w:val="000000" w:themeColor="text1"/>
        </w:rPr>
        <w:t xml:space="preserve">is systematically associated with the quality of the governance systems through which those resources are planned, allocated, implemented, monitored, and accounted for. Strengthening </w:t>
      </w:r>
      <w:r w:rsidR="00684A88" w:rsidRPr="00AF0CC3">
        <w:rPr>
          <w:rFonts w:ascii="Times New Roman" w:hAnsi="Times New Roman" w:cs="Times New Roman"/>
          <w:color w:val="000000" w:themeColor="text1"/>
        </w:rPr>
        <w:t>the quality of governance</w:t>
      </w:r>
      <w:r w:rsidRPr="00AF0CC3">
        <w:rPr>
          <w:rFonts w:ascii="Times New Roman" w:hAnsi="Times New Roman" w:cs="Times New Roman"/>
          <w:color w:val="000000" w:themeColor="text1"/>
        </w:rPr>
        <w:t xml:space="preserve"> should therefore be regarded as an essential complement to capital mobilization in efforts to improve infrastructure performance and achieve sustainable development outcomes.</w:t>
      </w:r>
    </w:p>
    <w:p w14:paraId="3EDEABF8" w14:textId="65A3F081" w:rsidR="00737F1C" w:rsidRPr="00AF0CC3" w:rsidRDefault="00737F1C" w:rsidP="00D93353">
      <w:pPr>
        <w:spacing w:before="240" w:line="360" w:lineRule="auto"/>
        <w:rPr>
          <w:rFonts w:ascii="Times New Roman" w:hAnsi="Times New Roman" w:cs="Times New Roman"/>
          <w:color w:val="000000" w:themeColor="text1"/>
        </w:rPr>
      </w:pPr>
      <w:r w:rsidRPr="00AF0CC3">
        <w:rPr>
          <w:rFonts w:ascii="Times New Roman" w:hAnsi="Times New Roman" w:cs="Times New Roman"/>
          <w:color w:val="000000" w:themeColor="text1"/>
        </w:rPr>
        <w:t>The principal conclusion arising from this study is that governance quality should be understood as a measurable institutional capability that shapes infrastructure delivery through the cumulative interaction of governance processes operating across the project lifecycle. The evidence indicates that infrastructure outcomes are associated not only with the mobilization of financial resources but also with the strength of the institutional arrangements through which those resources are coordinated, implemented, monitored, and governed. Accordingly, improving infrastructure delivery requires governance reform to be treated as a strategic development priority rather than solely an administrative concern.</w:t>
      </w:r>
    </w:p>
    <w:p w14:paraId="4D2D9796" w14:textId="453FE270" w:rsidR="00D93353" w:rsidRPr="00AF0CC3" w:rsidRDefault="00D93353" w:rsidP="00D93353">
      <w:pPr>
        <w:spacing w:before="240" w:line="360" w:lineRule="auto"/>
        <w:rPr>
          <w:rFonts w:ascii="Times New Roman" w:hAnsi="Times New Roman" w:cs="Times New Roman"/>
          <w:color w:val="000000" w:themeColor="text1"/>
        </w:rPr>
      </w:pPr>
      <w:r w:rsidRPr="00AF0CC3">
        <w:rPr>
          <w:rFonts w:ascii="Times New Roman" w:hAnsi="Times New Roman" w:cs="Times New Roman"/>
          <w:color w:val="000000" w:themeColor="text1"/>
        </w:rPr>
        <w:t>The study further challenges the tendency to explain infrastructure underperformance primarily through financial constraints, technical complexity, or project management weaknesses. While these factors remain important, the evidence indicates that many implementation challenges stem from broader institutional conditions that shape how resources are allocated, decisions are coordinated, risks are managed, and accountability is maintained. Infrastructure underperformance, therefore, appears to reflect not only resource limitations but also weaknesses in the governance systems through which those resources are mobilized and managed.</w:t>
      </w:r>
    </w:p>
    <w:p w14:paraId="691D413D" w14:textId="77777777" w:rsidR="00D93353" w:rsidRPr="00AF0CC3" w:rsidRDefault="00D93353" w:rsidP="00D93353">
      <w:pPr>
        <w:spacing w:before="240" w:line="360" w:lineRule="auto"/>
        <w:rPr>
          <w:rFonts w:ascii="Times New Roman" w:hAnsi="Times New Roman" w:cs="Times New Roman"/>
          <w:color w:val="000000" w:themeColor="text1"/>
        </w:rPr>
      </w:pPr>
    </w:p>
    <w:p w14:paraId="225CA2A5" w14:textId="77777777" w:rsidR="00D93353" w:rsidRPr="00AF0CC3" w:rsidRDefault="00D93353" w:rsidP="00D93353">
      <w:pPr>
        <w:spacing w:before="240" w:line="360" w:lineRule="auto"/>
        <w:rPr>
          <w:rFonts w:ascii="Times New Roman" w:hAnsi="Times New Roman" w:cs="Times New Roman"/>
          <w:color w:val="000000" w:themeColor="text1"/>
        </w:rPr>
      </w:pPr>
      <w:r w:rsidRPr="00AF0CC3">
        <w:rPr>
          <w:rFonts w:ascii="Times New Roman" w:hAnsi="Times New Roman" w:cs="Times New Roman"/>
          <w:color w:val="000000" w:themeColor="text1"/>
        </w:rPr>
        <w:t>The broader contribution of the study lies in demonstrating that governance quality can be systematically assessed at the project level and empirically linked to infrastructure delivery outcomes within a developing-country context. By establishing this relationship, the research advances the argument that strengthening governance should be regarded not merely as an administrative reform objective but as a strategic pathway for improving infrastructure performance, resilience, and development effectiveness. The study, therefore, challenges perspectives that treat governance deficiencies as isolated administrative shortcomings and instead suggests that infrastructure underperformance frequently reflects the cumulative effects of interconnected institutional weaknesses operating across multiple stages of the project lifecycle.</w:t>
      </w:r>
    </w:p>
    <w:p w14:paraId="56D8537B" w14:textId="77777777" w:rsidR="00D93353" w:rsidRPr="00AF0CC3" w:rsidRDefault="00D93353" w:rsidP="00D93353">
      <w:pPr>
        <w:spacing w:line="360" w:lineRule="auto"/>
        <w:rPr>
          <w:rFonts w:ascii="Times New Roman" w:hAnsi="Times New Roman" w:cs="Times New Roman"/>
          <w:color w:val="000000" w:themeColor="text1"/>
        </w:rPr>
      </w:pPr>
      <w:r w:rsidRPr="00AF0CC3">
        <w:rPr>
          <w:rFonts w:ascii="Times New Roman" w:hAnsi="Times New Roman" w:cs="Times New Roman"/>
          <w:color w:val="000000" w:themeColor="text1"/>
        </w:rPr>
        <w:t>The study, therefore, concludes that institutional reform should be treated as a strategic development priority within infrastructure systems. Strengthening transparency, coordination, oversight, documentation management, financial administration, and accountability arrangements can support more effective implementation, greater resilience, and improved long-term project performance. For Kenya and comparable developing-country contexts, sustainable improvements in infrastructure outcomes are likely to depend not only on financial investment and technical expertise but also on the quality of the institutional systems through which projects are planned, implemented, monitored, and managed.</w:t>
      </w:r>
    </w:p>
    <w:p w14:paraId="440770B9" w14:textId="77777777" w:rsidR="00D93353" w:rsidRPr="00AF0CC3" w:rsidRDefault="00D93353" w:rsidP="00D93353">
      <w:pPr>
        <w:spacing w:line="360" w:lineRule="auto"/>
        <w:rPr>
          <w:rFonts w:ascii="Times New Roman" w:hAnsi="Times New Roman" w:cs="Times New Roman"/>
          <w:color w:val="000000" w:themeColor="text1"/>
        </w:rPr>
      </w:pPr>
    </w:p>
    <w:p w14:paraId="6C7C3748" w14:textId="27A38204" w:rsidR="00D93353" w:rsidRPr="00AF0CC3" w:rsidRDefault="00D93353" w:rsidP="00D93353">
      <w:pPr>
        <w:pStyle w:val="Heading2"/>
        <w:spacing w:before="240" w:line="360" w:lineRule="auto"/>
        <w:rPr>
          <w:rFonts w:cs="Times New Roman"/>
          <w:b w:val="0"/>
          <w:bCs/>
          <w:color w:val="000000" w:themeColor="text1"/>
          <w:szCs w:val="24"/>
        </w:rPr>
      </w:pPr>
      <w:bookmarkStart w:id="584" w:name="_Toc233318844"/>
      <w:bookmarkStart w:id="585" w:name="_Toc234344919"/>
      <w:bookmarkStart w:id="586" w:name="_Toc234489151"/>
      <w:r w:rsidRPr="00AF0CC3">
        <w:rPr>
          <w:rFonts w:cs="Times New Roman"/>
          <w:bCs/>
          <w:color w:val="000000" w:themeColor="text1"/>
          <w:szCs w:val="24"/>
        </w:rPr>
        <w:t>Recommendations</w:t>
      </w:r>
      <w:bookmarkEnd w:id="584"/>
      <w:bookmarkEnd w:id="585"/>
      <w:bookmarkEnd w:id="586"/>
    </w:p>
    <w:p w14:paraId="7461A955" w14:textId="77777777" w:rsidR="00D93353" w:rsidRPr="00AF0CC3" w:rsidRDefault="00D93353" w:rsidP="00D93353">
      <w:pPr>
        <w:spacing w:before="240" w:line="360" w:lineRule="auto"/>
        <w:rPr>
          <w:rFonts w:ascii="Times New Roman" w:hAnsi="Times New Roman" w:cs="Times New Roman"/>
          <w:color w:val="000000" w:themeColor="text1"/>
        </w:rPr>
      </w:pPr>
      <w:r w:rsidRPr="00AF0CC3">
        <w:rPr>
          <w:rFonts w:ascii="Times New Roman" w:hAnsi="Times New Roman" w:cs="Times New Roman"/>
          <w:color w:val="000000" w:themeColor="text1"/>
        </w:rPr>
        <w:t>The preceding section considered the implications of the findings for infrastructure governance and institutional performance. The present section builds on those insights by proposing specific and actionable recommendations for policymakers, infrastructure agencies, county governments, oversight institutions, and development partners.</w:t>
      </w:r>
    </w:p>
    <w:p w14:paraId="61AA1C89" w14:textId="77777777" w:rsidR="00D93353" w:rsidRPr="00AF0CC3" w:rsidRDefault="00D93353" w:rsidP="00D93353">
      <w:pPr>
        <w:spacing w:before="240" w:line="360" w:lineRule="auto"/>
        <w:rPr>
          <w:rFonts w:ascii="Times New Roman" w:hAnsi="Times New Roman" w:cs="Times New Roman"/>
          <w:color w:val="000000" w:themeColor="text1"/>
        </w:rPr>
      </w:pPr>
    </w:p>
    <w:p w14:paraId="56159AF2" w14:textId="77777777" w:rsidR="00D93353" w:rsidRPr="00AF0CC3" w:rsidRDefault="00D93353" w:rsidP="00D93353">
      <w:pPr>
        <w:spacing w:before="240" w:line="360" w:lineRule="auto"/>
        <w:rPr>
          <w:rFonts w:ascii="Times New Roman" w:hAnsi="Times New Roman" w:cs="Times New Roman"/>
          <w:color w:val="000000" w:themeColor="text1"/>
        </w:rPr>
      </w:pPr>
      <w:r w:rsidRPr="00AF0CC3">
        <w:rPr>
          <w:rFonts w:ascii="Times New Roman" w:hAnsi="Times New Roman" w:cs="Times New Roman"/>
          <w:color w:val="000000" w:themeColor="text1"/>
        </w:rPr>
        <w:lastRenderedPageBreak/>
        <w:t>The evidence generated by this study indicates that the quality of institutional arrangements is closely associated with project outcomes. More effective governance environments were consistently associated with lower probabilities of project stalling, fewer implementation delays, greater continuity, and stronger resilience amid climatic and political disruptions. The recommendations presented below are designed to strengthen policy frameworks, institutional systems, project execution practices, and performance monitoring mechanisms. Their objective is to enhance accountability, transparency, coordination, adaptability, and overall implementation effectiveness within Kenya's infrastructure sector.</w:t>
      </w:r>
    </w:p>
    <w:p w14:paraId="15E61454" w14:textId="77777777" w:rsidR="00D93353" w:rsidRPr="00AF0CC3" w:rsidRDefault="00D93353" w:rsidP="00D93353">
      <w:pPr>
        <w:spacing w:before="240" w:line="360" w:lineRule="auto"/>
        <w:rPr>
          <w:rFonts w:ascii="Times New Roman" w:hAnsi="Times New Roman" w:cs="Times New Roman"/>
          <w:color w:val="000000" w:themeColor="text1"/>
        </w:rPr>
      </w:pPr>
      <w:r w:rsidRPr="00AF0CC3">
        <w:rPr>
          <w:rFonts w:ascii="Times New Roman" w:hAnsi="Times New Roman" w:cs="Times New Roman"/>
          <w:color w:val="000000" w:themeColor="text1"/>
        </w:rPr>
        <w:t>Given the financial, institutional, and political constraints that commonly affect infrastructure governance in Kenya and many developing-country contexts, the recommendations presented in this chapter should be implemented in a phased, sequenced manner rather than simultaneously. Prioritizing reforms based on institutional readiness, implementation feasibility, and potential impact is likely to enhance sustainability, strengthen stakeholder ownership, and reduce the administrative and financial demands of comprehensive governance reform.</w:t>
      </w:r>
    </w:p>
    <w:p w14:paraId="36A688E6" w14:textId="77777777" w:rsidR="00D93353" w:rsidRPr="00AF0CC3" w:rsidRDefault="00D93353" w:rsidP="00D93353">
      <w:pPr>
        <w:spacing w:before="240" w:line="360" w:lineRule="auto"/>
        <w:rPr>
          <w:rFonts w:ascii="Times New Roman" w:hAnsi="Times New Roman" w:cs="Times New Roman"/>
          <w:color w:val="000000" w:themeColor="text1"/>
        </w:rPr>
      </w:pPr>
    </w:p>
    <w:p w14:paraId="2DDEA3BE" w14:textId="1E961534" w:rsidR="00D93353" w:rsidRPr="00AF0CC3" w:rsidRDefault="00D93353" w:rsidP="00D93353">
      <w:pPr>
        <w:pStyle w:val="Heading3"/>
        <w:spacing w:before="240" w:line="360" w:lineRule="auto"/>
        <w:rPr>
          <w:rFonts w:cs="Times New Roman"/>
          <w:b w:val="0"/>
          <w:bCs/>
          <w:color w:val="000000" w:themeColor="text1"/>
          <w:szCs w:val="24"/>
        </w:rPr>
      </w:pPr>
      <w:r w:rsidRPr="00AF0CC3">
        <w:rPr>
          <w:rFonts w:cs="Times New Roman"/>
          <w:color w:val="000000" w:themeColor="text1"/>
          <w:szCs w:val="24"/>
        </w:rPr>
        <w:t xml:space="preserve"> </w:t>
      </w:r>
      <w:bookmarkStart w:id="587" w:name="_Toc233318845"/>
      <w:bookmarkStart w:id="588" w:name="_Toc234344920"/>
      <w:bookmarkStart w:id="589" w:name="_Toc234489152"/>
      <w:r w:rsidRPr="00AF0CC3">
        <w:rPr>
          <w:rFonts w:cs="Times New Roman"/>
          <w:bCs/>
          <w:color w:val="000000" w:themeColor="text1"/>
          <w:szCs w:val="24"/>
        </w:rPr>
        <w:t>Policy Recommendations</w:t>
      </w:r>
      <w:bookmarkEnd w:id="587"/>
      <w:bookmarkEnd w:id="588"/>
      <w:bookmarkEnd w:id="589"/>
    </w:p>
    <w:p w14:paraId="513C6EBD" w14:textId="77777777" w:rsidR="00D93353" w:rsidRPr="00AF0CC3" w:rsidRDefault="00D93353" w:rsidP="00D93353">
      <w:pPr>
        <w:spacing w:before="240" w:line="360" w:lineRule="auto"/>
        <w:rPr>
          <w:rFonts w:ascii="Times New Roman" w:hAnsi="Times New Roman" w:cs="Times New Roman"/>
          <w:color w:val="000000" w:themeColor="text1"/>
        </w:rPr>
      </w:pPr>
    </w:p>
    <w:p w14:paraId="167123C7" w14:textId="77777777" w:rsidR="00D93353" w:rsidRPr="00AF0CC3" w:rsidRDefault="00D93353" w:rsidP="00D93353">
      <w:pPr>
        <w:spacing w:before="240" w:line="360" w:lineRule="auto"/>
        <w:rPr>
          <w:rFonts w:ascii="Times New Roman" w:hAnsi="Times New Roman" w:cs="Times New Roman"/>
          <w:color w:val="000000" w:themeColor="text1"/>
        </w:rPr>
      </w:pPr>
      <w:r w:rsidRPr="00AF0CC3">
        <w:rPr>
          <w:rFonts w:ascii="Times New Roman" w:hAnsi="Times New Roman" w:cs="Times New Roman"/>
          <w:color w:val="000000" w:themeColor="text1"/>
        </w:rPr>
        <w:t>At the policy level, infrastructure governance should be recognized as a strategic determinant of development effectiveness rather than merely an administrative function. National infrastructure policies should explicitly incorporate governance quality standards covering project preparation, procurement management, implementation oversight, transparency, accountability, risk management, and stakeholder coordination.</w:t>
      </w:r>
    </w:p>
    <w:p w14:paraId="0D7637FA" w14:textId="77777777" w:rsidR="00D93353" w:rsidRPr="00AF0CC3" w:rsidRDefault="00D93353" w:rsidP="00D93353">
      <w:pPr>
        <w:spacing w:before="240" w:line="360" w:lineRule="auto"/>
        <w:rPr>
          <w:rFonts w:ascii="Times New Roman" w:hAnsi="Times New Roman" w:cs="Times New Roman"/>
          <w:color w:val="000000" w:themeColor="text1"/>
        </w:rPr>
      </w:pPr>
    </w:p>
    <w:p w14:paraId="0B4E2B85" w14:textId="77777777" w:rsidR="00D93353" w:rsidRPr="00AF0CC3" w:rsidRDefault="00D93353" w:rsidP="00D93353">
      <w:pPr>
        <w:spacing w:before="240" w:line="360" w:lineRule="auto"/>
        <w:rPr>
          <w:rFonts w:ascii="Times New Roman" w:hAnsi="Times New Roman" w:cs="Times New Roman"/>
          <w:color w:val="000000" w:themeColor="text1"/>
        </w:rPr>
      </w:pPr>
      <w:r w:rsidRPr="00AF0CC3">
        <w:rPr>
          <w:rFonts w:ascii="Times New Roman" w:hAnsi="Times New Roman" w:cs="Times New Roman"/>
          <w:color w:val="000000" w:themeColor="text1"/>
        </w:rPr>
        <w:t xml:space="preserve">Government agencies responsible for infrastructure planning and delivery should establish minimum governance requirements applicable throughout the project lifecycle. Such requirements should include mandatory feasibility studies, transparent procurement procedures, independent oversight mechanisms, documented risk allocation frameworks, and standardized </w:t>
      </w:r>
      <w:r w:rsidRPr="00AF0CC3">
        <w:rPr>
          <w:rFonts w:ascii="Times New Roman" w:hAnsi="Times New Roman" w:cs="Times New Roman"/>
          <w:color w:val="000000" w:themeColor="text1"/>
        </w:rPr>
        <w:lastRenderedPageBreak/>
        <w:t>project reporting systems. Establishing clear governance expectations at the policy level may help reduce implementation variability and improve project delivery performance.</w:t>
      </w:r>
    </w:p>
    <w:p w14:paraId="50E83B8C" w14:textId="77777777" w:rsidR="00D93353" w:rsidRPr="00AF0CC3" w:rsidRDefault="00D93353" w:rsidP="00D93353">
      <w:pPr>
        <w:spacing w:before="240" w:line="360" w:lineRule="auto"/>
        <w:rPr>
          <w:rFonts w:ascii="Times New Roman" w:hAnsi="Times New Roman" w:cs="Times New Roman"/>
          <w:color w:val="000000" w:themeColor="text1"/>
        </w:rPr>
      </w:pPr>
    </w:p>
    <w:p w14:paraId="78414678" w14:textId="77777777" w:rsidR="00D93353" w:rsidRPr="00AF0CC3" w:rsidRDefault="00D93353" w:rsidP="00D93353">
      <w:pPr>
        <w:spacing w:before="240" w:line="360" w:lineRule="auto"/>
        <w:rPr>
          <w:rFonts w:ascii="Times New Roman" w:hAnsi="Times New Roman" w:cs="Times New Roman"/>
          <w:color w:val="000000" w:themeColor="text1"/>
        </w:rPr>
      </w:pPr>
      <w:r w:rsidRPr="00AF0CC3">
        <w:rPr>
          <w:rFonts w:ascii="Times New Roman" w:hAnsi="Times New Roman" w:cs="Times New Roman"/>
          <w:color w:val="000000" w:themeColor="text1"/>
        </w:rPr>
        <w:t>Given the study's findings regarding implementation resilience, climate governance considerations should also be integrated into national infrastructure policy frameworks. Climate risk assessment, adaptation planning, and resilience monitoring should become standard components of infrastructure governance processes, particularly for large-scale water infrastructure projects exposed to environmental uncertainty.</w:t>
      </w:r>
    </w:p>
    <w:p w14:paraId="7B3956E9" w14:textId="77777777" w:rsidR="00D93353" w:rsidRPr="00AF0CC3" w:rsidRDefault="00D93353" w:rsidP="00D93353">
      <w:pPr>
        <w:spacing w:before="240" w:line="360" w:lineRule="auto"/>
        <w:rPr>
          <w:rFonts w:ascii="Times New Roman" w:hAnsi="Times New Roman" w:cs="Times New Roman"/>
          <w:color w:val="000000" w:themeColor="text1"/>
        </w:rPr>
      </w:pPr>
    </w:p>
    <w:p w14:paraId="61C82972" w14:textId="77777777" w:rsidR="00D93353" w:rsidRPr="00AF0CC3" w:rsidRDefault="00D93353" w:rsidP="00D93353">
      <w:pPr>
        <w:spacing w:before="240" w:line="360" w:lineRule="auto"/>
        <w:rPr>
          <w:rFonts w:ascii="Times New Roman" w:hAnsi="Times New Roman" w:cs="Times New Roman"/>
          <w:color w:val="000000" w:themeColor="text1"/>
        </w:rPr>
      </w:pPr>
      <w:r w:rsidRPr="00AF0CC3">
        <w:rPr>
          <w:rFonts w:ascii="Times New Roman" w:hAnsi="Times New Roman" w:cs="Times New Roman"/>
          <w:color w:val="000000" w:themeColor="text1"/>
        </w:rPr>
        <w:t>In addition, national infrastructure policies should strengthen public disclosure requirements to improve transparency and accountability. Greater public access to project information may enhance oversight, improve stakeholder confidence, and strengthen incentives for effective project implementation.</w:t>
      </w:r>
    </w:p>
    <w:p w14:paraId="56EADD8B" w14:textId="77777777" w:rsidR="00D93353" w:rsidRPr="00AF0CC3" w:rsidRDefault="00D93353" w:rsidP="00D93353">
      <w:pPr>
        <w:spacing w:before="240" w:line="360" w:lineRule="auto"/>
        <w:rPr>
          <w:rFonts w:ascii="Times New Roman" w:hAnsi="Times New Roman" w:cs="Times New Roman"/>
          <w:color w:val="000000" w:themeColor="text1"/>
        </w:rPr>
      </w:pPr>
    </w:p>
    <w:p w14:paraId="0B420341" w14:textId="29659BE7" w:rsidR="00D93353" w:rsidRPr="00AF0CC3" w:rsidRDefault="00D93353" w:rsidP="00D93353">
      <w:pPr>
        <w:pStyle w:val="Heading3"/>
        <w:spacing w:before="240" w:line="360" w:lineRule="auto"/>
        <w:rPr>
          <w:rFonts w:cs="Times New Roman"/>
          <w:b w:val="0"/>
          <w:bCs/>
          <w:color w:val="000000" w:themeColor="text1"/>
          <w:szCs w:val="24"/>
        </w:rPr>
      </w:pPr>
      <w:r w:rsidRPr="00AF0CC3">
        <w:rPr>
          <w:rFonts w:cs="Times New Roman"/>
          <w:color w:val="000000" w:themeColor="text1"/>
          <w:szCs w:val="24"/>
        </w:rPr>
        <w:t xml:space="preserve"> </w:t>
      </w:r>
      <w:bookmarkStart w:id="590" w:name="_Toc233318846"/>
      <w:bookmarkStart w:id="591" w:name="_Toc234344921"/>
      <w:bookmarkStart w:id="592" w:name="_Toc234489153"/>
      <w:r w:rsidRPr="00AF0CC3">
        <w:rPr>
          <w:rFonts w:cs="Times New Roman"/>
          <w:bCs/>
          <w:color w:val="000000" w:themeColor="text1"/>
          <w:szCs w:val="24"/>
        </w:rPr>
        <w:t>Institutional Recommendations</w:t>
      </w:r>
      <w:bookmarkEnd w:id="590"/>
      <w:bookmarkEnd w:id="591"/>
      <w:bookmarkEnd w:id="592"/>
    </w:p>
    <w:p w14:paraId="7E837B59" w14:textId="77777777" w:rsidR="00D93353" w:rsidRPr="00AF0CC3" w:rsidRDefault="00D93353" w:rsidP="00D93353">
      <w:pPr>
        <w:spacing w:before="240" w:line="360" w:lineRule="auto"/>
        <w:rPr>
          <w:rFonts w:ascii="Times New Roman" w:hAnsi="Times New Roman" w:cs="Times New Roman"/>
          <w:color w:val="000000" w:themeColor="text1"/>
        </w:rPr>
      </w:pPr>
    </w:p>
    <w:p w14:paraId="15200204" w14:textId="317FE752" w:rsidR="00D93353" w:rsidRPr="00AF0CC3" w:rsidRDefault="00D93353" w:rsidP="00D93353">
      <w:pPr>
        <w:spacing w:before="240" w:line="360" w:lineRule="auto"/>
        <w:rPr>
          <w:rFonts w:ascii="Times New Roman" w:hAnsi="Times New Roman" w:cs="Times New Roman"/>
          <w:color w:val="000000" w:themeColor="text1"/>
        </w:rPr>
      </w:pPr>
      <w:r w:rsidRPr="00AF0CC3">
        <w:rPr>
          <w:rFonts w:ascii="Times New Roman" w:hAnsi="Times New Roman" w:cs="Times New Roman"/>
          <w:color w:val="000000" w:themeColor="text1"/>
        </w:rPr>
        <w:t xml:space="preserve">The findings indicate that institutional </w:t>
      </w:r>
      <w:r w:rsidR="00163866" w:rsidRPr="00AF0CC3">
        <w:rPr>
          <w:rFonts w:ascii="Times New Roman" w:hAnsi="Times New Roman" w:cs="Times New Roman"/>
          <w:color w:val="000000" w:themeColor="text1"/>
        </w:rPr>
        <w:t>coordination, oversight</w:t>
      </w:r>
      <w:r w:rsidRPr="00AF0CC3">
        <w:rPr>
          <w:rFonts w:ascii="Times New Roman" w:hAnsi="Times New Roman" w:cs="Times New Roman"/>
          <w:color w:val="000000" w:themeColor="text1"/>
        </w:rPr>
        <w:t xml:space="preserve"> responsiveness, and governance capacity are critical determinants of infrastructure delivery performance. Accordingly, infrastructure institutions should strengthen mechanisms that support collaboration among ministries, implementing agencies, regulators, financiers, contractors, and local stakeholders.</w:t>
      </w:r>
    </w:p>
    <w:p w14:paraId="07FA1086" w14:textId="77777777" w:rsidR="00D93353" w:rsidRPr="00AF0CC3" w:rsidRDefault="00D93353" w:rsidP="00D93353">
      <w:pPr>
        <w:spacing w:before="240" w:line="360" w:lineRule="auto"/>
        <w:rPr>
          <w:rFonts w:ascii="Times New Roman" w:hAnsi="Times New Roman" w:cs="Times New Roman"/>
          <w:color w:val="000000" w:themeColor="text1"/>
        </w:rPr>
      </w:pPr>
    </w:p>
    <w:p w14:paraId="1F589995" w14:textId="77777777" w:rsidR="00D93353" w:rsidRPr="00AF0CC3" w:rsidRDefault="00D93353" w:rsidP="00D93353">
      <w:pPr>
        <w:spacing w:before="240" w:line="360" w:lineRule="auto"/>
        <w:rPr>
          <w:rFonts w:ascii="Times New Roman" w:hAnsi="Times New Roman" w:cs="Times New Roman"/>
          <w:color w:val="000000" w:themeColor="text1"/>
        </w:rPr>
      </w:pPr>
      <w:r w:rsidRPr="00AF0CC3">
        <w:rPr>
          <w:rFonts w:ascii="Times New Roman" w:hAnsi="Times New Roman" w:cs="Times New Roman"/>
          <w:color w:val="000000" w:themeColor="text1"/>
        </w:rPr>
        <w:t>Formal inter-agency coordination structures should be established for large-scale infrastructure projects to facilitate communication, resolve implementation bottlenecks, and improve decision-making efficiency. Clear institutional responsibilities should be defined at project inception to reduce duplication, administrative ambiguity, and accountability gaps.</w:t>
      </w:r>
    </w:p>
    <w:p w14:paraId="2508A5BF" w14:textId="77777777" w:rsidR="00D93353" w:rsidRPr="00AF0CC3" w:rsidRDefault="00D93353" w:rsidP="00D93353">
      <w:pPr>
        <w:spacing w:before="240" w:line="360" w:lineRule="auto"/>
        <w:rPr>
          <w:rFonts w:ascii="Times New Roman" w:hAnsi="Times New Roman" w:cs="Times New Roman"/>
          <w:color w:val="000000" w:themeColor="text1"/>
        </w:rPr>
      </w:pPr>
    </w:p>
    <w:p w14:paraId="57CB6834" w14:textId="77777777" w:rsidR="00D93353" w:rsidRPr="00AF0CC3" w:rsidRDefault="00D93353" w:rsidP="00D93353">
      <w:pPr>
        <w:spacing w:before="240" w:line="360" w:lineRule="auto"/>
        <w:rPr>
          <w:rFonts w:ascii="Times New Roman" w:hAnsi="Times New Roman" w:cs="Times New Roman"/>
          <w:color w:val="000000" w:themeColor="text1"/>
        </w:rPr>
      </w:pPr>
      <w:r w:rsidRPr="00AF0CC3">
        <w:rPr>
          <w:rFonts w:ascii="Times New Roman" w:hAnsi="Times New Roman" w:cs="Times New Roman"/>
          <w:color w:val="000000" w:themeColor="text1"/>
        </w:rPr>
        <w:t>Infrastructure agencies should also strengthen governance capacity through targeted training in procurement management, contract administration, risk management, project monitoring, records management, and accountability systems. Capacity development initiatives should extend beyond technical infrastructure competencies to include governance skills necessary for effective project delivery.</w:t>
      </w:r>
    </w:p>
    <w:p w14:paraId="3169683C" w14:textId="77777777" w:rsidR="00D93353" w:rsidRPr="00AF0CC3" w:rsidRDefault="00D93353" w:rsidP="00D93353">
      <w:pPr>
        <w:spacing w:before="240" w:line="360" w:lineRule="auto"/>
        <w:rPr>
          <w:rFonts w:ascii="Times New Roman" w:hAnsi="Times New Roman" w:cs="Times New Roman"/>
          <w:color w:val="000000" w:themeColor="text1"/>
        </w:rPr>
      </w:pPr>
    </w:p>
    <w:p w14:paraId="33D09B5E" w14:textId="77777777" w:rsidR="00D93353" w:rsidRPr="00AF0CC3" w:rsidRDefault="00D93353" w:rsidP="00D93353">
      <w:pPr>
        <w:spacing w:before="240" w:line="360" w:lineRule="auto"/>
        <w:rPr>
          <w:rFonts w:ascii="Times New Roman" w:hAnsi="Times New Roman" w:cs="Times New Roman"/>
          <w:color w:val="000000" w:themeColor="text1"/>
        </w:rPr>
      </w:pPr>
      <w:r w:rsidRPr="00AF0CC3">
        <w:rPr>
          <w:rFonts w:ascii="Times New Roman" w:hAnsi="Times New Roman" w:cs="Times New Roman"/>
          <w:color w:val="000000" w:themeColor="text1"/>
        </w:rPr>
        <w:t>Particular attention should be given to strengthening documentation management systems. The study demonstrated that documentation accessibility constitutes an important dimension of governance quality. Institutions should therefore invest in digital information management systems capable of preserving project records, supporting transparency, and facilitating governance assessment throughout the project lifecycle.</w:t>
      </w:r>
    </w:p>
    <w:p w14:paraId="64E52942" w14:textId="77777777" w:rsidR="00D93353" w:rsidRPr="00AF0CC3" w:rsidRDefault="00D93353" w:rsidP="00D93353">
      <w:pPr>
        <w:spacing w:before="240" w:line="360" w:lineRule="auto"/>
        <w:rPr>
          <w:rFonts w:ascii="Times New Roman" w:hAnsi="Times New Roman" w:cs="Times New Roman"/>
          <w:color w:val="000000" w:themeColor="text1"/>
        </w:rPr>
      </w:pPr>
    </w:p>
    <w:p w14:paraId="466CA716" w14:textId="36190398" w:rsidR="00D93353" w:rsidRPr="00AF0CC3" w:rsidRDefault="00D93353" w:rsidP="00D93353">
      <w:pPr>
        <w:pStyle w:val="Heading3"/>
        <w:spacing w:before="240" w:line="360" w:lineRule="auto"/>
        <w:rPr>
          <w:rFonts w:cs="Times New Roman"/>
          <w:b w:val="0"/>
          <w:bCs/>
          <w:color w:val="000000" w:themeColor="text1"/>
          <w:szCs w:val="24"/>
        </w:rPr>
      </w:pPr>
      <w:bookmarkStart w:id="593" w:name="_Toc233318847"/>
      <w:bookmarkStart w:id="594" w:name="_Toc234344922"/>
      <w:bookmarkStart w:id="595" w:name="_Toc234489154"/>
      <w:r w:rsidRPr="00AF0CC3">
        <w:rPr>
          <w:rFonts w:cs="Times New Roman"/>
          <w:bCs/>
          <w:color w:val="000000" w:themeColor="text1"/>
          <w:szCs w:val="24"/>
        </w:rPr>
        <w:t>Project-Level Recommendations</w:t>
      </w:r>
      <w:bookmarkEnd w:id="593"/>
      <w:bookmarkEnd w:id="594"/>
      <w:bookmarkEnd w:id="595"/>
    </w:p>
    <w:p w14:paraId="5152D63A" w14:textId="77777777" w:rsidR="00D93353" w:rsidRPr="00AF0CC3" w:rsidRDefault="00D93353" w:rsidP="00D93353">
      <w:pPr>
        <w:spacing w:before="240" w:line="360" w:lineRule="auto"/>
        <w:rPr>
          <w:rFonts w:ascii="Times New Roman" w:hAnsi="Times New Roman" w:cs="Times New Roman"/>
          <w:color w:val="000000" w:themeColor="text1"/>
        </w:rPr>
      </w:pPr>
    </w:p>
    <w:p w14:paraId="71F143BD" w14:textId="77777777" w:rsidR="00D93353" w:rsidRPr="00AF0CC3" w:rsidRDefault="00D93353" w:rsidP="00D93353">
      <w:pPr>
        <w:spacing w:before="240" w:line="360" w:lineRule="auto"/>
        <w:rPr>
          <w:rFonts w:ascii="Times New Roman" w:hAnsi="Times New Roman" w:cs="Times New Roman"/>
          <w:color w:val="000000" w:themeColor="text1"/>
        </w:rPr>
      </w:pPr>
      <w:r w:rsidRPr="00AF0CC3">
        <w:rPr>
          <w:rFonts w:ascii="Times New Roman" w:hAnsi="Times New Roman" w:cs="Times New Roman"/>
          <w:color w:val="000000" w:themeColor="text1"/>
        </w:rPr>
        <w:t>At the project level, governance considerations should be integrated throughout the project preparation, procurement, implementation, and monitoring stages rather than treated as compliance requirements addressed only after project commencement.</w:t>
      </w:r>
    </w:p>
    <w:p w14:paraId="4FC08D3D" w14:textId="77777777" w:rsidR="00D93353" w:rsidRPr="00AF0CC3" w:rsidRDefault="00D93353" w:rsidP="00D93353">
      <w:pPr>
        <w:spacing w:before="240" w:line="360" w:lineRule="auto"/>
        <w:rPr>
          <w:rFonts w:ascii="Times New Roman" w:hAnsi="Times New Roman" w:cs="Times New Roman"/>
          <w:color w:val="000000" w:themeColor="text1"/>
        </w:rPr>
      </w:pPr>
    </w:p>
    <w:p w14:paraId="28F74670" w14:textId="77777777" w:rsidR="00D93353" w:rsidRPr="00AF0CC3" w:rsidRDefault="00D93353" w:rsidP="00D93353">
      <w:pPr>
        <w:spacing w:before="240" w:line="360" w:lineRule="auto"/>
        <w:rPr>
          <w:rFonts w:ascii="Times New Roman" w:hAnsi="Times New Roman" w:cs="Times New Roman"/>
          <w:color w:val="000000" w:themeColor="text1"/>
        </w:rPr>
      </w:pPr>
      <w:r w:rsidRPr="00AF0CC3">
        <w:rPr>
          <w:rFonts w:ascii="Times New Roman" w:hAnsi="Times New Roman" w:cs="Times New Roman"/>
          <w:color w:val="000000" w:themeColor="text1"/>
        </w:rPr>
        <w:t>Project preparation processes should place greater emphasis on the quality of feasibility studies, land acquisition readiness, clarity of risk allocation, and stakeholder engagement. Strengthening governance conditions during project preparation may reduce implementation uncertainty and improve delivery performance during later project stages.</w:t>
      </w:r>
    </w:p>
    <w:p w14:paraId="3155F208" w14:textId="77777777" w:rsidR="00D93353" w:rsidRPr="00AF0CC3" w:rsidRDefault="00D93353" w:rsidP="00D93353">
      <w:pPr>
        <w:spacing w:before="240" w:line="360" w:lineRule="auto"/>
        <w:rPr>
          <w:rFonts w:ascii="Times New Roman" w:hAnsi="Times New Roman" w:cs="Times New Roman"/>
          <w:color w:val="000000" w:themeColor="text1"/>
        </w:rPr>
      </w:pPr>
    </w:p>
    <w:p w14:paraId="4932F15A" w14:textId="77777777" w:rsidR="00D93353" w:rsidRPr="00AF0CC3" w:rsidRDefault="00D93353" w:rsidP="00D93353">
      <w:pPr>
        <w:spacing w:before="240" w:line="360" w:lineRule="auto"/>
        <w:rPr>
          <w:rFonts w:ascii="Times New Roman" w:hAnsi="Times New Roman" w:cs="Times New Roman"/>
          <w:color w:val="000000" w:themeColor="text1"/>
        </w:rPr>
      </w:pPr>
      <w:r w:rsidRPr="00AF0CC3">
        <w:rPr>
          <w:rFonts w:ascii="Times New Roman" w:hAnsi="Times New Roman" w:cs="Times New Roman"/>
          <w:color w:val="000000" w:themeColor="text1"/>
        </w:rPr>
        <w:lastRenderedPageBreak/>
        <w:t>Procurement systems should prioritize transparency, competition, and accountability. Procurement planning should be completed before project implementation begins, and procurement monitoring mechanisms should be strengthened to identify emerging risks before they affect project continuity.</w:t>
      </w:r>
    </w:p>
    <w:p w14:paraId="4261D85F" w14:textId="77777777" w:rsidR="00D93353" w:rsidRPr="00AF0CC3" w:rsidRDefault="00D93353" w:rsidP="00D93353">
      <w:pPr>
        <w:spacing w:before="240" w:line="360" w:lineRule="auto"/>
        <w:rPr>
          <w:rFonts w:ascii="Times New Roman" w:hAnsi="Times New Roman" w:cs="Times New Roman"/>
          <w:color w:val="000000" w:themeColor="text1"/>
        </w:rPr>
      </w:pPr>
    </w:p>
    <w:p w14:paraId="3EB683B6" w14:textId="77777777" w:rsidR="00D93353" w:rsidRPr="00AF0CC3" w:rsidRDefault="00D93353" w:rsidP="00D93353">
      <w:pPr>
        <w:spacing w:before="240" w:line="360" w:lineRule="auto"/>
        <w:rPr>
          <w:rFonts w:ascii="Times New Roman" w:hAnsi="Times New Roman" w:cs="Times New Roman"/>
          <w:color w:val="000000" w:themeColor="text1"/>
        </w:rPr>
      </w:pPr>
      <w:r w:rsidRPr="00AF0CC3">
        <w:rPr>
          <w:rFonts w:ascii="Times New Roman" w:hAnsi="Times New Roman" w:cs="Times New Roman"/>
          <w:color w:val="000000" w:themeColor="text1"/>
        </w:rPr>
        <w:t>Contract administration systems should also be improved. Infrastructure agencies should establish structured procedures for monitoring contractor performance, managing disputes, approving variations, and resolving implementation challenges. Early identification and resolution of contractual issues may significantly reduce delays and implementation disruptions.</w:t>
      </w:r>
    </w:p>
    <w:p w14:paraId="7AE7B6BA" w14:textId="77777777" w:rsidR="00D93353" w:rsidRPr="00AF0CC3" w:rsidRDefault="00D93353" w:rsidP="00D93353">
      <w:pPr>
        <w:spacing w:before="240" w:line="360" w:lineRule="auto"/>
        <w:rPr>
          <w:rFonts w:ascii="Times New Roman" w:hAnsi="Times New Roman" w:cs="Times New Roman"/>
          <w:color w:val="000000" w:themeColor="text1"/>
        </w:rPr>
      </w:pPr>
    </w:p>
    <w:p w14:paraId="265A0711" w14:textId="77777777" w:rsidR="00D93353" w:rsidRPr="00AF0CC3" w:rsidRDefault="00D93353" w:rsidP="00D93353">
      <w:pPr>
        <w:spacing w:before="240" w:line="360" w:lineRule="auto"/>
        <w:rPr>
          <w:rFonts w:ascii="Times New Roman" w:hAnsi="Times New Roman" w:cs="Times New Roman"/>
          <w:color w:val="000000" w:themeColor="text1"/>
        </w:rPr>
      </w:pPr>
      <w:r w:rsidRPr="00AF0CC3">
        <w:rPr>
          <w:rFonts w:ascii="Times New Roman" w:hAnsi="Times New Roman" w:cs="Times New Roman"/>
          <w:color w:val="000000" w:themeColor="text1"/>
        </w:rPr>
        <w:t>The findings further suggest that improving payment reliability should be treated as a project management priority. Delayed payments can trigger contractor demobilization, implementation interruptions, procurement disruptions, and financial uncertainty. Strengthening payment approval and disbursement processes may therefore improve both implementation continuity and overall project performance.</w:t>
      </w:r>
    </w:p>
    <w:p w14:paraId="66CDD6A3" w14:textId="77777777" w:rsidR="00D93353" w:rsidRPr="00AF0CC3" w:rsidRDefault="00D93353" w:rsidP="00D93353">
      <w:pPr>
        <w:spacing w:before="240" w:line="360" w:lineRule="auto"/>
        <w:rPr>
          <w:rFonts w:ascii="Times New Roman" w:hAnsi="Times New Roman" w:cs="Times New Roman"/>
          <w:color w:val="000000" w:themeColor="text1"/>
        </w:rPr>
      </w:pPr>
    </w:p>
    <w:p w14:paraId="01B025A7" w14:textId="66C027EC" w:rsidR="00D93353" w:rsidRPr="00AF0CC3" w:rsidRDefault="00D93353" w:rsidP="00D93353">
      <w:pPr>
        <w:pStyle w:val="Heading3"/>
        <w:spacing w:before="240" w:line="360" w:lineRule="auto"/>
        <w:rPr>
          <w:rFonts w:cs="Times New Roman"/>
          <w:b w:val="0"/>
          <w:bCs/>
          <w:color w:val="000000" w:themeColor="text1"/>
          <w:szCs w:val="24"/>
        </w:rPr>
      </w:pPr>
      <w:bookmarkStart w:id="596" w:name="_Toc233318848"/>
      <w:bookmarkStart w:id="597" w:name="_Toc234344923"/>
      <w:bookmarkStart w:id="598" w:name="_Toc234489155"/>
      <w:r w:rsidRPr="00AF0CC3">
        <w:rPr>
          <w:rFonts w:cs="Times New Roman"/>
          <w:bCs/>
          <w:color w:val="000000" w:themeColor="text1"/>
          <w:szCs w:val="24"/>
        </w:rPr>
        <w:t>Governance Monitoring Recommendations</w:t>
      </w:r>
      <w:bookmarkEnd w:id="596"/>
      <w:bookmarkEnd w:id="597"/>
      <w:bookmarkEnd w:id="598"/>
    </w:p>
    <w:p w14:paraId="5DA12380" w14:textId="77777777" w:rsidR="00D93353" w:rsidRPr="00AF0CC3" w:rsidRDefault="00D93353" w:rsidP="00D93353">
      <w:pPr>
        <w:spacing w:before="240" w:line="360" w:lineRule="auto"/>
        <w:rPr>
          <w:rFonts w:ascii="Times New Roman" w:hAnsi="Times New Roman" w:cs="Times New Roman"/>
          <w:color w:val="000000" w:themeColor="text1"/>
        </w:rPr>
      </w:pPr>
    </w:p>
    <w:p w14:paraId="09DBC94F" w14:textId="77777777" w:rsidR="00D93353" w:rsidRPr="00AF0CC3" w:rsidRDefault="00D93353" w:rsidP="00D93353">
      <w:pPr>
        <w:spacing w:before="240" w:line="360" w:lineRule="auto"/>
        <w:rPr>
          <w:rFonts w:ascii="Times New Roman" w:hAnsi="Times New Roman" w:cs="Times New Roman"/>
          <w:color w:val="000000" w:themeColor="text1"/>
        </w:rPr>
      </w:pPr>
      <w:r w:rsidRPr="00AF0CC3">
        <w:rPr>
          <w:rFonts w:ascii="Times New Roman" w:hAnsi="Times New Roman" w:cs="Times New Roman"/>
          <w:color w:val="000000" w:themeColor="text1"/>
        </w:rPr>
        <w:t>The study highlights the importance of continuous governance monitoring as a mechanism for strengthening infrastructure delivery performance. Governance assessment should be an integral component of project monitoring and evaluation systems, rather than limited to periodic audit reviews or post-project evaluations.</w:t>
      </w:r>
    </w:p>
    <w:p w14:paraId="4FC6A414" w14:textId="77777777" w:rsidR="00D93353" w:rsidRPr="00AF0CC3" w:rsidRDefault="00D93353" w:rsidP="00D93353">
      <w:pPr>
        <w:spacing w:before="240" w:line="360" w:lineRule="auto"/>
        <w:rPr>
          <w:rFonts w:ascii="Times New Roman" w:hAnsi="Times New Roman" w:cs="Times New Roman"/>
          <w:color w:val="000000" w:themeColor="text1"/>
        </w:rPr>
      </w:pPr>
    </w:p>
    <w:p w14:paraId="12917EF1" w14:textId="77777777" w:rsidR="00D93353" w:rsidRPr="00AF0CC3" w:rsidRDefault="00D93353" w:rsidP="00D93353">
      <w:pPr>
        <w:spacing w:before="240" w:line="360" w:lineRule="auto"/>
        <w:rPr>
          <w:rFonts w:ascii="Times New Roman" w:hAnsi="Times New Roman" w:cs="Times New Roman"/>
          <w:color w:val="000000" w:themeColor="text1"/>
        </w:rPr>
      </w:pPr>
      <w:r w:rsidRPr="00AF0CC3">
        <w:rPr>
          <w:rFonts w:ascii="Times New Roman" w:hAnsi="Times New Roman" w:cs="Times New Roman"/>
          <w:color w:val="000000" w:themeColor="text1"/>
        </w:rPr>
        <w:t xml:space="preserve">Infrastructure agencies should establish governance performance indicators that cover procurement transparency, institutional coordination, documentation accessibility, audit </w:t>
      </w:r>
      <w:r w:rsidRPr="00AF0CC3">
        <w:rPr>
          <w:rFonts w:ascii="Times New Roman" w:hAnsi="Times New Roman" w:cs="Times New Roman"/>
          <w:color w:val="000000" w:themeColor="text1"/>
        </w:rPr>
        <w:lastRenderedPageBreak/>
        <w:t>responsiveness, contract oversight, payment reliability, and accountability mechanisms. Regular assessment of these indicators may facilitate early identification of governance weaknesses and support timely corrective action.</w:t>
      </w:r>
    </w:p>
    <w:p w14:paraId="72BF97B3" w14:textId="77777777" w:rsidR="00D93353" w:rsidRPr="00AF0CC3" w:rsidRDefault="00D93353" w:rsidP="00D93353">
      <w:pPr>
        <w:spacing w:before="240" w:line="360" w:lineRule="auto"/>
        <w:rPr>
          <w:rFonts w:ascii="Times New Roman" w:hAnsi="Times New Roman" w:cs="Times New Roman"/>
          <w:color w:val="000000" w:themeColor="text1"/>
        </w:rPr>
      </w:pPr>
    </w:p>
    <w:p w14:paraId="3B2B980D" w14:textId="77777777" w:rsidR="00D93353" w:rsidRPr="00AF0CC3" w:rsidRDefault="00D93353" w:rsidP="00D93353">
      <w:pPr>
        <w:spacing w:before="240" w:line="360" w:lineRule="auto"/>
        <w:rPr>
          <w:rFonts w:ascii="Times New Roman" w:hAnsi="Times New Roman" w:cs="Times New Roman"/>
          <w:color w:val="000000" w:themeColor="text1"/>
        </w:rPr>
      </w:pPr>
      <w:r w:rsidRPr="00AF0CC3">
        <w:rPr>
          <w:rFonts w:ascii="Times New Roman" w:hAnsi="Times New Roman" w:cs="Times New Roman"/>
          <w:color w:val="000000" w:themeColor="text1"/>
        </w:rPr>
        <w:t>The Governance Quality Index developed in this study may provide a useful foundation for monitoring institutional governance. Adaptation of the framework for routine project monitoring could enable infrastructure agencies to track governance performance systematically and identify areas requiring intervention.</w:t>
      </w:r>
    </w:p>
    <w:p w14:paraId="12750577" w14:textId="77777777" w:rsidR="00D93353" w:rsidRPr="00AF0CC3" w:rsidRDefault="00D93353" w:rsidP="00D93353">
      <w:pPr>
        <w:spacing w:before="240" w:line="360" w:lineRule="auto"/>
        <w:rPr>
          <w:rFonts w:ascii="Times New Roman" w:hAnsi="Times New Roman" w:cs="Times New Roman"/>
          <w:color w:val="000000" w:themeColor="text1"/>
        </w:rPr>
      </w:pPr>
    </w:p>
    <w:p w14:paraId="2E5F586F" w14:textId="77777777" w:rsidR="00D93353" w:rsidRPr="00AF0CC3" w:rsidRDefault="00D93353" w:rsidP="00D93353">
      <w:pPr>
        <w:spacing w:before="240" w:line="360" w:lineRule="auto"/>
        <w:rPr>
          <w:rFonts w:ascii="Times New Roman" w:hAnsi="Times New Roman" w:cs="Times New Roman"/>
          <w:color w:val="000000" w:themeColor="text1"/>
        </w:rPr>
      </w:pPr>
      <w:r w:rsidRPr="00AF0CC3">
        <w:rPr>
          <w:rFonts w:ascii="Times New Roman" w:hAnsi="Times New Roman" w:cs="Times New Roman"/>
          <w:color w:val="000000" w:themeColor="text1"/>
        </w:rPr>
        <w:t>Monitoring systems should also incorporate climate resilience and implementation continuity indicators to support assessment of institutional preparedness under conditions of environmental uncertainty and political transition. Strengthening governance monitoring in this manner may improve both accountability and implementation performance across the infrastructure sector.</w:t>
      </w:r>
    </w:p>
    <w:p w14:paraId="1AD068A0" w14:textId="77777777" w:rsidR="00D93353" w:rsidRPr="00AF0CC3" w:rsidRDefault="00D93353" w:rsidP="00D93353">
      <w:pPr>
        <w:spacing w:before="240" w:line="360" w:lineRule="auto"/>
        <w:rPr>
          <w:rFonts w:ascii="Times New Roman" w:hAnsi="Times New Roman" w:cs="Times New Roman"/>
          <w:color w:val="000000" w:themeColor="text1"/>
        </w:rPr>
      </w:pPr>
      <w:r w:rsidRPr="00AF0CC3">
        <w:rPr>
          <w:rFonts w:ascii="Times New Roman" w:hAnsi="Times New Roman" w:cs="Times New Roman"/>
          <w:color w:val="000000" w:themeColor="text1"/>
        </w:rPr>
        <w:t>To translate the study's findings into practical action, Table 5.1 presents an Integrated Governance Reform and Implementation Framework. The framework synthesizes the principal policy, institutional, project-level, and governance monitoring recommendations into a structured implementation roadmap. It identifies priority reform areas, key implementation actions, responsible institutions, and suggested implementation timeframes to facilitate progressive strengthening of governance within the practical constraints commonly encountered in Kenya and comparable developing-country contexts.</w:t>
      </w:r>
    </w:p>
    <w:p w14:paraId="484A94D8" w14:textId="77777777" w:rsidR="00D93353" w:rsidRPr="00AF0CC3" w:rsidRDefault="00D93353" w:rsidP="00D93353">
      <w:pPr>
        <w:spacing w:before="240" w:line="360" w:lineRule="auto"/>
        <w:rPr>
          <w:rFonts w:ascii="Times New Roman" w:hAnsi="Times New Roman" w:cs="Times New Roman"/>
          <w:color w:val="000000" w:themeColor="text1"/>
        </w:rPr>
      </w:pPr>
      <w:r w:rsidRPr="00AF0CC3">
        <w:rPr>
          <w:rFonts w:ascii="Times New Roman" w:hAnsi="Times New Roman" w:cs="Times New Roman"/>
          <w:color w:val="000000" w:themeColor="text1"/>
        </w:rPr>
        <w:t xml:space="preserve">The framework was developed from the empirical findings of this study and refined through discussions with governance and public financial management practitioners in Kenya. The recommendations emphasize reforms that can largely be achieved through strengthened institutional systems, oversight, coordination, and accountability mechanisms rather than substantial additional financial investment. Recognizing the realities of decentralized governance, political interference, competing institutional interests, resource constraints, and governance capacity limitations, the framework adopts a phased implementation approach that prioritizes reforms according to feasibility, institutional readiness, and potential impact. While </w:t>
      </w:r>
      <w:r w:rsidRPr="00AF0CC3">
        <w:rPr>
          <w:rFonts w:ascii="Times New Roman" w:hAnsi="Times New Roman" w:cs="Times New Roman"/>
          <w:color w:val="000000" w:themeColor="text1"/>
        </w:rPr>
        <w:lastRenderedPageBreak/>
        <w:t>developed within Kenya's water infrastructure sector, the framework also provides an adaptable governance reform model for infrastructure systems operating in comparable low- and middle-income country contexts.</w:t>
      </w:r>
    </w:p>
    <w:p w14:paraId="280598DF" w14:textId="7F780D1F" w:rsidR="007F4206" w:rsidRPr="00AF0CC3" w:rsidRDefault="007F4206" w:rsidP="007F4206">
      <w:pPr>
        <w:pStyle w:val="Caption"/>
        <w:keepNext/>
        <w:rPr>
          <w:rFonts w:ascii="Times New Roman" w:hAnsi="Times New Roman" w:cs="Times New Roman"/>
          <w:sz w:val="24"/>
          <w:szCs w:val="24"/>
        </w:rPr>
      </w:pPr>
      <w:bookmarkStart w:id="599" w:name="_Toc234437379"/>
      <w:r w:rsidRPr="00AF0CC3">
        <w:rPr>
          <w:rFonts w:ascii="Times New Roman" w:hAnsi="Times New Roman" w:cs="Times New Roman"/>
          <w:sz w:val="24"/>
          <w:szCs w:val="24"/>
        </w:rPr>
        <w:t xml:space="preserve">Table </w:t>
      </w:r>
      <w:r w:rsidRPr="00AF0CC3">
        <w:rPr>
          <w:rFonts w:ascii="Times New Roman" w:hAnsi="Times New Roman" w:cs="Times New Roman"/>
          <w:sz w:val="24"/>
          <w:szCs w:val="24"/>
        </w:rPr>
        <w:fldChar w:fldCharType="begin"/>
      </w:r>
      <w:r w:rsidRPr="00AF0CC3">
        <w:rPr>
          <w:rFonts w:ascii="Times New Roman" w:hAnsi="Times New Roman" w:cs="Times New Roman"/>
          <w:sz w:val="24"/>
          <w:szCs w:val="24"/>
        </w:rPr>
        <w:instrText xml:space="preserve"> STYLEREF 1 \s </w:instrText>
      </w:r>
      <w:r w:rsidRPr="00AF0CC3">
        <w:rPr>
          <w:rFonts w:ascii="Times New Roman" w:hAnsi="Times New Roman" w:cs="Times New Roman"/>
          <w:sz w:val="24"/>
          <w:szCs w:val="24"/>
        </w:rPr>
        <w:fldChar w:fldCharType="separate"/>
      </w:r>
      <w:r w:rsidRPr="00AF0CC3">
        <w:rPr>
          <w:rFonts w:ascii="Times New Roman" w:hAnsi="Times New Roman" w:cs="Times New Roman"/>
          <w:noProof/>
          <w:sz w:val="24"/>
          <w:szCs w:val="24"/>
        </w:rPr>
        <w:t>5</w:t>
      </w:r>
      <w:r w:rsidRPr="00AF0CC3">
        <w:rPr>
          <w:rFonts w:ascii="Times New Roman" w:hAnsi="Times New Roman" w:cs="Times New Roman"/>
          <w:noProof/>
          <w:sz w:val="24"/>
          <w:szCs w:val="24"/>
        </w:rPr>
        <w:fldChar w:fldCharType="end"/>
      </w:r>
      <w:r w:rsidRPr="00AF0CC3">
        <w:rPr>
          <w:rFonts w:ascii="Times New Roman" w:hAnsi="Times New Roman" w:cs="Times New Roman"/>
          <w:sz w:val="24"/>
          <w:szCs w:val="24"/>
        </w:rPr>
        <w:noBreakHyphen/>
      </w:r>
      <w:r w:rsidRPr="00AF0CC3">
        <w:rPr>
          <w:rFonts w:ascii="Times New Roman" w:hAnsi="Times New Roman" w:cs="Times New Roman"/>
          <w:sz w:val="24"/>
          <w:szCs w:val="24"/>
        </w:rPr>
        <w:fldChar w:fldCharType="begin"/>
      </w:r>
      <w:r w:rsidRPr="00AF0CC3">
        <w:rPr>
          <w:rFonts w:ascii="Times New Roman" w:hAnsi="Times New Roman" w:cs="Times New Roman"/>
          <w:sz w:val="24"/>
          <w:szCs w:val="24"/>
        </w:rPr>
        <w:instrText xml:space="preserve"> SEQ Table \* ARABIC \s 1 </w:instrText>
      </w:r>
      <w:r w:rsidRPr="00AF0CC3">
        <w:rPr>
          <w:rFonts w:ascii="Times New Roman" w:hAnsi="Times New Roman" w:cs="Times New Roman"/>
          <w:sz w:val="24"/>
          <w:szCs w:val="24"/>
        </w:rPr>
        <w:fldChar w:fldCharType="separate"/>
      </w:r>
      <w:r w:rsidRPr="00AF0CC3">
        <w:rPr>
          <w:rFonts w:ascii="Times New Roman" w:hAnsi="Times New Roman" w:cs="Times New Roman"/>
          <w:noProof/>
          <w:sz w:val="24"/>
          <w:szCs w:val="24"/>
        </w:rPr>
        <w:t>1</w:t>
      </w:r>
      <w:r w:rsidRPr="00AF0CC3">
        <w:rPr>
          <w:rFonts w:ascii="Times New Roman" w:hAnsi="Times New Roman" w:cs="Times New Roman"/>
          <w:noProof/>
          <w:sz w:val="24"/>
          <w:szCs w:val="24"/>
        </w:rPr>
        <w:fldChar w:fldCharType="end"/>
      </w:r>
      <w:r w:rsidRPr="00AF0CC3">
        <w:rPr>
          <w:rFonts w:ascii="Times New Roman" w:hAnsi="Times New Roman" w:cs="Times New Roman"/>
          <w:sz w:val="24"/>
          <w:szCs w:val="24"/>
        </w:rPr>
        <w:t xml:space="preserve"> Integrated Governance Reform and Implementation Framework</w:t>
      </w:r>
      <w:bookmarkEnd w:id="599"/>
    </w:p>
    <w:tbl>
      <w:tblPr>
        <w:tblW w:w="0" w:type="auto"/>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1605"/>
        <w:gridCol w:w="1592"/>
        <w:gridCol w:w="1811"/>
        <w:gridCol w:w="1439"/>
        <w:gridCol w:w="1249"/>
        <w:gridCol w:w="1654"/>
      </w:tblGrid>
      <w:tr w:rsidR="00D93353" w:rsidRPr="00AF0CC3" w14:paraId="0AAEA96F" w14:textId="77777777" w:rsidTr="00E73C98">
        <w:trPr>
          <w:tblHeader/>
          <w:tblCellSpacing w:w="15" w:type="dxa"/>
        </w:trPr>
        <w:tc>
          <w:tcPr>
            <w:tcW w:w="0" w:type="auto"/>
            <w:vAlign w:val="center"/>
            <w:hideMark/>
          </w:tcPr>
          <w:p w14:paraId="71B61131" w14:textId="77777777" w:rsidR="00D93353" w:rsidRPr="00AF0CC3" w:rsidRDefault="00D93353" w:rsidP="00E73C98">
            <w:pPr>
              <w:spacing w:after="0" w:line="360" w:lineRule="auto"/>
              <w:jc w:val="center"/>
              <w:rPr>
                <w:rFonts w:ascii="Times New Roman" w:eastAsia="Times New Roman" w:hAnsi="Times New Roman" w:cs="Times New Roman"/>
                <w:b/>
                <w:bCs/>
                <w:color w:val="000000" w:themeColor="text1"/>
                <w:kern w:val="0"/>
                <w14:ligatures w14:val="none"/>
              </w:rPr>
            </w:pPr>
            <w:r w:rsidRPr="00AF0CC3">
              <w:rPr>
                <w:rFonts w:ascii="Times New Roman" w:eastAsia="Times New Roman" w:hAnsi="Times New Roman" w:cs="Times New Roman"/>
                <w:b/>
                <w:bCs/>
                <w:color w:val="000000" w:themeColor="text1"/>
                <w:kern w:val="0"/>
                <w14:ligatures w14:val="none"/>
              </w:rPr>
              <w:t>Priority Phase</w:t>
            </w:r>
          </w:p>
        </w:tc>
        <w:tc>
          <w:tcPr>
            <w:tcW w:w="0" w:type="auto"/>
            <w:vAlign w:val="center"/>
            <w:hideMark/>
          </w:tcPr>
          <w:p w14:paraId="70BE7C4F" w14:textId="77777777" w:rsidR="00D93353" w:rsidRPr="00AF0CC3" w:rsidRDefault="00D93353" w:rsidP="00E73C98">
            <w:pPr>
              <w:spacing w:after="0" w:line="360" w:lineRule="auto"/>
              <w:jc w:val="center"/>
              <w:rPr>
                <w:rFonts w:ascii="Times New Roman" w:eastAsia="Times New Roman" w:hAnsi="Times New Roman" w:cs="Times New Roman"/>
                <w:b/>
                <w:bCs/>
                <w:color w:val="000000" w:themeColor="text1"/>
                <w:kern w:val="0"/>
                <w14:ligatures w14:val="none"/>
              </w:rPr>
            </w:pPr>
            <w:r w:rsidRPr="00AF0CC3">
              <w:rPr>
                <w:rFonts w:ascii="Times New Roman" w:eastAsia="Times New Roman" w:hAnsi="Times New Roman" w:cs="Times New Roman"/>
                <w:b/>
                <w:bCs/>
                <w:color w:val="000000" w:themeColor="text1"/>
                <w:kern w:val="0"/>
                <w14:ligatures w14:val="none"/>
              </w:rPr>
              <w:t>Governance Reform Area</w:t>
            </w:r>
          </w:p>
        </w:tc>
        <w:tc>
          <w:tcPr>
            <w:tcW w:w="0" w:type="auto"/>
            <w:vAlign w:val="center"/>
            <w:hideMark/>
          </w:tcPr>
          <w:p w14:paraId="56B3D81C" w14:textId="77777777" w:rsidR="00D93353" w:rsidRPr="00AF0CC3" w:rsidRDefault="00D93353" w:rsidP="00E73C98">
            <w:pPr>
              <w:spacing w:after="0" w:line="360" w:lineRule="auto"/>
              <w:jc w:val="center"/>
              <w:rPr>
                <w:rFonts w:ascii="Times New Roman" w:eastAsia="Times New Roman" w:hAnsi="Times New Roman" w:cs="Times New Roman"/>
                <w:b/>
                <w:bCs/>
                <w:color w:val="000000" w:themeColor="text1"/>
                <w:kern w:val="0"/>
                <w14:ligatures w14:val="none"/>
              </w:rPr>
            </w:pPr>
            <w:r w:rsidRPr="00AF0CC3">
              <w:rPr>
                <w:rFonts w:ascii="Times New Roman" w:eastAsia="Times New Roman" w:hAnsi="Times New Roman" w:cs="Times New Roman"/>
                <w:b/>
                <w:bCs/>
                <w:color w:val="000000" w:themeColor="text1"/>
                <w:kern w:val="0"/>
                <w14:ligatures w14:val="none"/>
              </w:rPr>
              <w:t>Key Implementation Actions</w:t>
            </w:r>
          </w:p>
        </w:tc>
        <w:tc>
          <w:tcPr>
            <w:tcW w:w="0" w:type="auto"/>
            <w:vAlign w:val="center"/>
            <w:hideMark/>
          </w:tcPr>
          <w:p w14:paraId="4C769C4A" w14:textId="77777777" w:rsidR="00D93353" w:rsidRPr="00AF0CC3" w:rsidRDefault="00D93353" w:rsidP="00E73C98">
            <w:pPr>
              <w:spacing w:after="0" w:line="360" w:lineRule="auto"/>
              <w:jc w:val="center"/>
              <w:rPr>
                <w:rFonts w:ascii="Times New Roman" w:eastAsia="Times New Roman" w:hAnsi="Times New Roman" w:cs="Times New Roman"/>
                <w:b/>
                <w:bCs/>
                <w:color w:val="000000" w:themeColor="text1"/>
                <w:kern w:val="0"/>
                <w14:ligatures w14:val="none"/>
              </w:rPr>
            </w:pPr>
            <w:r w:rsidRPr="00AF0CC3">
              <w:rPr>
                <w:rFonts w:ascii="Times New Roman" w:eastAsia="Times New Roman" w:hAnsi="Times New Roman" w:cs="Times New Roman"/>
                <w:b/>
                <w:bCs/>
                <w:color w:val="000000" w:themeColor="text1"/>
                <w:kern w:val="0"/>
                <w14:ligatures w14:val="none"/>
              </w:rPr>
              <w:t>Lead Institutions</w:t>
            </w:r>
          </w:p>
        </w:tc>
        <w:tc>
          <w:tcPr>
            <w:tcW w:w="0" w:type="auto"/>
            <w:vAlign w:val="center"/>
            <w:hideMark/>
          </w:tcPr>
          <w:p w14:paraId="7D568EDB" w14:textId="77777777" w:rsidR="00D93353" w:rsidRPr="00AF0CC3" w:rsidRDefault="00D93353" w:rsidP="00E73C98">
            <w:pPr>
              <w:spacing w:after="0" w:line="360" w:lineRule="auto"/>
              <w:jc w:val="center"/>
              <w:rPr>
                <w:rFonts w:ascii="Times New Roman" w:eastAsia="Times New Roman" w:hAnsi="Times New Roman" w:cs="Times New Roman"/>
                <w:b/>
                <w:bCs/>
                <w:color w:val="000000" w:themeColor="text1"/>
                <w:kern w:val="0"/>
                <w14:ligatures w14:val="none"/>
              </w:rPr>
            </w:pPr>
            <w:r w:rsidRPr="00AF0CC3">
              <w:rPr>
                <w:rFonts w:ascii="Times New Roman" w:eastAsia="Times New Roman" w:hAnsi="Times New Roman" w:cs="Times New Roman"/>
                <w:b/>
                <w:bCs/>
                <w:color w:val="000000" w:themeColor="text1"/>
                <w:kern w:val="0"/>
                <w14:ligatures w14:val="none"/>
              </w:rPr>
              <w:t>Suggested Timeframe</w:t>
            </w:r>
          </w:p>
        </w:tc>
        <w:tc>
          <w:tcPr>
            <w:tcW w:w="0" w:type="auto"/>
            <w:vAlign w:val="center"/>
            <w:hideMark/>
          </w:tcPr>
          <w:p w14:paraId="7CB36ECD" w14:textId="77777777" w:rsidR="00D93353" w:rsidRPr="00AF0CC3" w:rsidRDefault="00D93353" w:rsidP="00E73C98">
            <w:pPr>
              <w:spacing w:after="0" w:line="360" w:lineRule="auto"/>
              <w:jc w:val="center"/>
              <w:rPr>
                <w:rFonts w:ascii="Times New Roman" w:eastAsia="Times New Roman" w:hAnsi="Times New Roman" w:cs="Times New Roman"/>
                <w:b/>
                <w:bCs/>
                <w:color w:val="000000" w:themeColor="text1"/>
                <w:kern w:val="0"/>
                <w14:ligatures w14:val="none"/>
              </w:rPr>
            </w:pPr>
            <w:r w:rsidRPr="00AF0CC3">
              <w:rPr>
                <w:rFonts w:ascii="Times New Roman" w:eastAsia="Times New Roman" w:hAnsi="Times New Roman" w:cs="Times New Roman"/>
                <w:b/>
                <w:bCs/>
                <w:color w:val="000000" w:themeColor="text1"/>
                <w:kern w:val="0"/>
                <w14:ligatures w14:val="none"/>
              </w:rPr>
              <w:t>Expected Governance Outcome</w:t>
            </w:r>
          </w:p>
        </w:tc>
      </w:tr>
      <w:tr w:rsidR="00D93353" w:rsidRPr="00AF0CC3" w14:paraId="22775C23" w14:textId="77777777" w:rsidTr="00E73C98">
        <w:trPr>
          <w:tblCellSpacing w:w="15" w:type="dxa"/>
        </w:trPr>
        <w:tc>
          <w:tcPr>
            <w:tcW w:w="0" w:type="auto"/>
            <w:vAlign w:val="center"/>
            <w:hideMark/>
          </w:tcPr>
          <w:p w14:paraId="69A6BDA5" w14:textId="77777777" w:rsidR="00D93353" w:rsidRPr="00AF0CC3" w:rsidRDefault="00D93353" w:rsidP="00E73C98">
            <w:pPr>
              <w:spacing w:after="0" w:line="360" w:lineRule="auto"/>
              <w:rPr>
                <w:rFonts w:ascii="Times New Roman" w:eastAsia="Times New Roman" w:hAnsi="Times New Roman" w:cs="Times New Roman"/>
                <w:color w:val="000000" w:themeColor="text1"/>
                <w:kern w:val="0"/>
                <w14:ligatures w14:val="none"/>
              </w:rPr>
            </w:pPr>
            <w:r w:rsidRPr="00AF0CC3">
              <w:rPr>
                <w:rFonts w:ascii="Times New Roman" w:eastAsia="Times New Roman" w:hAnsi="Times New Roman" w:cs="Times New Roman"/>
                <w:b/>
                <w:bCs/>
                <w:color w:val="000000" w:themeColor="text1"/>
                <w:kern w:val="0"/>
                <w14:ligatures w14:val="none"/>
              </w:rPr>
              <w:t>Phase I (Immediate)</w:t>
            </w:r>
          </w:p>
        </w:tc>
        <w:tc>
          <w:tcPr>
            <w:tcW w:w="0" w:type="auto"/>
            <w:vAlign w:val="center"/>
            <w:hideMark/>
          </w:tcPr>
          <w:p w14:paraId="3CC6573B" w14:textId="77777777" w:rsidR="00D93353" w:rsidRPr="00AF0CC3" w:rsidRDefault="00D93353" w:rsidP="00E73C98">
            <w:pPr>
              <w:spacing w:after="0" w:line="360" w:lineRule="auto"/>
              <w:rPr>
                <w:rFonts w:ascii="Times New Roman" w:eastAsia="Times New Roman" w:hAnsi="Times New Roman" w:cs="Times New Roman"/>
                <w:color w:val="000000" w:themeColor="text1"/>
                <w:kern w:val="0"/>
                <w14:ligatures w14:val="none"/>
              </w:rPr>
            </w:pPr>
            <w:r w:rsidRPr="00AF0CC3">
              <w:rPr>
                <w:rFonts w:ascii="Times New Roman" w:eastAsia="Times New Roman" w:hAnsi="Times New Roman" w:cs="Times New Roman"/>
                <w:color w:val="000000" w:themeColor="text1"/>
                <w:kern w:val="0"/>
                <w14:ligatures w14:val="none"/>
              </w:rPr>
              <w:t>Documentation &amp; Transparency</w:t>
            </w:r>
          </w:p>
        </w:tc>
        <w:tc>
          <w:tcPr>
            <w:tcW w:w="0" w:type="auto"/>
            <w:vAlign w:val="center"/>
            <w:hideMark/>
          </w:tcPr>
          <w:p w14:paraId="200D48AE" w14:textId="77777777" w:rsidR="00D93353" w:rsidRPr="00AF0CC3" w:rsidRDefault="00D93353" w:rsidP="00E73C98">
            <w:pPr>
              <w:spacing w:after="0" w:line="360" w:lineRule="auto"/>
              <w:rPr>
                <w:rFonts w:ascii="Times New Roman" w:eastAsia="Times New Roman" w:hAnsi="Times New Roman" w:cs="Times New Roman"/>
                <w:color w:val="000000" w:themeColor="text1"/>
                <w:kern w:val="0"/>
                <w14:ligatures w14:val="none"/>
              </w:rPr>
            </w:pPr>
            <w:r w:rsidRPr="00AF0CC3">
              <w:rPr>
                <w:rFonts w:ascii="Times New Roman" w:eastAsia="Times New Roman" w:hAnsi="Times New Roman" w:cs="Times New Roman"/>
                <w:color w:val="000000" w:themeColor="text1"/>
                <w:kern w:val="0"/>
                <w14:ligatures w14:val="none"/>
              </w:rPr>
              <w:t>Strengthen record management, disclosure, and digital archiving</w:t>
            </w:r>
          </w:p>
        </w:tc>
        <w:tc>
          <w:tcPr>
            <w:tcW w:w="0" w:type="auto"/>
            <w:vAlign w:val="center"/>
            <w:hideMark/>
          </w:tcPr>
          <w:p w14:paraId="38A9F14F" w14:textId="77777777" w:rsidR="00D93353" w:rsidRPr="00AF0CC3" w:rsidRDefault="00D93353" w:rsidP="00E73C98">
            <w:pPr>
              <w:spacing w:after="0" w:line="360" w:lineRule="auto"/>
              <w:rPr>
                <w:rFonts w:ascii="Times New Roman" w:eastAsia="Times New Roman" w:hAnsi="Times New Roman" w:cs="Times New Roman"/>
                <w:color w:val="000000" w:themeColor="text1"/>
                <w:kern w:val="0"/>
                <w14:ligatures w14:val="none"/>
              </w:rPr>
            </w:pPr>
            <w:r w:rsidRPr="00AF0CC3">
              <w:rPr>
                <w:rFonts w:ascii="Times New Roman" w:eastAsia="Times New Roman" w:hAnsi="Times New Roman" w:cs="Times New Roman"/>
                <w:color w:val="000000" w:themeColor="text1"/>
                <w:kern w:val="0"/>
                <w14:ligatures w14:val="none"/>
              </w:rPr>
              <w:t>Ministry of Water, County Governments</w:t>
            </w:r>
          </w:p>
        </w:tc>
        <w:tc>
          <w:tcPr>
            <w:tcW w:w="0" w:type="auto"/>
            <w:vAlign w:val="center"/>
            <w:hideMark/>
          </w:tcPr>
          <w:p w14:paraId="6A9B4315" w14:textId="77777777" w:rsidR="00D93353" w:rsidRPr="00AF0CC3" w:rsidRDefault="00D93353" w:rsidP="00E73C98">
            <w:pPr>
              <w:spacing w:after="0" w:line="360" w:lineRule="auto"/>
              <w:rPr>
                <w:rFonts w:ascii="Times New Roman" w:eastAsia="Times New Roman" w:hAnsi="Times New Roman" w:cs="Times New Roman"/>
                <w:color w:val="000000" w:themeColor="text1"/>
                <w:kern w:val="0"/>
                <w14:ligatures w14:val="none"/>
              </w:rPr>
            </w:pPr>
            <w:r w:rsidRPr="00AF0CC3">
              <w:rPr>
                <w:rFonts w:ascii="Times New Roman" w:eastAsia="Times New Roman" w:hAnsi="Times New Roman" w:cs="Times New Roman"/>
                <w:color w:val="000000" w:themeColor="text1"/>
                <w:kern w:val="0"/>
                <w14:ligatures w14:val="none"/>
              </w:rPr>
              <w:t>0–2 years</w:t>
            </w:r>
          </w:p>
        </w:tc>
        <w:tc>
          <w:tcPr>
            <w:tcW w:w="0" w:type="auto"/>
            <w:vAlign w:val="center"/>
            <w:hideMark/>
          </w:tcPr>
          <w:p w14:paraId="61695F3C" w14:textId="77777777" w:rsidR="00D93353" w:rsidRPr="00AF0CC3" w:rsidRDefault="00D93353" w:rsidP="00E73C98">
            <w:pPr>
              <w:spacing w:after="0" w:line="360" w:lineRule="auto"/>
              <w:rPr>
                <w:rFonts w:ascii="Times New Roman" w:eastAsia="Times New Roman" w:hAnsi="Times New Roman" w:cs="Times New Roman"/>
                <w:color w:val="000000" w:themeColor="text1"/>
                <w:kern w:val="0"/>
                <w14:ligatures w14:val="none"/>
              </w:rPr>
            </w:pPr>
            <w:r w:rsidRPr="00AF0CC3">
              <w:rPr>
                <w:rFonts w:ascii="Times New Roman" w:eastAsia="Times New Roman" w:hAnsi="Times New Roman" w:cs="Times New Roman"/>
                <w:color w:val="000000" w:themeColor="text1"/>
                <w:kern w:val="0"/>
                <w14:ligatures w14:val="none"/>
              </w:rPr>
              <w:t>Improved accountability and oversight</w:t>
            </w:r>
          </w:p>
        </w:tc>
      </w:tr>
      <w:tr w:rsidR="00D93353" w:rsidRPr="00AF0CC3" w14:paraId="4C6C6C3D" w14:textId="77777777" w:rsidTr="00E73C98">
        <w:trPr>
          <w:tblCellSpacing w:w="15" w:type="dxa"/>
        </w:trPr>
        <w:tc>
          <w:tcPr>
            <w:tcW w:w="0" w:type="auto"/>
            <w:vAlign w:val="center"/>
            <w:hideMark/>
          </w:tcPr>
          <w:p w14:paraId="58166E4D" w14:textId="77777777" w:rsidR="00D93353" w:rsidRPr="00AF0CC3" w:rsidRDefault="00D93353" w:rsidP="00E73C98">
            <w:pPr>
              <w:spacing w:after="0" w:line="360" w:lineRule="auto"/>
              <w:rPr>
                <w:rFonts w:ascii="Times New Roman" w:eastAsia="Times New Roman" w:hAnsi="Times New Roman" w:cs="Times New Roman"/>
                <w:color w:val="000000" w:themeColor="text1"/>
                <w:kern w:val="0"/>
                <w14:ligatures w14:val="none"/>
              </w:rPr>
            </w:pPr>
          </w:p>
        </w:tc>
        <w:tc>
          <w:tcPr>
            <w:tcW w:w="0" w:type="auto"/>
            <w:vAlign w:val="center"/>
            <w:hideMark/>
          </w:tcPr>
          <w:p w14:paraId="6F9253AA" w14:textId="77777777" w:rsidR="00D93353" w:rsidRPr="00AF0CC3" w:rsidRDefault="00D93353" w:rsidP="00E73C98">
            <w:pPr>
              <w:spacing w:after="0" w:line="360" w:lineRule="auto"/>
              <w:rPr>
                <w:rFonts w:ascii="Times New Roman" w:eastAsia="Times New Roman" w:hAnsi="Times New Roman" w:cs="Times New Roman"/>
                <w:color w:val="000000" w:themeColor="text1"/>
                <w:kern w:val="0"/>
                <w14:ligatures w14:val="none"/>
              </w:rPr>
            </w:pPr>
            <w:r w:rsidRPr="00AF0CC3">
              <w:rPr>
                <w:rFonts w:ascii="Times New Roman" w:eastAsia="Times New Roman" w:hAnsi="Times New Roman" w:cs="Times New Roman"/>
                <w:color w:val="000000" w:themeColor="text1"/>
                <w:kern w:val="0"/>
                <w14:ligatures w14:val="none"/>
              </w:rPr>
              <w:t>Payment Reliability</w:t>
            </w:r>
          </w:p>
        </w:tc>
        <w:tc>
          <w:tcPr>
            <w:tcW w:w="0" w:type="auto"/>
            <w:vAlign w:val="center"/>
            <w:hideMark/>
          </w:tcPr>
          <w:p w14:paraId="5BA09CD6" w14:textId="77777777" w:rsidR="00D93353" w:rsidRPr="00AF0CC3" w:rsidRDefault="00D93353" w:rsidP="00E73C98">
            <w:pPr>
              <w:spacing w:after="0" w:line="360" w:lineRule="auto"/>
              <w:rPr>
                <w:rFonts w:ascii="Times New Roman" w:eastAsia="Times New Roman" w:hAnsi="Times New Roman" w:cs="Times New Roman"/>
                <w:color w:val="000000" w:themeColor="text1"/>
                <w:kern w:val="0"/>
                <w14:ligatures w14:val="none"/>
              </w:rPr>
            </w:pPr>
            <w:r w:rsidRPr="00AF0CC3">
              <w:rPr>
                <w:rFonts w:ascii="Times New Roman" w:eastAsia="Times New Roman" w:hAnsi="Times New Roman" w:cs="Times New Roman"/>
                <w:color w:val="000000" w:themeColor="text1"/>
                <w:kern w:val="0"/>
                <w14:ligatures w14:val="none"/>
              </w:rPr>
              <w:t>Standardize payment processes, strengthen financial controls</w:t>
            </w:r>
          </w:p>
        </w:tc>
        <w:tc>
          <w:tcPr>
            <w:tcW w:w="0" w:type="auto"/>
            <w:vAlign w:val="center"/>
            <w:hideMark/>
          </w:tcPr>
          <w:p w14:paraId="3BADB627" w14:textId="77777777" w:rsidR="00D93353" w:rsidRPr="00AF0CC3" w:rsidRDefault="00D93353" w:rsidP="00E73C98">
            <w:pPr>
              <w:spacing w:after="0" w:line="360" w:lineRule="auto"/>
              <w:rPr>
                <w:rFonts w:ascii="Times New Roman" w:eastAsia="Times New Roman" w:hAnsi="Times New Roman" w:cs="Times New Roman"/>
                <w:color w:val="000000" w:themeColor="text1"/>
                <w:kern w:val="0"/>
                <w14:ligatures w14:val="none"/>
              </w:rPr>
            </w:pPr>
            <w:r w:rsidRPr="00AF0CC3">
              <w:rPr>
                <w:rFonts w:ascii="Times New Roman" w:eastAsia="Times New Roman" w:hAnsi="Times New Roman" w:cs="Times New Roman"/>
                <w:color w:val="000000" w:themeColor="text1"/>
                <w:kern w:val="0"/>
                <w14:ligatures w14:val="none"/>
              </w:rPr>
              <w:t>National Treasury</w:t>
            </w:r>
          </w:p>
        </w:tc>
        <w:tc>
          <w:tcPr>
            <w:tcW w:w="0" w:type="auto"/>
            <w:vAlign w:val="center"/>
            <w:hideMark/>
          </w:tcPr>
          <w:p w14:paraId="1231CC0A" w14:textId="77777777" w:rsidR="00D93353" w:rsidRPr="00AF0CC3" w:rsidRDefault="00D93353" w:rsidP="00E73C98">
            <w:pPr>
              <w:spacing w:after="0" w:line="360" w:lineRule="auto"/>
              <w:rPr>
                <w:rFonts w:ascii="Times New Roman" w:eastAsia="Times New Roman" w:hAnsi="Times New Roman" w:cs="Times New Roman"/>
                <w:color w:val="000000" w:themeColor="text1"/>
                <w:kern w:val="0"/>
                <w14:ligatures w14:val="none"/>
              </w:rPr>
            </w:pPr>
            <w:r w:rsidRPr="00AF0CC3">
              <w:rPr>
                <w:rFonts w:ascii="Times New Roman" w:eastAsia="Times New Roman" w:hAnsi="Times New Roman" w:cs="Times New Roman"/>
                <w:color w:val="000000" w:themeColor="text1"/>
                <w:kern w:val="0"/>
                <w14:ligatures w14:val="none"/>
              </w:rPr>
              <w:t>0–2 years</w:t>
            </w:r>
          </w:p>
        </w:tc>
        <w:tc>
          <w:tcPr>
            <w:tcW w:w="0" w:type="auto"/>
            <w:vAlign w:val="center"/>
            <w:hideMark/>
          </w:tcPr>
          <w:p w14:paraId="1B6D5541" w14:textId="77777777" w:rsidR="00D93353" w:rsidRPr="00AF0CC3" w:rsidRDefault="00D93353" w:rsidP="00E73C98">
            <w:pPr>
              <w:spacing w:after="0" w:line="360" w:lineRule="auto"/>
              <w:rPr>
                <w:rFonts w:ascii="Times New Roman" w:eastAsia="Times New Roman" w:hAnsi="Times New Roman" w:cs="Times New Roman"/>
                <w:color w:val="000000" w:themeColor="text1"/>
                <w:kern w:val="0"/>
                <w14:ligatures w14:val="none"/>
              </w:rPr>
            </w:pPr>
            <w:r w:rsidRPr="00AF0CC3">
              <w:rPr>
                <w:rFonts w:ascii="Times New Roman" w:eastAsia="Times New Roman" w:hAnsi="Times New Roman" w:cs="Times New Roman"/>
                <w:color w:val="000000" w:themeColor="text1"/>
                <w:kern w:val="0"/>
                <w14:ligatures w14:val="none"/>
              </w:rPr>
              <w:t>Reduced implementation disruptions</w:t>
            </w:r>
          </w:p>
        </w:tc>
      </w:tr>
      <w:tr w:rsidR="00D93353" w:rsidRPr="00AF0CC3" w14:paraId="28486F32" w14:textId="77777777" w:rsidTr="00E73C98">
        <w:trPr>
          <w:tblCellSpacing w:w="15" w:type="dxa"/>
        </w:trPr>
        <w:tc>
          <w:tcPr>
            <w:tcW w:w="0" w:type="auto"/>
            <w:vAlign w:val="center"/>
            <w:hideMark/>
          </w:tcPr>
          <w:p w14:paraId="768140E4" w14:textId="77777777" w:rsidR="00D93353" w:rsidRPr="00AF0CC3" w:rsidRDefault="00D93353" w:rsidP="00E73C98">
            <w:pPr>
              <w:spacing w:after="0" w:line="360" w:lineRule="auto"/>
              <w:rPr>
                <w:rFonts w:ascii="Times New Roman" w:eastAsia="Times New Roman" w:hAnsi="Times New Roman" w:cs="Times New Roman"/>
                <w:color w:val="000000" w:themeColor="text1"/>
                <w:kern w:val="0"/>
                <w14:ligatures w14:val="none"/>
              </w:rPr>
            </w:pPr>
          </w:p>
        </w:tc>
        <w:tc>
          <w:tcPr>
            <w:tcW w:w="0" w:type="auto"/>
            <w:vAlign w:val="center"/>
            <w:hideMark/>
          </w:tcPr>
          <w:p w14:paraId="57A357C6" w14:textId="77777777" w:rsidR="00D93353" w:rsidRPr="00AF0CC3" w:rsidRDefault="00D93353" w:rsidP="00E73C98">
            <w:pPr>
              <w:spacing w:after="0" w:line="360" w:lineRule="auto"/>
              <w:rPr>
                <w:rFonts w:ascii="Times New Roman" w:eastAsia="Times New Roman" w:hAnsi="Times New Roman" w:cs="Times New Roman"/>
                <w:color w:val="000000" w:themeColor="text1"/>
                <w:kern w:val="0"/>
                <w14:ligatures w14:val="none"/>
              </w:rPr>
            </w:pPr>
            <w:r w:rsidRPr="00AF0CC3">
              <w:rPr>
                <w:rFonts w:ascii="Times New Roman" w:eastAsia="Times New Roman" w:hAnsi="Times New Roman" w:cs="Times New Roman"/>
                <w:color w:val="000000" w:themeColor="text1"/>
                <w:kern w:val="0"/>
                <w14:ligatures w14:val="none"/>
              </w:rPr>
              <w:t>Procurement Transparency</w:t>
            </w:r>
          </w:p>
        </w:tc>
        <w:tc>
          <w:tcPr>
            <w:tcW w:w="0" w:type="auto"/>
            <w:vAlign w:val="center"/>
            <w:hideMark/>
          </w:tcPr>
          <w:p w14:paraId="306B24F7" w14:textId="77777777" w:rsidR="00D93353" w:rsidRPr="00AF0CC3" w:rsidRDefault="00D93353" w:rsidP="00E73C98">
            <w:pPr>
              <w:spacing w:after="0" w:line="360" w:lineRule="auto"/>
              <w:rPr>
                <w:rFonts w:ascii="Times New Roman" w:eastAsia="Times New Roman" w:hAnsi="Times New Roman" w:cs="Times New Roman"/>
                <w:color w:val="000000" w:themeColor="text1"/>
                <w:kern w:val="0"/>
                <w14:ligatures w14:val="none"/>
              </w:rPr>
            </w:pPr>
            <w:r w:rsidRPr="00AF0CC3">
              <w:rPr>
                <w:rFonts w:ascii="Times New Roman" w:eastAsia="Times New Roman" w:hAnsi="Times New Roman" w:cs="Times New Roman"/>
                <w:color w:val="000000" w:themeColor="text1"/>
                <w:kern w:val="0"/>
                <w14:ligatures w14:val="none"/>
              </w:rPr>
              <w:t>Enhance procurement planning and contract disclosure</w:t>
            </w:r>
          </w:p>
        </w:tc>
        <w:tc>
          <w:tcPr>
            <w:tcW w:w="0" w:type="auto"/>
            <w:vAlign w:val="center"/>
            <w:hideMark/>
          </w:tcPr>
          <w:p w14:paraId="1975F000" w14:textId="77777777" w:rsidR="00D93353" w:rsidRPr="00AF0CC3" w:rsidRDefault="00D93353" w:rsidP="00E73C98">
            <w:pPr>
              <w:spacing w:after="0" w:line="360" w:lineRule="auto"/>
              <w:rPr>
                <w:rFonts w:ascii="Times New Roman" w:eastAsia="Times New Roman" w:hAnsi="Times New Roman" w:cs="Times New Roman"/>
                <w:color w:val="000000" w:themeColor="text1"/>
                <w:kern w:val="0"/>
                <w14:ligatures w14:val="none"/>
              </w:rPr>
            </w:pPr>
            <w:r w:rsidRPr="00AF0CC3">
              <w:rPr>
                <w:rFonts w:ascii="Times New Roman" w:eastAsia="Times New Roman" w:hAnsi="Times New Roman" w:cs="Times New Roman"/>
                <w:color w:val="000000" w:themeColor="text1"/>
                <w:kern w:val="0"/>
                <w14:ligatures w14:val="none"/>
              </w:rPr>
              <w:t>PPRA, Procuring Entities</w:t>
            </w:r>
          </w:p>
        </w:tc>
        <w:tc>
          <w:tcPr>
            <w:tcW w:w="0" w:type="auto"/>
            <w:vAlign w:val="center"/>
            <w:hideMark/>
          </w:tcPr>
          <w:p w14:paraId="5C84E26D" w14:textId="77777777" w:rsidR="00D93353" w:rsidRPr="00AF0CC3" w:rsidRDefault="00D93353" w:rsidP="00E73C98">
            <w:pPr>
              <w:spacing w:after="0" w:line="360" w:lineRule="auto"/>
              <w:rPr>
                <w:rFonts w:ascii="Times New Roman" w:eastAsia="Times New Roman" w:hAnsi="Times New Roman" w:cs="Times New Roman"/>
                <w:color w:val="000000" w:themeColor="text1"/>
                <w:kern w:val="0"/>
                <w14:ligatures w14:val="none"/>
              </w:rPr>
            </w:pPr>
            <w:r w:rsidRPr="00AF0CC3">
              <w:rPr>
                <w:rFonts w:ascii="Times New Roman" w:eastAsia="Times New Roman" w:hAnsi="Times New Roman" w:cs="Times New Roman"/>
                <w:color w:val="000000" w:themeColor="text1"/>
                <w:kern w:val="0"/>
                <w14:ligatures w14:val="none"/>
              </w:rPr>
              <w:t>0–2 years</w:t>
            </w:r>
          </w:p>
        </w:tc>
        <w:tc>
          <w:tcPr>
            <w:tcW w:w="0" w:type="auto"/>
            <w:vAlign w:val="center"/>
            <w:hideMark/>
          </w:tcPr>
          <w:p w14:paraId="70EF52CD" w14:textId="77777777" w:rsidR="00D93353" w:rsidRPr="00AF0CC3" w:rsidRDefault="00D93353" w:rsidP="00E73C98">
            <w:pPr>
              <w:spacing w:after="0" w:line="360" w:lineRule="auto"/>
              <w:rPr>
                <w:rFonts w:ascii="Times New Roman" w:eastAsia="Times New Roman" w:hAnsi="Times New Roman" w:cs="Times New Roman"/>
                <w:color w:val="000000" w:themeColor="text1"/>
                <w:kern w:val="0"/>
                <w14:ligatures w14:val="none"/>
              </w:rPr>
            </w:pPr>
            <w:r w:rsidRPr="00AF0CC3">
              <w:rPr>
                <w:rFonts w:ascii="Times New Roman" w:eastAsia="Times New Roman" w:hAnsi="Times New Roman" w:cs="Times New Roman"/>
                <w:color w:val="000000" w:themeColor="text1"/>
                <w:kern w:val="0"/>
                <w14:ligatures w14:val="none"/>
              </w:rPr>
              <w:t>Reduced procurement disputes</w:t>
            </w:r>
          </w:p>
        </w:tc>
      </w:tr>
      <w:tr w:rsidR="00D93353" w:rsidRPr="00AF0CC3" w14:paraId="6021177C" w14:textId="77777777" w:rsidTr="00E73C98">
        <w:trPr>
          <w:tblCellSpacing w:w="15" w:type="dxa"/>
        </w:trPr>
        <w:tc>
          <w:tcPr>
            <w:tcW w:w="0" w:type="auto"/>
            <w:vAlign w:val="center"/>
            <w:hideMark/>
          </w:tcPr>
          <w:p w14:paraId="7DDE9A37" w14:textId="77777777" w:rsidR="00D93353" w:rsidRPr="00AF0CC3" w:rsidRDefault="00D93353" w:rsidP="00E73C98">
            <w:pPr>
              <w:spacing w:after="0" w:line="360" w:lineRule="auto"/>
              <w:rPr>
                <w:rFonts w:ascii="Times New Roman" w:eastAsia="Times New Roman" w:hAnsi="Times New Roman" w:cs="Times New Roman"/>
                <w:color w:val="000000" w:themeColor="text1"/>
                <w:kern w:val="0"/>
                <w14:ligatures w14:val="none"/>
              </w:rPr>
            </w:pPr>
          </w:p>
        </w:tc>
        <w:tc>
          <w:tcPr>
            <w:tcW w:w="0" w:type="auto"/>
            <w:vAlign w:val="center"/>
            <w:hideMark/>
          </w:tcPr>
          <w:p w14:paraId="5FCF3401" w14:textId="77777777" w:rsidR="00D93353" w:rsidRPr="00AF0CC3" w:rsidRDefault="00D93353" w:rsidP="00E73C98">
            <w:pPr>
              <w:spacing w:after="0" w:line="360" w:lineRule="auto"/>
              <w:rPr>
                <w:rFonts w:ascii="Times New Roman" w:eastAsia="Times New Roman" w:hAnsi="Times New Roman" w:cs="Times New Roman"/>
                <w:color w:val="000000" w:themeColor="text1"/>
                <w:kern w:val="0"/>
                <w14:ligatures w14:val="none"/>
              </w:rPr>
            </w:pPr>
            <w:r w:rsidRPr="00AF0CC3">
              <w:rPr>
                <w:rFonts w:ascii="Times New Roman" w:eastAsia="Times New Roman" w:hAnsi="Times New Roman" w:cs="Times New Roman"/>
                <w:color w:val="000000" w:themeColor="text1"/>
                <w:kern w:val="0"/>
                <w14:ligatures w14:val="none"/>
              </w:rPr>
              <w:t>Governance Monitoring</w:t>
            </w:r>
          </w:p>
        </w:tc>
        <w:tc>
          <w:tcPr>
            <w:tcW w:w="0" w:type="auto"/>
            <w:vAlign w:val="center"/>
            <w:hideMark/>
          </w:tcPr>
          <w:p w14:paraId="2B0AE64D" w14:textId="77777777" w:rsidR="00D93353" w:rsidRPr="00AF0CC3" w:rsidRDefault="00D93353" w:rsidP="00E73C98">
            <w:pPr>
              <w:spacing w:after="0" w:line="360" w:lineRule="auto"/>
              <w:rPr>
                <w:rFonts w:ascii="Times New Roman" w:eastAsia="Times New Roman" w:hAnsi="Times New Roman" w:cs="Times New Roman"/>
                <w:color w:val="000000" w:themeColor="text1"/>
                <w:kern w:val="0"/>
                <w14:ligatures w14:val="none"/>
              </w:rPr>
            </w:pPr>
            <w:r w:rsidRPr="00AF0CC3">
              <w:rPr>
                <w:rFonts w:ascii="Times New Roman" w:eastAsia="Times New Roman" w:hAnsi="Times New Roman" w:cs="Times New Roman"/>
                <w:color w:val="000000" w:themeColor="text1"/>
                <w:kern w:val="0"/>
                <w14:ligatures w14:val="none"/>
              </w:rPr>
              <w:t>Introduce governance performance indicators</w:t>
            </w:r>
          </w:p>
        </w:tc>
        <w:tc>
          <w:tcPr>
            <w:tcW w:w="0" w:type="auto"/>
            <w:vAlign w:val="center"/>
            <w:hideMark/>
          </w:tcPr>
          <w:p w14:paraId="5C31ECF1" w14:textId="77777777" w:rsidR="00D93353" w:rsidRPr="00AF0CC3" w:rsidRDefault="00D93353" w:rsidP="00E73C98">
            <w:pPr>
              <w:spacing w:after="0" w:line="360" w:lineRule="auto"/>
              <w:rPr>
                <w:rFonts w:ascii="Times New Roman" w:eastAsia="Times New Roman" w:hAnsi="Times New Roman" w:cs="Times New Roman"/>
                <w:color w:val="000000" w:themeColor="text1"/>
                <w:kern w:val="0"/>
                <w14:ligatures w14:val="none"/>
              </w:rPr>
            </w:pPr>
            <w:r w:rsidRPr="00AF0CC3">
              <w:rPr>
                <w:rFonts w:ascii="Times New Roman" w:eastAsia="Times New Roman" w:hAnsi="Times New Roman" w:cs="Times New Roman"/>
                <w:color w:val="000000" w:themeColor="text1"/>
                <w:kern w:val="0"/>
                <w14:ligatures w14:val="none"/>
              </w:rPr>
              <w:t>Auditor-General, Ministry of Water</w:t>
            </w:r>
          </w:p>
        </w:tc>
        <w:tc>
          <w:tcPr>
            <w:tcW w:w="0" w:type="auto"/>
            <w:vAlign w:val="center"/>
            <w:hideMark/>
          </w:tcPr>
          <w:p w14:paraId="025BB2A5" w14:textId="77777777" w:rsidR="00D93353" w:rsidRPr="00AF0CC3" w:rsidRDefault="00D93353" w:rsidP="00E73C98">
            <w:pPr>
              <w:spacing w:after="0" w:line="360" w:lineRule="auto"/>
              <w:rPr>
                <w:rFonts w:ascii="Times New Roman" w:eastAsia="Times New Roman" w:hAnsi="Times New Roman" w:cs="Times New Roman"/>
                <w:color w:val="000000" w:themeColor="text1"/>
                <w:kern w:val="0"/>
                <w14:ligatures w14:val="none"/>
              </w:rPr>
            </w:pPr>
            <w:r w:rsidRPr="00AF0CC3">
              <w:rPr>
                <w:rFonts w:ascii="Times New Roman" w:eastAsia="Times New Roman" w:hAnsi="Times New Roman" w:cs="Times New Roman"/>
                <w:color w:val="000000" w:themeColor="text1"/>
                <w:kern w:val="0"/>
                <w14:ligatures w14:val="none"/>
              </w:rPr>
              <w:t>0–2 years</w:t>
            </w:r>
          </w:p>
        </w:tc>
        <w:tc>
          <w:tcPr>
            <w:tcW w:w="0" w:type="auto"/>
            <w:vAlign w:val="center"/>
            <w:hideMark/>
          </w:tcPr>
          <w:p w14:paraId="12E1164C" w14:textId="77777777" w:rsidR="00D93353" w:rsidRPr="00AF0CC3" w:rsidRDefault="00D93353" w:rsidP="00E73C98">
            <w:pPr>
              <w:spacing w:after="0" w:line="360" w:lineRule="auto"/>
              <w:rPr>
                <w:rFonts w:ascii="Times New Roman" w:eastAsia="Times New Roman" w:hAnsi="Times New Roman" w:cs="Times New Roman"/>
                <w:color w:val="000000" w:themeColor="text1"/>
                <w:kern w:val="0"/>
                <w14:ligatures w14:val="none"/>
              </w:rPr>
            </w:pPr>
            <w:r w:rsidRPr="00AF0CC3">
              <w:rPr>
                <w:rFonts w:ascii="Times New Roman" w:eastAsia="Times New Roman" w:hAnsi="Times New Roman" w:cs="Times New Roman"/>
                <w:color w:val="000000" w:themeColor="text1"/>
                <w:kern w:val="0"/>
                <w14:ligatures w14:val="none"/>
              </w:rPr>
              <w:t>Stronger monitoring and compliance</w:t>
            </w:r>
          </w:p>
        </w:tc>
      </w:tr>
      <w:tr w:rsidR="00D93353" w:rsidRPr="00AF0CC3" w14:paraId="7F039F09" w14:textId="77777777" w:rsidTr="00E73C98">
        <w:trPr>
          <w:tblCellSpacing w:w="15" w:type="dxa"/>
        </w:trPr>
        <w:tc>
          <w:tcPr>
            <w:tcW w:w="0" w:type="auto"/>
            <w:vAlign w:val="center"/>
            <w:hideMark/>
          </w:tcPr>
          <w:p w14:paraId="708ED187" w14:textId="77777777" w:rsidR="00D93353" w:rsidRPr="00AF0CC3" w:rsidRDefault="00D93353" w:rsidP="00E73C98">
            <w:pPr>
              <w:spacing w:after="0" w:line="360" w:lineRule="auto"/>
              <w:rPr>
                <w:rFonts w:ascii="Times New Roman" w:eastAsia="Times New Roman" w:hAnsi="Times New Roman" w:cs="Times New Roman"/>
                <w:color w:val="000000" w:themeColor="text1"/>
                <w:kern w:val="0"/>
                <w14:ligatures w14:val="none"/>
              </w:rPr>
            </w:pPr>
            <w:r w:rsidRPr="00AF0CC3">
              <w:rPr>
                <w:rFonts w:ascii="Times New Roman" w:eastAsia="Times New Roman" w:hAnsi="Times New Roman" w:cs="Times New Roman"/>
                <w:b/>
                <w:bCs/>
                <w:color w:val="000000" w:themeColor="text1"/>
                <w:kern w:val="0"/>
                <w14:ligatures w14:val="none"/>
              </w:rPr>
              <w:t>Phase II (Intermediate)</w:t>
            </w:r>
          </w:p>
        </w:tc>
        <w:tc>
          <w:tcPr>
            <w:tcW w:w="0" w:type="auto"/>
            <w:vAlign w:val="center"/>
            <w:hideMark/>
          </w:tcPr>
          <w:p w14:paraId="32090DF2" w14:textId="77777777" w:rsidR="00D93353" w:rsidRPr="00AF0CC3" w:rsidRDefault="00D93353" w:rsidP="00E73C98">
            <w:pPr>
              <w:spacing w:after="0" w:line="360" w:lineRule="auto"/>
              <w:rPr>
                <w:rFonts w:ascii="Times New Roman" w:eastAsia="Times New Roman" w:hAnsi="Times New Roman" w:cs="Times New Roman"/>
                <w:color w:val="000000" w:themeColor="text1"/>
                <w:kern w:val="0"/>
                <w14:ligatures w14:val="none"/>
              </w:rPr>
            </w:pPr>
            <w:r w:rsidRPr="00AF0CC3">
              <w:rPr>
                <w:rFonts w:ascii="Times New Roman" w:eastAsia="Times New Roman" w:hAnsi="Times New Roman" w:cs="Times New Roman"/>
                <w:color w:val="000000" w:themeColor="text1"/>
                <w:kern w:val="0"/>
                <w14:ligatures w14:val="none"/>
              </w:rPr>
              <w:t>Institutional Coordination</w:t>
            </w:r>
          </w:p>
        </w:tc>
        <w:tc>
          <w:tcPr>
            <w:tcW w:w="0" w:type="auto"/>
            <w:vAlign w:val="center"/>
            <w:hideMark/>
          </w:tcPr>
          <w:p w14:paraId="2068D7F4" w14:textId="77777777" w:rsidR="00D93353" w:rsidRPr="00AF0CC3" w:rsidRDefault="00D93353" w:rsidP="00E73C98">
            <w:pPr>
              <w:spacing w:after="0" w:line="360" w:lineRule="auto"/>
              <w:rPr>
                <w:rFonts w:ascii="Times New Roman" w:eastAsia="Times New Roman" w:hAnsi="Times New Roman" w:cs="Times New Roman"/>
                <w:color w:val="000000" w:themeColor="text1"/>
                <w:kern w:val="0"/>
                <w14:ligatures w14:val="none"/>
              </w:rPr>
            </w:pPr>
            <w:r w:rsidRPr="00AF0CC3">
              <w:rPr>
                <w:rFonts w:ascii="Times New Roman" w:eastAsia="Times New Roman" w:hAnsi="Times New Roman" w:cs="Times New Roman"/>
                <w:color w:val="000000" w:themeColor="text1"/>
                <w:kern w:val="0"/>
                <w14:ligatures w14:val="none"/>
              </w:rPr>
              <w:t>Formal inter-agency coordination structures</w:t>
            </w:r>
          </w:p>
        </w:tc>
        <w:tc>
          <w:tcPr>
            <w:tcW w:w="0" w:type="auto"/>
            <w:vAlign w:val="center"/>
            <w:hideMark/>
          </w:tcPr>
          <w:p w14:paraId="713179B7" w14:textId="77777777" w:rsidR="00D93353" w:rsidRPr="00AF0CC3" w:rsidRDefault="00D93353" w:rsidP="00E73C98">
            <w:pPr>
              <w:spacing w:after="0" w:line="360" w:lineRule="auto"/>
              <w:rPr>
                <w:rFonts w:ascii="Times New Roman" w:eastAsia="Times New Roman" w:hAnsi="Times New Roman" w:cs="Times New Roman"/>
                <w:color w:val="000000" w:themeColor="text1"/>
                <w:kern w:val="0"/>
                <w14:ligatures w14:val="none"/>
              </w:rPr>
            </w:pPr>
            <w:r w:rsidRPr="00AF0CC3">
              <w:rPr>
                <w:rFonts w:ascii="Times New Roman" w:eastAsia="Times New Roman" w:hAnsi="Times New Roman" w:cs="Times New Roman"/>
                <w:color w:val="000000" w:themeColor="text1"/>
                <w:kern w:val="0"/>
                <w14:ligatures w14:val="none"/>
              </w:rPr>
              <w:t>Ministry of Water, Counties</w:t>
            </w:r>
          </w:p>
        </w:tc>
        <w:tc>
          <w:tcPr>
            <w:tcW w:w="0" w:type="auto"/>
            <w:vAlign w:val="center"/>
            <w:hideMark/>
          </w:tcPr>
          <w:p w14:paraId="121745AA" w14:textId="77777777" w:rsidR="00D93353" w:rsidRPr="00AF0CC3" w:rsidRDefault="00D93353" w:rsidP="00E73C98">
            <w:pPr>
              <w:spacing w:after="0" w:line="360" w:lineRule="auto"/>
              <w:rPr>
                <w:rFonts w:ascii="Times New Roman" w:eastAsia="Times New Roman" w:hAnsi="Times New Roman" w:cs="Times New Roman"/>
                <w:color w:val="000000" w:themeColor="text1"/>
                <w:kern w:val="0"/>
                <w14:ligatures w14:val="none"/>
              </w:rPr>
            </w:pPr>
            <w:r w:rsidRPr="00AF0CC3">
              <w:rPr>
                <w:rFonts w:ascii="Times New Roman" w:eastAsia="Times New Roman" w:hAnsi="Times New Roman" w:cs="Times New Roman"/>
                <w:color w:val="000000" w:themeColor="text1"/>
                <w:kern w:val="0"/>
                <w14:ligatures w14:val="none"/>
              </w:rPr>
              <w:t>2–4 years</w:t>
            </w:r>
          </w:p>
        </w:tc>
        <w:tc>
          <w:tcPr>
            <w:tcW w:w="0" w:type="auto"/>
            <w:vAlign w:val="center"/>
            <w:hideMark/>
          </w:tcPr>
          <w:p w14:paraId="21D838B1" w14:textId="77777777" w:rsidR="00D93353" w:rsidRPr="00AF0CC3" w:rsidRDefault="00D93353" w:rsidP="00E73C98">
            <w:pPr>
              <w:spacing w:after="0" w:line="360" w:lineRule="auto"/>
              <w:rPr>
                <w:rFonts w:ascii="Times New Roman" w:eastAsia="Times New Roman" w:hAnsi="Times New Roman" w:cs="Times New Roman"/>
                <w:color w:val="000000" w:themeColor="text1"/>
                <w:kern w:val="0"/>
                <w14:ligatures w14:val="none"/>
              </w:rPr>
            </w:pPr>
            <w:r w:rsidRPr="00AF0CC3">
              <w:rPr>
                <w:rFonts w:ascii="Times New Roman" w:eastAsia="Times New Roman" w:hAnsi="Times New Roman" w:cs="Times New Roman"/>
                <w:color w:val="000000" w:themeColor="text1"/>
                <w:kern w:val="0"/>
                <w14:ligatures w14:val="none"/>
              </w:rPr>
              <w:t>Improved implementation continuity</w:t>
            </w:r>
          </w:p>
        </w:tc>
      </w:tr>
      <w:tr w:rsidR="00D93353" w:rsidRPr="00AF0CC3" w14:paraId="4FF45E06" w14:textId="77777777" w:rsidTr="00E73C98">
        <w:trPr>
          <w:tblCellSpacing w:w="15" w:type="dxa"/>
        </w:trPr>
        <w:tc>
          <w:tcPr>
            <w:tcW w:w="0" w:type="auto"/>
            <w:vAlign w:val="center"/>
            <w:hideMark/>
          </w:tcPr>
          <w:p w14:paraId="48F91A13" w14:textId="77777777" w:rsidR="00D93353" w:rsidRPr="00AF0CC3" w:rsidRDefault="00D93353" w:rsidP="00E73C98">
            <w:pPr>
              <w:spacing w:after="0" w:line="360" w:lineRule="auto"/>
              <w:rPr>
                <w:rFonts w:ascii="Times New Roman" w:eastAsia="Times New Roman" w:hAnsi="Times New Roman" w:cs="Times New Roman"/>
                <w:color w:val="000000" w:themeColor="text1"/>
                <w:kern w:val="0"/>
                <w14:ligatures w14:val="none"/>
              </w:rPr>
            </w:pPr>
          </w:p>
        </w:tc>
        <w:tc>
          <w:tcPr>
            <w:tcW w:w="0" w:type="auto"/>
            <w:vAlign w:val="center"/>
            <w:hideMark/>
          </w:tcPr>
          <w:p w14:paraId="176A23D8" w14:textId="77777777" w:rsidR="00D93353" w:rsidRPr="00AF0CC3" w:rsidRDefault="00D93353" w:rsidP="00E73C98">
            <w:pPr>
              <w:spacing w:after="0" w:line="360" w:lineRule="auto"/>
              <w:rPr>
                <w:rFonts w:ascii="Times New Roman" w:eastAsia="Times New Roman" w:hAnsi="Times New Roman" w:cs="Times New Roman"/>
                <w:color w:val="000000" w:themeColor="text1"/>
                <w:kern w:val="0"/>
                <w14:ligatures w14:val="none"/>
              </w:rPr>
            </w:pPr>
            <w:r w:rsidRPr="00AF0CC3">
              <w:rPr>
                <w:rFonts w:ascii="Times New Roman" w:eastAsia="Times New Roman" w:hAnsi="Times New Roman" w:cs="Times New Roman"/>
                <w:color w:val="000000" w:themeColor="text1"/>
                <w:kern w:val="0"/>
                <w14:ligatures w14:val="none"/>
              </w:rPr>
              <w:t>Digital Governance</w:t>
            </w:r>
          </w:p>
        </w:tc>
        <w:tc>
          <w:tcPr>
            <w:tcW w:w="0" w:type="auto"/>
            <w:vAlign w:val="center"/>
            <w:hideMark/>
          </w:tcPr>
          <w:p w14:paraId="5DEDE03F" w14:textId="77777777" w:rsidR="00D93353" w:rsidRPr="00AF0CC3" w:rsidRDefault="00D93353" w:rsidP="00E73C98">
            <w:pPr>
              <w:spacing w:after="0" w:line="360" w:lineRule="auto"/>
              <w:rPr>
                <w:rFonts w:ascii="Times New Roman" w:eastAsia="Times New Roman" w:hAnsi="Times New Roman" w:cs="Times New Roman"/>
                <w:color w:val="000000" w:themeColor="text1"/>
                <w:kern w:val="0"/>
                <w14:ligatures w14:val="none"/>
              </w:rPr>
            </w:pPr>
            <w:r w:rsidRPr="00AF0CC3">
              <w:rPr>
                <w:rFonts w:ascii="Times New Roman" w:eastAsia="Times New Roman" w:hAnsi="Times New Roman" w:cs="Times New Roman"/>
                <w:color w:val="000000" w:themeColor="text1"/>
                <w:kern w:val="0"/>
                <w14:ligatures w14:val="none"/>
              </w:rPr>
              <w:t>Integrated project information systems</w:t>
            </w:r>
          </w:p>
        </w:tc>
        <w:tc>
          <w:tcPr>
            <w:tcW w:w="0" w:type="auto"/>
            <w:vAlign w:val="center"/>
            <w:hideMark/>
          </w:tcPr>
          <w:p w14:paraId="09C0B55F" w14:textId="77777777" w:rsidR="00D93353" w:rsidRPr="00AF0CC3" w:rsidRDefault="00D93353" w:rsidP="00E73C98">
            <w:pPr>
              <w:spacing w:after="0" w:line="360" w:lineRule="auto"/>
              <w:rPr>
                <w:rFonts w:ascii="Times New Roman" w:eastAsia="Times New Roman" w:hAnsi="Times New Roman" w:cs="Times New Roman"/>
                <w:color w:val="000000" w:themeColor="text1"/>
                <w:kern w:val="0"/>
                <w14:ligatures w14:val="none"/>
              </w:rPr>
            </w:pPr>
            <w:r w:rsidRPr="00AF0CC3">
              <w:rPr>
                <w:rFonts w:ascii="Times New Roman" w:eastAsia="Times New Roman" w:hAnsi="Times New Roman" w:cs="Times New Roman"/>
                <w:color w:val="000000" w:themeColor="text1"/>
                <w:kern w:val="0"/>
                <w14:ligatures w14:val="none"/>
              </w:rPr>
              <w:t>ICT Authority, Counties</w:t>
            </w:r>
          </w:p>
        </w:tc>
        <w:tc>
          <w:tcPr>
            <w:tcW w:w="0" w:type="auto"/>
            <w:vAlign w:val="center"/>
            <w:hideMark/>
          </w:tcPr>
          <w:p w14:paraId="40FAA0E1" w14:textId="77777777" w:rsidR="00D93353" w:rsidRPr="00AF0CC3" w:rsidRDefault="00D93353" w:rsidP="00E73C98">
            <w:pPr>
              <w:spacing w:after="0" w:line="360" w:lineRule="auto"/>
              <w:rPr>
                <w:rFonts w:ascii="Times New Roman" w:eastAsia="Times New Roman" w:hAnsi="Times New Roman" w:cs="Times New Roman"/>
                <w:color w:val="000000" w:themeColor="text1"/>
                <w:kern w:val="0"/>
                <w14:ligatures w14:val="none"/>
              </w:rPr>
            </w:pPr>
            <w:r w:rsidRPr="00AF0CC3">
              <w:rPr>
                <w:rFonts w:ascii="Times New Roman" w:eastAsia="Times New Roman" w:hAnsi="Times New Roman" w:cs="Times New Roman"/>
                <w:color w:val="000000" w:themeColor="text1"/>
                <w:kern w:val="0"/>
                <w14:ligatures w14:val="none"/>
              </w:rPr>
              <w:t>2–4 years</w:t>
            </w:r>
          </w:p>
        </w:tc>
        <w:tc>
          <w:tcPr>
            <w:tcW w:w="0" w:type="auto"/>
            <w:vAlign w:val="center"/>
            <w:hideMark/>
          </w:tcPr>
          <w:p w14:paraId="69FAA763" w14:textId="77777777" w:rsidR="00D93353" w:rsidRPr="00AF0CC3" w:rsidRDefault="00D93353" w:rsidP="00E73C98">
            <w:pPr>
              <w:spacing w:after="0" w:line="360" w:lineRule="auto"/>
              <w:rPr>
                <w:rFonts w:ascii="Times New Roman" w:eastAsia="Times New Roman" w:hAnsi="Times New Roman" w:cs="Times New Roman"/>
                <w:color w:val="000000" w:themeColor="text1"/>
                <w:kern w:val="0"/>
                <w14:ligatures w14:val="none"/>
              </w:rPr>
            </w:pPr>
            <w:r w:rsidRPr="00AF0CC3">
              <w:rPr>
                <w:rFonts w:ascii="Times New Roman" w:eastAsia="Times New Roman" w:hAnsi="Times New Roman" w:cs="Times New Roman"/>
                <w:color w:val="000000" w:themeColor="text1"/>
                <w:kern w:val="0"/>
                <w14:ligatures w14:val="none"/>
              </w:rPr>
              <w:t>Better documentation and decision-making</w:t>
            </w:r>
          </w:p>
        </w:tc>
      </w:tr>
      <w:tr w:rsidR="00D93353" w:rsidRPr="00AF0CC3" w14:paraId="51A33DFF" w14:textId="77777777" w:rsidTr="00E73C98">
        <w:trPr>
          <w:tblCellSpacing w:w="15" w:type="dxa"/>
        </w:trPr>
        <w:tc>
          <w:tcPr>
            <w:tcW w:w="0" w:type="auto"/>
            <w:vAlign w:val="center"/>
            <w:hideMark/>
          </w:tcPr>
          <w:p w14:paraId="6CC7FCF2" w14:textId="77777777" w:rsidR="00D93353" w:rsidRPr="00AF0CC3" w:rsidRDefault="00D93353" w:rsidP="00E73C98">
            <w:pPr>
              <w:spacing w:after="0" w:line="360" w:lineRule="auto"/>
              <w:rPr>
                <w:rFonts w:ascii="Times New Roman" w:eastAsia="Times New Roman" w:hAnsi="Times New Roman" w:cs="Times New Roman"/>
                <w:color w:val="000000" w:themeColor="text1"/>
                <w:kern w:val="0"/>
                <w14:ligatures w14:val="none"/>
              </w:rPr>
            </w:pPr>
            <w:r w:rsidRPr="00AF0CC3">
              <w:rPr>
                <w:rFonts w:ascii="Times New Roman" w:eastAsia="Times New Roman" w:hAnsi="Times New Roman" w:cs="Times New Roman"/>
                <w:b/>
                <w:bCs/>
                <w:color w:val="000000" w:themeColor="text1"/>
                <w:kern w:val="0"/>
                <w14:ligatures w14:val="none"/>
              </w:rPr>
              <w:t>Phase III (Long-term)</w:t>
            </w:r>
          </w:p>
        </w:tc>
        <w:tc>
          <w:tcPr>
            <w:tcW w:w="0" w:type="auto"/>
            <w:vAlign w:val="center"/>
            <w:hideMark/>
          </w:tcPr>
          <w:p w14:paraId="4F3FB7EA" w14:textId="77777777" w:rsidR="00D93353" w:rsidRPr="00AF0CC3" w:rsidRDefault="00D93353" w:rsidP="00E73C98">
            <w:pPr>
              <w:spacing w:after="0" w:line="360" w:lineRule="auto"/>
              <w:rPr>
                <w:rFonts w:ascii="Times New Roman" w:eastAsia="Times New Roman" w:hAnsi="Times New Roman" w:cs="Times New Roman"/>
                <w:color w:val="000000" w:themeColor="text1"/>
                <w:kern w:val="0"/>
                <w14:ligatures w14:val="none"/>
              </w:rPr>
            </w:pPr>
            <w:r w:rsidRPr="00AF0CC3">
              <w:rPr>
                <w:rFonts w:ascii="Times New Roman" w:eastAsia="Times New Roman" w:hAnsi="Times New Roman" w:cs="Times New Roman"/>
                <w:color w:val="000000" w:themeColor="text1"/>
                <w:kern w:val="0"/>
                <w14:ligatures w14:val="none"/>
              </w:rPr>
              <w:t>Climate Governance Integration</w:t>
            </w:r>
          </w:p>
        </w:tc>
        <w:tc>
          <w:tcPr>
            <w:tcW w:w="0" w:type="auto"/>
            <w:vAlign w:val="center"/>
            <w:hideMark/>
          </w:tcPr>
          <w:p w14:paraId="5A7F6A57" w14:textId="77777777" w:rsidR="00D93353" w:rsidRPr="00AF0CC3" w:rsidRDefault="00D93353" w:rsidP="00E73C98">
            <w:pPr>
              <w:spacing w:after="0" w:line="360" w:lineRule="auto"/>
              <w:rPr>
                <w:rFonts w:ascii="Times New Roman" w:eastAsia="Times New Roman" w:hAnsi="Times New Roman" w:cs="Times New Roman"/>
                <w:color w:val="000000" w:themeColor="text1"/>
                <w:kern w:val="0"/>
                <w14:ligatures w14:val="none"/>
              </w:rPr>
            </w:pPr>
            <w:r w:rsidRPr="00AF0CC3">
              <w:rPr>
                <w:rFonts w:ascii="Times New Roman" w:eastAsia="Times New Roman" w:hAnsi="Times New Roman" w:cs="Times New Roman"/>
                <w:color w:val="000000" w:themeColor="text1"/>
                <w:kern w:val="0"/>
                <w14:ligatures w14:val="none"/>
              </w:rPr>
              <w:t>Embed resilience into project governance</w:t>
            </w:r>
          </w:p>
        </w:tc>
        <w:tc>
          <w:tcPr>
            <w:tcW w:w="0" w:type="auto"/>
            <w:vAlign w:val="center"/>
            <w:hideMark/>
          </w:tcPr>
          <w:p w14:paraId="651F7FBE" w14:textId="77777777" w:rsidR="00D93353" w:rsidRPr="00AF0CC3" w:rsidRDefault="00D93353" w:rsidP="00E73C98">
            <w:pPr>
              <w:spacing w:after="0" w:line="360" w:lineRule="auto"/>
              <w:rPr>
                <w:rFonts w:ascii="Times New Roman" w:eastAsia="Times New Roman" w:hAnsi="Times New Roman" w:cs="Times New Roman"/>
                <w:color w:val="000000" w:themeColor="text1"/>
                <w:kern w:val="0"/>
                <w14:ligatures w14:val="none"/>
              </w:rPr>
            </w:pPr>
            <w:r w:rsidRPr="00AF0CC3">
              <w:rPr>
                <w:rFonts w:ascii="Times New Roman" w:eastAsia="Times New Roman" w:hAnsi="Times New Roman" w:cs="Times New Roman"/>
                <w:color w:val="000000" w:themeColor="text1"/>
                <w:kern w:val="0"/>
                <w14:ligatures w14:val="none"/>
              </w:rPr>
              <w:t>Ministry of Water, Climate Change Directorate</w:t>
            </w:r>
          </w:p>
        </w:tc>
        <w:tc>
          <w:tcPr>
            <w:tcW w:w="0" w:type="auto"/>
            <w:vAlign w:val="center"/>
            <w:hideMark/>
          </w:tcPr>
          <w:p w14:paraId="04748AB2" w14:textId="77777777" w:rsidR="00D93353" w:rsidRPr="00AF0CC3" w:rsidRDefault="00D93353" w:rsidP="00E73C98">
            <w:pPr>
              <w:spacing w:after="0" w:line="360" w:lineRule="auto"/>
              <w:rPr>
                <w:rFonts w:ascii="Times New Roman" w:eastAsia="Times New Roman" w:hAnsi="Times New Roman" w:cs="Times New Roman"/>
                <w:color w:val="000000" w:themeColor="text1"/>
                <w:kern w:val="0"/>
                <w14:ligatures w14:val="none"/>
              </w:rPr>
            </w:pPr>
            <w:r w:rsidRPr="00AF0CC3">
              <w:rPr>
                <w:rFonts w:ascii="Times New Roman" w:eastAsia="Times New Roman" w:hAnsi="Times New Roman" w:cs="Times New Roman"/>
                <w:color w:val="000000" w:themeColor="text1"/>
                <w:kern w:val="0"/>
                <w14:ligatures w14:val="none"/>
              </w:rPr>
              <w:t>4–6 years</w:t>
            </w:r>
          </w:p>
        </w:tc>
        <w:tc>
          <w:tcPr>
            <w:tcW w:w="0" w:type="auto"/>
            <w:vAlign w:val="center"/>
            <w:hideMark/>
          </w:tcPr>
          <w:p w14:paraId="05F98D02" w14:textId="77777777" w:rsidR="00D93353" w:rsidRPr="00AF0CC3" w:rsidRDefault="00D93353" w:rsidP="00E73C98">
            <w:pPr>
              <w:spacing w:after="0" w:line="360" w:lineRule="auto"/>
              <w:rPr>
                <w:rFonts w:ascii="Times New Roman" w:eastAsia="Times New Roman" w:hAnsi="Times New Roman" w:cs="Times New Roman"/>
                <w:color w:val="000000" w:themeColor="text1"/>
                <w:kern w:val="0"/>
                <w14:ligatures w14:val="none"/>
              </w:rPr>
            </w:pPr>
            <w:r w:rsidRPr="00AF0CC3">
              <w:rPr>
                <w:rFonts w:ascii="Times New Roman" w:eastAsia="Times New Roman" w:hAnsi="Times New Roman" w:cs="Times New Roman"/>
                <w:color w:val="000000" w:themeColor="text1"/>
                <w:kern w:val="0"/>
                <w14:ligatures w14:val="none"/>
              </w:rPr>
              <w:t>Enhanced institutional resilience</w:t>
            </w:r>
          </w:p>
        </w:tc>
      </w:tr>
      <w:tr w:rsidR="00D93353" w:rsidRPr="00AF0CC3" w14:paraId="2386FD45" w14:textId="77777777" w:rsidTr="00E73C98">
        <w:trPr>
          <w:tblCellSpacing w:w="15" w:type="dxa"/>
        </w:trPr>
        <w:tc>
          <w:tcPr>
            <w:tcW w:w="0" w:type="auto"/>
            <w:vAlign w:val="center"/>
            <w:hideMark/>
          </w:tcPr>
          <w:p w14:paraId="7E8E4948" w14:textId="77777777" w:rsidR="00D93353" w:rsidRPr="00AF0CC3" w:rsidRDefault="00D93353" w:rsidP="00E73C98">
            <w:pPr>
              <w:spacing w:after="0" w:line="360" w:lineRule="auto"/>
              <w:rPr>
                <w:rFonts w:ascii="Times New Roman" w:eastAsia="Times New Roman" w:hAnsi="Times New Roman" w:cs="Times New Roman"/>
                <w:color w:val="000000" w:themeColor="text1"/>
                <w:kern w:val="0"/>
                <w14:ligatures w14:val="none"/>
              </w:rPr>
            </w:pPr>
          </w:p>
        </w:tc>
        <w:tc>
          <w:tcPr>
            <w:tcW w:w="0" w:type="auto"/>
            <w:vAlign w:val="center"/>
            <w:hideMark/>
          </w:tcPr>
          <w:p w14:paraId="339E53B5" w14:textId="77777777" w:rsidR="00D93353" w:rsidRPr="00AF0CC3" w:rsidRDefault="00D93353" w:rsidP="00E73C98">
            <w:pPr>
              <w:spacing w:after="0" w:line="360" w:lineRule="auto"/>
              <w:rPr>
                <w:rFonts w:ascii="Times New Roman" w:eastAsia="Times New Roman" w:hAnsi="Times New Roman" w:cs="Times New Roman"/>
                <w:color w:val="000000" w:themeColor="text1"/>
                <w:kern w:val="0"/>
                <w14:ligatures w14:val="none"/>
              </w:rPr>
            </w:pPr>
            <w:r w:rsidRPr="00AF0CC3">
              <w:rPr>
                <w:rFonts w:ascii="Times New Roman" w:eastAsia="Times New Roman" w:hAnsi="Times New Roman" w:cs="Times New Roman"/>
                <w:color w:val="000000" w:themeColor="text1"/>
                <w:kern w:val="0"/>
                <w14:ligatures w14:val="none"/>
              </w:rPr>
              <w:t>Capacity Development</w:t>
            </w:r>
          </w:p>
        </w:tc>
        <w:tc>
          <w:tcPr>
            <w:tcW w:w="0" w:type="auto"/>
            <w:vAlign w:val="center"/>
            <w:hideMark/>
          </w:tcPr>
          <w:p w14:paraId="5BFE06AB" w14:textId="77777777" w:rsidR="00D93353" w:rsidRPr="00AF0CC3" w:rsidRDefault="00D93353" w:rsidP="00E73C98">
            <w:pPr>
              <w:spacing w:after="0" w:line="360" w:lineRule="auto"/>
              <w:rPr>
                <w:rFonts w:ascii="Times New Roman" w:eastAsia="Times New Roman" w:hAnsi="Times New Roman" w:cs="Times New Roman"/>
                <w:color w:val="000000" w:themeColor="text1"/>
                <w:kern w:val="0"/>
                <w14:ligatures w14:val="none"/>
              </w:rPr>
            </w:pPr>
            <w:r w:rsidRPr="00AF0CC3">
              <w:rPr>
                <w:rFonts w:ascii="Times New Roman" w:eastAsia="Times New Roman" w:hAnsi="Times New Roman" w:cs="Times New Roman"/>
                <w:color w:val="000000" w:themeColor="text1"/>
                <w:kern w:val="0"/>
                <w14:ligatures w14:val="none"/>
              </w:rPr>
              <w:t>Continuous governance training and institutional strengthening</w:t>
            </w:r>
          </w:p>
        </w:tc>
        <w:tc>
          <w:tcPr>
            <w:tcW w:w="0" w:type="auto"/>
            <w:vAlign w:val="center"/>
            <w:hideMark/>
          </w:tcPr>
          <w:p w14:paraId="3B52A5A3" w14:textId="77777777" w:rsidR="00D93353" w:rsidRPr="00AF0CC3" w:rsidRDefault="00D93353" w:rsidP="00E73C98">
            <w:pPr>
              <w:spacing w:after="0" w:line="360" w:lineRule="auto"/>
              <w:rPr>
                <w:rFonts w:ascii="Times New Roman" w:eastAsia="Times New Roman" w:hAnsi="Times New Roman" w:cs="Times New Roman"/>
                <w:color w:val="000000" w:themeColor="text1"/>
                <w:kern w:val="0"/>
                <w14:ligatures w14:val="none"/>
              </w:rPr>
            </w:pPr>
            <w:r w:rsidRPr="00AF0CC3">
              <w:rPr>
                <w:rFonts w:ascii="Times New Roman" w:eastAsia="Times New Roman" w:hAnsi="Times New Roman" w:cs="Times New Roman"/>
                <w:color w:val="000000" w:themeColor="text1"/>
                <w:kern w:val="0"/>
                <w14:ligatures w14:val="none"/>
              </w:rPr>
              <w:t>PSC, Development Partners</w:t>
            </w:r>
          </w:p>
        </w:tc>
        <w:tc>
          <w:tcPr>
            <w:tcW w:w="0" w:type="auto"/>
            <w:vAlign w:val="center"/>
            <w:hideMark/>
          </w:tcPr>
          <w:p w14:paraId="6CA93E0C" w14:textId="77777777" w:rsidR="00D93353" w:rsidRPr="00AF0CC3" w:rsidRDefault="00D93353" w:rsidP="00E73C98">
            <w:pPr>
              <w:spacing w:after="0" w:line="360" w:lineRule="auto"/>
              <w:rPr>
                <w:rFonts w:ascii="Times New Roman" w:eastAsia="Times New Roman" w:hAnsi="Times New Roman" w:cs="Times New Roman"/>
                <w:color w:val="000000" w:themeColor="text1"/>
                <w:kern w:val="0"/>
                <w14:ligatures w14:val="none"/>
              </w:rPr>
            </w:pPr>
            <w:r w:rsidRPr="00AF0CC3">
              <w:rPr>
                <w:rFonts w:ascii="Times New Roman" w:eastAsia="Times New Roman" w:hAnsi="Times New Roman" w:cs="Times New Roman"/>
                <w:color w:val="000000" w:themeColor="text1"/>
                <w:kern w:val="0"/>
                <w14:ligatures w14:val="none"/>
              </w:rPr>
              <w:t>4–6 years</w:t>
            </w:r>
          </w:p>
        </w:tc>
        <w:tc>
          <w:tcPr>
            <w:tcW w:w="0" w:type="auto"/>
            <w:vAlign w:val="center"/>
            <w:hideMark/>
          </w:tcPr>
          <w:p w14:paraId="33BE386A" w14:textId="77777777" w:rsidR="00D93353" w:rsidRPr="00AF0CC3" w:rsidRDefault="00D93353" w:rsidP="00E73C98">
            <w:pPr>
              <w:spacing w:after="0" w:line="360" w:lineRule="auto"/>
              <w:rPr>
                <w:rFonts w:ascii="Times New Roman" w:eastAsia="Times New Roman" w:hAnsi="Times New Roman" w:cs="Times New Roman"/>
                <w:color w:val="000000" w:themeColor="text1"/>
                <w:kern w:val="0"/>
                <w14:ligatures w14:val="none"/>
              </w:rPr>
            </w:pPr>
            <w:r w:rsidRPr="00AF0CC3">
              <w:rPr>
                <w:rFonts w:ascii="Times New Roman" w:eastAsia="Times New Roman" w:hAnsi="Times New Roman" w:cs="Times New Roman"/>
                <w:color w:val="000000" w:themeColor="text1"/>
                <w:kern w:val="0"/>
                <w14:ligatures w14:val="none"/>
              </w:rPr>
              <w:t>Sustainable governance capability</w:t>
            </w:r>
          </w:p>
        </w:tc>
      </w:tr>
    </w:tbl>
    <w:p w14:paraId="0CAF13D7" w14:textId="77777777" w:rsidR="00D93353" w:rsidRPr="00AF0CC3" w:rsidRDefault="00D93353" w:rsidP="00D93353">
      <w:pPr>
        <w:spacing w:before="240" w:line="360" w:lineRule="auto"/>
        <w:rPr>
          <w:rFonts w:ascii="Times New Roman" w:hAnsi="Times New Roman" w:cs="Times New Roman"/>
          <w:color w:val="000000" w:themeColor="text1"/>
        </w:rPr>
      </w:pPr>
    </w:p>
    <w:p w14:paraId="3398D56E" w14:textId="77777777" w:rsidR="00D93353" w:rsidRPr="00AF0CC3" w:rsidRDefault="00D93353" w:rsidP="00D93353">
      <w:pPr>
        <w:spacing w:before="240" w:line="360" w:lineRule="auto"/>
        <w:rPr>
          <w:rFonts w:ascii="Times New Roman" w:hAnsi="Times New Roman" w:cs="Times New Roman"/>
          <w:color w:val="000000" w:themeColor="text1"/>
        </w:rPr>
      </w:pPr>
      <w:r w:rsidRPr="00AF0CC3">
        <w:rPr>
          <w:rFonts w:ascii="Times New Roman" w:hAnsi="Times New Roman" w:cs="Times New Roman"/>
          <w:color w:val="000000" w:themeColor="text1"/>
        </w:rPr>
        <w:t>The Integrated Governance Reform and Implementation Framework demonstrates that many of the governance challenges identified in this study can be addressed through strengthened institutional systems rather than substantial additional financial investment. By emphasizing transparency, coordination, oversight, documentation management, financial administration, and accountability, the framework provides practical pathways for improving infrastructure performance within existing administrative structures. Although a successful application will depend on institutional capacity and political commitment, the framework offers an adaptable approach that can be implemented in Kenya and other developing-country contexts facing similar governance challenges.</w:t>
      </w:r>
    </w:p>
    <w:p w14:paraId="0940AAE4" w14:textId="77777777" w:rsidR="00D93353" w:rsidRPr="00AF0CC3" w:rsidRDefault="00D93353" w:rsidP="00D93353">
      <w:pPr>
        <w:spacing w:before="240" w:line="360" w:lineRule="auto"/>
        <w:rPr>
          <w:rFonts w:ascii="Times New Roman" w:hAnsi="Times New Roman" w:cs="Times New Roman"/>
          <w:color w:val="000000" w:themeColor="text1"/>
        </w:rPr>
      </w:pPr>
    </w:p>
    <w:p w14:paraId="10E89CB6" w14:textId="77777777" w:rsidR="00D93353" w:rsidRPr="00AF0CC3" w:rsidRDefault="00D93353" w:rsidP="00D93353">
      <w:pPr>
        <w:spacing w:before="240" w:line="360" w:lineRule="auto"/>
        <w:rPr>
          <w:rFonts w:ascii="Times New Roman" w:hAnsi="Times New Roman" w:cs="Times New Roman"/>
          <w:color w:val="000000" w:themeColor="text1"/>
        </w:rPr>
      </w:pPr>
      <w:r w:rsidRPr="00AF0CC3">
        <w:rPr>
          <w:rFonts w:ascii="Times New Roman" w:hAnsi="Times New Roman" w:cs="Times New Roman"/>
          <w:color w:val="000000" w:themeColor="text1"/>
        </w:rPr>
        <w:lastRenderedPageBreak/>
        <w:t>The framework also recognizes that governance improvement is most likely to succeed when pursued progressively rather than through comprehensive reform implemented simultaneously. Initial priority should be given to strengthening documentation practices, payment reliability, procurement transparency, and governance monitoring because these reforms can largely be achieved through administrative improvements, stronger oversight, and enhanced compliance using existing institutional arrangements. As these foundational capabilities become established, attention can shift toward more complex reforms involving inter-agency coordination, digital governance systems, climate resilience integration, and long-term organizational capacity development. Such sequencing is likely to enhance the feasibility of implementation, support institutional learning, and strengthen the sustainability of governance reforms.</w:t>
      </w:r>
    </w:p>
    <w:p w14:paraId="46D0A837" w14:textId="77777777" w:rsidR="00D93353" w:rsidRPr="00AF0CC3" w:rsidRDefault="00D93353" w:rsidP="00D93353">
      <w:pPr>
        <w:spacing w:before="240" w:line="360" w:lineRule="auto"/>
        <w:rPr>
          <w:rFonts w:ascii="Times New Roman" w:hAnsi="Times New Roman" w:cs="Times New Roman"/>
          <w:color w:val="000000" w:themeColor="text1"/>
        </w:rPr>
      </w:pPr>
    </w:p>
    <w:p w14:paraId="4DD2255D" w14:textId="77777777" w:rsidR="00D93353" w:rsidRPr="00AF0CC3" w:rsidRDefault="00D93353" w:rsidP="00D93353">
      <w:pPr>
        <w:spacing w:before="240" w:line="360" w:lineRule="auto"/>
        <w:rPr>
          <w:rFonts w:ascii="Times New Roman" w:hAnsi="Times New Roman" w:cs="Times New Roman"/>
          <w:color w:val="000000" w:themeColor="text1"/>
        </w:rPr>
      </w:pPr>
      <w:r w:rsidRPr="00AF0CC3">
        <w:rPr>
          <w:rFonts w:ascii="Times New Roman" w:hAnsi="Times New Roman" w:cs="Times New Roman"/>
          <w:color w:val="000000" w:themeColor="text1"/>
        </w:rPr>
        <w:t>The framework further acknowledges that governance reform extends beyond technical or administrative change and takes place within complex political and institutional environments characterized by competing interests, resource constraints, power asymmetries, political interference, and differing implementation incentives. Progress will therefore depend not only on improved systems and procedures but also on sustained leadership commitment, stakeholder engagement, and effective accountability arrangements. Recognizing these realities is particularly important within decentralized governance systems, where differences in administrative capability and local governance capacity may influence both the pace and effectiveness of reform. Accordingly, the framework promotes practical improvements that are achievable within existing institutional structures while providing a foundation for longer-term governance transformation.</w:t>
      </w:r>
    </w:p>
    <w:p w14:paraId="11F04365" w14:textId="77777777" w:rsidR="00D93353" w:rsidRPr="00AF0CC3" w:rsidRDefault="00D93353" w:rsidP="00D93353">
      <w:pPr>
        <w:spacing w:before="240" w:line="360" w:lineRule="auto"/>
        <w:rPr>
          <w:rFonts w:ascii="Times New Roman" w:hAnsi="Times New Roman" w:cs="Times New Roman"/>
          <w:color w:val="000000" w:themeColor="text1"/>
        </w:rPr>
      </w:pPr>
    </w:p>
    <w:p w14:paraId="49562EAA" w14:textId="415E661D" w:rsidR="00D93353" w:rsidRPr="00AF0CC3" w:rsidRDefault="00D93353" w:rsidP="00D93353">
      <w:pPr>
        <w:pStyle w:val="Heading2"/>
        <w:spacing w:before="240" w:line="360" w:lineRule="auto"/>
        <w:rPr>
          <w:rFonts w:cs="Times New Roman"/>
          <w:b w:val="0"/>
          <w:bCs/>
          <w:color w:val="000000" w:themeColor="text1"/>
          <w:szCs w:val="24"/>
        </w:rPr>
      </w:pPr>
      <w:bookmarkStart w:id="600" w:name="_Toc233318849"/>
      <w:bookmarkStart w:id="601" w:name="_Toc234344924"/>
      <w:bookmarkStart w:id="602" w:name="_Toc234489156"/>
      <w:r w:rsidRPr="00AF0CC3">
        <w:rPr>
          <w:rFonts w:cs="Times New Roman"/>
          <w:bCs/>
          <w:color w:val="000000" w:themeColor="text1"/>
          <w:szCs w:val="24"/>
        </w:rPr>
        <w:t>Limitations of the Study</w:t>
      </w:r>
      <w:bookmarkEnd w:id="600"/>
      <w:bookmarkEnd w:id="601"/>
      <w:bookmarkEnd w:id="602"/>
    </w:p>
    <w:p w14:paraId="0A4919B6" w14:textId="77777777" w:rsidR="00D93353" w:rsidRPr="00AF0CC3" w:rsidRDefault="00D93353" w:rsidP="00D93353">
      <w:pPr>
        <w:spacing w:before="240" w:line="360" w:lineRule="auto"/>
        <w:rPr>
          <w:rFonts w:ascii="Times New Roman" w:hAnsi="Times New Roman" w:cs="Times New Roman"/>
          <w:color w:val="000000" w:themeColor="text1"/>
        </w:rPr>
      </w:pPr>
    </w:p>
    <w:p w14:paraId="316C0873" w14:textId="77777777" w:rsidR="00D93353" w:rsidRPr="00AF0CC3" w:rsidRDefault="00D93353" w:rsidP="00D93353">
      <w:pPr>
        <w:spacing w:before="240" w:line="360" w:lineRule="auto"/>
        <w:rPr>
          <w:rFonts w:ascii="Times New Roman" w:hAnsi="Times New Roman" w:cs="Times New Roman"/>
          <w:color w:val="000000" w:themeColor="text1"/>
        </w:rPr>
      </w:pPr>
      <w:r w:rsidRPr="00AF0CC3">
        <w:rPr>
          <w:rFonts w:ascii="Times New Roman" w:hAnsi="Times New Roman" w:cs="Times New Roman"/>
          <w:color w:val="000000" w:themeColor="text1"/>
        </w:rPr>
        <w:t xml:space="preserve">Several limitations should be considered when interpreting the findings of this study. These limitations relate primarily to research design, measurement, data availability, and analytical </w:t>
      </w:r>
      <w:r w:rsidRPr="00AF0CC3">
        <w:rPr>
          <w:rFonts w:ascii="Times New Roman" w:hAnsi="Times New Roman" w:cs="Times New Roman"/>
          <w:color w:val="000000" w:themeColor="text1"/>
        </w:rPr>
        <w:lastRenderedPageBreak/>
        <w:t>scope. Acknowledging these constraints provides important context for understanding the strength, applicability, and boundaries of the conclusions drawn from the analysis.</w:t>
      </w:r>
    </w:p>
    <w:p w14:paraId="188CF97F" w14:textId="77777777" w:rsidR="00D93353" w:rsidRPr="00AF0CC3" w:rsidRDefault="00D93353" w:rsidP="00D93353">
      <w:pPr>
        <w:spacing w:line="360" w:lineRule="auto"/>
        <w:rPr>
          <w:rFonts w:ascii="Times New Roman" w:hAnsi="Times New Roman" w:cs="Times New Roman"/>
          <w:color w:val="000000" w:themeColor="text1"/>
        </w:rPr>
      </w:pPr>
      <w:r w:rsidRPr="00AF0CC3">
        <w:rPr>
          <w:rFonts w:ascii="Times New Roman" w:hAnsi="Times New Roman" w:cs="Times New Roman"/>
          <w:color w:val="000000" w:themeColor="text1"/>
        </w:rPr>
        <w:t>A primary limitation arises from the cross-sectional research design. The study examined governance conditions and infrastructure outcomes using retrospective project information at a single point in time. Although this approach enabled systematic comparison across projects, it did not capture how governance arrangements evolved throughout the project lifecycle. Institutional structures, leadership arrangements, oversight systems, and implementation practices may change in response to reforms, administrative transitions, implementation challenges, or external shocks. Consequently, the findings identify associations between governance quality and infrastructure delivery outcomes but do not establish definitive causal relationships. The mechanisms discussed throughout the study should therefore be understood as theoretically informed explanations of observed relationships rather than empirically verified causal effects.</w:t>
      </w:r>
    </w:p>
    <w:p w14:paraId="734C4F2E" w14:textId="77777777" w:rsidR="00D93353" w:rsidRPr="00AF0CC3" w:rsidRDefault="00D93353" w:rsidP="00D93353">
      <w:pPr>
        <w:spacing w:line="360" w:lineRule="auto"/>
        <w:rPr>
          <w:rFonts w:ascii="Times New Roman" w:hAnsi="Times New Roman" w:cs="Times New Roman"/>
          <w:color w:val="000000" w:themeColor="text1"/>
        </w:rPr>
      </w:pPr>
    </w:p>
    <w:p w14:paraId="518693F1" w14:textId="77777777" w:rsidR="00D93353" w:rsidRPr="00AF0CC3" w:rsidRDefault="00D93353" w:rsidP="00D93353">
      <w:pPr>
        <w:spacing w:line="360" w:lineRule="auto"/>
        <w:rPr>
          <w:rFonts w:ascii="Times New Roman" w:hAnsi="Times New Roman" w:cs="Times New Roman"/>
          <w:color w:val="000000" w:themeColor="text1"/>
        </w:rPr>
      </w:pPr>
      <w:r w:rsidRPr="00AF0CC3">
        <w:rPr>
          <w:rFonts w:ascii="Times New Roman" w:hAnsi="Times New Roman" w:cs="Times New Roman"/>
          <w:color w:val="000000" w:themeColor="text1"/>
        </w:rPr>
        <w:t>A second limitation relates to the construction of the Governance Quality Index (GQI). Although the index was developed from established infrastructure governance principles and applied using structured coding procedures, governance assessment inevitably involves a degree of researcher judgment. To mitigate this risk, coding criteria were defined in advance, governance indicators were operationalized systematically, independent coding verification was undertaken, and discrepancies were resolved through structured review and consensus procedures. Nevertheless, alternative researchers may have interpreted certain governance indicators differently, and some degree of subjectivity cannot be entirely eliminated when measuring complex institutional phenomena.</w:t>
      </w:r>
    </w:p>
    <w:p w14:paraId="32E664AF" w14:textId="77777777" w:rsidR="00D93353" w:rsidRPr="00AF0CC3" w:rsidRDefault="00D93353" w:rsidP="00D93353">
      <w:pPr>
        <w:spacing w:line="360" w:lineRule="auto"/>
        <w:rPr>
          <w:rFonts w:ascii="Times New Roman" w:hAnsi="Times New Roman" w:cs="Times New Roman"/>
          <w:color w:val="000000" w:themeColor="text1"/>
        </w:rPr>
      </w:pPr>
    </w:p>
    <w:p w14:paraId="4BB16923" w14:textId="77777777" w:rsidR="00D93353" w:rsidRPr="00AF0CC3" w:rsidRDefault="00D93353" w:rsidP="00D93353">
      <w:pPr>
        <w:spacing w:line="360" w:lineRule="auto"/>
        <w:rPr>
          <w:rFonts w:ascii="Times New Roman" w:hAnsi="Times New Roman" w:cs="Times New Roman"/>
          <w:color w:val="000000" w:themeColor="text1"/>
        </w:rPr>
      </w:pPr>
      <w:r w:rsidRPr="00AF0CC3">
        <w:rPr>
          <w:rFonts w:ascii="Times New Roman" w:hAnsi="Times New Roman" w:cs="Times New Roman"/>
          <w:color w:val="000000" w:themeColor="text1"/>
        </w:rPr>
        <w:t xml:space="preserve">The study's reliance on documentary analysis introduces a further limitation. Publicly available documents reflect what institutions choose to record, preserve, and disclose rather than necessarily providing a complete account of implementation realities. Projects characterized by stronger administrative systems may produce more comprehensive documentation and therefore be more likely to receive higher governance scores. While documentary evidence was </w:t>
      </w:r>
      <w:r w:rsidRPr="00AF0CC3">
        <w:rPr>
          <w:rFonts w:ascii="Times New Roman" w:hAnsi="Times New Roman" w:cs="Times New Roman"/>
          <w:color w:val="000000" w:themeColor="text1"/>
        </w:rPr>
        <w:lastRenderedPageBreak/>
        <w:t>triangulated across multiple sources to strengthen reliability and reduce reporting bias, some observed differences may still reflect variations in documentation practices rather than in underlying governance conditions.</w:t>
      </w:r>
    </w:p>
    <w:p w14:paraId="701B3C34" w14:textId="77777777" w:rsidR="00D93353" w:rsidRPr="00AF0CC3" w:rsidRDefault="00D93353" w:rsidP="00D93353">
      <w:pPr>
        <w:spacing w:line="360" w:lineRule="auto"/>
        <w:rPr>
          <w:rFonts w:ascii="Times New Roman" w:hAnsi="Times New Roman" w:cs="Times New Roman"/>
          <w:color w:val="000000" w:themeColor="text1"/>
        </w:rPr>
      </w:pPr>
    </w:p>
    <w:p w14:paraId="5FE18496" w14:textId="77777777" w:rsidR="00D93353" w:rsidRPr="00AF0CC3" w:rsidRDefault="00D93353" w:rsidP="00D93353">
      <w:pPr>
        <w:spacing w:line="360" w:lineRule="auto"/>
        <w:rPr>
          <w:rFonts w:ascii="Times New Roman" w:hAnsi="Times New Roman" w:cs="Times New Roman"/>
          <w:color w:val="000000" w:themeColor="text1"/>
        </w:rPr>
      </w:pPr>
      <w:r w:rsidRPr="00AF0CC3">
        <w:rPr>
          <w:rFonts w:ascii="Times New Roman" w:hAnsi="Times New Roman" w:cs="Times New Roman"/>
          <w:color w:val="000000" w:themeColor="text1"/>
        </w:rPr>
        <w:t>A further limitation concerns the size of the analytical sample. Although the study examined a substantial proportion of publicly documented water infrastructure projects that met the selection criteria, the final sample comprised 32 projects. This constrained statistical power and limited the complexity of quantitative modelling that could be undertaken. In particular, the sample did not support formal interaction modelling to assess the combined effects of governance quality, climate exposure, and political transition. Consequently, the relationships identified should be interpreted as indicative of broader governance-performance dynamics rather than definitive estimates applicable to all infrastructure projects.</w:t>
      </w:r>
    </w:p>
    <w:p w14:paraId="69A84555" w14:textId="77777777" w:rsidR="00D93353" w:rsidRPr="00AF0CC3" w:rsidRDefault="00D93353" w:rsidP="00D93353">
      <w:pPr>
        <w:spacing w:line="360" w:lineRule="auto"/>
        <w:rPr>
          <w:rFonts w:ascii="Times New Roman" w:hAnsi="Times New Roman" w:cs="Times New Roman"/>
          <w:color w:val="000000" w:themeColor="text1"/>
        </w:rPr>
      </w:pPr>
    </w:p>
    <w:p w14:paraId="7778BBB9" w14:textId="77777777" w:rsidR="00D93353" w:rsidRPr="00AF0CC3" w:rsidRDefault="00D93353" w:rsidP="00D93353">
      <w:pPr>
        <w:spacing w:line="360" w:lineRule="auto"/>
        <w:rPr>
          <w:rFonts w:ascii="Times New Roman" w:hAnsi="Times New Roman" w:cs="Times New Roman"/>
          <w:color w:val="000000" w:themeColor="text1"/>
        </w:rPr>
      </w:pPr>
      <w:r w:rsidRPr="00AF0CC3">
        <w:rPr>
          <w:rFonts w:ascii="Times New Roman" w:hAnsi="Times New Roman" w:cs="Times New Roman"/>
          <w:color w:val="000000" w:themeColor="text1"/>
        </w:rPr>
        <w:t>Documentation accessibility presented an additional challenge. Of the fifty-one projects initially identified, nineteen were excluded because sufficient governance information was unavailable to support consistent assessment. This reduced the size of the analytical sample and limited the representation of certain implementation environments, particularly among county government projects. While documentation gaps may indicate governance weaknesses, the study recognizes that incomplete records may also arise from broader archival and administrative limitations unrelated to project performance. Nevertheless, the concentration of documentation deficiencies among county-implemented projects highlights the practical difficulties associated with governance assessment within decentralized infrastructure systems.</w:t>
      </w:r>
    </w:p>
    <w:p w14:paraId="6DC68CFC" w14:textId="77777777" w:rsidR="00D93353" w:rsidRPr="00AF0CC3" w:rsidRDefault="00D93353" w:rsidP="00D93353">
      <w:pPr>
        <w:spacing w:line="360" w:lineRule="auto"/>
        <w:rPr>
          <w:rFonts w:ascii="Times New Roman" w:hAnsi="Times New Roman" w:cs="Times New Roman"/>
          <w:color w:val="000000" w:themeColor="text1"/>
        </w:rPr>
      </w:pPr>
    </w:p>
    <w:p w14:paraId="751B8539" w14:textId="77777777" w:rsidR="00D93353" w:rsidRPr="00AF0CC3" w:rsidRDefault="00D93353" w:rsidP="00D93353">
      <w:pPr>
        <w:spacing w:line="360" w:lineRule="auto"/>
        <w:rPr>
          <w:rFonts w:ascii="Times New Roman" w:hAnsi="Times New Roman" w:cs="Times New Roman"/>
          <w:color w:val="000000" w:themeColor="text1"/>
        </w:rPr>
      </w:pPr>
      <w:r w:rsidRPr="00AF0CC3">
        <w:rPr>
          <w:rFonts w:ascii="Times New Roman" w:hAnsi="Times New Roman" w:cs="Times New Roman"/>
          <w:color w:val="000000" w:themeColor="text1"/>
        </w:rPr>
        <w:t xml:space="preserve">The inclusion of ongoing projects also introduced analytical constraints. Several projects had not reached full implementation or financial completion at the time of data collection. As a result, some outcome measures, particularly those relating to final expenditure performance and completion timelines, remained incomplete. Although the analysis utilized the most current information available, subsequent changes in project status may alter certain performance </w:t>
      </w:r>
      <w:r w:rsidRPr="00AF0CC3">
        <w:rPr>
          <w:rFonts w:ascii="Times New Roman" w:hAnsi="Times New Roman" w:cs="Times New Roman"/>
          <w:color w:val="000000" w:themeColor="text1"/>
        </w:rPr>
        <w:lastRenderedPageBreak/>
        <w:t>outcomes. The findings should therefore be interpreted in the context of the project's conditions at the time the study was conducted.</w:t>
      </w:r>
    </w:p>
    <w:p w14:paraId="3BD2C847" w14:textId="77777777" w:rsidR="00D93353" w:rsidRPr="00AF0CC3" w:rsidRDefault="00D93353" w:rsidP="00D93353">
      <w:pPr>
        <w:spacing w:line="360" w:lineRule="auto"/>
        <w:rPr>
          <w:rFonts w:ascii="Times New Roman" w:hAnsi="Times New Roman" w:cs="Times New Roman"/>
          <w:color w:val="000000" w:themeColor="text1"/>
        </w:rPr>
      </w:pPr>
    </w:p>
    <w:p w14:paraId="205A2D47" w14:textId="77777777" w:rsidR="00D93353" w:rsidRPr="00AF0CC3" w:rsidRDefault="00D93353" w:rsidP="00D93353">
      <w:pPr>
        <w:spacing w:line="360" w:lineRule="auto"/>
        <w:rPr>
          <w:rFonts w:ascii="Times New Roman" w:hAnsi="Times New Roman" w:cs="Times New Roman"/>
          <w:color w:val="000000" w:themeColor="text1"/>
        </w:rPr>
      </w:pPr>
      <w:r w:rsidRPr="00AF0CC3">
        <w:rPr>
          <w:rFonts w:ascii="Times New Roman" w:hAnsi="Times New Roman" w:cs="Times New Roman"/>
          <w:color w:val="000000" w:themeColor="text1"/>
        </w:rPr>
        <w:t>The cost overrun analysis was subject to additional limitations due to incomplete expenditure data. Actual cost information was unavailable for some projects because implementation remained ongoing or final financial records had not yet been published. This reduced the explanatory power of the cost-overrun analysis and likely contributed to the weaker statistical support observed for the relationship between governance quality and financial outcomes. Conclusions relating to expenditure performance should therefore be interpreted with greater caution than those concerning project stalling and implementation delays.</w:t>
      </w:r>
    </w:p>
    <w:p w14:paraId="3E87BC55" w14:textId="77777777" w:rsidR="00D93353" w:rsidRPr="00AF0CC3" w:rsidRDefault="00D93353" w:rsidP="00D93353">
      <w:pPr>
        <w:spacing w:line="360" w:lineRule="auto"/>
        <w:rPr>
          <w:rFonts w:ascii="Times New Roman" w:hAnsi="Times New Roman" w:cs="Times New Roman"/>
          <w:color w:val="000000" w:themeColor="text1"/>
        </w:rPr>
      </w:pPr>
    </w:p>
    <w:p w14:paraId="7850E3EA" w14:textId="77777777" w:rsidR="00D93353" w:rsidRPr="00AF0CC3" w:rsidRDefault="00D93353" w:rsidP="00D93353">
      <w:pPr>
        <w:spacing w:line="360" w:lineRule="auto"/>
        <w:rPr>
          <w:rFonts w:ascii="Times New Roman" w:hAnsi="Times New Roman" w:cs="Times New Roman"/>
          <w:color w:val="000000" w:themeColor="text1"/>
        </w:rPr>
      </w:pPr>
      <w:r w:rsidRPr="00AF0CC3">
        <w:rPr>
          <w:rFonts w:ascii="Times New Roman" w:hAnsi="Times New Roman" w:cs="Times New Roman"/>
          <w:color w:val="000000" w:themeColor="text1"/>
        </w:rPr>
        <w:t>The applicability of the findings beyond Kenya's water infrastructure sector should also be approached with caution. Water infrastructure projects possess distinctive characteristics, including long implementation horizons, significant public-sector involvement, environmental exposure, and complex stakeholder relationships. Governance-performance relationships may differ in sectors such as transport, energy, housing, or telecommunications. Similarly, differences in institutional arrangements, regulatory environments, administrative traditions, financing structures, and governance capacity may influence the extent to which the findings apply in other low- and middle-income countries.</w:t>
      </w:r>
    </w:p>
    <w:p w14:paraId="52447C72" w14:textId="77777777" w:rsidR="00D93353" w:rsidRPr="00AF0CC3" w:rsidRDefault="00D93353" w:rsidP="00D93353">
      <w:pPr>
        <w:spacing w:line="360" w:lineRule="auto"/>
        <w:rPr>
          <w:rFonts w:ascii="Times New Roman" w:hAnsi="Times New Roman" w:cs="Times New Roman"/>
          <w:color w:val="000000" w:themeColor="text1"/>
        </w:rPr>
      </w:pPr>
    </w:p>
    <w:p w14:paraId="13542C2F" w14:textId="471F2FB8" w:rsidR="00D93353" w:rsidRPr="00AF0CC3" w:rsidRDefault="00D93353" w:rsidP="00FB78A0">
      <w:pPr>
        <w:spacing w:line="360" w:lineRule="auto"/>
        <w:rPr>
          <w:rFonts w:ascii="Times New Roman" w:hAnsi="Times New Roman" w:cs="Times New Roman"/>
          <w:color w:val="000000" w:themeColor="text1"/>
        </w:rPr>
      </w:pPr>
      <w:r w:rsidRPr="00AF0CC3">
        <w:rPr>
          <w:rFonts w:ascii="Times New Roman" w:hAnsi="Times New Roman" w:cs="Times New Roman"/>
          <w:color w:val="000000" w:themeColor="text1"/>
        </w:rPr>
        <w:t>Despite these limitations, the study provides a systematic and empirically grounded assessment of the relationship between governance quality and infrastructure delivery outcomes. The use of multiple documentary sources, structured governance assessment procedures, inter-coder verification, and complementary quantitative and qualitative analytical techniques strengthens the credibility of the findings. The limitations identified above should therefore be viewed not only as constraints but also as opportunities for future research to deepen understanding of governance-performance relationships across different sectors, institutional environments, and geographical contexts.</w:t>
      </w:r>
    </w:p>
    <w:p w14:paraId="69A5305F" w14:textId="77777777" w:rsidR="00FB78A0" w:rsidRPr="00AF0CC3" w:rsidRDefault="00FB78A0" w:rsidP="00FB78A0">
      <w:pPr>
        <w:spacing w:line="360" w:lineRule="auto"/>
        <w:rPr>
          <w:rFonts w:ascii="Times New Roman" w:hAnsi="Times New Roman" w:cs="Times New Roman"/>
          <w:color w:val="000000" w:themeColor="text1"/>
        </w:rPr>
      </w:pPr>
    </w:p>
    <w:p w14:paraId="1F2FB89B" w14:textId="68989DD7" w:rsidR="00D93353" w:rsidRPr="00AF0CC3" w:rsidRDefault="00D93353" w:rsidP="00D93353">
      <w:pPr>
        <w:pStyle w:val="Heading2"/>
        <w:spacing w:before="240" w:line="360" w:lineRule="auto"/>
        <w:rPr>
          <w:rFonts w:cs="Times New Roman"/>
          <w:b w:val="0"/>
          <w:bCs/>
          <w:color w:val="000000" w:themeColor="text1"/>
          <w:szCs w:val="24"/>
        </w:rPr>
      </w:pPr>
      <w:bookmarkStart w:id="603" w:name="_Toc233318850"/>
      <w:bookmarkStart w:id="604" w:name="_Toc234344925"/>
      <w:bookmarkStart w:id="605" w:name="_Toc234489157"/>
      <w:r w:rsidRPr="00AF0CC3">
        <w:rPr>
          <w:rFonts w:cs="Times New Roman"/>
          <w:bCs/>
          <w:color w:val="000000" w:themeColor="text1"/>
          <w:szCs w:val="24"/>
        </w:rPr>
        <w:t>Future Research</w:t>
      </w:r>
      <w:bookmarkEnd w:id="603"/>
      <w:bookmarkEnd w:id="604"/>
      <w:bookmarkEnd w:id="605"/>
    </w:p>
    <w:p w14:paraId="04C9C843" w14:textId="77777777" w:rsidR="00D93353" w:rsidRPr="00AF0CC3" w:rsidRDefault="00D93353" w:rsidP="00D93353">
      <w:pPr>
        <w:spacing w:before="240" w:line="360" w:lineRule="auto"/>
        <w:rPr>
          <w:rFonts w:ascii="Times New Roman" w:hAnsi="Times New Roman" w:cs="Times New Roman"/>
          <w:color w:val="000000" w:themeColor="text1"/>
        </w:rPr>
      </w:pPr>
    </w:p>
    <w:p w14:paraId="4C145D6C" w14:textId="77777777" w:rsidR="00D93353" w:rsidRPr="00AF0CC3" w:rsidRDefault="00D93353" w:rsidP="00D93353">
      <w:pPr>
        <w:spacing w:before="240" w:line="360" w:lineRule="auto"/>
        <w:rPr>
          <w:rFonts w:ascii="Times New Roman" w:hAnsi="Times New Roman" w:cs="Times New Roman"/>
          <w:color w:val="000000" w:themeColor="text1"/>
        </w:rPr>
      </w:pPr>
      <w:r w:rsidRPr="00AF0CC3">
        <w:rPr>
          <w:rFonts w:ascii="Times New Roman" w:hAnsi="Times New Roman" w:cs="Times New Roman"/>
          <w:color w:val="000000" w:themeColor="text1"/>
        </w:rPr>
        <w:t>The findings of this study provide several opportunities for future research aimed at advancing understanding of infrastructure governance and improving the evidence base available to policymakers, practitioners, and scholars. While the study contributes important empirical, theoretical, methodological, and practical insights, it also highlights areas where additional investigation could strengthen understanding of the relationship between governance quality and infrastructure delivery outcomes.</w:t>
      </w:r>
    </w:p>
    <w:p w14:paraId="4450E315" w14:textId="77777777" w:rsidR="00D93353" w:rsidRPr="00AF0CC3" w:rsidRDefault="00D93353" w:rsidP="00D93353">
      <w:pPr>
        <w:spacing w:before="240" w:line="360" w:lineRule="auto"/>
        <w:rPr>
          <w:rFonts w:ascii="Times New Roman" w:hAnsi="Times New Roman" w:cs="Times New Roman"/>
          <w:color w:val="000000" w:themeColor="text1"/>
        </w:rPr>
      </w:pPr>
    </w:p>
    <w:p w14:paraId="6E247737" w14:textId="77777777" w:rsidR="00D93353" w:rsidRPr="00AF0CC3" w:rsidRDefault="00D93353" w:rsidP="00D93353">
      <w:pPr>
        <w:spacing w:before="240" w:line="360" w:lineRule="auto"/>
        <w:rPr>
          <w:rFonts w:ascii="Times New Roman" w:hAnsi="Times New Roman" w:cs="Times New Roman"/>
          <w:color w:val="000000" w:themeColor="text1"/>
        </w:rPr>
      </w:pPr>
      <w:r w:rsidRPr="00AF0CC3">
        <w:rPr>
          <w:rFonts w:ascii="Times New Roman" w:hAnsi="Times New Roman" w:cs="Times New Roman"/>
          <w:color w:val="000000" w:themeColor="text1"/>
        </w:rPr>
        <w:t>First, future studies could adopt longitudinal research designs to examine how governance quality evolves throughout the infrastructure project lifecycle. The cross-sectional design employed in the present study enabled comparison across projects at a specific point in time but did not capture changes in governance conditions during project preparation, procurement, implementation, and operational phases. Longitudinal analysis would provide deeper insight into how governance reforms, institutional learning, leadership transitions, and implementation experiences influence project performance over time. Such studies could also contribute to a stronger understanding of causal relationships between governance quality and infrastructure outcomes.</w:t>
      </w:r>
    </w:p>
    <w:p w14:paraId="07FE69FA" w14:textId="77777777" w:rsidR="00D93353" w:rsidRPr="00AF0CC3" w:rsidRDefault="00D93353" w:rsidP="00D93353">
      <w:pPr>
        <w:spacing w:before="240" w:line="360" w:lineRule="auto"/>
        <w:rPr>
          <w:rFonts w:ascii="Times New Roman" w:hAnsi="Times New Roman" w:cs="Times New Roman"/>
          <w:color w:val="000000" w:themeColor="text1"/>
        </w:rPr>
      </w:pPr>
    </w:p>
    <w:p w14:paraId="46344C00" w14:textId="77777777" w:rsidR="00D93353" w:rsidRPr="00AF0CC3" w:rsidRDefault="00D93353" w:rsidP="00D93353">
      <w:pPr>
        <w:spacing w:before="240" w:line="360" w:lineRule="auto"/>
        <w:rPr>
          <w:rFonts w:ascii="Times New Roman" w:hAnsi="Times New Roman" w:cs="Times New Roman"/>
          <w:color w:val="000000" w:themeColor="text1"/>
        </w:rPr>
      </w:pPr>
      <w:r w:rsidRPr="00AF0CC3">
        <w:rPr>
          <w:rFonts w:ascii="Times New Roman" w:hAnsi="Times New Roman" w:cs="Times New Roman"/>
          <w:color w:val="000000" w:themeColor="text1"/>
        </w:rPr>
        <w:t xml:space="preserve">Second, additional research focusing specifically on county-level infrastructure governance would be valuable. The concentration of documentation limitations among county-implemented projects suggests important differences in governance capacity, administrative systems, records management practices, and institutional maturity across decentralized implementation environments. Future studies could conduct detailed assessments of county governance systems, explore variations in governance performance across counties, and identify factors that contribute to successful infrastructure delivery within devolved governance structures. Such </w:t>
      </w:r>
      <w:r w:rsidRPr="00AF0CC3">
        <w:rPr>
          <w:rFonts w:ascii="Times New Roman" w:hAnsi="Times New Roman" w:cs="Times New Roman"/>
          <w:color w:val="000000" w:themeColor="text1"/>
        </w:rPr>
        <w:lastRenderedPageBreak/>
        <w:t>research would contribute to a more comprehensive understanding of infrastructure governance under conditions of decentralization.</w:t>
      </w:r>
    </w:p>
    <w:p w14:paraId="5F546DF8" w14:textId="77777777" w:rsidR="00D93353" w:rsidRPr="00AF0CC3" w:rsidRDefault="00D93353" w:rsidP="00D93353">
      <w:pPr>
        <w:spacing w:before="240" w:line="360" w:lineRule="auto"/>
        <w:rPr>
          <w:rFonts w:ascii="Times New Roman" w:hAnsi="Times New Roman" w:cs="Times New Roman"/>
          <w:color w:val="000000" w:themeColor="text1"/>
        </w:rPr>
      </w:pPr>
    </w:p>
    <w:p w14:paraId="450BB85B" w14:textId="77777777" w:rsidR="00D93353" w:rsidRPr="00AF0CC3" w:rsidRDefault="00D93353" w:rsidP="00D93353">
      <w:pPr>
        <w:spacing w:before="240" w:line="360" w:lineRule="auto"/>
        <w:rPr>
          <w:rFonts w:ascii="Times New Roman" w:hAnsi="Times New Roman" w:cs="Times New Roman"/>
          <w:color w:val="000000" w:themeColor="text1"/>
        </w:rPr>
      </w:pPr>
      <w:r w:rsidRPr="00AF0CC3">
        <w:rPr>
          <w:rFonts w:ascii="Times New Roman" w:hAnsi="Times New Roman" w:cs="Times New Roman"/>
          <w:color w:val="000000" w:themeColor="text1"/>
        </w:rPr>
        <w:t>Third, comparative cross-country studies involving low- and middle-income countries (LMICs) would help determine the extent to which the governance-performance relationships identified in this study are observable across different institutional and regulatory environments. While the findings demonstrate important governance patterns within Kenya’s water infrastructure sector, similar challenges relating to procurement complexity, institutional coordination, accountability systems, implementation fragmentation, and climate vulnerability have been documented in other developing-country contexts. Comparative studies could therefore strengthen external validity and contribute to the development of broader theories of infrastructure governance applicable across diverse settings.</w:t>
      </w:r>
    </w:p>
    <w:p w14:paraId="6DAC5F29" w14:textId="77777777" w:rsidR="00D93353" w:rsidRPr="00AF0CC3" w:rsidRDefault="00D93353" w:rsidP="00D93353">
      <w:pPr>
        <w:spacing w:before="240" w:line="360" w:lineRule="auto"/>
        <w:rPr>
          <w:rFonts w:ascii="Times New Roman" w:hAnsi="Times New Roman" w:cs="Times New Roman"/>
          <w:color w:val="000000" w:themeColor="text1"/>
        </w:rPr>
      </w:pPr>
    </w:p>
    <w:p w14:paraId="08CB9B83" w14:textId="77777777" w:rsidR="00D93353" w:rsidRPr="00AF0CC3" w:rsidRDefault="00D93353" w:rsidP="00D93353">
      <w:pPr>
        <w:spacing w:before="240" w:line="360" w:lineRule="auto"/>
        <w:rPr>
          <w:rFonts w:ascii="Times New Roman" w:hAnsi="Times New Roman" w:cs="Times New Roman"/>
          <w:color w:val="000000" w:themeColor="text1"/>
        </w:rPr>
      </w:pPr>
      <w:r w:rsidRPr="00AF0CC3">
        <w:rPr>
          <w:rFonts w:ascii="Times New Roman" w:hAnsi="Times New Roman" w:cs="Times New Roman"/>
          <w:color w:val="000000" w:themeColor="text1"/>
        </w:rPr>
        <w:t>A fourth area for future research concerns the further refinement and validation of the Governance Quality Index (GQI) developed in this study. Although the index provided a useful framework for measuring governance quality at the project level, future research could test the instrument across other infrastructure sectors and different national contexts. Additional validation studies may help refine indicator selection, improve measurement reliability, and strengthen the framework's applicability as a governance assessment tool. Researchers may also explore incorporating additional governance dimensions, weighting approaches, or performance indicators such as the country corruption index and country fiscal policies to enhance the index's explanatory power.</w:t>
      </w:r>
    </w:p>
    <w:p w14:paraId="0619AE8F" w14:textId="77777777" w:rsidR="00D93353" w:rsidRPr="00AF0CC3" w:rsidRDefault="00D93353" w:rsidP="00D93353">
      <w:pPr>
        <w:spacing w:before="240" w:line="360" w:lineRule="auto"/>
        <w:rPr>
          <w:rFonts w:ascii="Times New Roman" w:hAnsi="Times New Roman" w:cs="Times New Roman"/>
          <w:color w:val="000000" w:themeColor="text1"/>
        </w:rPr>
      </w:pPr>
    </w:p>
    <w:p w14:paraId="224A5FBE" w14:textId="77777777" w:rsidR="00D93353" w:rsidRPr="00AF0CC3" w:rsidRDefault="00D93353" w:rsidP="00D93353">
      <w:pPr>
        <w:spacing w:before="240" w:line="360" w:lineRule="auto"/>
        <w:rPr>
          <w:rFonts w:ascii="Times New Roman" w:hAnsi="Times New Roman" w:cs="Times New Roman"/>
          <w:color w:val="000000" w:themeColor="text1"/>
        </w:rPr>
      </w:pPr>
      <w:r w:rsidRPr="00AF0CC3">
        <w:rPr>
          <w:rFonts w:ascii="Times New Roman" w:hAnsi="Times New Roman" w:cs="Times New Roman"/>
          <w:color w:val="000000" w:themeColor="text1"/>
        </w:rPr>
        <w:t xml:space="preserve">Finally, future research should further examine the relationship between governance quality and climate resilience within infrastructure systems. The findings suggest that governance quality contributes to institutional resilience and implementation continuity during periods of environmental disruption. However, the mechanisms through which governance systems support adaptation, risk management, and resilience remain only partially understood. Future studies </w:t>
      </w:r>
      <w:r w:rsidRPr="00AF0CC3">
        <w:rPr>
          <w:rFonts w:ascii="Times New Roman" w:hAnsi="Times New Roman" w:cs="Times New Roman"/>
          <w:color w:val="000000" w:themeColor="text1"/>
        </w:rPr>
        <w:lastRenderedPageBreak/>
        <w:t>could investigate how governance arrangements influence climate adaptation planning, disaster preparedness, infrastructure recovery, and long-term resilience outcomes. Such research is likely to become increasingly important as climate-related risks continue to affect infrastructure systems worldwide.</w:t>
      </w:r>
    </w:p>
    <w:p w14:paraId="1A47D3EB" w14:textId="77777777" w:rsidR="00D93353" w:rsidRPr="00AF0CC3" w:rsidRDefault="00D93353" w:rsidP="00D93353">
      <w:pPr>
        <w:spacing w:before="240" w:line="360" w:lineRule="auto"/>
        <w:rPr>
          <w:rFonts w:ascii="Times New Roman" w:hAnsi="Times New Roman" w:cs="Times New Roman"/>
          <w:color w:val="000000" w:themeColor="text1"/>
        </w:rPr>
      </w:pPr>
    </w:p>
    <w:p w14:paraId="50999452" w14:textId="77777777" w:rsidR="00D93353" w:rsidRPr="00AF0CC3" w:rsidRDefault="00D93353" w:rsidP="00D93353">
      <w:pPr>
        <w:spacing w:before="240" w:line="360" w:lineRule="auto"/>
        <w:rPr>
          <w:rFonts w:ascii="Times New Roman" w:hAnsi="Times New Roman" w:cs="Times New Roman"/>
          <w:color w:val="000000" w:themeColor="text1"/>
        </w:rPr>
      </w:pPr>
      <w:r w:rsidRPr="00AF0CC3">
        <w:rPr>
          <w:rFonts w:ascii="Times New Roman" w:hAnsi="Times New Roman" w:cs="Times New Roman"/>
          <w:color w:val="000000" w:themeColor="text1"/>
        </w:rPr>
        <w:t>These research opportunities demonstrate the continuing relevance of institutional factors within infrastructure development scholarship. Expanding the evidence base through longitudinal studies, decentralized governance assessments, cross-country comparisons, methodological refinement, and resilience-focused inquiry may strengthen both theoretical understanding and practical efforts to improve infrastructure outcomes. The study therefore provides a platform for future investigations aimed at examining and refining the relationships between institutional conditions and project performance across a broader range of infrastructure sectors and developing-country contexts.</w:t>
      </w:r>
    </w:p>
    <w:p w14:paraId="2EDBDF3D" w14:textId="77777777" w:rsidR="00D93353" w:rsidRPr="00AF0CC3" w:rsidRDefault="00D93353" w:rsidP="00D93353">
      <w:pPr>
        <w:spacing w:before="240" w:line="360" w:lineRule="auto"/>
        <w:rPr>
          <w:rFonts w:ascii="Times New Roman" w:hAnsi="Times New Roman" w:cs="Times New Roman"/>
          <w:color w:val="000000" w:themeColor="text1"/>
        </w:rPr>
      </w:pPr>
    </w:p>
    <w:p w14:paraId="440FEBA5" w14:textId="1AC83857" w:rsidR="00D93353" w:rsidRPr="00AF0CC3" w:rsidRDefault="00D93353" w:rsidP="00D93353">
      <w:pPr>
        <w:pStyle w:val="Heading2"/>
        <w:spacing w:before="240" w:line="360" w:lineRule="auto"/>
        <w:rPr>
          <w:rFonts w:cs="Times New Roman"/>
          <w:b w:val="0"/>
          <w:bCs/>
          <w:color w:val="000000" w:themeColor="text1"/>
          <w:szCs w:val="24"/>
        </w:rPr>
      </w:pPr>
      <w:r w:rsidRPr="00AF0CC3">
        <w:rPr>
          <w:rFonts w:cs="Times New Roman"/>
          <w:color w:val="000000" w:themeColor="text1"/>
          <w:szCs w:val="24"/>
        </w:rPr>
        <w:t xml:space="preserve"> </w:t>
      </w:r>
      <w:bookmarkStart w:id="606" w:name="_Toc233318851"/>
      <w:bookmarkStart w:id="607" w:name="_Toc234344926"/>
      <w:bookmarkStart w:id="608" w:name="_Toc234489158"/>
      <w:r w:rsidRPr="00AF0CC3">
        <w:rPr>
          <w:rFonts w:cs="Times New Roman"/>
          <w:bCs/>
          <w:color w:val="000000" w:themeColor="text1"/>
          <w:szCs w:val="24"/>
        </w:rPr>
        <w:t>Chapter Summary and Final Reflection</w:t>
      </w:r>
      <w:bookmarkEnd w:id="606"/>
      <w:bookmarkEnd w:id="607"/>
      <w:bookmarkEnd w:id="608"/>
    </w:p>
    <w:p w14:paraId="31CFF388" w14:textId="77777777" w:rsidR="00D93353" w:rsidRPr="00AF0CC3" w:rsidRDefault="00D93353" w:rsidP="00D93353">
      <w:pPr>
        <w:spacing w:before="240" w:line="360" w:lineRule="auto"/>
        <w:rPr>
          <w:rFonts w:ascii="Times New Roman" w:hAnsi="Times New Roman" w:cs="Times New Roman"/>
          <w:color w:val="000000" w:themeColor="text1"/>
        </w:rPr>
      </w:pPr>
    </w:p>
    <w:p w14:paraId="11BE730A" w14:textId="77777777" w:rsidR="00D93353" w:rsidRPr="00AF0CC3" w:rsidRDefault="00D93353" w:rsidP="00D93353">
      <w:pPr>
        <w:spacing w:before="240" w:line="360" w:lineRule="auto"/>
        <w:rPr>
          <w:rFonts w:ascii="Times New Roman" w:hAnsi="Times New Roman" w:cs="Times New Roman"/>
          <w:color w:val="000000" w:themeColor="text1"/>
        </w:rPr>
      </w:pPr>
      <w:r w:rsidRPr="00AF0CC3">
        <w:rPr>
          <w:rFonts w:ascii="Times New Roman" w:hAnsi="Times New Roman" w:cs="Times New Roman"/>
          <w:color w:val="000000" w:themeColor="text1"/>
        </w:rPr>
        <w:t>This chapter discussed the study's findings in relation to existing theory and empirical literature, identified the study’s contributions to knowledge, considered the implications for policy and practice, presented conclusions linked to the research questions, and proposed recommendations to strengthen infrastructure governance systems. The chapter has also acknowledged the study's limitations and identified opportunities for future research to advance understanding of governance-performance relationships in infrastructure delivery.</w:t>
      </w:r>
    </w:p>
    <w:p w14:paraId="524FF6D0" w14:textId="77777777" w:rsidR="00D93353" w:rsidRPr="00AF0CC3" w:rsidRDefault="00D93353" w:rsidP="00D93353">
      <w:pPr>
        <w:spacing w:before="240" w:line="360" w:lineRule="auto"/>
        <w:rPr>
          <w:rFonts w:ascii="Times New Roman" w:hAnsi="Times New Roman" w:cs="Times New Roman"/>
          <w:color w:val="000000" w:themeColor="text1"/>
        </w:rPr>
      </w:pPr>
    </w:p>
    <w:p w14:paraId="60BC5B88" w14:textId="77777777" w:rsidR="00D93353" w:rsidRPr="00AF0CC3" w:rsidRDefault="00D93353" w:rsidP="00D93353">
      <w:pPr>
        <w:spacing w:before="240" w:line="360" w:lineRule="auto"/>
        <w:rPr>
          <w:rFonts w:ascii="Times New Roman" w:hAnsi="Times New Roman" w:cs="Times New Roman"/>
          <w:color w:val="000000" w:themeColor="text1"/>
        </w:rPr>
      </w:pPr>
      <w:r w:rsidRPr="00AF0CC3">
        <w:rPr>
          <w:rFonts w:ascii="Times New Roman" w:hAnsi="Times New Roman" w:cs="Times New Roman"/>
          <w:color w:val="000000" w:themeColor="text1"/>
        </w:rPr>
        <w:t xml:space="preserve">The study was undertaken in response to persistent concerns regarding infrastructure underperformance despite substantial public investment in Kenya’s water infrastructure sector. Through the development and application of a Governance Quality Index and the analysis of thirty-two infrastructure projects implemented between 2012 and 2025, the research examined </w:t>
      </w:r>
      <w:r w:rsidRPr="00AF0CC3">
        <w:rPr>
          <w:rFonts w:ascii="Times New Roman" w:hAnsi="Times New Roman" w:cs="Times New Roman"/>
          <w:color w:val="000000" w:themeColor="text1"/>
        </w:rPr>
        <w:lastRenderedPageBreak/>
        <w:t>the relationship between governance quality and infrastructure delivery outcomes. The evidence consistently demonstrated that governance quality was associated with project stalling, implementation delays, institutional resilience, and broader implementation performance outcomes.</w:t>
      </w:r>
    </w:p>
    <w:p w14:paraId="351065AC" w14:textId="77777777" w:rsidR="00D93353" w:rsidRPr="00AF0CC3" w:rsidRDefault="00D93353" w:rsidP="00D93353">
      <w:pPr>
        <w:spacing w:before="240" w:line="360" w:lineRule="auto"/>
        <w:rPr>
          <w:rFonts w:ascii="Times New Roman" w:hAnsi="Times New Roman" w:cs="Times New Roman"/>
          <w:color w:val="000000" w:themeColor="text1"/>
        </w:rPr>
      </w:pPr>
    </w:p>
    <w:p w14:paraId="51193539" w14:textId="77777777" w:rsidR="00D93353" w:rsidRPr="00AF0CC3" w:rsidRDefault="00D93353" w:rsidP="00D93353">
      <w:pPr>
        <w:spacing w:before="240" w:line="360" w:lineRule="auto"/>
        <w:rPr>
          <w:rFonts w:ascii="Times New Roman" w:hAnsi="Times New Roman" w:cs="Times New Roman"/>
          <w:color w:val="000000" w:themeColor="text1"/>
        </w:rPr>
      </w:pPr>
      <w:r w:rsidRPr="00AF0CC3">
        <w:rPr>
          <w:rFonts w:ascii="Times New Roman" w:hAnsi="Times New Roman" w:cs="Times New Roman"/>
          <w:color w:val="000000" w:themeColor="text1"/>
        </w:rPr>
        <w:t>The findings indicate that infrastructure delivery challenges cannot be fully explained by financial, technical, or managerial factors alone. Instead, outcomes are shaped by the effectiveness of the institutional arrangements that guide decision-making, procurement, implementation, oversight, and accountability throughout the project lifecycle. More effective institutional environments were consistently associated with stronger continuity, improved coordination, enhanced resilience, and greater stability in project execution.</w:t>
      </w:r>
    </w:p>
    <w:p w14:paraId="4F1BBF52" w14:textId="77777777" w:rsidR="00D93353" w:rsidRPr="00AF0CC3" w:rsidRDefault="00D93353" w:rsidP="00D93353">
      <w:pPr>
        <w:spacing w:before="240" w:line="360" w:lineRule="auto"/>
        <w:rPr>
          <w:rFonts w:ascii="Times New Roman" w:hAnsi="Times New Roman" w:cs="Times New Roman"/>
          <w:color w:val="000000" w:themeColor="text1"/>
        </w:rPr>
      </w:pPr>
    </w:p>
    <w:p w14:paraId="7687910A" w14:textId="77777777" w:rsidR="00D93353" w:rsidRPr="00AF0CC3" w:rsidRDefault="00D93353" w:rsidP="00D93353">
      <w:pPr>
        <w:spacing w:before="240" w:line="360" w:lineRule="auto"/>
        <w:rPr>
          <w:rFonts w:ascii="Times New Roman" w:hAnsi="Times New Roman" w:cs="Times New Roman"/>
          <w:color w:val="000000" w:themeColor="text1"/>
        </w:rPr>
      </w:pPr>
      <w:r w:rsidRPr="00AF0CC3">
        <w:rPr>
          <w:rFonts w:ascii="Times New Roman" w:hAnsi="Times New Roman" w:cs="Times New Roman"/>
          <w:color w:val="000000" w:themeColor="text1"/>
        </w:rPr>
        <w:t>Beyond its empirical findings, the study contributes to ongoing discussions concerning infrastructure governance within developing-country contexts. The development of the Governance Quality Index provides a practical framework for assessing governance quality at the project level, while the Infrastructure Governance Failure Pathway, Governance–Implementation Relationship Model, and Integrated Governance Reform Framework offer conceptual and practical tools to inform future research, policy development, and implementation practice.</w:t>
      </w:r>
    </w:p>
    <w:p w14:paraId="49D42E2F" w14:textId="77777777" w:rsidR="00D93353" w:rsidRPr="00AF0CC3" w:rsidRDefault="00D93353" w:rsidP="00D93353">
      <w:pPr>
        <w:spacing w:before="240" w:line="360" w:lineRule="auto"/>
        <w:rPr>
          <w:rFonts w:ascii="Times New Roman" w:hAnsi="Times New Roman" w:cs="Times New Roman"/>
          <w:color w:val="000000" w:themeColor="text1"/>
        </w:rPr>
      </w:pPr>
    </w:p>
    <w:p w14:paraId="6BFC9D29" w14:textId="77777777" w:rsidR="00D93353" w:rsidRPr="00AF0CC3" w:rsidRDefault="00D93353" w:rsidP="00D93353">
      <w:pPr>
        <w:spacing w:before="240" w:line="360" w:lineRule="auto"/>
        <w:rPr>
          <w:rFonts w:ascii="Times New Roman" w:hAnsi="Times New Roman" w:cs="Times New Roman"/>
          <w:color w:val="000000" w:themeColor="text1"/>
        </w:rPr>
      </w:pPr>
      <w:r w:rsidRPr="00AF0CC3">
        <w:rPr>
          <w:rFonts w:ascii="Times New Roman" w:hAnsi="Times New Roman" w:cs="Times New Roman"/>
          <w:color w:val="000000" w:themeColor="text1"/>
        </w:rPr>
        <w:t>While the analysis was confined to Kenya's water infrastructure sector, the governance challenges identified are not unique to the Kenyan context. Procurement complexity, fragmented implementation structures, documentation deficiencies, accountability gaps, and climate-related disruption have been widely documented across infrastructure systems in low- and middle-income countries. Consequently, the relationships identified in this research may offer broader analytical insights for policymakers, practitioners, and researchers seeking to strengthen infrastructure governance within similarly constrained institutional environments.</w:t>
      </w:r>
    </w:p>
    <w:p w14:paraId="552610CD" w14:textId="77777777" w:rsidR="00D93353" w:rsidRPr="00AF0CC3" w:rsidRDefault="00D93353" w:rsidP="00D93353">
      <w:pPr>
        <w:spacing w:before="240" w:line="360" w:lineRule="auto"/>
        <w:rPr>
          <w:rFonts w:ascii="Times New Roman" w:hAnsi="Times New Roman" w:cs="Times New Roman"/>
          <w:color w:val="000000" w:themeColor="text1"/>
        </w:rPr>
      </w:pPr>
    </w:p>
    <w:p w14:paraId="305F5952" w14:textId="77777777" w:rsidR="00D93353" w:rsidRPr="00AF0CC3" w:rsidRDefault="00D93353" w:rsidP="00D93353">
      <w:pPr>
        <w:spacing w:before="240" w:line="360" w:lineRule="auto"/>
        <w:rPr>
          <w:rFonts w:ascii="Times New Roman" w:hAnsi="Times New Roman" w:cs="Times New Roman"/>
          <w:color w:val="000000" w:themeColor="text1"/>
        </w:rPr>
      </w:pPr>
      <w:r w:rsidRPr="00AF0CC3">
        <w:rPr>
          <w:rFonts w:ascii="Times New Roman" w:hAnsi="Times New Roman" w:cs="Times New Roman"/>
          <w:color w:val="000000" w:themeColor="text1"/>
        </w:rPr>
        <w:t>In addition to generating project-level evidence, the research advances infrastructure governance scholarship by developing a project-level approach for analyzing the institutional determinants of infrastructure performance. The findings demonstrate that governance-related factors can be systematically measured and evaluated, thereby strengthening understanding of how institutional conditions shape implementation continuity, delivery efficiency, resilience, and development effectiveness within low- and middle-income country settings.</w:t>
      </w:r>
    </w:p>
    <w:p w14:paraId="54F27841" w14:textId="77777777" w:rsidR="00D93353" w:rsidRPr="00AF0CC3" w:rsidRDefault="00D93353" w:rsidP="00D93353">
      <w:pPr>
        <w:spacing w:before="240" w:line="360" w:lineRule="auto"/>
        <w:rPr>
          <w:rFonts w:ascii="Times New Roman" w:hAnsi="Times New Roman" w:cs="Times New Roman"/>
          <w:color w:val="000000" w:themeColor="text1"/>
        </w:rPr>
      </w:pPr>
    </w:p>
    <w:p w14:paraId="74FC2ACE" w14:textId="77777777" w:rsidR="00D93353" w:rsidRPr="00AF0CC3" w:rsidRDefault="00D93353" w:rsidP="00D93353">
      <w:pPr>
        <w:spacing w:before="240" w:line="360" w:lineRule="auto"/>
        <w:rPr>
          <w:rFonts w:ascii="Times New Roman" w:hAnsi="Times New Roman" w:cs="Times New Roman"/>
          <w:color w:val="000000" w:themeColor="text1"/>
        </w:rPr>
      </w:pPr>
      <w:r w:rsidRPr="00AF0CC3">
        <w:rPr>
          <w:rFonts w:ascii="Times New Roman" w:hAnsi="Times New Roman" w:cs="Times New Roman"/>
          <w:color w:val="000000" w:themeColor="text1"/>
        </w:rPr>
        <w:t>The evidence indicates that infrastructure governance is not merely an administrative function but a strategic institutional capability that shapes implementation continuity, accountability, resilience, and development effectiveness. Strengthening governance quality may therefore represent one of the most significant opportunities for improving infrastructure delivery outcomes in Kenya and comparable developing-country contexts. As governments, development partners, and infrastructure agencies continue to invest substantial resources in infrastructure development, equal attention must be given to strengthening the governance systems through which those investments are translated into sustainable public value and long-term development outcomes.</w:t>
      </w:r>
    </w:p>
    <w:p w14:paraId="55842FDD" w14:textId="77777777" w:rsidR="00280EE8" w:rsidRPr="00AF0CC3" w:rsidRDefault="00280EE8" w:rsidP="00FB78A0">
      <w:pPr>
        <w:pStyle w:val="Heading2"/>
        <w:numPr>
          <w:ilvl w:val="0"/>
          <w:numId w:val="0"/>
        </w:numPr>
        <w:spacing w:after="240"/>
        <w:rPr>
          <w:rFonts w:cs="Times New Roman"/>
          <w:b w:val="0"/>
          <w:bCs/>
          <w:color w:val="000000" w:themeColor="text1"/>
          <w:szCs w:val="24"/>
        </w:rPr>
      </w:pPr>
    </w:p>
    <w:p w14:paraId="0501BBAE" w14:textId="77777777" w:rsidR="007D6CC1" w:rsidRPr="00AF0CC3" w:rsidRDefault="007D6CC1" w:rsidP="007D6CC1">
      <w:pPr>
        <w:rPr>
          <w:rFonts w:ascii="Times New Roman" w:hAnsi="Times New Roman" w:cs="Times New Roman"/>
          <w:color w:val="000000" w:themeColor="text1"/>
        </w:rPr>
      </w:pPr>
    </w:p>
    <w:p w14:paraId="74429026" w14:textId="77777777" w:rsidR="007D6CC1" w:rsidRPr="00AF0CC3" w:rsidRDefault="007D6CC1" w:rsidP="007D6CC1">
      <w:pPr>
        <w:rPr>
          <w:rFonts w:ascii="Times New Roman" w:hAnsi="Times New Roman" w:cs="Times New Roman"/>
          <w:color w:val="000000" w:themeColor="text1"/>
        </w:rPr>
      </w:pPr>
    </w:p>
    <w:p w14:paraId="13893BE5" w14:textId="77777777" w:rsidR="007D6CC1" w:rsidRPr="00AF0CC3" w:rsidRDefault="007D6CC1" w:rsidP="007D6CC1">
      <w:pPr>
        <w:rPr>
          <w:rFonts w:ascii="Times New Roman" w:hAnsi="Times New Roman" w:cs="Times New Roman"/>
          <w:color w:val="000000" w:themeColor="text1"/>
        </w:rPr>
      </w:pPr>
    </w:p>
    <w:p w14:paraId="217D602B" w14:textId="77777777" w:rsidR="007D6CC1" w:rsidRPr="00AF0CC3" w:rsidRDefault="007D6CC1" w:rsidP="007D6CC1">
      <w:pPr>
        <w:rPr>
          <w:rFonts w:ascii="Times New Roman" w:hAnsi="Times New Roman" w:cs="Times New Roman"/>
          <w:color w:val="000000" w:themeColor="text1"/>
        </w:rPr>
      </w:pPr>
    </w:p>
    <w:p w14:paraId="5770CB57" w14:textId="77777777" w:rsidR="00FB78A0" w:rsidRPr="00AF0CC3" w:rsidRDefault="00FB78A0" w:rsidP="007D6CC1">
      <w:pPr>
        <w:rPr>
          <w:rFonts w:ascii="Times New Roman" w:hAnsi="Times New Roman" w:cs="Times New Roman"/>
          <w:color w:val="000000" w:themeColor="text1"/>
        </w:rPr>
      </w:pPr>
    </w:p>
    <w:p w14:paraId="2FC228C6" w14:textId="77777777" w:rsidR="00FB78A0" w:rsidRPr="00AF0CC3" w:rsidRDefault="00FB78A0" w:rsidP="007D6CC1">
      <w:pPr>
        <w:rPr>
          <w:rFonts w:ascii="Times New Roman" w:hAnsi="Times New Roman" w:cs="Times New Roman"/>
          <w:color w:val="000000" w:themeColor="text1"/>
        </w:rPr>
      </w:pPr>
    </w:p>
    <w:p w14:paraId="77235DF2" w14:textId="77777777" w:rsidR="00FB78A0" w:rsidRPr="00AF0CC3" w:rsidRDefault="00FB78A0" w:rsidP="007D6CC1">
      <w:pPr>
        <w:rPr>
          <w:rFonts w:ascii="Times New Roman" w:hAnsi="Times New Roman" w:cs="Times New Roman"/>
          <w:color w:val="000000" w:themeColor="text1"/>
        </w:rPr>
      </w:pPr>
    </w:p>
    <w:p w14:paraId="44773A62" w14:textId="77777777" w:rsidR="007D6CC1" w:rsidRPr="00AF0CC3" w:rsidRDefault="007D6CC1" w:rsidP="007D6CC1">
      <w:pPr>
        <w:rPr>
          <w:rFonts w:ascii="Times New Roman" w:hAnsi="Times New Roman" w:cs="Times New Roman"/>
          <w:color w:val="000000" w:themeColor="text1"/>
        </w:rPr>
      </w:pPr>
    </w:p>
    <w:p w14:paraId="274987A3" w14:textId="77777777" w:rsidR="00A55953" w:rsidRPr="00AF0CC3" w:rsidRDefault="00A55953" w:rsidP="00371225">
      <w:pPr>
        <w:spacing w:after="240" w:line="480" w:lineRule="auto"/>
        <w:rPr>
          <w:rFonts w:ascii="Times New Roman" w:hAnsi="Times New Roman" w:cs="Times New Roman"/>
          <w:color w:val="000000" w:themeColor="text1"/>
        </w:rPr>
      </w:pPr>
    </w:p>
    <w:p w14:paraId="3F4591BA" w14:textId="37569D6B" w:rsidR="0077024C" w:rsidRPr="00E80444" w:rsidRDefault="000F3927" w:rsidP="00E80444">
      <w:pPr>
        <w:pStyle w:val="FrontMatterheading2"/>
      </w:pPr>
      <w:bookmarkStart w:id="609" w:name="_Toc234489159"/>
      <w:r w:rsidRPr="00E80444">
        <w:lastRenderedPageBreak/>
        <w:t>Reference</w:t>
      </w:r>
      <w:bookmarkEnd w:id="609"/>
      <w:r w:rsidRPr="00E80444">
        <w:t xml:space="preserve"> </w:t>
      </w:r>
    </w:p>
    <w:p w14:paraId="71B5E4BB" w14:textId="77777777" w:rsidR="0077024C" w:rsidRPr="00AF0CC3" w:rsidRDefault="0077024C" w:rsidP="0077024C">
      <w:pPr>
        <w:spacing w:after="240" w:line="480" w:lineRule="auto"/>
        <w:ind w:left="720" w:hanging="720"/>
        <w:rPr>
          <w:rFonts w:ascii="Times New Roman" w:hAnsi="Times New Roman" w:cs="Times New Roman"/>
          <w:color w:val="000000" w:themeColor="text1"/>
        </w:rPr>
      </w:pPr>
    </w:p>
    <w:p w14:paraId="567B88DA" w14:textId="77777777" w:rsidR="00EB476E" w:rsidRPr="0042376B" w:rsidRDefault="00EB476E" w:rsidP="00EB476E">
      <w:pPr>
        <w:spacing w:before="100" w:beforeAutospacing="1" w:after="100" w:afterAutospacing="1" w:line="240" w:lineRule="auto"/>
        <w:rPr>
          <w:rFonts w:ascii="Times New Roman" w:eastAsia="Times New Roman" w:hAnsi="Times New Roman" w:cs="Times New Roman"/>
          <w:kern w:val="0"/>
          <w14:ligatures w14:val="none"/>
        </w:rPr>
      </w:pPr>
      <w:r w:rsidRPr="0042376B">
        <w:rPr>
          <w:rFonts w:ascii="Times New Roman" w:eastAsia="Times New Roman" w:hAnsi="Times New Roman" w:cs="Times New Roman"/>
          <w:kern w:val="0"/>
          <w14:ligatures w14:val="none"/>
        </w:rPr>
        <w:t xml:space="preserve">Ahlers, R., Cleaver, F., Rusca, M. and Schwartz, K., 2014. Informal space in the urban waterscape: Disaggregation and co-production of water services. </w:t>
      </w:r>
      <w:r w:rsidRPr="0042376B">
        <w:rPr>
          <w:rFonts w:ascii="Times New Roman" w:eastAsia="Times New Roman" w:hAnsi="Times New Roman" w:cs="Times New Roman"/>
          <w:i/>
          <w:iCs/>
          <w:kern w:val="0"/>
          <w14:ligatures w14:val="none"/>
        </w:rPr>
        <w:t>Water Alternatives</w:t>
      </w:r>
      <w:r w:rsidRPr="0042376B">
        <w:rPr>
          <w:rFonts w:ascii="Times New Roman" w:eastAsia="Times New Roman" w:hAnsi="Times New Roman" w:cs="Times New Roman"/>
          <w:kern w:val="0"/>
          <w14:ligatures w14:val="none"/>
        </w:rPr>
        <w:t>, 7(1), pp.1–14.</w:t>
      </w:r>
    </w:p>
    <w:p w14:paraId="5C3E0469" w14:textId="77777777" w:rsidR="00EB476E" w:rsidRPr="0042376B" w:rsidRDefault="00EB476E" w:rsidP="00EB476E">
      <w:pPr>
        <w:spacing w:before="100" w:beforeAutospacing="1" w:after="100" w:afterAutospacing="1" w:line="240" w:lineRule="auto"/>
        <w:rPr>
          <w:rFonts w:ascii="Times New Roman" w:eastAsia="Times New Roman" w:hAnsi="Times New Roman" w:cs="Times New Roman"/>
          <w:kern w:val="0"/>
          <w14:ligatures w14:val="none"/>
        </w:rPr>
      </w:pPr>
      <w:r w:rsidRPr="0042376B">
        <w:rPr>
          <w:rFonts w:ascii="Times New Roman" w:eastAsia="Times New Roman" w:hAnsi="Times New Roman" w:cs="Times New Roman"/>
          <w:kern w:val="0"/>
          <w14:ligatures w14:val="none"/>
        </w:rPr>
        <w:t xml:space="preserve">Ameyaw, E.E. and Chan, A.P.C., 2015. Risk ranking and analysis in PPP water supply infrastructure projects: An international survey of industry experts. </w:t>
      </w:r>
      <w:r w:rsidRPr="0042376B">
        <w:rPr>
          <w:rFonts w:ascii="Times New Roman" w:eastAsia="Times New Roman" w:hAnsi="Times New Roman" w:cs="Times New Roman"/>
          <w:i/>
          <w:iCs/>
          <w:kern w:val="0"/>
          <w14:ligatures w14:val="none"/>
        </w:rPr>
        <w:t>Facilities</w:t>
      </w:r>
      <w:r w:rsidRPr="0042376B">
        <w:rPr>
          <w:rFonts w:ascii="Times New Roman" w:eastAsia="Times New Roman" w:hAnsi="Times New Roman" w:cs="Times New Roman"/>
          <w:kern w:val="0"/>
          <w14:ligatures w14:val="none"/>
        </w:rPr>
        <w:t>, 33(7/8), pp.428–453.</w:t>
      </w:r>
    </w:p>
    <w:p w14:paraId="523C1B97" w14:textId="77777777" w:rsidR="00EB476E" w:rsidRPr="0042376B" w:rsidRDefault="00EB476E" w:rsidP="00EB476E">
      <w:pPr>
        <w:spacing w:before="100" w:beforeAutospacing="1" w:after="100" w:afterAutospacing="1" w:line="240" w:lineRule="auto"/>
        <w:rPr>
          <w:rFonts w:ascii="Times New Roman" w:eastAsia="Times New Roman" w:hAnsi="Times New Roman" w:cs="Times New Roman"/>
          <w:kern w:val="0"/>
          <w14:ligatures w14:val="none"/>
        </w:rPr>
      </w:pPr>
      <w:r w:rsidRPr="0042376B">
        <w:rPr>
          <w:rFonts w:ascii="Times New Roman" w:eastAsia="Times New Roman" w:hAnsi="Times New Roman" w:cs="Times New Roman"/>
          <w:kern w:val="0"/>
          <w14:ligatures w14:val="none"/>
        </w:rPr>
        <w:t xml:space="preserve">Andrews, M., Pritchett, L. and Woolcock, M., 2017. </w:t>
      </w:r>
      <w:r w:rsidRPr="0042376B">
        <w:rPr>
          <w:rFonts w:ascii="Times New Roman" w:eastAsia="Times New Roman" w:hAnsi="Times New Roman" w:cs="Times New Roman"/>
          <w:i/>
          <w:iCs/>
          <w:kern w:val="0"/>
          <w14:ligatures w14:val="none"/>
        </w:rPr>
        <w:t>Building State Capability: Evidence, Analysis, Action</w:t>
      </w:r>
      <w:r w:rsidRPr="0042376B">
        <w:rPr>
          <w:rFonts w:ascii="Times New Roman" w:eastAsia="Times New Roman" w:hAnsi="Times New Roman" w:cs="Times New Roman"/>
          <w:kern w:val="0"/>
          <w14:ligatures w14:val="none"/>
        </w:rPr>
        <w:t>. Oxford: Oxford University Press.</w:t>
      </w:r>
    </w:p>
    <w:p w14:paraId="66FB5BD3" w14:textId="77777777" w:rsidR="00EB476E" w:rsidRPr="0042376B" w:rsidRDefault="00EB476E" w:rsidP="00EB476E">
      <w:pPr>
        <w:spacing w:before="100" w:beforeAutospacing="1" w:after="100" w:afterAutospacing="1" w:line="240" w:lineRule="auto"/>
        <w:rPr>
          <w:rFonts w:ascii="Times New Roman" w:eastAsia="Times New Roman" w:hAnsi="Times New Roman" w:cs="Times New Roman"/>
          <w:kern w:val="0"/>
          <w14:ligatures w14:val="none"/>
        </w:rPr>
      </w:pPr>
      <w:r w:rsidRPr="0042376B">
        <w:rPr>
          <w:rFonts w:ascii="Times New Roman" w:eastAsia="Times New Roman" w:hAnsi="Times New Roman" w:cs="Times New Roman"/>
          <w:kern w:val="0"/>
          <w14:ligatures w14:val="none"/>
        </w:rPr>
        <w:t xml:space="preserve">Angrist, J.D. and Pischke, J.-S., 2009. </w:t>
      </w:r>
      <w:r w:rsidRPr="0042376B">
        <w:rPr>
          <w:rFonts w:ascii="Times New Roman" w:eastAsia="Times New Roman" w:hAnsi="Times New Roman" w:cs="Times New Roman"/>
          <w:i/>
          <w:iCs/>
          <w:kern w:val="0"/>
          <w14:ligatures w14:val="none"/>
        </w:rPr>
        <w:t>Mostly Harmless Econometrics: An Empiricist's Companion</w:t>
      </w:r>
      <w:r w:rsidRPr="0042376B">
        <w:rPr>
          <w:rFonts w:ascii="Times New Roman" w:eastAsia="Times New Roman" w:hAnsi="Times New Roman" w:cs="Times New Roman"/>
          <w:kern w:val="0"/>
          <w14:ligatures w14:val="none"/>
        </w:rPr>
        <w:t>. Princeton, NJ: Princeton University Press.</w:t>
      </w:r>
    </w:p>
    <w:p w14:paraId="53FEA40A" w14:textId="77777777" w:rsidR="00EB476E" w:rsidRPr="0042376B" w:rsidRDefault="00EB476E" w:rsidP="00EB476E">
      <w:pPr>
        <w:spacing w:before="100" w:beforeAutospacing="1" w:after="100" w:afterAutospacing="1" w:line="240" w:lineRule="auto"/>
        <w:rPr>
          <w:rFonts w:ascii="Times New Roman" w:eastAsia="Times New Roman" w:hAnsi="Times New Roman" w:cs="Times New Roman"/>
          <w:kern w:val="0"/>
          <w14:ligatures w14:val="none"/>
        </w:rPr>
      </w:pPr>
      <w:r w:rsidRPr="0042376B">
        <w:rPr>
          <w:rFonts w:ascii="Times New Roman" w:eastAsia="Times New Roman" w:hAnsi="Times New Roman" w:cs="Times New Roman"/>
          <w:kern w:val="0"/>
          <w14:ligatures w14:val="none"/>
        </w:rPr>
        <w:t xml:space="preserve">Ansar, A., Flyvbjerg, B., Budzier, A. and Lunn, D., 2016. Does infrastructure investment lead to economic growth or economic fragility? Evidence from China. </w:t>
      </w:r>
      <w:r w:rsidRPr="0042376B">
        <w:rPr>
          <w:rFonts w:ascii="Times New Roman" w:eastAsia="Times New Roman" w:hAnsi="Times New Roman" w:cs="Times New Roman"/>
          <w:i/>
          <w:iCs/>
          <w:kern w:val="0"/>
          <w14:ligatures w14:val="none"/>
        </w:rPr>
        <w:t>Oxford Review of Economic Policy</w:t>
      </w:r>
      <w:r w:rsidRPr="0042376B">
        <w:rPr>
          <w:rFonts w:ascii="Times New Roman" w:eastAsia="Times New Roman" w:hAnsi="Times New Roman" w:cs="Times New Roman"/>
          <w:kern w:val="0"/>
          <w14:ligatures w14:val="none"/>
        </w:rPr>
        <w:t>, 32(3), pp.360–390.</w:t>
      </w:r>
    </w:p>
    <w:p w14:paraId="6AE7ED2B" w14:textId="77777777" w:rsidR="00EB476E" w:rsidRPr="0042376B" w:rsidRDefault="00EB476E" w:rsidP="00EB476E">
      <w:pPr>
        <w:spacing w:before="100" w:beforeAutospacing="1" w:after="100" w:afterAutospacing="1" w:line="240" w:lineRule="auto"/>
        <w:rPr>
          <w:rFonts w:ascii="Times New Roman" w:eastAsia="Times New Roman" w:hAnsi="Times New Roman" w:cs="Times New Roman"/>
          <w:kern w:val="0"/>
          <w14:ligatures w14:val="none"/>
        </w:rPr>
      </w:pPr>
      <w:r w:rsidRPr="0042376B">
        <w:rPr>
          <w:rFonts w:ascii="Times New Roman" w:eastAsia="Times New Roman" w:hAnsi="Times New Roman" w:cs="Times New Roman"/>
          <w:kern w:val="0"/>
          <w14:ligatures w14:val="none"/>
        </w:rPr>
        <w:t xml:space="preserve">Arndt, C., Sambo, U. and Tarp, F., 2016. Political economy of public investment in developing countries. </w:t>
      </w:r>
      <w:r w:rsidRPr="0042376B">
        <w:rPr>
          <w:rFonts w:ascii="Times New Roman" w:eastAsia="Times New Roman" w:hAnsi="Times New Roman" w:cs="Times New Roman"/>
          <w:i/>
          <w:iCs/>
          <w:kern w:val="0"/>
          <w14:ligatures w14:val="none"/>
        </w:rPr>
        <w:t>World Development</w:t>
      </w:r>
      <w:r w:rsidRPr="0042376B">
        <w:rPr>
          <w:rFonts w:ascii="Times New Roman" w:eastAsia="Times New Roman" w:hAnsi="Times New Roman" w:cs="Times New Roman"/>
          <w:kern w:val="0"/>
          <w14:ligatures w14:val="none"/>
        </w:rPr>
        <w:t>, 83, pp.196–208.</w:t>
      </w:r>
    </w:p>
    <w:p w14:paraId="5E828D25" w14:textId="77777777" w:rsidR="00EB476E" w:rsidRPr="0042376B" w:rsidRDefault="00EB476E" w:rsidP="00EB476E">
      <w:pPr>
        <w:spacing w:before="100" w:beforeAutospacing="1" w:after="100" w:afterAutospacing="1" w:line="240" w:lineRule="auto"/>
        <w:rPr>
          <w:rFonts w:ascii="Times New Roman" w:eastAsia="Times New Roman" w:hAnsi="Times New Roman" w:cs="Times New Roman"/>
          <w:kern w:val="0"/>
          <w14:ligatures w14:val="none"/>
        </w:rPr>
      </w:pPr>
      <w:r w:rsidRPr="0042376B">
        <w:rPr>
          <w:rFonts w:ascii="Times New Roman" w:eastAsia="Times New Roman" w:hAnsi="Times New Roman" w:cs="Times New Roman"/>
          <w:kern w:val="0"/>
          <w14:ligatures w14:val="none"/>
        </w:rPr>
        <w:t xml:space="preserve">Baker, L. and Phillips, J., 2019. Tensions in infrastructure financing: Private investment and development outcomes in emerging markets. </w:t>
      </w:r>
      <w:r w:rsidRPr="0042376B">
        <w:rPr>
          <w:rFonts w:ascii="Times New Roman" w:eastAsia="Times New Roman" w:hAnsi="Times New Roman" w:cs="Times New Roman"/>
          <w:i/>
          <w:iCs/>
          <w:kern w:val="0"/>
          <w14:ligatures w14:val="none"/>
        </w:rPr>
        <w:t>Development Policy Review</w:t>
      </w:r>
      <w:r w:rsidRPr="0042376B">
        <w:rPr>
          <w:rFonts w:ascii="Times New Roman" w:eastAsia="Times New Roman" w:hAnsi="Times New Roman" w:cs="Times New Roman"/>
          <w:kern w:val="0"/>
          <w14:ligatures w14:val="none"/>
        </w:rPr>
        <w:t>, 37(6), pp.725–742.</w:t>
      </w:r>
    </w:p>
    <w:p w14:paraId="516DAE77" w14:textId="77777777" w:rsidR="00EB476E" w:rsidRPr="0042376B" w:rsidRDefault="00EB476E" w:rsidP="00EB476E">
      <w:pPr>
        <w:spacing w:before="100" w:beforeAutospacing="1" w:after="100" w:afterAutospacing="1" w:line="240" w:lineRule="auto"/>
        <w:rPr>
          <w:rFonts w:ascii="Times New Roman" w:eastAsia="Times New Roman" w:hAnsi="Times New Roman" w:cs="Times New Roman"/>
          <w:kern w:val="0"/>
          <w14:ligatures w14:val="none"/>
        </w:rPr>
      </w:pPr>
      <w:r w:rsidRPr="0042376B">
        <w:rPr>
          <w:rFonts w:ascii="Times New Roman" w:eastAsia="Times New Roman" w:hAnsi="Times New Roman" w:cs="Times New Roman"/>
          <w:kern w:val="0"/>
          <w14:ligatures w14:val="none"/>
        </w:rPr>
        <w:t xml:space="preserve">Bayliss, K., Van Waeyenberge, E. and Laughlin, R., 2021. The financialisation of infrastructure. </w:t>
      </w:r>
      <w:r w:rsidRPr="0042376B">
        <w:rPr>
          <w:rFonts w:ascii="Times New Roman" w:eastAsia="Times New Roman" w:hAnsi="Times New Roman" w:cs="Times New Roman"/>
          <w:i/>
          <w:iCs/>
          <w:kern w:val="0"/>
          <w14:ligatures w14:val="none"/>
        </w:rPr>
        <w:t>Review of International Political Economy</w:t>
      </w:r>
      <w:r w:rsidRPr="0042376B">
        <w:rPr>
          <w:rFonts w:ascii="Times New Roman" w:eastAsia="Times New Roman" w:hAnsi="Times New Roman" w:cs="Times New Roman"/>
          <w:kern w:val="0"/>
          <w14:ligatures w14:val="none"/>
        </w:rPr>
        <w:t>, 28(1), pp.1–26.</w:t>
      </w:r>
    </w:p>
    <w:p w14:paraId="77CAE5E4" w14:textId="77777777" w:rsidR="00EB476E" w:rsidRPr="0042376B" w:rsidRDefault="00EB476E" w:rsidP="00EB476E">
      <w:pPr>
        <w:spacing w:before="100" w:beforeAutospacing="1" w:after="100" w:afterAutospacing="1" w:line="240" w:lineRule="auto"/>
        <w:rPr>
          <w:rFonts w:ascii="Times New Roman" w:eastAsia="Times New Roman" w:hAnsi="Times New Roman" w:cs="Times New Roman"/>
          <w:kern w:val="0"/>
          <w14:ligatures w14:val="none"/>
        </w:rPr>
      </w:pPr>
      <w:r w:rsidRPr="0042376B">
        <w:rPr>
          <w:rFonts w:ascii="Times New Roman" w:eastAsia="Times New Roman" w:hAnsi="Times New Roman" w:cs="Times New Roman"/>
          <w:kern w:val="0"/>
          <w14:ligatures w14:val="none"/>
        </w:rPr>
        <w:t xml:space="preserve">Boone, C., Dyzenhaus, A., Manji, A. and Gateri, C., 2019. Land law reform in Kenya: Devolution, veto players, and the limits of an institutional fix. </w:t>
      </w:r>
      <w:r w:rsidRPr="0042376B">
        <w:rPr>
          <w:rFonts w:ascii="Times New Roman" w:eastAsia="Times New Roman" w:hAnsi="Times New Roman" w:cs="Times New Roman"/>
          <w:i/>
          <w:iCs/>
          <w:kern w:val="0"/>
          <w14:ligatures w14:val="none"/>
        </w:rPr>
        <w:t>African Affairs</w:t>
      </w:r>
      <w:r w:rsidRPr="0042376B">
        <w:rPr>
          <w:rFonts w:ascii="Times New Roman" w:eastAsia="Times New Roman" w:hAnsi="Times New Roman" w:cs="Times New Roman"/>
          <w:kern w:val="0"/>
          <w14:ligatures w14:val="none"/>
        </w:rPr>
        <w:t>, 118(471), pp.215–237.</w:t>
      </w:r>
    </w:p>
    <w:p w14:paraId="3DE253CA" w14:textId="77777777" w:rsidR="00EB476E" w:rsidRPr="0042376B" w:rsidRDefault="00EB476E" w:rsidP="00EB476E">
      <w:pPr>
        <w:spacing w:before="100" w:beforeAutospacing="1" w:after="100" w:afterAutospacing="1" w:line="240" w:lineRule="auto"/>
        <w:rPr>
          <w:rFonts w:ascii="Times New Roman" w:eastAsia="Times New Roman" w:hAnsi="Times New Roman" w:cs="Times New Roman"/>
          <w:kern w:val="0"/>
          <w14:ligatures w14:val="none"/>
        </w:rPr>
      </w:pPr>
      <w:r w:rsidRPr="0042376B">
        <w:rPr>
          <w:rFonts w:ascii="Times New Roman" w:eastAsia="Times New Roman" w:hAnsi="Times New Roman" w:cs="Times New Roman"/>
          <w:kern w:val="0"/>
          <w14:ligatures w14:val="none"/>
        </w:rPr>
        <w:t xml:space="preserve">Booth, D. and Golooba-Mutebi, F., 2012. Developmental patrimonialism? The case of Rwanda. </w:t>
      </w:r>
      <w:r w:rsidRPr="0042376B">
        <w:rPr>
          <w:rFonts w:ascii="Times New Roman" w:eastAsia="Times New Roman" w:hAnsi="Times New Roman" w:cs="Times New Roman"/>
          <w:i/>
          <w:iCs/>
          <w:kern w:val="0"/>
          <w14:ligatures w14:val="none"/>
        </w:rPr>
        <w:t>African Affairs</w:t>
      </w:r>
      <w:r w:rsidRPr="0042376B">
        <w:rPr>
          <w:rFonts w:ascii="Times New Roman" w:eastAsia="Times New Roman" w:hAnsi="Times New Roman" w:cs="Times New Roman"/>
          <w:kern w:val="0"/>
          <w14:ligatures w14:val="none"/>
        </w:rPr>
        <w:t>, 111(444), pp.379–403.</w:t>
      </w:r>
    </w:p>
    <w:p w14:paraId="2EB53EE1" w14:textId="77777777" w:rsidR="00EB476E" w:rsidRPr="0042376B" w:rsidRDefault="00EB476E" w:rsidP="00EB476E">
      <w:pPr>
        <w:spacing w:before="100" w:beforeAutospacing="1" w:after="100" w:afterAutospacing="1" w:line="240" w:lineRule="auto"/>
        <w:rPr>
          <w:rFonts w:ascii="Times New Roman" w:eastAsia="Times New Roman" w:hAnsi="Times New Roman" w:cs="Times New Roman"/>
          <w:kern w:val="0"/>
          <w14:ligatures w14:val="none"/>
        </w:rPr>
      </w:pPr>
      <w:r w:rsidRPr="0042376B">
        <w:rPr>
          <w:rFonts w:ascii="Times New Roman" w:eastAsia="Times New Roman" w:hAnsi="Times New Roman" w:cs="Times New Roman"/>
          <w:kern w:val="0"/>
          <w14:ligatures w14:val="none"/>
        </w:rPr>
        <w:t xml:space="preserve">Bryman, A., 2016. </w:t>
      </w:r>
      <w:r w:rsidRPr="0042376B">
        <w:rPr>
          <w:rFonts w:ascii="Times New Roman" w:eastAsia="Times New Roman" w:hAnsi="Times New Roman" w:cs="Times New Roman"/>
          <w:i/>
          <w:iCs/>
          <w:kern w:val="0"/>
          <w14:ligatures w14:val="none"/>
        </w:rPr>
        <w:t>Social Research Methods</w:t>
      </w:r>
      <w:r w:rsidRPr="0042376B">
        <w:rPr>
          <w:rFonts w:ascii="Times New Roman" w:eastAsia="Times New Roman" w:hAnsi="Times New Roman" w:cs="Times New Roman"/>
          <w:kern w:val="0"/>
          <w14:ligatures w14:val="none"/>
        </w:rPr>
        <w:t>. 5th ed. Oxford: Oxford University Press.</w:t>
      </w:r>
    </w:p>
    <w:p w14:paraId="7A3A170D" w14:textId="77777777" w:rsidR="00EB476E" w:rsidRPr="0042376B" w:rsidRDefault="00EB476E" w:rsidP="00EB476E">
      <w:pPr>
        <w:spacing w:before="100" w:beforeAutospacing="1" w:after="100" w:afterAutospacing="1" w:line="240" w:lineRule="auto"/>
        <w:rPr>
          <w:rFonts w:ascii="Times New Roman" w:eastAsia="Times New Roman" w:hAnsi="Times New Roman" w:cs="Times New Roman"/>
          <w:kern w:val="0"/>
          <w14:ligatures w14:val="none"/>
        </w:rPr>
      </w:pPr>
      <w:r w:rsidRPr="0042376B">
        <w:rPr>
          <w:rFonts w:ascii="Times New Roman" w:eastAsia="Times New Roman" w:hAnsi="Times New Roman" w:cs="Times New Roman"/>
          <w:kern w:val="0"/>
          <w14:ligatures w14:val="none"/>
        </w:rPr>
        <w:t xml:space="preserve">Cantarelli, C., Flyvbjerg, B., Molin, E. and Van Wee, B., 2012. Cost overruns in large-scale transport infrastructure projects: Explanations and their theoretical embeddedness. </w:t>
      </w:r>
      <w:r w:rsidRPr="0042376B">
        <w:rPr>
          <w:rFonts w:ascii="Times New Roman" w:eastAsia="Times New Roman" w:hAnsi="Times New Roman" w:cs="Times New Roman"/>
          <w:i/>
          <w:iCs/>
          <w:kern w:val="0"/>
          <w14:ligatures w14:val="none"/>
        </w:rPr>
        <w:t>European Journal of Transport and Infrastructure Research</w:t>
      </w:r>
      <w:r w:rsidRPr="0042376B">
        <w:rPr>
          <w:rFonts w:ascii="Times New Roman" w:eastAsia="Times New Roman" w:hAnsi="Times New Roman" w:cs="Times New Roman"/>
          <w:kern w:val="0"/>
          <w14:ligatures w14:val="none"/>
        </w:rPr>
        <w:t>, 10(1), pp.5–18.</w:t>
      </w:r>
    </w:p>
    <w:p w14:paraId="21933B58" w14:textId="77777777" w:rsidR="00EB476E" w:rsidRPr="0042376B" w:rsidRDefault="00EB476E" w:rsidP="00EB476E">
      <w:pPr>
        <w:spacing w:before="100" w:beforeAutospacing="1" w:after="100" w:afterAutospacing="1" w:line="240" w:lineRule="auto"/>
        <w:rPr>
          <w:rFonts w:ascii="Times New Roman" w:eastAsia="Times New Roman" w:hAnsi="Times New Roman" w:cs="Times New Roman"/>
          <w:kern w:val="0"/>
          <w14:ligatures w14:val="none"/>
        </w:rPr>
      </w:pPr>
      <w:r w:rsidRPr="0042376B">
        <w:rPr>
          <w:rFonts w:ascii="Times New Roman" w:eastAsia="Times New Roman" w:hAnsi="Times New Roman" w:cs="Times New Roman"/>
          <w:kern w:val="0"/>
          <w14:ligatures w14:val="none"/>
        </w:rPr>
        <w:t xml:space="preserve">Cleaver, F. and Whaley, L., 2018. Understanding process, power, and meaning in adaptive governance: A critical institutional reading. </w:t>
      </w:r>
      <w:r w:rsidRPr="0042376B">
        <w:rPr>
          <w:rFonts w:ascii="Times New Roman" w:eastAsia="Times New Roman" w:hAnsi="Times New Roman" w:cs="Times New Roman"/>
          <w:i/>
          <w:iCs/>
          <w:kern w:val="0"/>
          <w14:ligatures w14:val="none"/>
        </w:rPr>
        <w:t>Ecology and Society</w:t>
      </w:r>
      <w:r w:rsidRPr="0042376B">
        <w:rPr>
          <w:rFonts w:ascii="Times New Roman" w:eastAsia="Times New Roman" w:hAnsi="Times New Roman" w:cs="Times New Roman"/>
          <w:kern w:val="0"/>
          <w14:ligatures w14:val="none"/>
        </w:rPr>
        <w:t>, 23(2), Article 49.</w:t>
      </w:r>
    </w:p>
    <w:p w14:paraId="28586EEB" w14:textId="77777777" w:rsidR="00EB476E" w:rsidRDefault="00EB476E" w:rsidP="00EB476E">
      <w:pPr>
        <w:spacing w:before="100" w:beforeAutospacing="1" w:after="100" w:afterAutospacing="1" w:line="240" w:lineRule="auto"/>
        <w:rPr>
          <w:rFonts w:ascii="Times New Roman" w:eastAsia="Times New Roman" w:hAnsi="Times New Roman" w:cs="Times New Roman"/>
          <w:kern w:val="0"/>
          <w14:ligatures w14:val="none"/>
        </w:rPr>
      </w:pPr>
      <w:r w:rsidRPr="0042376B">
        <w:rPr>
          <w:rFonts w:ascii="Times New Roman" w:eastAsia="Times New Roman" w:hAnsi="Times New Roman" w:cs="Times New Roman"/>
          <w:kern w:val="0"/>
          <w14:ligatures w14:val="none"/>
        </w:rPr>
        <w:lastRenderedPageBreak/>
        <w:t xml:space="preserve">Constitution of Kenya, 2010. </w:t>
      </w:r>
      <w:r w:rsidRPr="0042376B">
        <w:rPr>
          <w:rFonts w:ascii="Times New Roman" w:eastAsia="Times New Roman" w:hAnsi="Times New Roman" w:cs="Times New Roman"/>
          <w:i/>
          <w:iCs/>
          <w:kern w:val="0"/>
          <w14:ligatures w14:val="none"/>
        </w:rPr>
        <w:t>The Constitution of Kenya, 2010</w:t>
      </w:r>
      <w:r w:rsidRPr="0042376B">
        <w:rPr>
          <w:rFonts w:ascii="Times New Roman" w:eastAsia="Times New Roman" w:hAnsi="Times New Roman" w:cs="Times New Roman"/>
          <w:kern w:val="0"/>
          <w14:ligatures w14:val="none"/>
        </w:rPr>
        <w:t>. Nairobi: Government Printer.</w:t>
      </w:r>
    </w:p>
    <w:p w14:paraId="63A3FFF1" w14:textId="77777777" w:rsidR="00EB476E" w:rsidRPr="0042376B" w:rsidRDefault="00EB476E" w:rsidP="00EB476E">
      <w:pPr>
        <w:spacing w:before="100" w:beforeAutospacing="1" w:after="100" w:afterAutospacing="1" w:line="240" w:lineRule="auto"/>
        <w:rPr>
          <w:rFonts w:ascii="Times New Roman" w:eastAsia="Times New Roman" w:hAnsi="Times New Roman" w:cs="Times New Roman"/>
          <w:kern w:val="0"/>
          <w14:ligatures w14:val="none"/>
        </w:rPr>
      </w:pPr>
    </w:p>
    <w:p w14:paraId="259EA0D6" w14:textId="77777777" w:rsidR="00EB476E" w:rsidRPr="0042376B" w:rsidRDefault="00EB476E" w:rsidP="00EB476E">
      <w:pPr>
        <w:spacing w:before="100" w:beforeAutospacing="1" w:after="100" w:afterAutospacing="1" w:line="240" w:lineRule="auto"/>
        <w:rPr>
          <w:rFonts w:ascii="Times New Roman" w:eastAsia="Times New Roman" w:hAnsi="Times New Roman" w:cs="Times New Roman"/>
          <w:kern w:val="0"/>
          <w14:ligatures w14:val="none"/>
        </w:rPr>
      </w:pPr>
      <w:r w:rsidRPr="0042376B">
        <w:rPr>
          <w:rFonts w:ascii="Times New Roman" w:eastAsia="Times New Roman" w:hAnsi="Times New Roman" w:cs="Times New Roman"/>
          <w:kern w:val="0"/>
          <w14:ligatures w14:val="none"/>
        </w:rPr>
        <w:t xml:space="preserve">Cook, T.D. and Campbell, D.T., 1979. </w:t>
      </w:r>
      <w:r w:rsidRPr="0042376B">
        <w:rPr>
          <w:rFonts w:ascii="Times New Roman" w:eastAsia="Times New Roman" w:hAnsi="Times New Roman" w:cs="Times New Roman"/>
          <w:i/>
          <w:iCs/>
          <w:kern w:val="0"/>
          <w14:ligatures w14:val="none"/>
        </w:rPr>
        <w:t>Quasi-Experimentation: Design and Analysis Issues for Field Settings</w:t>
      </w:r>
      <w:r w:rsidRPr="0042376B">
        <w:rPr>
          <w:rFonts w:ascii="Times New Roman" w:eastAsia="Times New Roman" w:hAnsi="Times New Roman" w:cs="Times New Roman"/>
          <w:kern w:val="0"/>
          <w14:ligatures w14:val="none"/>
        </w:rPr>
        <w:t>. Boston, MA: Houghton Mifflin.</w:t>
      </w:r>
    </w:p>
    <w:p w14:paraId="518CF4E1" w14:textId="77777777" w:rsidR="00EB476E" w:rsidRPr="0042376B" w:rsidRDefault="00EB476E" w:rsidP="00EB476E">
      <w:pPr>
        <w:spacing w:before="100" w:beforeAutospacing="1" w:after="100" w:afterAutospacing="1" w:line="240" w:lineRule="auto"/>
        <w:rPr>
          <w:rFonts w:ascii="Times New Roman" w:eastAsia="Times New Roman" w:hAnsi="Times New Roman" w:cs="Times New Roman"/>
          <w:kern w:val="0"/>
          <w14:ligatures w14:val="none"/>
        </w:rPr>
      </w:pPr>
      <w:r w:rsidRPr="0042376B">
        <w:rPr>
          <w:rFonts w:ascii="Times New Roman" w:eastAsia="Times New Roman" w:hAnsi="Times New Roman" w:cs="Times New Roman"/>
          <w:kern w:val="0"/>
          <w14:ligatures w14:val="none"/>
        </w:rPr>
        <w:t xml:space="preserve">Creswell, J.W. and Creswell, J.D., 2018. </w:t>
      </w:r>
      <w:r w:rsidRPr="0042376B">
        <w:rPr>
          <w:rFonts w:ascii="Times New Roman" w:eastAsia="Times New Roman" w:hAnsi="Times New Roman" w:cs="Times New Roman"/>
          <w:i/>
          <w:iCs/>
          <w:kern w:val="0"/>
          <w14:ligatures w14:val="none"/>
        </w:rPr>
        <w:t>Research Design: Qualitative, Quantitative, and Mixed Methods Approaches</w:t>
      </w:r>
      <w:r w:rsidRPr="0042376B">
        <w:rPr>
          <w:rFonts w:ascii="Times New Roman" w:eastAsia="Times New Roman" w:hAnsi="Times New Roman" w:cs="Times New Roman"/>
          <w:kern w:val="0"/>
          <w14:ligatures w14:val="none"/>
        </w:rPr>
        <w:t>. 5th ed. Thousand Oaks, CA: Sage.</w:t>
      </w:r>
    </w:p>
    <w:p w14:paraId="279B2BFD" w14:textId="77777777" w:rsidR="00EB476E" w:rsidRPr="0042376B" w:rsidRDefault="00EB476E" w:rsidP="00EB476E">
      <w:pPr>
        <w:spacing w:before="100" w:beforeAutospacing="1" w:after="100" w:afterAutospacing="1" w:line="240" w:lineRule="auto"/>
        <w:rPr>
          <w:rFonts w:ascii="Times New Roman" w:eastAsia="Times New Roman" w:hAnsi="Times New Roman" w:cs="Times New Roman"/>
          <w:kern w:val="0"/>
          <w14:ligatures w14:val="none"/>
        </w:rPr>
      </w:pPr>
      <w:r w:rsidRPr="0042376B">
        <w:rPr>
          <w:rFonts w:ascii="Times New Roman" w:eastAsia="Times New Roman" w:hAnsi="Times New Roman" w:cs="Times New Roman"/>
          <w:kern w:val="0"/>
          <w14:ligatures w14:val="none"/>
        </w:rPr>
        <w:t xml:space="preserve">De Vaus, D.A., 2014. </w:t>
      </w:r>
      <w:r w:rsidRPr="0042376B">
        <w:rPr>
          <w:rFonts w:ascii="Times New Roman" w:eastAsia="Times New Roman" w:hAnsi="Times New Roman" w:cs="Times New Roman"/>
          <w:i/>
          <w:iCs/>
          <w:kern w:val="0"/>
          <w14:ligatures w14:val="none"/>
        </w:rPr>
        <w:t>Research Design in Social Research</w:t>
      </w:r>
      <w:r w:rsidRPr="0042376B">
        <w:rPr>
          <w:rFonts w:ascii="Times New Roman" w:eastAsia="Times New Roman" w:hAnsi="Times New Roman" w:cs="Times New Roman"/>
          <w:kern w:val="0"/>
          <w14:ligatures w14:val="none"/>
        </w:rPr>
        <w:t>. London: Sage.</w:t>
      </w:r>
    </w:p>
    <w:p w14:paraId="06F350FF" w14:textId="77777777" w:rsidR="00EB476E" w:rsidRPr="0042376B" w:rsidRDefault="00EB476E" w:rsidP="00EB476E">
      <w:pPr>
        <w:spacing w:before="100" w:beforeAutospacing="1" w:after="100" w:afterAutospacing="1" w:line="240" w:lineRule="auto"/>
        <w:rPr>
          <w:rFonts w:ascii="Times New Roman" w:eastAsia="Times New Roman" w:hAnsi="Times New Roman" w:cs="Times New Roman"/>
          <w:kern w:val="0"/>
          <w14:ligatures w14:val="none"/>
        </w:rPr>
      </w:pPr>
      <w:r w:rsidRPr="0042376B">
        <w:rPr>
          <w:rFonts w:ascii="Times New Roman" w:eastAsia="Times New Roman" w:hAnsi="Times New Roman" w:cs="Times New Roman"/>
          <w:kern w:val="0"/>
          <w14:ligatures w14:val="none"/>
        </w:rPr>
        <w:t xml:space="preserve">Di Baldassarre, G., Sivapalan, M., Rusca, M., Cudennec, C., Garcia, M., Kreibich, H., Konar, M., Mondino, E., Mård, J. and Pande, S., 2020. Socio-hydrology: Scientific challenges in addressing the Sustainable Development Goals. </w:t>
      </w:r>
      <w:r w:rsidRPr="0042376B">
        <w:rPr>
          <w:rFonts w:ascii="Times New Roman" w:eastAsia="Times New Roman" w:hAnsi="Times New Roman" w:cs="Times New Roman"/>
          <w:i/>
          <w:iCs/>
          <w:kern w:val="0"/>
          <w14:ligatures w14:val="none"/>
        </w:rPr>
        <w:t>Water Resources Research</w:t>
      </w:r>
      <w:r w:rsidRPr="0042376B">
        <w:rPr>
          <w:rFonts w:ascii="Times New Roman" w:eastAsia="Times New Roman" w:hAnsi="Times New Roman" w:cs="Times New Roman"/>
          <w:kern w:val="0"/>
          <w14:ligatures w14:val="none"/>
        </w:rPr>
        <w:t>, 56(7), e2019WR026691.</w:t>
      </w:r>
    </w:p>
    <w:p w14:paraId="3F76F013" w14:textId="77777777" w:rsidR="00EB476E" w:rsidRPr="0042376B" w:rsidRDefault="00EB476E" w:rsidP="00EB476E">
      <w:pPr>
        <w:spacing w:before="100" w:beforeAutospacing="1" w:after="100" w:afterAutospacing="1" w:line="240" w:lineRule="auto"/>
        <w:rPr>
          <w:rFonts w:ascii="Times New Roman" w:eastAsia="Times New Roman" w:hAnsi="Times New Roman" w:cs="Times New Roman"/>
          <w:kern w:val="0"/>
          <w14:ligatures w14:val="none"/>
        </w:rPr>
      </w:pPr>
      <w:r w:rsidRPr="0042376B">
        <w:rPr>
          <w:rFonts w:ascii="Times New Roman" w:eastAsia="Times New Roman" w:hAnsi="Times New Roman" w:cs="Times New Roman"/>
          <w:kern w:val="0"/>
          <w14:ligatures w14:val="none"/>
        </w:rPr>
        <w:t xml:space="preserve">Engel, E., Fischer, R. and Galetovic, A., 2014. </w:t>
      </w:r>
      <w:r w:rsidRPr="0042376B">
        <w:rPr>
          <w:rFonts w:ascii="Times New Roman" w:eastAsia="Times New Roman" w:hAnsi="Times New Roman" w:cs="Times New Roman"/>
          <w:i/>
          <w:iCs/>
          <w:kern w:val="0"/>
          <w14:ligatures w14:val="none"/>
        </w:rPr>
        <w:t>The Economics of Public–Private Partnerships: A Basic Guide</w:t>
      </w:r>
      <w:r w:rsidRPr="0042376B">
        <w:rPr>
          <w:rFonts w:ascii="Times New Roman" w:eastAsia="Times New Roman" w:hAnsi="Times New Roman" w:cs="Times New Roman"/>
          <w:kern w:val="0"/>
          <w14:ligatures w14:val="none"/>
        </w:rPr>
        <w:t>. Cambridge: Cambridge University Press.</w:t>
      </w:r>
    </w:p>
    <w:p w14:paraId="50E4CD89" w14:textId="77777777" w:rsidR="00EB476E" w:rsidRPr="0042376B" w:rsidRDefault="00EB476E" w:rsidP="00EB476E">
      <w:pPr>
        <w:spacing w:before="100" w:beforeAutospacing="1" w:after="100" w:afterAutospacing="1" w:line="240" w:lineRule="auto"/>
        <w:rPr>
          <w:rFonts w:ascii="Times New Roman" w:eastAsia="Times New Roman" w:hAnsi="Times New Roman" w:cs="Times New Roman"/>
          <w:kern w:val="0"/>
          <w14:ligatures w14:val="none"/>
        </w:rPr>
      </w:pPr>
      <w:r w:rsidRPr="0042376B">
        <w:rPr>
          <w:rFonts w:ascii="Times New Roman" w:eastAsia="Times New Roman" w:hAnsi="Times New Roman" w:cs="Times New Roman"/>
          <w:kern w:val="0"/>
          <w14:ligatures w14:val="none"/>
        </w:rPr>
        <w:t xml:space="preserve">Evans, P., 1995. </w:t>
      </w:r>
      <w:r w:rsidRPr="0042376B">
        <w:rPr>
          <w:rFonts w:ascii="Times New Roman" w:eastAsia="Times New Roman" w:hAnsi="Times New Roman" w:cs="Times New Roman"/>
          <w:i/>
          <w:iCs/>
          <w:kern w:val="0"/>
          <w14:ligatures w14:val="none"/>
        </w:rPr>
        <w:t>Embedded Autonomy: States and Industrial Transformation</w:t>
      </w:r>
      <w:r w:rsidRPr="0042376B">
        <w:rPr>
          <w:rFonts w:ascii="Times New Roman" w:eastAsia="Times New Roman" w:hAnsi="Times New Roman" w:cs="Times New Roman"/>
          <w:kern w:val="0"/>
          <w14:ligatures w14:val="none"/>
        </w:rPr>
        <w:t>. Princeton, NJ: Princeton University Press.</w:t>
      </w:r>
    </w:p>
    <w:p w14:paraId="74ADE94B" w14:textId="77777777" w:rsidR="00EB476E" w:rsidRPr="0042376B" w:rsidRDefault="00EB476E" w:rsidP="00EB476E">
      <w:pPr>
        <w:spacing w:before="100" w:beforeAutospacing="1" w:after="100" w:afterAutospacing="1" w:line="240" w:lineRule="auto"/>
        <w:rPr>
          <w:rFonts w:ascii="Times New Roman" w:eastAsia="Times New Roman" w:hAnsi="Times New Roman" w:cs="Times New Roman"/>
          <w:kern w:val="0"/>
          <w14:ligatures w14:val="none"/>
        </w:rPr>
      </w:pPr>
      <w:r w:rsidRPr="0042376B">
        <w:rPr>
          <w:rFonts w:ascii="Times New Roman" w:eastAsia="Times New Roman" w:hAnsi="Times New Roman" w:cs="Times New Roman"/>
          <w:kern w:val="0"/>
          <w14:ligatures w14:val="none"/>
        </w:rPr>
        <w:t xml:space="preserve">FEWS NET, 2022. </w:t>
      </w:r>
      <w:r w:rsidRPr="0042376B">
        <w:rPr>
          <w:rFonts w:ascii="Times New Roman" w:eastAsia="Times New Roman" w:hAnsi="Times New Roman" w:cs="Times New Roman"/>
          <w:i/>
          <w:iCs/>
          <w:kern w:val="0"/>
          <w14:ligatures w14:val="none"/>
        </w:rPr>
        <w:t>Kenya Drought Situation Update</w:t>
      </w:r>
      <w:r w:rsidRPr="0042376B">
        <w:rPr>
          <w:rFonts w:ascii="Times New Roman" w:eastAsia="Times New Roman" w:hAnsi="Times New Roman" w:cs="Times New Roman"/>
          <w:kern w:val="0"/>
          <w14:ligatures w14:val="none"/>
        </w:rPr>
        <w:t>. Washington, DC: Famine Early Warning Systems Network.</w:t>
      </w:r>
    </w:p>
    <w:p w14:paraId="4EDBCAFF" w14:textId="77777777" w:rsidR="00EB476E" w:rsidRPr="0042376B" w:rsidRDefault="00EB476E" w:rsidP="00EB476E">
      <w:pPr>
        <w:spacing w:before="100" w:beforeAutospacing="1" w:after="100" w:afterAutospacing="1" w:line="240" w:lineRule="auto"/>
        <w:rPr>
          <w:rFonts w:ascii="Times New Roman" w:eastAsia="Times New Roman" w:hAnsi="Times New Roman" w:cs="Times New Roman"/>
          <w:kern w:val="0"/>
          <w14:ligatures w14:val="none"/>
        </w:rPr>
      </w:pPr>
      <w:r w:rsidRPr="0042376B">
        <w:rPr>
          <w:rFonts w:ascii="Times New Roman" w:eastAsia="Times New Roman" w:hAnsi="Times New Roman" w:cs="Times New Roman"/>
          <w:kern w:val="0"/>
          <w14:ligatures w14:val="none"/>
        </w:rPr>
        <w:t xml:space="preserve">Flyvbjerg, B., 2014. What you should know about megaprojects and why: An overview. </w:t>
      </w:r>
      <w:r w:rsidRPr="0042376B">
        <w:rPr>
          <w:rFonts w:ascii="Times New Roman" w:eastAsia="Times New Roman" w:hAnsi="Times New Roman" w:cs="Times New Roman"/>
          <w:i/>
          <w:iCs/>
          <w:kern w:val="0"/>
          <w14:ligatures w14:val="none"/>
        </w:rPr>
        <w:t>Project Management Journal</w:t>
      </w:r>
      <w:r w:rsidRPr="0042376B">
        <w:rPr>
          <w:rFonts w:ascii="Times New Roman" w:eastAsia="Times New Roman" w:hAnsi="Times New Roman" w:cs="Times New Roman"/>
          <w:kern w:val="0"/>
          <w14:ligatures w14:val="none"/>
        </w:rPr>
        <w:t>, 45(2), pp.6–19.</w:t>
      </w:r>
    </w:p>
    <w:p w14:paraId="61077014" w14:textId="77777777" w:rsidR="00EB476E" w:rsidRPr="0042376B" w:rsidRDefault="00EB476E" w:rsidP="00EB476E">
      <w:pPr>
        <w:spacing w:before="100" w:beforeAutospacing="1" w:after="100" w:afterAutospacing="1" w:line="240" w:lineRule="auto"/>
        <w:rPr>
          <w:rFonts w:ascii="Times New Roman" w:eastAsia="Times New Roman" w:hAnsi="Times New Roman" w:cs="Times New Roman"/>
          <w:kern w:val="0"/>
          <w14:ligatures w14:val="none"/>
        </w:rPr>
      </w:pPr>
      <w:r w:rsidRPr="0042376B">
        <w:rPr>
          <w:rFonts w:ascii="Times New Roman" w:eastAsia="Times New Roman" w:hAnsi="Times New Roman" w:cs="Times New Roman"/>
          <w:kern w:val="0"/>
          <w14:ligatures w14:val="none"/>
        </w:rPr>
        <w:t xml:space="preserve">Flyvbjerg, B., Gardner, D., Bester, D. and Turner, S., 2023. </w:t>
      </w:r>
      <w:r w:rsidRPr="0042376B">
        <w:rPr>
          <w:rFonts w:ascii="Times New Roman" w:eastAsia="Times New Roman" w:hAnsi="Times New Roman" w:cs="Times New Roman"/>
          <w:i/>
          <w:iCs/>
          <w:kern w:val="0"/>
          <w14:ligatures w14:val="none"/>
        </w:rPr>
        <w:t>How Big Things Get Done: The Surprising Factors Behind Every Successful Project</w:t>
      </w:r>
      <w:r w:rsidRPr="0042376B">
        <w:rPr>
          <w:rFonts w:ascii="Times New Roman" w:eastAsia="Times New Roman" w:hAnsi="Times New Roman" w:cs="Times New Roman"/>
          <w:kern w:val="0"/>
          <w14:ligatures w14:val="none"/>
        </w:rPr>
        <w:t>. London: Penguin Business.</w:t>
      </w:r>
    </w:p>
    <w:p w14:paraId="75638821" w14:textId="77777777" w:rsidR="00EB476E" w:rsidRPr="0042376B" w:rsidRDefault="00EB476E" w:rsidP="00EB476E">
      <w:pPr>
        <w:spacing w:before="100" w:beforeAutospacing="1" w:after="100" w:afterAutospacing="1" w:line="240" w:lineRule="auto"/>
        <w:rPr>
          <w:rFonts w:ascii="Times New Roman" w:eastAsia="Times New Roman" w:hAnsi="Times New Roman" w:cs="Times New Roman"/>
          <w:kern w:val="0"/>
          <w14:ligatures w14:val="none"/>
        </w:rPr>
      </w:pPr>
      <w:r w:rsidRPr="0042376B">
        <w:rPr>
          <w:rFonts w:ascii="Times New Roman" w:eastAsia="Times New Roman" w:hAnsi="Times New Roman" w:cs="Times New Roman"/>
          <w:kern w:val="0"/>
          <w14:ligatures w14:val="none"/>
        </w:rPr>
        <w:t xml:space="preserve">Fuest, V. and Haffner, S., 2007. PPP policies, practices and problems in Ghana's urban water supply. </w:t>
      </w:r>
      <w:r w:rsidRPr="0042376B">
        <w:rPr>
          <w:rFonts w:ascii="Times New Roman" w:eastAsia="Times New Roman" w:hAnsi="Times New Roman" w:cs="Times New Roman"/>
          <w:i/>
          <w:iCs/>
          <w:kern w:val="0"/>
          <w14:ligatures w14:val="none"/>
        </w:rPr>
        <w:t>Water Policy</w:t>
      </w:r>
      <w:r w:rsidRPr="0042376B">
        <w:rPr>
          <w:rFonts w:ascii="Times New Roman" w:eastAsia="Times New Roman" w:hAnsi="Times New Roman" w:cs="Times New Roman"/>
          <w:kern w:val="0"/>
          <w14:ligatures w14:val="none"/>
        </w:rPr>
        <w:t>, 9(2), pp.169–192.</w:t>
      </w:r>
    </w:p>
    <w:p w14:paraId="066A442A" w14:textId="77777777" w:rsidR="00EB476E" w:rsidRPr="0042376B" w:rsidRDefault="00EB476E" w:rsidP="00EB476E">
      <w:pPr>
        <w:spacing w:before="100" w:beforeAutospacing="1" w:after="100" w:afterAutospacing="1" w:line="240" w:lineRule="auto"/>
        <w:rPr>
          <w:rFonts w:ascii="Times New Roman" w:eastAsia="Times New Roman" w:hAnsi="Times New Roman" w:cs="Times New Roman"/>
          <w:kern w:val="0"/>
          <w14:ligatures w14:val="none"/>
        </w:rPr>
      </w:pPr>
      <w:r w:rsidRPr="0042376B">
        <w:rPr>
          <w:rFonts w:ascii="Times New Roman" w:eastAsia="Times New Roman" w:hAnsi="Times New Roman" w:cs="Times New Roman"/>
          <w:kern w:val="0"/>
          <w14:ligatures w14:val="none"/>
        </w:rPr>
        <w:t xml:space="preserve">Gerring, J., 2017. </w:t>
      </w:r>
      <w:r w:rsidRPr="0042376B">
        <w:rPr>
          <w:rFonts w:ascii="Times New Roman" w:eastAsia="Times New Roman" w:hAnsi="Times New Roman" w:cs="Times New Roman"/>
          <w:i/>
          <w:iCs/>
          <w:kern w:val="0"/>
          <w14:ligatures w14:val="none"/>
        </w:rPr>
        <w:t>Case Study Research: Principles and Practices</w:t>
      </w:r>
      <w:r w:rsidRPr="0042376B">
        <w:rPr>
          <w:rFonts w:ascii="Times New Roman" w:eastAsia="Times New Roman" w:hAnsi="Times New Roman" w:cs="Times New Roman"/>
          <w:kern w:val="0"/>
          <w14:ligatures w14:val="none"/>
        </w:rPr>
        <w:t>. 2nd ed. Cambridge: Cambridge University Press.</w:t>
      </w:r>
    </w:p>
    <w:p w14:paraId="35C5C192" w14:textId="77777777" w:rsidR="00EB476E" w:rsidRPr="0042376B" w:rsidRDefault="00EB476E" w:rsidP="00EB476E">
      <w:pPr>
        <w:spacing w:before="100" w:beforeAutospacing="1" w:after="100" w:afterAutospacing="1" w:line="240" w:lineRule="auto"/>
        <w:rPr>
          <w:rFonts w:ascii="Times New Roman" w:eastAsia="Times New Roman" w:hAnsi="Times New Roman" w:cs="Times New Roman"/>
          <w:kern w:val="0"/>
          <w14:ligatures w14:val="none"/>
        </w:rPr>
      </w:pPr>
      <w:r w:rsidRPr="0042376B">
        <w:rPr>
          <w:rFonts w:ascii="Times New Roman" w:eastAsia="Times New Roman" w:hAnsi="Times New Roman" w:cs="Times New Roman"/>
          <w:kern w:val="0"/>
          <w14:ligatures w14:val="none"/>
        </w:rPr>
        <w:t xml:space="preserve">Greene, W.H., 2012. </w:t>
      </w:r>
      <w:r w:rsidRPr="0042376B">
        <w:rPr>
          <w:rFonts w:ascii="Times New Roman" w:eastAsia="Times New Roman" w:hAnsi="Times New Roman" w:cs="Times New Roman"/>
          <w:i/>
          <w:iCs/>
          <w:kern w:val="0"/>
          <w14:ligatures w14:val="none"/>
        </w:rPr>
        <w:t>Econometric Analysis</w:t>
      </w:r>
      <w:r w:rsidRPr="0042376B">
        <w:rPr>
          <w:rFonts w:ascii="Times New Roman" w:eastAsia="Times New Roman" w:hAnsi="Times New Roman" w:cs="Times New Roman"/>
          <w:kern w:val="0"/>
          <w14:ligatures w14:val="none"/>
        </w:rPr>
        <w:t>. 7th ed. Boston, MA: Pearson Education.</w:t>
      </w:r>
    </w:p>
    <w:p w14:paraId="7E9FCE5C" w14:textId="77777777" w:rsidR="00EB476E" w:rsidRPr="0042376B" w:rsidRDefault="00EB476E" w:rsidP="00EB476E">
      <w:pPr>
        <w:spacing w:before="100" w:beforeAutospacing="1" w:after="100" w:afterAutospacing="1" w:line="240" w:lineRule="auto"/>
        <w:rPr>
          <w:rFonts w:ascii="Times New Roman" w:eastAsia="Times New Roman" w:hAnsi="Times New Roman" w:cs="Times New Roman"/>
          <w:kern w:val="0"/>
          <w14:ligatures w14:val="none"/>
        </w:rPr>
      </w:pPr>
      <w:r w:rsidRPr="0042376B">
        <w:rPr>
          <w:rFonts w:ascii="Times New Roman" w:eastAsia="Times New Roman" w:hAnsi="Times New Roman" w:cs="Times New Roman"/>
          <w:kern w:val="0"/>
          <w14:ligatures w14:val="none"/>
        </w:rPr>
        <w:t xml:space="preserve">Grindle, M.S., 2017. </w:t>
      </w:r>
      <w:r w:rsidRPr="0042376B">
        <w:rPr>
          <w:rFonts w:ascii="Times New Roman" w:eastAsia="Times New Roman" w:hAnsi="Times New Roman" w:cs="Times New Roman"/>
          <w:i/>
          <w:iCs/>
          <w:kern w:val="0"/>
          <w14:ligatures w14:val="none"/>
        </w:rPr>
        <w:t>Politics and Policy Implementation in the Third World</w:t>
      </w:r>
      <w:r w:rsidRPr="0042376B">
        <w:rPr>
          <w:rFonts w:ascii="Times New Roman" w:eastAsia="Times New Roman" w:hAnsi="Times New Roman" w:cs="Times New Roman"/>
          <w:kern w:val="0"/>
          <w14:ligatures w14:val="none"/>
        </w:rPr>
        <w:t>. Princeton, NJ: Princeton University Press.</w:t>
      </w:r>
    </w:p>
    <w:p w14:paraId="53BC94D5" w14:textId="77777777" w:rsidR="00EB476E" w:rsidRPr="0042376B" w:rsidRDefault="00EB476E" w:rsidP="00EB476E">
      <w:pPr>
        <w:spacing w:before="100" w:beforeAutospacing="1" w:after="100" w:afterAutospacing="1" w:line="240" w:lineRule="auto"/>
        <w:rPr>
          <w:rFonts w:ascii="Times New Roman" w:eastAsia="Times New Roman" w:hAnsi="Times New Roman" w:cs="Times New Roman"/>
          <w:kern w:val="0"/>
          <w14:ligatures w14:val="none"/>
        </w:rPr>
      </w:pPr>
      <w:r w:rsidRPr="0042376B">
        <w:rPr>
          <w:rFonts w:ascii="Times New Roman" w:eastAsia="Times New Roman" w:hAnsi="Times New Roman" w:cs="Times New Roman"/>
          <w:kern w:val="0"/>
          <w14:ligatures w14:val="none"/>
        </w:rPr>
        <w:t xml:space="preserve">Guasch, J.L., Laffont, J.-J. and Straub, S., 2008. Renegotiation of concession contracts in Latin America. </w:t>
      </w:r>
      <w:r w:rsidRPr="0042376B">
        <w:rPr>
          <w:rFonts w:ascii="Times New Roman" w:eastAsia="Times New Roman" w:hAnsi="Times New Roman" w:cs="Times New Roman"/>
          <w:i/>
          <w:iCs/>
          <w:kern w:val="0"/>
          <w14:ligatures w14:val="none"/>
        </w:rPr>
        <w:t>International Journal of Industrial Organization</w:t>
      </w:r>
      <w:r w:rsidRPr="0042376B">
        <w:rPr>
          <w:rFonts w:ascii="Times New Roman" w:eastAsia="Times New Roman" w:hAnsi="Times New Roman" w:cs="Times New Roman"/>
          <w:kern w:val="0"/>
          <w14:ligatures w14:val="none"/>
        </w:rPr>
        <w:t>, 26(2), pp.421–442.</w:t>
      </w:r>
    </w:p>
    <w:p w14:paraId="04A6A180" w14:textId="77777777" w:rsidR="00EB476E" w:rsidRPr="0042376B" w:rsidRDefault="00EB476E" w:rsidP="00EB476E">
      <w:pPr>
        <w:spacing w:before="100" w:beforeAutospacing="1" w:after="100" w:afterAutospacing="1" w:line="240" w:lineRule="auto"/>
        <w:rPr>
          <w:rFonts w:ascii="Times New Roman" w:eastAsia="Times New Roman" w:hAnsi="Times New Roman" w:cs="Times New Roman"/>
          <w:kern w:val="0"/>
          <w14:ligatures w14:val="none"/>
        </w:rPr>
      </w:pPr>
      <w:r w:rsidRPr="0042376B">
        <w:rPr>
          <w:rFonts w:ascii="Times New Roman" w:eastAsia="Times New Roman" w:hAnsi="Times New Roman" w:cs="Times New Roman"/>
          <w:kern w:val="0"/>
          <w14:ligatures w14:val="none"/>
        </w:rPr>
        <w:lastRenderedPageBreak/>
        <w:t xml:space="preserve">Hall, D., Lobina, E. and Terhorst, P., 2017. Re-municipalisation in the early twenty-first century: Water in France and energy in Germany. </w:t>
      </w:r>
      <w:r w:rsidRPr="0042376B">
        <w:rPr>
          <w:rFonts w:ascii="Times New Roman" w:eastAsia="Times New Roman" w:hAnsi="Times New Roman" w:cs="Times New Roman"/>
          <w:i/>
          <w:iCs/>
          <w:kern w:val="0"/>
          <w14:ligatures w14:val="none"/>
        </w:rPr>
        <w:t>International Review of Applied Economics</w:t>
      </w:r>
      <w:r w:rsidRPr="0042376B">
        <w:rPr>
          <w:rFonts w:ascii="Times New Roman" w:eastAsia="Times New Roman" w:hAnsi="Times New Roman" w:cs="Times New Roman"/>
          <w:kern w:val="0"/>
          <w14:ligatures w14:val="none"/>
        </w:rPr>
        <w:t>, 31(5), pp.603–618.</w:t>
      </w:r>
    </w:p>
    <w:p w14:paraId="078E511E" w14:textId="77777777" w:rsidR="00EB476E" w:rsidRPr="0042376B" w:rsidRDefault="00EB476E" w:rsidP="00EB476E">
      <w:pPr>
        <w:spacing w:before="100" w:beforeAutospacing="1" w:after="100" w:afterAutospacing="1" w:line="240" w:lineRule="auto"/>
        <w:rPr>
          <w:rFonts w:ascii="Times New Roman" w:eastAsia="Times New Roman" w:hAnsi="Times New Roman" w:cs="Times New Roman"/>
          <w:kern w:val="0"/>
          <w14:ligatures w14:val="none"/>
        </w:rPr>
      </w:pPr>
      <w:r w:rsidRPr="0042376B">
        <w:rPr>
          <w:rFonts w:ascii="Times New Roman" w:eastAsia="Times New Roman" w:hAnsi="Times New Roman" w:cs="Times New Roman"/>
          <w:kern w:val="0"/>
          <w14:ligatures w14:val="none"/>
        </w:rPr>
        <w:t xml:space="preserve">Hallegatte, S., Rentschler, J. and Rozenberg, J., 2019. </w:t>
      </w:r>
      <w:r w:rsidRPr="0042376B">
        <w:rPr>
          <w:rFonts w:ascii="Times New Roman" w:eastAsia="Times New Roman" w:hAnsi="Times New Roman" w:cs="Times New Roman"/>
          <w:i/>
          <w:iCs/>
          <w:kern w:val="0"/>
          <w14:ligatures w14:val="none"/>
        </w:rPr>
        <w:t>Lifelines: The Resilient Infrastructure Opportunity</w:t>
      </w:r>
      <w:r w:rsidRPr="0042376B">
        <w:rPr>
          <w:rFonts w:ascii="Times New Roman" w:eastAsia="Times New Roman" w:hAnsi="Times New Roman" w:cs="Times New Roman"/>
          <w:kern w:val="0"/>
          <w14:ligatures w14:val="none"/>
        </w:rPr>
        <w:t>. Washington, DC: World Bank.</w:t>
      </w:r>
    </w:p>
    <w:p w14:paraId="79CAA66A" w14:textId="77777777" w:rsidR="00EB476E" w:rsidRPr="0042376B" w:rsidRDefault="00EB476E" w:rsidP="00EB476E">
      <w:pPr>
        <w:spacing w:before="100" w:beforeAutospacing="1" w:after="100" w:afterAutospacing="1" w:line="240" w:lineRule="auto"/>
        <w:rPr>
          <w:rFonts w:ascii="Times New Roman" w:eastAsia="Times New Roman" w:hAnsi="Times New Roman" w:cs="Times New Roman"/>
          <w:kern w:val="0"/>
          <w14:ligatures w14:val="none"/>
        </w:rPr>
      </w:pPr>
      <w:r w:rsidRPr="0042376B">
        <w:rPr>
          <w:rFonts w:ascii="Times New Roman" w:eastAsia="Times New Roman" w:hAnsi="Times New Roman" w:cs="Times New Roman"/>
          <w:kern w:val="0"/>
          <w14:ligatures w14:val="none"/>
        </w:rPr>
        <w:t xml:space="preserve">Harris, D., McCourt, W. and Kizilbash, Z., 2022. Decentralisation and service delivery in Kenya: Institutional capacity and accountability challenges. </w:t>
      </w:r>
      <w:r w:rsidRPr="0042376B">
        <w:rPr>
          <w:rFonts w:ascii="Times New Roman" w:eastAsia="Times New Roman" w:hAnsi="Times New Roman" w:cs="Times New Roman"/>
          <w:i/>
          <w:iCs/>
          <w:kern w:val="0"/>
          <w14:ligatures w14:val="none"/>
        </w:rPr>
        <w:t>World Development</w:t>
      </w:r>
      <w:r w:rsidRPr="0042376B">
        <w:rPr>
          <w:rFonts w:ascii="Times New Roman" w:eastAsia="Times New Roman" w:hAnsi="Times New Roman" w:cs="Times New Roman"/>
          <w:kern w:val="0"/>
          <w14:ligatures w14:val="none"/>
        </w:rPr>
        <w:t>, 149, 105685.</w:t>
      </w:r>
    </w:p>
    <w:p w14:paraId="6E5F2B63" w14:textId="77777777" w:rsidR="00EB476E" w:rsidRPr="0042376B" w:rsidRDefault="00EB476E" w:rsidP="00EB476E">
      <w:pPr>
        <w:spacing w:before="100" w:beforeAutospacing="1" w:after="100" w:afterAutospacing="1" w:line="240" w:lineRule="auto"/>
        <w:rPr>
          <w:rFonts w:ascii="Times New Roman" w:eastAsia="Times New Roman" w:hAnsi="Times New Roman" w:cs="Times New Roman"/>
          <w:kern w:val="0"/>
          <w14:ligatures w14:val="none"/>
        </w:rPr>
      </w:pPr>
      <w:r w:rsidRPr="0042376B">
        <w:rPr>
          <w:rFonts w:ascii="Times New Roman" w:eastAsia="Times New Roman" w:hAnsi="Times New Roman" w:cs="Times New Roman"/>
          <w:kern w:val="0"/>
          <w14:ligatures w14:val="none"/>
        </w:rPr>
        <w:t xml:space="preserve">Hickey, S. and Bukenya, B., 2012. </w:t>
      </w:r>
      <w:r w:rsidRPr="0042376B">
        <w:rPr>
          <w:rFonts w:ascii="Times New Roman" w:eastAsia="Times New Roman" w:hAnsi="Times New Roman" w:cs="Times New Roman"/>
          <w:i/>
          <w:iCs/>
          <w:kern w:val="0"/>
          <w14:ligatures w14:val="none"/>
        </w:rPr>
        <w:t>The Politics of Inclusive Development: Interrogating the Evidence</w:t>
      </w:r>
      <w:r w:rsidRPr="0042376B">
        <w:rPr>
          <w:rFonts w:ascii="Times New Roman" w:eastAsia="Times New Roman" w:hAnsi="Times New Roman" w:cs="Times New Roman"/>
          <w:kern w:val="0"/>
          <w14:ligatures w14:val="none"/>
        </w:rPr>
        <w:t>. Oxford: Oxford University Press.</w:t>
      </w:r>
    </w:p>
    <w:p w14:paraId="541070F8" w14:textId="77777777" w:rsidR="00EB476E" w:rsidRPr="0042376B" w:rsidRDefault="00EB476E" w:rsidP="00EB476E">
      <w:pPr>
        <w:spacing w:before="100" w:beforeAutospacing="1" w:after="100" w:afterAutospacing="1" w:line="240" w:lineRule="auto"/>
        <w:rPr>
          <w:rFonts w:ascii="Times New Roman" w:eastAsia="Times New Roman" w:hAnsi="Times New Roman" w:cs="Times New Roman"/>
          <w:kern w:val="0"/>
          <w14:ligatures w14:val="none"/>
        </w:rPr>
      </w:pPr>
      <w:r w:rsidRPr="0042376B">
        <w:rPr>
          <w:rFonts w:ascii="Times New Roman" w:eastAsia="Times New Roman" w:hAnsi="Times New Roman" w:cs="Times New Roman"/>
          <w:kern w:val="0"/>
          <w14:ligatures w14:val="none"/>
        </w:rPr>
        <w:t xml:space="preserve">Hooghe, L. and Marks, G., 2003. Unraveling the central state, but how? Types of multi-level governance. </w:t>
      </w:r>
      <w:r w:rsidRPr="0042376B">
        <w:rPr>
          <w:rFonts w:ascii="Times New Roman" w:eastAsia="Times New Roman" w:hAnsi="Times New Roman" w:cs="Times New Roman"/>
          <w:i/>
          <w:iCs/>
          <w:kern w:val="0"/>
          <w14:ligatures w14:val="none"/>
        </w:rPr>
        <w:t>American Political Science Review</w:t>
      </w:r>
      <w:r w:rsidRPr="0042376B">
        <w:rPr>
          <w:rFonts w:ascii="Times New Roman" w:eastAsia="Times New Roman" w:hAnsi="Times New Roman" w:cs="Times New Roman"/>
          <w:kern w:val="0"/>
          <w14:ligatures w14:val="none"/>
        </w:rPr>
        <w:t>, 97(2), pp.233–243.</w:t>
      </w:r>
    </w:p>
    <w:p w14:paraId="15CACB9D" w14:textId="77777777" w:rsidR="00EB476E" w:rsidRPr="00024D6D" w:rsidRDefault="00EB476E" w:rsidP="00EB476E">
      <w:pPr>
        <w:spacing w:before="100" w:beforeAutospacing="1" w:after="100" w:afterAutospacing="1" w:line="240" w:lineRule="auto"/>
        <w:rPr>
          <w:rFonts w:ascii="Times New Roman" w:eastAsia="Times New Roman" w:hAnsi="Times New Roman" w:cs="Times New Roman"/>
          <w:kern w:val="0"/>
          <w14:ligatures w14:val="none"/>
        </w:rPr>
      </w:pPr>
      <w:r w:rsidRPr="00024D6D">
        <w:rPr>
          <w:rFonts w:ascii="Times New Roman" w:eastAsia="Times New Roman" w:hAnsi="Times New Roman" w:cs="Times New Roman"/>
          <w:kern w:val="0"/>
          <w14:ligatures w14:val="none"/>
        </w:rPr>
        <w:t xml:space="preserve">Independent Evaluation Group (IEG), 2014. </w:t>
      </w:r>
      <w:r w:rsidRPr="00024D6D">
        <w:rPr>
          <w:rFonts w:ascii="Times New Roman" w:eastAsia="Times New Roman" w:hAnsi="Times New Roman" w:cs="Times New Roman"/>
          <w:i/>
          <w:iCs/>
          <w:kern w:val="0"/>
          <w14:ligatures w14:val="none"/>
        </w:rPr>
        <w:t>World Bank Group Support to Public–Private Partnerships: Lessons from Experience in Client Countries, FY02–12</w:t>
      </w:r>
      <w:r w:rsidRPr="00024D6D">
        <w:rPr>
          <w:rFonts w:ascii="Times New Roman" w:eastAsia="Times New Roman" w:hAnsi="Times New Roman" w:cs="Times New Roman"/>
          <w:kern w:val="0"/>
          <w14:ligatures w14:val="none"/>
        </w:rPr>
        <w:t>. Washington, DC: World Bank.</w:t>
      </w:r>
    </w:p>
    <w:p w14:paraId="1FF200A2" w14:textId="77777777" w:rsidR="00EB476E" w:rsidRPr="00024D6D" w:rsidRDefault="00EB476E" w:rsidP="00EB476E">
      <w:pPr>
        <w:spacing w:before="100" w:beforeAutospacing="1" w:after="100" w:afterAutospacing="1" w:line="240" w:lineRule="auto"/>
        <w:rPr>
          <w:rFonts w:ascii="Times New Roman" w:eastAsia="Times New Roman" w:hAnsi="Times New Roman" w:cs="Times New Roman"/>
          <w:kern w:val="0"/>
          <w14:ligatures w14:val="none"/>
        </w:rPr>
      </w:pPr>
      <w:r w:rsidRPr="00024D6D">
        <w:rPr>
          <w:rFonts w:ascii="Times New Roman" w:eastAsia="Times New Roman" w:hAnsi="Times New Roman" w:cs="Times New Roman"/>
          <w:kern w:val="0"/>
          <w14:ligatures w14:val="none"/>
        </w:rPr>
        <w:t xml:space="preserve">International Monetary Fund (IMF), 2020. </w:t>
      </w:r>
      <w:r w:rsidRPr="00024D6D">
        <w:rPr>
          <w:rFonts w:ascii="Times New Roman" w:eastAsia="Times New Roman" w:hAnsi="Times New Roman" w:cs="Times New Roman"/>
          <w:i/>
          <w:iCs/>
          <w:kern w:val="0"/>
          <w14:ligatures w14:val="none"/>
        </w:rPr>
        <w:t>Fiscal Monitor: Policies for the Recovery</w:t>
      </w:r>
      <w:r w:rsidRPr="00024D6D">
        <w:rPr>
          <w:rFonts w:ascii="Times New Roman" w:eastAsia="Times New Roman" w:hAnsi="Times New Roman" w:cs="Times New Roman"/>
          <w:kern w:val="0"/>
          <w14:ligatures w14:val="none"/>
        </w:rPr>
        <w:t>. Washington, DC: International Monetary Fund.</w:t>
      </w:r>
    </w:p>
    <w:p w14:paraId="220EFBFA" w14:textId="77777777" w:rsidR="00EB476E" w:rsidRPr="00024D6D" w:rsidRDefault="00EB476E" w:rsidP="00EB476E">
      <w:pPr>
        <w:spacing w:before="100" w:beforeAutospacing="1" w:after="100" w:afterAutospacing="1" w:line="240" w:lineRule="auto"/>
        <w:rPr>
          <w:rFonts w:ascii="Times New Roman" w:eastAsia="Times New Roman" w:hAnsi="Times New Roman" w:cs="Times New Roman"/>
          <w:kern w:val="0"/>
          <w14:ligatures w14:val="none"/>
        </w:rPr>
      </w:pPr>
      <w:r w:rsidRPr="00024D6D">
        <w:rPr>
          <w:rFonts w:ascii="Times New Roman" w:eastAsia="Times New Roman" w:hAnsi="Times New Roman" w:cs="Times New Roman"/>
          <w:kern w:val="0"/>
          <w14:ligatures w14:val="none"/>
        </w:rPr>
        <w:t xml:space="preserve">Intergovernmental Panel on Climate Change (IPCC), 2022. </w:t>
      </w:r>
      <w:r w:rsidRPr="00024D6D">
        <w:rPr>
          <w:rFonts w:ascii="Times New Roman" w:eastAsia="Times New Roman" w:hAnsi="Times New Roman" w:cs="Times New Roman"/>
          <w:i/>
          <w:iCs/>
          <w:kern w:val="0"/>
          <w14:ligatures w14:val="none"/>
        </w:rPr>
        <w:t>Climate Change 2022: Impacts, Adaptation and Vulnerability. Contribution of Working Group II to the Sixth Assessment Report of the Intergovernmental Panel on Climate Change</w:t>
      </w:r>
      <w:r w:rsidRPr="00024D6D">
        <w:rPr>
          <w:rFonts w:ascii="Times New Roman" w:eastAsia="Times New Roman" w:hAnsi="Times New Roman" w:cs="Times New Roman"/>
          <w:kern w:val="0"/>
          <w14:ligatures w14:val="none"/>
        </w:rPr>
        <w:t>. Cambridge: Cambridge University Press.</w:t>
      </w:r>
    </w:p>
    <w:p w14:paraId="33E57758" w14:textId="77777777" w:rsidR="00EB476E" w:rsidRPr="00024D6D" w:rsidRDefault="00EB476E" w:rsidP="00EB476E">
      <w:pPr>
        <w:spacing w:before="100" w:beforeAutospacing="1" w:after="100" w:afterAutospacing="1" w:line="240" w:lineRule="auto"/>
        <w:rPr>
          <w:rFonts w:ascii="Times New Roman" w:eastAsia="Times New Roman" w:hAnsi="Times New Roman" w:cs="Times New Roman"/>
          <w:kern w:val="0"/>
          <w14:ligatures w14:val="none"/>
        </w:rPr>
      </w:pPr>
      <w:r w:rsidRPr="00024D6D">
        <w:rPr>
          <w:rFonts w:ascii="Times New Roman" w:eastAsia="Times New Roman" w:hAnsi="Times New Roman" w:cs="Times New Roman"/>
          <w:kern w:val="0"/>
          <w14:ligatures w14:val="none"/>
        </w:rPr>
        <w:t xml:space="preserve">Joslin, R. and Müller, R., 2015. Relationships between project management methodology and project success in different project governance contexts. </w:t>
      </w:r>
      <w:r w:rsidRPr="00024D6D">
        <w:rPr>
          <w:rFonts w:ascii="Times New Roman" w:eastAsia="Times New Roman" w:hAnsi="Times New Roman" w:cs="Times New Roman"/>
          <w:i/>
          <w:iCs/>
          <w:kern w:val="0"/>
          <w14:ligatures w14:val="none"/>
        </w:rPr>
        <w:t>International Journal of Project Management</w:t>
      </w:r>
      <w:r w:rsidRPr="00024D6D">
        <w:rPr>
          <w:rFonts w:ascii="Times New Roman" w:eastAsia="Times New Roman" w:hAnsi="Times New Roman" w:cs="Times New Roman"/>
          <w:kern w:val="0"/>
          <w14:ligatures w14:val="none"/>
        </w:rPr>
        <w:t>, 33(6), pp.1377–1392.</w:t>
      </w:r>
    </w:p>
    <w:p w14:paraId="0520366D" w14:textId="77777777" w:rsidR="00EB476E" w:rsidRPr="00024D6D" w:rsidRDefault="00EB476E" w:rsidP="00EB476E">
      <w:pPr>
        <w:spacing w:before="100" w:beforeAutospacing="1" w:after="100" w:afterAutospacing="1" w:line="240" w:lineRule="auto"/>
        <w:rPr>
          <w:rFonts w:ascii="Times New Roman" w:eastAsia="Times New Roman" w:hAnsi="Times New Roman" w:cs="Times New Roman"/>
          <w:kern w:val="0"/>
          <w14:ligatures w14:val="none"/>
        </w:rPr>
      </w:pPr>
      <w:r w:rsidRPr="00024D6D">
        <w:rPr>
          <w:rFonts w:ascii="Times New Roman" w:eastAsia="Times New Roman" w:hAnsi="Times New Roman" w:cs="Times New Roman"/>
          <w:kern w:val="0"/>
          <w14:ligatures w14:val="none"/>
        </w:rPr>
        <w:t xml:space="preserve">Kenya National Bureau of Statistics (KNBS), 2023. </w:t>
      </w:r>
      <w:r w:rsidRPr="00024D6D">
        <w:rPr>
          <w:rFonts w:ascii="Times New Roman" w:eastAsia="Times New Roman" w:hAnsi="Times New Roman" w:cs="Times New Roman"/>
          <w:i/>
          <w:iCs/>
          <w:kern w:val="0"/>
          <w14:ligatures w14:val="none"/>
        </w:rPr>
        <w:t>Economic Survey 2023</w:t>
      </w:r>
      <w:r w:rsidRPr="00024D6D">
        <w:rPr>
          <w:rFonts w:ascii="Times New Roman" w:eastAsia="Times New Roman" w:hAnsi="Times New Roman" w:cs="Times New Roman"/>
          <w:kern w:val="0"/>
          <w14:ligatures w14:val="none"/>
        </w:rPr>
        <w:t>. Nairobi: Kenya National Bureau of Statistics.</w:t>
      </w:r>
    </w:p>
    <w:p w14:paraId="3FD4A3B4" w14:textId="77777777" w:rsidR="00EB476E" w:rsidRPr="00024D6D" w:rsidRDefault="00EB476E" w:rsidP="00EB476E">
      <w:pPr>
        <w:spacing w:before="100" w:beforeAutospacing="1" w:after="100" w:afterAutospacing="1" w:line="240" w:lineRule="auto"/>
        <w:rPr>
          <w:rFonts w:ascii="Times New Roman" w:eastAsia="Times New Roman" w:hAnsi="Times New Roman" w:cs="Times New Roman"/>
          <w:kern w:val="0"/>
          <w14:ligatures w14:val="none"/>
        </w:rPr>
      </w:pPr>
      <w:r w:rsidRPr="00024D6D">
        <w:rPr>
          <w:rFonts w:ascii="Times New Roman" w:eastAsia="Times New Roman" w:hAnsi="Times New Roman" w:cs="Times New Roman"/>
          <w:kern w:val="0"/>
          <w14:ligatures w14:val="none"/>
        </w:rPr>
        <w:t xml:space="preserve">Klakegg, O.J., Williams, T. and Magnussen, O.M., 2010. Governance frameworks for public project development and estimation. </w:t>
      </w:r>
      <w:r w:rsidRPr="00024D6D">
        <w:rPr>
          <w:rFonts w:ascii="Times New Roman" w:eastAsia="Times New Roman" w:hAnsi="Times New Roman" w:cs="Times New Roman"/>
          <w:i/>
          <w:iCs/>
          <w:kern w:val="0"/>
          <w14:ligatures w14:val="none"/>
        </w:rPr>
        <w:t>Project Management Journal</w:t>
      </w:r>
      <w:r w:rsidRPr="00024D6D">
        <w:rPr>
          <w:rFonts w:ascii="Times New Roman" w:eastAsia="Times New Roman" w:hAnsi="Times New Roman" w:cs="Times New Roman"/>
          <w:kern w:val="0"/>
          <w14:ligatures w14:val="none"/>
        </w:rPr>
        <w:t>, 41(2), pp.27–42.</w:t>
      </w:r>
    </w:p>
    <w:p w14:paraId="5B98FB64" w14:textId="77777777" w:rsidR="00EB476E" w:rsidRPr="00024D6D" w:rsidRDefault="00EB476E" w:rsidP="00EB476E">
      <w:pPr>
        <w:spacing w:before="100" w:beforeAutospacing="1" w:after="100" w:afterAutospacing="1" w:line="240" w:lineRule="auto"/>
        <w:rPr>
          <w:rFonts w:ascii="Times New Roman" w:eastAsia="Times New Roman" w:hAnsi="Times New Roman" w:cs="Times New Roman"/>
          <w:kern w:val="0"/>
          <w14:ligatures w14:val="none"/>
        </w:rPr>
      </w:pPr>
      <w:r w:rsidRPr="00024D6D">
        <w:rPr>
          <w:rFonts w:ascii="Times New Roman" w:eastAsia="Times New Roman" w:hAnsi="Times New Roman" w:cs="Times New Roman"/>
          <w:kern w:val="0"/>
          <w14:ligatures w14:val="none"/>
        </w:rPr>
        <w:t xml:space="preserve">Koppenjan, J.F.M. and Klijn, E.-H., 2004. </w:t>
      </w:r>
      <w:r w:rsidRPr="00024D6D">
        <w:rPr>
          <w:rFonts w:ascii="Times New Roman" w:eastAsia="Times New Roman" w:hAnsi="Times New Roman" w:cs="Times New Roman"/>
          <w:i/>
          <w:iCs/>
          <w:kern w:val="0"/>
          <w14:ligatures w14:val="none"/>
        </w:rPr>
        <w:t>Managing Uncertainties in Networks: A Network Approach to Problem Solving and Decision Making</w:t>
      </w:r>
      <w:r w:rsidRPr="00024D6D">
        <w:rPr>
          <w:rFonts w:ascii="Times New Roman" w:eastAsia="Times New Roman" w:hAnsi="Times New Roman" w:cs="Times New Roman"/>
          <w:kern w:val="0"/>
          <w14:ligatures w14:val="none"/>
        </w:rPr>
        <w:t>. London: Routledge.</w:t>
      </w:r>
    </w:p>
    <w:p w14:paraId="16F124B7" w14:textId="77777777" w:rsidR="00EB476E" w:rsidRPr="00024D6D" w:rsidRDefault="00EB476E" w:rsidP="00EB476E">
      <w:pPr>
        <w:spacing w:before="100" w:beforeAutospacing="1" w:after="100" w:afterAutospacing="1" w:line="240" w:lineRule="auto"/>
        <w:rPr>
          <w:rFonts w:ascii="Times New Roman" w:eastAsia="Times New Roman" w:hAnsi="Times New Roman" w:cs="Times New Roman"/>
          <w:kern w:val="0"/>
          <w14:ligatures w14:val="none"/>
        </w:rPr>
      </w:pPr>
      <w:r w:rsidRPr="00024D6D">
        <w:rPr>
          <w:rFonts w:ascii="Times New Roman" w:eastAsia="Times New Roman" w:hAnsi="Times New Roman" w:cs="Times New Roman"/>
          <w:kern w:val="0"/>
          <w14:ligatures w14:val="none"/>
        </w:rPr>
        <w:t xml:space="preserve">Lockwood, M., Davidson, J., Curtis, A., Stratford, E. and Griffith, R., 2010. Governance principles for natural resource management. </w:t>
      </w:r>
      <w:r w:rsidRPr="00024D6D">
        <w:rPr>
          <w:rFonts w:ascii="Times New Roman" w:eastAsia="Times New Roman" w:hAnsi="Times New Roman" w:cs="Times New Roman"/>
          <w:i/>
          <w:iCs/>
          <w:kern w:val="0"/>
          <w14:ligatures w14:val="none"/>
        </w:rPr>
        <w:t>Society and Natural Resources</w:t>
      </w:r>
      <w:r w:rsidRPr="00024D6D">
        <w:rPr>
          <w:rFonts w:ascii="Times New Roman" w:eastAsia="Times New Roman" w:hAnsi="Times New Roman" w:cs="Times New Roman"/>
          <w:kern w:val="0"/>
          <w14:ligatures w14:val="none"/>
        </w:rPr>
        <w:t>, 23(10), pp.986–1001.</w:t>
      </w:r>
    </w:p>
    <w:p w14:paraId="3C1A3DD9" w14:textId="77777777" w:rsidR="00EB476E" w:rsidRPr="00024D6D" w:rsidRDefault="00EB476E" w:rsidP="00EB476E">
      <w:pPr>
        <w:spacing w:before="100" w:beforeAutospacing="1" w:after="100" w:afterAutospacing="1" w:line="240" w:lineRule="auto"/>
        <w:rPr>
          <w:rFonts w:ascii="Times New Roman" w:eastAsia="Times New Roman" w:hAnsi="Times New Roman" w:cs="Times New Roman"/>
          <w:kern w:val="0"/>
          <w14:ligatures w14:val="none"/>
        </w:rPr>
      </w:pPr>
      <w:r w:rsidRPr="00024D6D">
        <w:rPr>
          <w:rFonts w:ascii="Times New Roman" w:eastAsia="Times New Roman" w:hAnsi="Times New Roman" w:cs="Times New Roman"/>
          <w:kern w:val="0"/>
          <w14:ligatures w14:val="none"/>
        </w:rPr>
        <w:lastRenderedPageBreak/>
        <w:t xml:space="preserve">Lonsdale, J., 1992. The moral economy of Mau Mau: Wealth, poverty and civic virtue in Kikuyu political thought. In: B. Berman and J. Lonsdale, eds. </w:t>
      </w:r>
      <w:r w:rsidRPr="00024D6D">
        <w:rPr>
          <w:rFonts w:ascii="Times New Roman" w:eastAsia="Times New Roman" w:hAnsi="Times New Roman" w:cs="Times New Roman"/>
          <w:i/>
          <w:iCs/>
          <w:kern w:val="0"/>
          <w14:ligatures w14:val="none"/>
        </w:rPr>
        <w:t>Unhappy Valley: Conflict in Kenya and Africa</w:t>
      </w:r>
      <w:r w:rsidRPr="00024D6D">
        <w:rPr>
          <w:rFonts w:ascii="Times New Roman" w:eastAsia="Times New Roman" w:hAnsi="Times New Roman" w:cs="Times New Roman"/>
          <w:kern w:val="0"/>
          <w14:ligatures w14:val="none"/>
        </w:rPr>
        <w:t>. London: James Currey, pp.315–504.</w:t>
      </w:r>
    </w:p>
    <w:p w14:paraId="55C37E9B" w14:textId="77777777" w:rsidR="00EB476E" w:rsidRPr="00024D6D" w:rsidRDefault="00EB476E" w:rsidP="00EB476E">
      <w:pPr>
        <w:spacing w:before="100" w:beforeAutospacing="1" w:after="100" w:afterAutospacing="1" w:line="240" w:lineRule="auto"/>
        <w:rPr>
          <w:rFonts w:ascii="Times New Roman" w:eastAsia="Times New Roman" w:hAnsi="Times New Roman" w:cs="Times New Roman"/>
          <w:kern w:val="0"/>
          <w14:ligatures w14:val="none"/>
        </w:rPr>
      </w:pPr>
      <w:r w:rsidRPr="00024D6D">
        <w:rPr>
          <w:rFonts w:ascii="Times New Roman" w:eastAsia="Times New Roman" w:hAnsi="Times New Roman" w:cs="Times New Roman"/>
          <w:kern w:val="0"/>
          <w14:ligatures w14:val="none"/>
        </w:rPr>
        <w:t xml:space="preserve">Merrow, E.W., 2011. </w:t>
      </w:r>
      <w:r w:rsidRPr="00024D6D">
        <w:rPr>
          <w:rFonts w:ascii="Times New Roman" w:eastAsia="Times New Roman" w:hAnsi="Times New Roman" w:cs="Times New Roman"/>
          <w:i/>
          <w:iCs/>
          <w:kern w:val="0"/>
          <w14:ligatures w14:val="none"/>
        </w:rPr>
        <w:t>Industrial Megaprojects: Concepts, Strategies, and Practices for Success</w:t>
      </w:r>
      <w:r w:rsidRPr="00024D6D">
        <w:rPr>
          <w:rFonts w:ascii="Times New Roman" w:eastAsia="Times New Roman" w:hAnsi="Times New Roman" w:cs="Times New Roman"/>
          <w:kern w:val="0"/>
          <w14:ligatures w14:val="none"/>
        </w:rPr>
        <w:t>. Hoboken, NJ: John Wiley &amp; Sons.</w:t>
      </w:r>
    </w:p>
    <w:p w14:paraId="47DCD2CE" w14:textId="77777777" w:rsidR="00EB476E" w:rsidRPr="00024D6D" w:rsidRDefault="00EB476E" w:rsidP="00EB476E">
      <w:pPr>
        <w:spacing w:before="100" w:beforeAutospacing="1" w:after="100" w:afterAutospacing="1" w:line="240" w:lineRule="auto"/>
        <w:rPr>
          <w:rFonts w:ascii="Times New Roman" w:eastAsia="Times New Roman" w:hAnsi="Times New Roman" w:cs="Times New Roman"/>
          <w:kern w:val="0"/>
          <w14:ligatures w14:val="none"/>
        </w:rPr>
      </w:pPr>
      <w:r w:rsidRPr="00024D6D">
        <w:rPr>
          <w:rFonts w:ascii="Times New Roman" w:eastAsia="Times New Roman" w:hAnsi="Times New Roman" w:cs="Times New Roman"/>
          <w:kern w:val="0"/>
          <w14:ligatures w14:val="none"/>
        </w:rPr>
        <w:t xml:space="preserve">Miller, R. and Lessard, D.R., 2001. Understanding and managing risks in large engineering projects. </w:t>
      </w:r>
      <w:r w:rsidRPr="00024D6D">
        <w:rPr>
          <w:rFonts w:ascii="Times New Roman" w:eastAsia="Times New Roman" w:hAnsi="Times New Roman" w:cs="Times New Roman"/>
          <w:i/>
          <w:iCs/>
          <w:kern w:val="0"/>
          <w14:ligatures w14:val="none"/>
        </w:rPr>
        <w:t>International Journal of Project Management</w:t>
      </w:r>
      <w:r w:rsidRPr="00024D6D">
        <w:rPr>
          <w:rFonts w:ascii="Times New Roman" w:eastAsia="Times New Roman" w:hAnsi="Times New Roman" w:cs="Times New Roman"/>
          <w:kern w:val="0"/>
          <w14:ligatures w14:val="none"/>
        </w:rPr>
        <w:t>, 19(8), pp.437–443.</w:t>
      </w:r>
    </w:p>
    <w:p w14:paraId="7D900226" w14:textId="77777777" w:rsidR="00EB476E" w:rsidRPr="00024D6D" w:rsidRDefault="00EB476E" w:rsidP="00EB476E">
      <w:pPr>
        <w:spacing w:before="100" w:beforeAutospacing="1" w:after="100" w:afterAutospacing="1" w:line="240" w:lineRule="auto"/>
        <w:rPr>
          <w:rFonts w:ascii="Times New Roman" w:eastAsia="Times New Roman" w:hAnsi="Times New Roman" w:cs="Times New Roman"/>
          <w:kern w:val="0"/>
          <w14:ligatures w14:val="none"/>
        </w:rPr>
      </w:pPr>
      <w:r w:rsidRPr="00024D6D">
        <w:rPr>
          <w:rFonts w:ascii="Times New Roman" w:eastAsia="Times New Roman" w:hAnsi="Times New Roman" w:cs="Times New Roman"/>
          <w:kern w:val="0"/>
          <w14:ligatures w14:val="none"/>
        </w:rPr>
        <w:t xml:space="preserve">Ministry of Water, Sanitation and Irrigation (MoWSI), 2023. </w:t>
      </w:r>
      <w:r w:rsidRPr="00024D6D">
        <w:rPr>
          <w:rFonts w:ascii="Times New Roman" w:eastAsia="Times New Roman" w:hAnsi="Times New Roman" w:cs="Times New Roman"/>
          <w:i/>
          <w:iCs/>
          <w:kern w:val="0"/>
          <w14:ligatures w14:val="none"/>
        </w:rPr>
        <w:t>Annual Water Sector Performance Report 2022/2023</w:t>
      </w:r>
      <w:r w:rsidRPr="00024D6D">
        <w:rPr>
          <w:rFonts w:ascii="Times New Roman" w:eastAsia="Times New Roman" w:hAnsi="Times New Roman" w:cs="Times New Roman"/>
          <w:kern w:val="0"/>
          <w14:ligatures w14:val="none"/>
        </w:rPr>
        <w:t>. Nairobi: Government of Kenya.</w:t>
      </w:r>
    </w:p>
    <w:p w14:paraId="18AF596D" w14:textId="77777777" w:rsidR="00EB476E" w:rsidRPr="00024D6D" w:rsidRDefault="00EB476E" w:rsidP="00EB476E">
      <w:pPr>
        <w:spacing w:before="100" w:beforeAutospacing="1" w:after="100" w:afterAutospacing="1" w:line="240" w:lineRule="auto"/>
        <w:rPr>
          <w:rFonts w:ascii="Times New Roman" w:eastAsia="Times New Roman" w:hAnsi="Times New Roman" w:cs="Times New Roman"/>
          <w:kern w:val="0"/>
          <w14:ligatures w14:val="none"/>
        </w:rPr>
      </w:pPr>
      <w:r w:rsidRPr="00024D6D">
        <w:rPr>
          <w:rFonts w:ascii="Times New Roman" w:eastAsia="Times New Roman" w:hAnsi="Times New Roman" w:cs="Times New Roman"/>
          <w:kern w:val="0"/>
          <w14:ligatures w14:val="none"/>
        </w:rPr>
        <w:t xml:space="preserve">Muller, R., 2017. </w:t>
      </w:r>
      <w:r w:rsidRPr="00024D6D">
        <w:rPr>
          <w:rFonts w:ascii="Times New Roman" w:eastAsia="Times New Roman" w:hAnsi="Times New Roman" w:cs="Times New Roman"/>
          <w:i/>
          <w:iCs/>
          <w:kern w:val="0"/>
          <w14:ligatures w14:val="none"/>
        </w:rPr>
        <w:t>Project Governance</w:t>
      </w:r>
      <w:r w:rsidRPr="00024D6D">
        <w:rPr>
          <w:rFonts w:ascii="Times New Roman" w:eastAsia="Times New Roman" w:hAnsi="Times New Roman" w:cs="Times New Roman"/>
          <w:kern w:val="0"/>
          <w14:ligatures w14:val="none"/>
        </w:rPr>
        <w:t>. 2nd ed. London: Routledge.</w:t>
      </w:r>
    </w:p>
    <w:p w14:paraId="1A067A8C" w14:textId="77777777" w:rsidR="00EB476E" w:rsidRPr="00024D6D" w:rsidRDefault="00EB476E" w:rsidP="00EB476E">
      <w:pPr>
        <w:spacing w:before="100" w:beforeAutospacing="1" w:after="100" w:afterAutospacing="1" w:line="240" w:lineRule="auto"/>
        <w:rPr>
          <w:rFonts w:ascii="Times New Roman" w:eastAsia="Times New Roman" w:hAnsi="Times New Roman" w:cs="Times New Roman"/>
          <w:kern w:val="0"/>
          <w14:ligatures w14:val="none"/>
        </w:rPr>
      </w:pPr>
      <w:r w:rsidRPr="00CC0B52">
        <w:rPr>
          <w:rFonts w:ascii="Times New Roman" w:eastAsia="Times New Roman" w:hAnsi="Times New Roman" w:cs="Times New Roman"/>
          <w:kern w:val="0"/>
          <w14:ligatures w14:val="none"/>
        </w:rPr>
        <w:t>PhD DissertationPhD Dissertation</w:t>
      </w:r>
      <w:r w:rsidRPr="00024D6D">
        <w:rPr>
          <w:rFonts w:ascii="Times New Roman" w:eastAsia="Times New Roman" w:hAnsi="Times New Roman" w:cs="Times New Roman"/>
          <w:kern w:val="0"/>
          <w14:ligatures w14:val="none"/>
        </w:rPr>
        <w:t xml:space="preserve">National Climate Change Council (NCCC), 2023. </w:t>
      </w:r>
      <w:r w:rsidRPr="00024D6D">
        <w:rPr>
          <w:rFonts w:ascii="Times New Roman" w:eastAsia="Times New Roman" w:hAnsi="Times New Roman" w:cs="Times New Roman"/>
          <w:i/>
          <w:iCs/>
          <w:kern w:val="0"/>
          <w14:ligatures w14:val="none"/>
        </w:rPr>
        <w:t>National Climate Change Action Plan Progress Report</w:t>
      </w:r>
      <w:r w:rsidRPr="00024D6D">
        <w:rPr>
          <w:rFonts w:ascii="Times New Roman" w:eastAsia="Times New Roman" w:hAnsi="Times New Roman" w:cs="Times New Roman"/>
          <w:kern w:val="0"/>
          <w14:ligatures w14:val="none"/>
        </w:rPr>
        <w:t>. Nairobi: Government of Kenya.</w:t>
      </w:r>
    </w:p>
    <w:p w14:paraId="05981F6F" w14:textId="77777777" w:rsidR="00EB476E" w:rsidRPr="00024D6D" w:rsidRDefault="00EB476E" w:rsidP="00EB476E">
      <w:pPr>
        <w:spacing w:before="100" w:beforeAutospacing="1" w:after="100" w:afterAutospacing="1" w:line="240" w:lineRule="auto"/>
        <w:rPr>
          <w:rFonts w:ascii="Times New Roman" w:eastAsia="Times New Roman" w:hAnsi="Times New Roman" w:cs="Times New Roman"/>
          <w:kern w:val="0"/>
          <w14:ligatures w14:val="none"/>
        </w:rPr>
      </w:pPr>
      <w:r w:rsidRPr="00024D6D">
        <w:rPr>
          <w:rFonts w:ascii="Times New Roman" w:eastAsia="Times New Roman" w:hAnsi="Times New Roman" w:cs="Times New Roman"/>
          <w:kern w:val="0"/>
          <w14:ligatures w14:val="none"/>
        </w:rPr>
        <w:t xml:space="preserve">National Drought Management Authority (NDMA), 2023. </w:t>
      </w:r>
      <w:r w:rsidRPr="00024D6D">
        <w:rPr>
          <w:rFonts w:ascii="Times New Roman" w:eastAsia="Times New Roman" w:hAnsi="Times New Roman" w:cs="Times New Roman"/>
          <w:i/>
          <w:iCs/>
          <w:kern w:val="0"/>
          <w14:ligatures w14:val="none"/>
        </w:rPr>
        <w:t>Kenya Drought Early Warning Bulletin</w:t>
      </w:r>
      <w:r w:rsidRPr="00024D6D">
        <w:rPr>
          <w:rFonts w:ascii="Times New Roman" w:eastAsia="Times New Roman" w:hAnsi="Times New Roman" w:cs="Times New Roman"/>
          <w:kern w:val="0"/>
          <w14:ligatures w14:val="none"/>
        </w:rPr>
        <w:t>. Nairobi: NDMA.</w:t>
      </w:r>
    </w:p>
    <w:p w14:paraId="37FA9F3F" w14:textId="77777777" w:rsidR="00EB476E" w:rsidRPr="00024D6D" w:rsidRDefault="00EB476E" w:rsidP="00EB476E">
      <w:pPr>
        <w:spacing w:before="100" w:beforeAutospacing="1" w:after="100" w:afterAutospacing="1" w:line="240" w:lineRule="auto"/>
        <w:rPr>
          <w:rFonts w:ascii="Times New Roman" w:eastAsia="Times New Roman" w:hAnsi="Times New Roman" w:cs="Times New Roman"/>
          <w:kern w:val="0"/>
          <w14:ligatures w14:val="none"/>
        </w:rPr>
      </w:pPr>
      <w:r w:rsidRPr="00024D6D">
        <w:rPr>
          <w:rFonts w:ascii="Times New Roman" w:eastAsia="Times New Roman" w:hAnsi="Times New Roman" w:cs="Times New Roman"/>
          <w:kern w:val="0"/>
          <w14:ligatures w14:val="none"/>
        </w:rPr>
        <w:t xml:space="preserve">North, D.C., 1990. </w:t>
      </w:r>
      <w:r w:rsidRPr="00024D6D">
        <w:rPr>
          <w:rFonts w:ascii="Times New Roman" w:eastAsia="Times New Roman" w:hAnsi="Times New Roman" w:cs="Times New Roman"/>
          <w:i/>
          <w:iCs/>
          <w:kern w:val="0"/>
          <w14:ligatures w14:val="none"/>
        </w:rPr>
        <w:t>Institutions, Institutional Change and Economic Performance</w:t>
      </w:r>
      <w:r w:rsidRPr="00024D6D">
        <w:rPr>
          <w:rFonts w:ascii="Times New Roman" w:eastAsia="Times New Roman" w:hAnsi="Times New Roman" w:cs="Times New Roman"/>
          <w:kern w:val="0"/>
          <w14:ligatures w14:val="none"/>
        </w:rPr>
        <w:t>. Cambridge: Cambridge University Press.</w:t>
      </w:r>
    </w:p>
    <w:p w14:paraId="24BBF706" w14:textId="77777777" w:rsidR="00EB476E" w:rsidRPr="00024D6D" w:rsidRDefault="00EB476E" w:rsidP="00EB476E">
      <w:pPr>
        <w:spacing w:before="100" w:beforeAutospacing="1" w:after="100" w:afterAutospacing="1" w:line="240" w:lineRule="auto"/>
        <w:rPr>
          <w:rFonts w:ascii="Times New Roman" w:eastAsia="Times New Roman" w:hAnsi="Times New Roman" w:cs="Times New Roman"/>
          <w:kern w:val="0"/>
          <w14:ligatures w14:val="none"/>
        </w:rPr>
      </w:pPr>
      <w:r w:rsidRPr="00024D6D">
        <w:rPr>
          <w:rFonts w:ascii="Times New Roman" w:eastAsia="Times New Roman" w:hAnsi="Times New Roman" w:cs="Times New Roman"/>
          <w:kern w:val="0"/>
          <w14:ligatures w14:val="none"/>
        </w:rPr>
        <w:t xml:space="preserve">OECD, 2015. </w:t>
      </w:r>
      <w:r w:rsidRPr="00024D6D">
        <w:rPr>
          <w:rFonts w:ascii="Times New Roman" w:eastAsia="Times New Roman" w:hAnsi="Times New Roman" w:cs="Times New Roman"/>
          <w:i/>
          <w:iCs/>
          <w:kern w:val="0"/>
          <w14:ligatures w14:val="none"/>
        </w:rPr>
        <w:t>Principles for Public Governance of Public–Private Partnerships</w:t>
      </w:r>
      <w:r w:rsidRPr="00024D6D">
        <w:rPr>
          <w:rFonts w:ascii="Times New Roman" w:eastAsia="Times New Roman" w:hAnsi="Times New Roman" w:cs="Times New Roman"/>
          <w:kern w:val="0"/>
          <w14:ligatures w14:val="none"/>
        </w:rPr>
        <w:t>. Paris: Organisation for Economic Co-operation and Development.</w:t>
      </w:r>
    </w:p>
    <w:p w14:paraId="5A00716D" w14:textId="77777777" w:rsidR="00EB476E" w:rsidRPr="00024D6D" w:rsidRDefault="00EB476E" w:rsidP="00EB476E">
      <w:pPr>
        <w:spacing w:before="100" w:beforeAutospacing="1" w:after="100" w:afterAutospacing="1" w:line="240" w:lineRule="auto"/>
        <w:rPr>
          <w:rFonts w:ascii="Times New Roman" w:eastAsia="Times New Roman" w:hAnsi="Times New Roman" w:cs="Times New Roman"/>
          <w:kern w:val="0"/>
          <w14:ligatures w14:val="none"/>
        </w:rPr>
      </w:pPr>
      <w:r w:rsidRPr="00024D6D">
        <w:rPr>
          <w:rFonts w:ascii="Times New Roman" w:eastAsia="Times New Roman" w:hAnsi="Times New Roman" w:cs="Times New Roman"/>
          <w:kern w:val="0"/>
          <w14:ligatures w14:val="none"/>
        </w:rPr>
        <w:t xml:space="preserve">OECD, 2020. </w:t>
      </w:r>
      <w:r w:rsidRPr="00024D6D">
        <w:rPr>
          <w:rFonts w:ascii="Times New Roman" w:eastAsia="Times New Roman" w:hAnsi="Times New Roman" w:cs="Times New Roman"/>
          <w:i/>
          <w:iCs/>
          <w:kern w:val="0"/>
          <w14:ligatures w14:val="none"/>
        </w:rPr>
        <w:t>OECD Recommendation on the Governance of Infrastructure</w:t>
      </w:r>
      <w:r w:rsidRPr="00024D6D">
        <w:rPr>
          <w:rFonts w:ascii="Times New Roman" w:eastAsia="Times New Roman" w:hAnsi="Times New Roman" w:cs="Times New Roman"/>
          <w:kern w:val="0"/>
          <w14:ligatures w14:val="none"/>
        </w:rPr>
        <w:t>. Paris: Organisation for Economic Co-operation and Development.</w:t>
      </w:r>
    </w:p>
    <w:p w14:paraId="5E0C510A" w14:textId="77777777" w:rsidR="00EB476E" w:rsidRPr="00024D6D" w:rsidRDefault="00EB476E" w:rsidP="00EB476E">
      <w:pPr>
        <w:spacing w:before="100" w:beforeAutospacing="1" w:after="100" w:afterAutospacing="1" w:line="240" w:lineRule="auto"/>
        <w:rPr>
          <w:rFonts w:ascii="Times New Roman" w:eastAsia="Times New Roman" w:hAnsi="Times New Roman" w:cs="Times New Roman"/>
          <w:kern w:val="0"/>
          <w14:ligatures w14:val="none"/>
        </w:rPr>
      </w:pPr>
      <w:r w:rsidRPr="00024D6D">
        <w:rPr>
          <w:rFonts w:ascii="Times New Roman" w:eastAsia="Times New Roman" w:hAnsi="Times New Roman" w:cs="Times New Roman"/>
          <w:kern w:val="0"/>
          <w14:ligatures w14:val="none"/>
        </w:rPr>
        <w:t xml:space="preserve">OECD, 2021. </w:t>
      </w:r>
      <w:r w:rsidRPr="00024D6D">
        <w:rPr>
          <w:rFonts w:ascii="Times New Roman" w:eastAsia="Times New Roman" w:hAnsi="Times New Roman" w:cs="Times New Roman"/>
          <w:i/>
          <w:iCs/>
          <w:kern w:val="0"/>
          <w14:ligatures w14:val="none"/>
        </w:rPr>
        <w:t>Strengthening Climate Resilience: Guidance for Governments and Development Co-operation</w:t>
      </w:r>
      <w:r w:rsidRPr="00024D6D">
        <w:rPr>
          <w:rFonts w:ascii="Times New Roman" w:eastAsia="Times New Roman" w:hAnsi="Times New Roman" w:cs="Times New Roman"/>
          <w:kern w:val="0"/>
          <w14:ligatures w14:val="none"/>
        </w:rPr>
        <w:t>. Paris: Organisation for Economic Co-operation and Development.</w:t>
      </w:r>
    </w:p>
    <w:p w14:paraId="198DE2CC" w14:textId="77777777" w:rsidR="00EB476E" w:rsidRPr="00024D6D" w:rsidRDefault="00EB476E" w:rsidP="00EB476E">
      <w:pPr>
        <w:spacing w:before="100" w:beforeAutospacing="1" w:after="100" w:afterAutospacing="1" w:line="240" w:lineRule="auto"/>
        <w:rPr>
          <w:rFonts w:ascii="Times New Roman" w:eastAsia="Times New Roman" w:hAnsi="Times New Roman" w:cs="Times New Roman"/>
          <w:kern w:val="0"/>
          <w14:ligatures w14:val="none"/>
        </w:rPr>
      </w:pPr>
      <w:r w:rsidRPr="00024D6D">
        <w:rPr>
          <w:rFonts w:ascii="Times New Roman" w:eastAsia="Times New Roman" w:hAnsi="Times New Roman" w:cs="Times New Roman"/>
          <w:kern w:val="0"/>
          <w14:ligatures w14:val="none"/>
        </w:rPr>
        <w:t xml:space="preserve">OECD, 2023. </w:t>
      </w:r>
      <w:r w:rsidRPr="00024D6D">
        <w:rPr>
          <w:rFonts w:ascii="Times New Roman" w:eastAsia="Times New Roman" w:hAnsi="Times New Roman" w:cs="Times New Roman"/>
          <w:i/>
          <w:iCs/>
          <w:kern w:val="0"/>
          <w14:ligatures w14:val="none"/>
        </w:rPr>
        <w:t>Climate Finance Provided and Mobilised by Developed Countries in 2013–2021</w:t>
      </w:r>
      <w:r w:rsidRPr="00024D6D">
        <w:rPr>
          <w:rFonts w:ascii="Times New Roman" w:eastAsia="Times New Roman" w:hAnsi="Times New Roman" w:cs="Times New Roman"/>
          <w:kern w:val="0"/>
          <w14:ligatures w14:val="none"/>
        </w:rPr>
        <w:t>. Paris: Organisation for Economic Co-operation and Development.</w:t>
      </w:r>
    </w:p>
    <w:p w14:paraId="734270BE" w14:textId="77777777" w:rsidR="00EB476E" w:rsidRPr="00024D6D" w:rsidRDefault="00EB476E" w:rsidP="00EB476E">
      <w:pPr>
        <w:spacing w:before="100" w:beforeAutospacing="1" w:after="100" w:afterAutospacing="1" w:line="240" w:lineRule="auto"/>
        <w:rPr>
          <w:rFonts w:ascii="Times New Roman" w:eastAsia="Times New Roman" w:hAnsi="Times New Roman" w:cs="Times New Roman"/>
          <w:kern w:val="0"/>
          <w14:ligatures w14:val="none"/>
        </w:rPr>
      </w:pPr>
      <w:r w:rsidRPr="00024D6D">
        <w:rPr>
          <w:rFonts w:ascii="Times New Roman" w:eastAsia="Times New Roman" w:hAnsi="Times New Roman" w:cs="Times New Roman"/>
          <w:kern w:val="0"/>
          <w14:ligatures w14:val="none"/>
        </w:rPr>
        <w:t xml:space="preserve">Pahl-Wostl, C., 2017. An evolutionary perspective on water governance: From understanding to transformation. </w:t>
      </w:r>
      <w:r w:rsidRPr="00024D6D">
        <w:rPr>
          <w:rFonts w:ascii="Times New Roman" w:eastAsia="Times New Roman" w:hAnsi="Times New Roman" w:cs="Times New Roman"/>
          <w:i/>
          <w:iCs/>
          <w:kern w:val="0"/>
          <w14:ligatures w14:val="none"/>
        </w:rPr>
        <w:t>Water Resources Management</w:t>
      </w:r>
      <w:r w:rsidRPr="00024D6D">
        <w:rPr>
          <w:rFonts w:ascii="Times New Roman" w:eastAsia="Times New Roman" w:hAnsi="Times New Roman" w:cs="Times New Roman"/>
          <w:kern w:val="0"/>
          <w14:ligatures w14:val="none"/>
        </w:rPr>
        <w:t>, 31(10), pp.2917–2932.</w:t>
      </w:r>
    </w:p>
    <w:p w14:paraId="56EC118C" w14:textId="77777777" w:rsidR="00EB476E" w:rsidRPr="00024D6D" w:rsidRDefault="00EB476E" w:rsidP="00EB476E">
      <w:pPr>
        <w:spacing w:before="100" w:beforeAutospacing="1" w:after="100" w:afterAutospacing="1" w:line="240" w:lineRule="auto"/>
        <w:rPr>
          <w:rFonts w:ascii="Times New Roman" w:eastAsia="Times New Roman" w:hAnsi="Times New Roman" w:cs="Times New Roman"/>
          <w:kern w:val="0"/>
          <w14:ligatures w14:val="none"/>
        </w:rPr>
      </w:pPr>
      <w:r w:rsidRPr="00024D6D">
        <w:rPr>
          <w:rFonts w:ascii="Times New Roman" w:eastAsia="Times New Roman" w:hAnsi="Times New Roman" w:cs="Times New Roman"/>
          <w:kern w:val="0"/>
          <w14:ligatures w14:val="none"/>
        </w:rPr>
        <w:t xml:space="preserve">Project Management Institute (PMI), 2021. </w:t>
      </w:r>
      <w:r w:rsidRPr="00024D6D">
        <w:rPr>
          <w:rFonts w:ascii="Times New Roman" w:eastAsia="Times New Roman" w:hAnsi="Times New Roman" w:cs="Times New Roman"/>
          <w:i/>
          <w:iCs/>
          <w:kern w:val="0"/>
          <w14:ligatures w14:val="none"/>
        </w:rPr>
        <w:t>A Guide to the Project Management Body of Knowledge (PMBOK® Guide)</w:t>
      </w:r>
      <w:r w:rsidRPr="00024D6D">
        <w:rPr>
          <w:rFonts w:ascii="Times New Roman" w:eastAsia="Times New Roman" w:hAnsi="Times New Roman" w:cs="Times New Roman"/>
          <w:kern w:val="0"/>
          <w14:ligatures w14:val="none"/>
        </w:rPr>
        <w:t>. 7th ed. Newtown Square, PA: Project Management Institute.</w:t>
      </w:r>
    </w:p>
    <w:p w14:paraId="396A10AF" w14:textId="77777777" w:rsidR="00EB476E" w:rsidRPr="00024D6D" w:rsidRDefault="00EB476E" w:rsidP="00EB476E">
      <w:pPr>
        <w:spacing w:before="100" w:beforeAutospacing="1" w:after="100" w:afterAutospacing="1" w:line="240" w:lineRule="auto"/>
        <w:rPr>
          <w:rFonts w:ascii="Times New Roman" w:eastAsia="Times New Roman" w:hAnsi="Times New Roman" w:cs="Times New Roman"/>
          <w:kern w:val="0"/>
          <w14:ligatures w14:val="none"/>
        </w:rPr>
      </w:pPr>
      <w:r w:rsidRPr="00024D6D">
        <w:rPr>
          <w:rFonts w:ascii="Times New Roman" w:eastAsia="Times New Roman" w:hAnsi="Times New Roman" w:cs="Times New Roman"/>
          <w:kern w:val="0"/>
          <w14:ligatures w14:val="none"/>
        </w:rPr>
        <w:t xml:space="preserve">Republic of Kenya, 2010. </w:t>
      </w:r>
      <w:r w:rsidRPr="00024D6D">
        <w:rPr>
          <w:rFonts w:ascii="Times New Roman" w:eastAsia="Times New Roman" w:hAnsi="Times New Roman" w:cs="Times New Roman"/>
          <w:i/>
          <w:iCs/>
          <w:kern w:val="0"/>
          <w14:ligatures w14:val="none"/>
        </w:rPr>
        <w:t>The Constitution of Kenya, 2010</w:t>
      </w:r>
      <w:r w:rsidRPr="00024D6D">
        <w:rPr>
          <w:rFonts w:ascii="Times New Roman" w:eastAsia="Times New Roman" w:hAnsi="Times New Roman" w:cs="Times New Roman"/>
          <w:kern w:val="0"/>
          <w14:ligatures w14:val="none"/>
        </w:rPr>
        <w:t>. Nairobi: Government Printer.</w:t>
      </w:r>
    </w:p>
    <w:p w14:paraId="350EE7D6" w14:textId="77777777" w:rsidR="00EB476E" w:rsidRPr="00024D6D" w:rsidRDefault="00EB476E" w:rsidP="00EB476E">
      <w:pPr>
        <w:spacing w:before="100" w:beforeAutospacing="1" w:after="100" w:afterAutospacing="1" w:line="240" w:lineRule="auto"/>
        <w:rPr>
          <w:rFonts w:ascii="Times New Roman" w:eastAsia="Times New Roman" w:hAnsi="Times New Roman" w:cs="Times New Roman"/>
          <w:kern w:val="0"/>
          <w14:ligatures w14:val="none"/>
        </w:rPr>
      </w:pPr>
      <w:r w:rsidRPr="00024D6D">
        <w:rPr>
          <w:rFonts w:ascii="Times New Roman" w:eastAsia="Times New Roman" w:hAnsi="Times New Roman" w:cs="Times New Roman"/>
          <w:kern w:val="0"/>
          <w14:ligatures w14:val="none"/>
        </w:rPr>
        <w:t xml:space="preserve">Republic of Kenya, 2012. </w:t>
      </w:r>
      <w:r w:rsidRPr="00024D6D">
        <w:rPr>
          <w:rFonts w:ascii="Times New Roman" w:eastAsia="Times New Roman" w:hAnsi="Times New Roman" w:cs="Times New Roman"/>
          <w:i/>
          <w:iCs/>
          <w:kern w:val="0"/>
          <w14:ligatures w14:val="none"/>
        </w:rPr>
        <w:t>Public Finance Management Act, No. 18 of 2012</w:t>
      </w:r>
      <w:r w:rsidRPr="00024D6D">
        <w:rPr>
          <w:rFonts w:ascii="Times New Roman" w:eastAsia="Times New Roman" w:hAnsi="Times New Roman" w:cs="Times New Roman"/>
          <w:kern w:val="0"/>
          <w14:ligatures w14:val="none"/>
        </w:rPr>
        <w:t>. Nairobi: Government Printer.</w:t>
      </w:r>
    </w:p>
    <w:p w14:paraId="17E0C38D" w14:textId="77777777" w:rsidR="00EB476E" w:rsidRPr="00024D6D" w:rsidRDefault="00EB476E" w:rsidP="00EB476E">
      <w:pPr>
        <w:spacing w:before="100" w:beforeAutospacing="1" w:after="100" w:afterAutospacing="1" w:line="240" w:lineRule="auto"/>
        <w:rPr>
          <w:rFonts w:ascii="Times New Roman" w:eastAsia="Times New Roman" w:hAnsi="Times New Roman" w:cs="Times New Roman"/>
          <w:kern w:val="0"/>
          <w14:ligatures w14:val="none"/>
        </w:rPr>
      </w:pPr>
      <w:r w:rsidRPr="00024D6D">
        <w:rPr>
          <w:rFonts w:ascii="Times New Roman" w:eastAsia="Times New Roman" w:hAnsi="Times New Roman" w:cs="Times New Roman"/>
          <w:kern w:val="0"/>
          <w14:ligatures w14:val="none"/>
        </w:rPr>
        <w:lastRenderedPageBreak/>
        <w:t xml:space="preserve">Republic of Kenya, 2015. </w:t>
      </w:r>
      <w:r w:rsidRPr="00024D6D">
        <w:rPr>
          <w:rFonts w:ascii="Times New Roman" w:eastAsia="Times New Roman" w:hAnsi="Times New Roman" w:cs="Times New Roman"/>
          <w:i/>
          <w:iCs/>
          <w:kern w:val="0"/>
          <w14:ligatures w14:val="none"/>
        </w:rPr>
        <w:t>Public Procurement and Asset Disposal Act, No. 33 of 2015</w:t>
      </w:r>
      <w:r w:rsidRPr="00024D6D">
        <w:rPr>
          <w:rFonts w:ascii="Times New Roman" w:eastAsia="Times New Roman" w:hAnsi="Times New Roman" w:cs="Times New Roman"/>
          <w:kern w:val="0"/>
          <w14:ligatures w14:val="none"/>
        </w:rPr>
        <w:t>. Nairobi: Government Printer.</w:t>
      </w:r>
    </w:p>
    <w:p w14:paraId="24BAC4A7" w14:textId="77777777" w:rsidR="00EB476E" w:rsidRPr="00024D6D" w:rsidRDefault="00EB476E" w:rsidP="00EB476E">
      <w:pPr>
        <w:spacing w:before="100" w:beforeAutospacing="1" w:after="100" w:afterAutospacing="1" w:line="240" w:lineRule="auto"/>
        <w:rPr>
          <w:rFonts w:ascii="Times New Roman" w:eastAsia="Times New Roman" w:hAnsi="Times New Roman" w:cs="Times New Roman"/>
          <w:kern w:val="0"/>
          <w14:ligatures w14:val="none"/>
        </w:rPr>
      </w:pPr>
      <w:r w:rsidRPr="00024D6D">
        <w:rPr>
          <w:rFonts w:ascii="Times New Roman" w:eastAsia="Times New Roman" w:hAnsi="Times New Roman" w:cs="Times New Roman"/>
          <w:kern w:val="0"/>
          <w14:ligatures w14:val="none"/>
        </w:rPr>
        <w:t xml:space="preserve">Republic of Kenya, 2016. </w:t>
      </w:r>
      <w:r w:rsidRPr="00024D6D">
        <w:rPr>
          <w:rFonts w:ascii="Times New Roman" w:eastAsia="Times New Roman" w:hAnsi="Times New Roman" w:cs="Times New Roman"/>
          <w:i/>
          <w:iCs/>
          <w:kern w:val="0"/>
          <w14:ligatures w14:val="none"/>
        </w:rPr>
        <w:t>Climate Change Act, No. 11 of 2016</w:t>
      </w:r>
      <w:r w:rsidRPr="00024D6D">
        <w:rPr>
          <w:rFonts w:ascii="Times New Roman" w:eastAsia="Times New Roman" w:hAnsi="Times New Roman" w:cs="Times New Roman"/>
          <w:kern w:val="0"/>
          <w14:ligatures w14:val="none"/>
        </w:rPr>
        <w:t>. Nairobi: Government Printer.</w:t>
      </w:r>
    </w:p>
    <w:p w14:paraId="2C16F8A3" w14:textId="77777777" w:rsidR="00EB476E" w:rsidRPr="00024D6D" w:rsidRDefault="00EB476E" w:rsidP="00EB476E">
      <w:pPr>
        <w:spacing w:before="100" w:beforeAutospacing="1" w:after="100" w:afterAutospacing="1" w:line="240" w:lineRule="auto"/>
        <w:rPr>
          <w:rFonts w:ascii="Times New Roman" w:eastAsia="Times New Roman" w:hAnsi="Times New Roman" w:cs="Times New Roman"/>
          <w:kern w:val="0"/>
          <w14:ligatures w14:val="none"/>
        </w:rPr>
      </w:pPr>
      <w:r w:rsidRPr="00024D6D">
        <w:rPr>
          <w:rFonts w:ascii="Times New Roman" w:eastAsia="Times New Roman" w:hAnsi="Times New Roman" w:cs="Times New Roman"/>
          <w:kern w:val="0"/>
          <w14:ligatures w14:val="none"/>
        </w:rPr>
        <w:t xml:space="preserve">Republic of Kenya, 2018. </w:t>
      </w:r>
      <w:r w:rsidRPr="00024D6D">
        <w:rPr>
          <w:rFonts w:ascii="Times New Roman" w:eastAsia="Times New Roman" w:hAnsi="Times New Roman" w:cs="Times New Roman"/>
          <w:i/>
          <w:iCs/>
          <w:kern w:val="0"/>
          <w14:ligatures w14:val="none"/>
        </w:rPr>
        <w:t>National Climate Change Action Plan (2018–2022)</w:t>
      </w:r>
      <w:r w:rsidRPr="00024D6D">
        <w:rPr>
          <w:rFonts w:ascii="Times New Roman" w:eastAsia="Times New Roman" w:hAnsi="Times New Roman" w:cs="Times New Roman"/>
          <w:kern w:val="0"/>
          <w14:ligatures w14:val="none"/>
        </w:rPr>
        <w:t>. Nairobi: Ministry of Environment and Forestry.</w:t>
      </w:r>
    </w:p>
    <w:p w14:paraId="084D4103" w14:textId="77777777" w:rsidR="00EB476E" w:rsidRPr="00024D6D" w:rsidRDefault="00EB476E" w:rsidP="00EB476E">
      <w:pPr>
        <w:spacing w:before="100" w:beforeAutospacing="1" w:after="100" w:afterAutospacing="1" w:line="240" w:lineRule="auto"/>
        <w:rPr>
          <w:rFonts w:ascii="Times New Roman" w:eastAsia="Times New Roman" w:hAnsi="Times New Roman" w:cs="Times New Roman"/>
          <w:kern w:val="0"/>
          <w14:ligatures w14:val="none"/>
        </w:rPr>
      </w:pPr>
      <w:r w:rsidRPr="00024D6D">
        <w:rPr>
          <w:rFonts w:ascii="Times New Roman" w:eastAsia="Times New Roman" w:hAnsi="Times New Roman" w:cs="Times New Roman"/>
          <w:kern w:val="0"/>
          <w14:ligatures w14:val="none"/>
        </w:rPr>
        <w:t xml:space="preserve">Republic of Kenya, 2023. </w:t>
      </w:r>
      <w:r w:rsidRPr="00024D6D">
        <w:rPr>
          <w:rFonts w:ascii="Times New Roman" w:eastAsia="Times New Roman" w:hAnsi="Times New Roman" w:cs="Times New Roman"/>
          <w:i/>
          <w:iCs/>
          <w:kern w:val="0"/>
          <w14:ligatures w14:val="none"/>
        </w:rPr>
        <w:t>National Adaptation Plan Progress Report</w:t>
      </w:r>
      <w:r w:rsidRPr="00024D6D">
        <w:rPr>
          <w:rFonts w:ascii="Times New Roman" w:eastAsia="Times New Roman" w:hAnsi="Times New Roman" w:cs="Times New Roman"/>
          <w:kern w:val="0"/>
          <w14:ligatures w14:val="none"/>
        </w:rPr>
        <w:t>. Nairobi: Government of Kenya.</w:t>
      </w:r>
    </w:p>
    <w:p w14:paraId="16C3C19F" w14:textId="77777777" w:rsidR="00EB476E" w:rsidRPr="00024D6D" w:rsidRDefault="00EB476E" w:rsidP="00EB476E">
      <w:pPr>
        <w:spacing w:before="100" w:beforeAutospacing="1" w:after="100" w:afterAutospacing="1" w:line="240" w:lineRule="auto"/>
        <w:rPr>
          <w:rFonts w:ascii="Times New Roman" w:eastAsia="Times New Roman" w:hAnsi="Times New Roman" w:cs="Times New Roman"/>
          <w:kern w:val="0"/>
          <w14:ligatures w14:val="none"/>
        </w:rPr>
      </w:pPr>
      <w:r w:rsidRPr="00024D6D">
        <w:rPr>
          <w:rFonts w:ascii="Times New Roman" w:eastAsia="Times New Roman" w:hAnsi="Times New Roman" w:cs="Times New Roman"/>
          <w:kern w:val="0"/>
          <w14:ligatures w14:val="none"/>
        </w:rPr>
        <w:t xml:space="preserve">Republic of Kenya, 2024. </w:t>
      </w:r>
      <w:r w:rsidRPr="00024D6D">
        <w:rPr>
          <w:rFonts w:ascii="Times New Roman" w:eastAsia="Times New Roman" w:hAnsi="Times New Roman" w:cs="Times New Roman"/>
          <w:i/>
          <w:iCs/>
          <w:kern w:val="0"/>
          <w14:ligatures w14:val="none"/>
        </w:rPr>
        <w:t>Budget Policy Statement 2024</w:t>
      </w:r>
      <w:r w:rsidRPr="00024D6D">
        <w:rPr>
          <w:rFonts w:ascii="Times New Roman" w:eastAsia="Times New Roman" w:hAnsi="Times New Roman" w:cs="Times New Roman"/>
          <w:kern w:val="0"/>
          <w14:ligatures w14:val="none"/>
        </w:rPr>
        <w:t>. Nairobi: National Treasury.</w:t>
      </w:r>
    </w:p>
    <w:p w14:paraId="6EE7A6B5" w14:textId="77777777" w:rsidR="00EB476E" w:rsidRPr="00024D6D" w:rsidRDefault="00EB476E" w:rsidP="00EB476E">
      <w:pPr>
        <w:spacing w:before="100" w:beforeAutospacing="1" w:after="100" w:afterAutospacing="1" w:line="240" w:lineRule="auto"/>
        <w:rPr>
          <w:rFonts w:ascii="Times New Roman" w:eastAsia="Times New Roman" w:hAnsi="Times New Roman" w:cs="Times New Roman"/>
          <w:kern w:val="0"/>
          <w14:ligatures w14:val="none"/>
        </w:rPr>
      </w:pPr>
      <w:r w:rsidRPr="00024D6D">
        <w:rPr>
          <w:rFonts w:ascii="Times New Roman" w:eastAsia="Times New Roman" w:hAnsi="Times New Roman" w:cs="Times New Roman"/>
          <w:kern w:val="0"/>
          <w14:ligatures w14:val="none"/>
        </w:rPr>
        <w:t xml:space="preserve">Rodina, L., 2019. Defining "water governance": From conceptual debates to practical implementation. </w:t>
      </w:r>
      <w:r w:rsidRPr="00024D6D">
        <w:rPr>
          <w:rFonts w:ascii="Times New Roman" w:eastAsia="Times New Roman" w:hAnsi="Times New Roman" w:cs="Times New Roman"/>
          <w:i/>
          <w:iCs/>
          <w:kern w:val="0"/>
          <w14:ligatures w14:val="none"/>
        </w:rPr>
        <w:t>Sustainability</w:t>
      </w:r>
      <w:r w:rsidRPr="00024D6D">
        <w:rPr>
          <w:rFonts w:ascii="Times New Roman" w:eastAsia="Times New Roman" w:hAnsi="Times New Roman" w:cs="Times New Roman"/>
          <w:kern w:val="0"/>
          <w14:ligatures w14:val="none"/>
        </w:rPr>
        <w:t>, 11(10), 2741.</w:t>
      </w:r>
    </w:p>
    <w:p w14:paraId="47F36590" w14:textId="77777777" w:rsidR="00EB476E" w:rsidRPr="00024D6D" w:rsidRDefault="00EB476E" w:rsidP="00EB476E">
      <w:pPr>
        <w:spacing w:before="100" w:beforeAutospacing="1" w:after="100" w:afterAutospacing="1" w:line="240" w:lineRule="auto"/>
        <w:rPr>
          <w:rFonts w:ascii="Times New Roman" w:eastAsia="Times New Roman" w:hAnsi="Times New Roman" w:cs="Times New Roman"/>
          <w:kern w:val="0"/>
          <w14:ligatures w14:val="none"/>
        </w:rPr>
      </w:pPr>
      <w:r w:rsidRPr="00024D6D">
        <w:rPr>
          <w:rFonts w:ascii="Times New Roman" w:eastAsia="Times New Roman" w:hAnsi="Times New Roman" w:cs="Times New Roman"/>
          <w:kern w:val="0"/>
          <w14:ligatures w14:val="none"/>
        </w:rPr>
        <w:t xml:space="preserve">Scott, W.R., 2014. </w:t>
      </w:r>
      <w:r w:rsidRPr="00024D6D">
        <w:rPr>
          <w:rFonts w:ascii="Times New Roman" w:eastAsia="Times New Roman" w:hAnsi="Times New Roman" w:cs="Times New Roman"/>
          <w:i/>
          <w:iCs/>
          <w:kern w:val="0"/>
          <w14:ligatures w14:val="none"/>
        </w:rPr>
        <w:t>Institutions and Organizations: Ideas, Interests, and Identities</w:t>
      </w:r>
      <w:r w:rsidRPr="00024D6D">
        <w:rPr>
          <w:rFonts w:ascii="Times New Roman" w:eastAsia="Times New Roman" w:hAnsi="Times New Roman" w:cs="Times New Roman"/>
          <w:kern w:val="0"/>
          <w14:ligatures w14:val="none"/>
        </w:rPr>
        <w:t>. 4th ed. Thousand Oaks, CA: Sage.</w:t>
      </w:r>
    </w:p>
    <w:p w14:paraId="5F8C303C" w14:textId="77777777" w:rsidR="00EB476E" w:rsidRPr="00024D6D" w:rsidRDefault="00EB476E" w:rsidP="00EB476E">
      <w:pPr>
        <w:spacing w:before="100" w:beforeAutospacing="1" w:after="100" w:afterAutospacing="1" w:line="240" w:lineRule="auto"/>
        <w:rPr>
          <w:rFonts w:ascii="Times New Roman" w:eastAsia="Times New Roman" w:hAnsi="Times New Roman" w:cs="Times New Roman"/>
          <w:kern w:val="0"/>
          <w14:ligatures w14:val="none"/>
        </w:rPr>
      </w:pPr>
      <w:r w:rsidRPr="00024D6D">
        <w:rPr>
          <w:rFonts w:ascii="Times New Roman" w:eastAsia="Times New Roman" w:hAnsi="Times New Roman" w:cs="Times New Roman"/>
          <w:kern w:val="0"/>
          <w14:ligatures w14:val="none"/>
        </w:rPr>
        <w:t xml:space="preserve">Shleifer, A. and Vishny, R.W., 1993. Corruption. </w:t>
      </w:r>
      <w:r w:rsidRPr="00024D6D">
        <w:rPr>
          <w:rFonts w:ascii="Times New Roman" w:eastAsia="Times New Roman" w:hAnsi="Times New Roman" w:cs="Times New Roman"/>
          <w:i/>
          <w:iCs/>
          <w:kern w:val="0"/>
          <w14:ligatures w14:val="none"/>
        </w:rPr>
        <w:t>Quarterly Journal of Economics</w:t>
      </w:r>
      <w:r w:rsidRPr="00024D6D">
        <w:rPr>
          <w:rFonts w:ascii="Times New Roman" w:eastAsia="Times New Roman" w:hAnsi="Times New Roman" w:cs="Times New Roman"/>
          <w:kern w:val="0"/>
          <w14:ligatures w14:val="none"/>
        </w:rPr>
        <w:t>, 108(3), pp.599–617.</w:t>
      </w:r>
    </w:p>
    <w:p w14:paraId="20234F5B" w14:textId="77777777" w:rsidR="00EB476E" w:rsidRPr="00024D6D" w:rsidRDefault="00EB476E" w:rsidP="00EB476E">
      <w:pPr>
        <w:spacing w:before="100" w:beforeAutospacing="1" w:after="100" w:afterAutospacing="1" w:line="240" w:lineRule="auto"/>
        <w:rPr>
          <w:rFonts w:ascii="Times New Roman" w:eastAsia="Times New Roman" w:hAnsi="Times New Roman" w:cs="Times New Roman"/>
          <w:kern w:val="0"/>
          <w14:ligatures w14:val="none"/>
        </w:rPr>
      </w:pPr>
      <w:r w:rsidRPr="00024D6D">
        <w:rPr>
          <w:rFonts w:ascii="Times New Roman" w:eastAsia="Times New Roman" w:hAnsi="Times New Roman" w:cs="Times New Roman"/>
          <w:kern w:val="0"/>
          <w14:ligatures w14:val="none"/>
        </w:rPr>
        <w:t xml:space="preserve">Sovacool, B.K., 2014. What are we doing here? Analyzing fifteen years of energy scholarship and proposing a social science research agenda. </w:t>
      </w:r>
      <w:r w:rsidRPr="00024D6D">
        <w:rPr>
          <w:rFonts w:ascii="Times New Roman" w:eastAsia="Times New Roman" w:hAnsi="Times New Roman" w:cs="Times New Roman"/>
          <w:i/>
          <w:iCs/>
          <w:kern w:val="0"/>
          <w14:ligatures w14:val="none"/>
        </w:rPr>
        <w:t>Energy Research &amp; Social Science</w:t>
      </w:r>
      <w:r w:rsidRPr="00024D6D">
        <w:rPr>
          <w:rFonts w:ascii="Times New Roman" w:eastAsia="Times New Roman" w:hAnsi="Times New Roman" w:cs="Times New Roman"/>
          <w:kern w:val="0"/>
          <w14:ligatures w14:val="none"/>
        </w:rPr>
        <w:t>, 1, pp.1–29.</w:t>
      </w:r>
    </w:p>
    <w:p w14:paraId="05A81C92" w14:textId="77777777" w:rsidR="00EB476E" w:rsidRPr="00024D6D" w:rsidRDefault="00EB476E" w:rsidP="00EB476E">
      <w:pPr>
        <w:spacing w:before="100" w:beforeAutospacing="1" w:after="100" w:afterAutospacing="1" w:line="240" w:lineRule="auto"/>
        <w:rPr>
          <w:rFonts w:ascii="Times New Roman" w:eastAsia="Times New Roman" w:hAnsi="Times New Roman" w:cs="Times New Roman"/>
          <w:kern w:val="0"/>
          <w14:ligatures w14:val="none"/>
        </w:rPr>
      </w:pPr>
      <w:r w:rsidRPr="00024D6D">
        <w:rPr>
          <w:rFonts w:ascii="Times New Roman" w:eastAsia="Times New Roman" w:hAnsi="Times New Roman" w:cs="Times New Roman"/>
          <w:kern w:val="0"/>
          <w14:ligatures w14:val="none"/>
        </w:rPr>
        <w:t xml:space="preserve">Transparency International Kenya, 2023. </w:t>
      </w:r>
      <w:r w:rsidRPr="00024D6D">
        <w:rPr>
          <w:rFonts w:ascii="Times New Roman" w:eastAsia="Times New Roman" w:hAnsi="Times New Roman" w:cs="Times New Roman"/>
          <w:i/>
          <w:iCs/>
          <w:kern w:val="0"/>
          <w14:ligatures w14:val="none"/>
        </w:rPr>
        <w:t>Kenya Corruption Perceptions and Governance Report</w:t>
      </w:r>
      <w:r w:rsidRPr="00024D6D">
        <w:rPr>
          <w:rFonts w:ascii="Times New Roman" w:eastAsia="Times New Roman" w:hAnsi="Times New Roman" w:cs="Times New Roman"/>
          <w:kern w:val="0"/>
          <w14:ligatures w14:val="none"/>
        </w:rPr>
        <w:t>. Nairobi: Transparency International Kenya.</w:t>
      </w:r>
    </w:p>
    <w:p w14:paraId="1D5CBD98" w14:textId="77777777" w:rsidR="00EB476E" w:rsidRPr="00024D6D" w:rsidRDefault="00EB476E" w:rsidP="00EB476E">
      <w:pPr>
        <w:spacing w:before="100" w:beforeAutospacing="1" w:after="100" w:afterAutospacing="1" w:line="240" w:lineRule="auto"/>
        <w:rPr>
          <w:rFonts w:ascii="Times New Roman" w:eastAsia="Times New Roman" w:hAnsi="Times New Roman" w:cs="Times New Roman"/>
          <w:kern w:val="0"/>
          <w14:ligatures w14:val="none"/>
        </w:rPr>
      </w:pPr>
      <w:r w:rsidRPr="00024D6D">
        <w:rPr>
          <w:rFonts w:ascii="Times New Roman" w:eastAsia="Times New Roman" w:hAnsi="Times New Roman" w:cs="Times New Roman"/>
          <w:kern w:val="0"/>
          <w14:ligatures w14:val="none"/>
        </w:rPr>
        <w:t xml:space="preserve">United Nations, 2015. </w:t>
      </w:r>
      <w:r w:rsidRPr="00024D6D">
        <w:rPr>
          <w:rFonts w:ascii="Times New Roman" w:eastAsia="Times New Roman" w:hAnsi="Times New Roman" w:cs="Times New Roman"/>
          <w:i/>
          <w:iCs/>
          <w:kern w:val="0"/>
          <w14:ligatures w14:val="none"/>
        </w:rPr>
        <w:t>Transforming Our World: The 2030 Agenda for Sustainable Development</w:t>
      </w:r>
      <w:r w:rsidRPr="00024D6D">
        <w:rPr>
          <w:rFonts w:ascii="Times New Roman" w:eastAsia="Times New Roman" w:hAnsi="Times New Roman" w:cs="Times New Roman"/>
          <w:kern w:val="0"/>
          <w14:ligatures w14:val="none"/>
        </w:rPr>
        <w:t>. New York: United Nations.</w:t>
      </w:r>
    </w:p>
    <w:p w14:paraId="09E23EAC" w14:textId="77777777" w:rsidR="00EB476E" w:rsidRPr="00024D6D" w:rsidRDefault="00EB476E" w:rsidP="00EB476E">
      <w:pPr>
        <w:spacing w:before="100" w:beforeAutospacing="1" w:after="100" w:afterAutospacing="1" w:line="240" w:lineRule="auto"/>
        <w:rPr>
          <w:rFonts w:ascii="Times New Roman" w:eastAsia="Times New Roman" w:hAnsi="Times New Roman" w:cs="Times New Roman"/>
          <w:kern w:val="0"/>
          <w14:ligatures w14:val="none"/>
        </w:rPr>
      </w:pPr>
      <w:r w:rsidRPr="00024D6D">
        <w:rPr>
          <w:rFonts w:ascii="Times New Roman" w:eastAsia="Times New Roman" w:hAnsi="Times New Roman" w:cs="Times New Roman"/>
          <w:kern w:val="0"/>
          <w14:ligatures w14:val="none"/>
        </w:rPr>
        <w:t xml:space="preserve">United Nations Development Programme (UNDP), 2021. </w:t>
      </w:r>
      <w:r w:rsidRPr="00024D6D">
        <w:rPr>
          <w:rFonts w:ascii="Times New Roman" w:eastAsia="Times New Roman" w:hAnsi="Times New Roman" w:cs="Times New Roman"/>
          <w:i/>
          <w:iCs/>
          <w:kern w:val="0"/>
          <w14:ligatures w14:val="none"/>
        </w:rPr>
        <w:t>Human Development Report 2021/2022</w:t>
      </w:r>
      <w:r w:rsidRPr="00024D6D">
        <w:rPr>
          <w:rFonts w:ascii="Times New Roman" w:eastAsia="Times New Roman" w:hAnsi="Times New Roman" w:cs="Times New Roman"/>
          <w:kern w:val="0"/>
          <w14:ligatures w14:val="none"/>
        </w:rPr>
        <w:t>. New York: United Nations Development Programme.</w:t>
      </w:r>
    </w:p>
    <w:p w14:paraId="478B06C7" w14:textId="77777777" w:rsidR="00EB476E" w:rsidRPr="00024D6D" w:rsidRDefault="00EB476E" w:rsidP="00EB476E">
      <w:pPr>
        <w:spacing w:before="100" w:beforeAutospacing="1" w:after="100" w:afterAutospacing="1" w:line="240" w:lineRule="auto"/>
        <w:rPr>
          <w:rFonts w:ascii="Times New Roman" w:eastAsia="Times New Roman" w:hAnsi="Times New Roman" w:cs="Times New Roman"/>
          <w:kern w:val="0"/>
          <w14:ligatures w14:val="none"/>
        </w:rPr>
      </w:pPr>
      <w:r w:rsidRPr="00024D6D">
        <w:rPr>
          <w:rFonts w:ascii="Times New Roman" w:eastAsia="Times New Roman" w:hAnsi="Times New Roman" w:cs="Times New Roman"/>
          <w:kern w:val="0"/>
          <w14:ligatures w14:val="none"/>
        </w:rPr>
        <w:t xml:space="preserve">United Nations Framework Convention on Climate Change (UNFCCC), 2015. </w:t>
      </w:r>
      <w:r w:rsidRPr="00024D6D">
        <w:rPr>
          <w:rFonts w:ascii="Times New Roman" w:eastAsia="Times New Roman" w:hAnsi="Times New Roman" w:cs="Times New Roman"/>
          <w:i/>
          <w:iCs/>
          <w:kern w:val="0"/>
          <w14:ligatures w14:val="none"/>
        </w:rPr>
        <w:t>Paris Agreement</w:t>
      </w:r>
      <w:r w:rsidRPr="00024D6D">
        <w:rPr>
          <w:rFonts w:ascii="Times New Roman" w:eastAsia="Times New Roman" w:hAnsi="Times New Roman" w:cs="Times New Roman"/>
          <w:kern w:val="0"/>
          <w14:ligatures w14:val="none"/>
        </w:rPr>
        <w:t>. Bonn: UNFCCC.</w:t>
      </w:r>
    </w:p>
    <w:p w14:paraId="3B8FE645" w14:textId="77777777" w:rsidR="00EB476E" w:rsidRPr="00024D6D" w:rsidRDefault="00EB476E" w:rsidP="00EB476E">
      <w:pPr>
        <w:spacing w:before="100" w:beforeAutospacing="1" w:after="100" w:afterAutospacing="1" w:line="240" w:lineRule="auto"/>
        <w:rPr>
          <w:rFonts w:ascii="Times New Roman" w:eastAsia="Times New Roman" w:hAnsi="Times New Roman" w:cs="Times New Roman"/>
          <w:kern w:val="0"/>
          <w14:ligatures w14:val="none"/>
        </w:rPr>
      </w:pPr>
      <w:r w:rsidRPr="00024D6D">
        <w:rPr>
          <w:rFonts w:ascii="Times New Roman" w:eastAsia="Times New Roman" w:hAnsi="Times New Roman" w:cs="Times New Roman"/>
          <w:kern w:val="0"/>
          <w14:ligatures w14:val="none"/>
        </w:rPr>
        <w:t xml:space="preserve">UNFCCC, 2023. </w:t>
      </w:r>
      <w:r w:rsidRPr="00024D6D">
        <w:rPr>
          <w:rFonts w:ascii="Times New Roman" w:eastAsia="Times New Roman" w:hAnsi="Times New Roman" w:cs="Times New Roman"/>
          <w:i/>
          <w:iCs/>
          <w:kern w:val="0"/>
          <w14:ligatures w14:val="none"/>
        </w:rPr>
        <w:t>Standing Committee on Finance: Report on Climate Finance</w:t>
      </w:r>
      <w:r w:rsidRPr="00024D6D">
        <w:rPr>
          <w:rFonts w:ascii="Times New Roman" w:eastAsia="Times New Roman" w:hAnsi="Times New Roman" w:cs="Times New Roman"/>
          <w:kern w:val="0"/>
          <w14:ligatures w14:val="none"/>
        </w:rPr>
        <w:t>. Bonn: United Nations Framework Convention on Climate Change.</w:t>
      </w:r>
    </w:p>
    <w:p w14:paraId="1A81C713" w14:textId="77777777" w:rsidR="00EB476E" w:rsidRPr="00024D6D" w:rsidRDefault="00EB476E" w:rsidP="00EB476E">
      <w:pPr>
        <w:spacing w:before="100" w:beforeAutospacing="1" w:after="100" w:afterAutospacing="1" w:line="240" w:lineRule="auto"/>
        <w:rPr>
          <w:rFonts w:ascii="Times New Roman" w:eastAsia="Times New Roman" w:hAnsi="Times New Roman" w:cs="Times New Roman"/>
          <w:kern w:val="0"/>
          <w14:ligatures w14:val="none"/>
        </w:rPr>
      </w:pPr>
      <w:r w:rsidRPr="00024D6D">
        <w:rPr>
          <w:rFonts w:ascii="Times New Roman" w:eastAsia="Times New Roman" w:hAnsi="Times New Roman" w:cs="Times New Roman"/>
          <w:kern w:val="0"/>
          <w14:ligatures w14:val="none"/>
        </w:rPr>
        <w:t xml:space="preserve">Van Ham, H. and Koppenjan, J., 2001. Building public–private partnerships: Assessing and managing risks in port development. </w:t>
      </w:r>
      <w:r w:rsidRPr="00024D6D">
        <w:rPr>
          <w:rFonts w:ascii="Times New Roman" w:eastAsia="Times New Roman" w:hAnsi="Times New Roman" w:cs="Times New Roman"/>
          <w:i/>
          <w:iCs/>
          <w:kern w:val="0"/>
          <w14:ligatures w14:val="none"/>
        </w:rPr>
        <w:t>Public Management Review</w:t>
      </w:r>
      <w:r w:rsidRPr="00024D6D">
        <w:rPr>
          <w:rFonts w:ascii="Times New Roman" w:eastAsia="Times New Roman" w:hAnsi="Times New Roman" w:cs="Times New Roman"/>
          <w:kern w:val="0"/>
          <w14:ligatures w14:val="none"/>
        </w:rPr>
        <w:t>, 3(4), pp.593–616.</w:t>
      </w:r>
    </w:p>
    <w:p w14:paraId="7FBEEDDA" w14:textId="77777777" w:rsidR="00EB476E" w:rsidRPr="00024D6D" w:rsidRDefault="00EB476E" w:rsidP="00EB476E">
      <w:pPr>
        <w:spacing w:before="100" w:beforeAutospacing="1" w:after="100" w:afterAutospacing="1" w:line="240" w:lineRule="auto"/>
        <w:rPr>
          <w:rFonts w:ascii="Times New Roman" w:eastAsia="Times New Roman" w:hAnsi="Times New Roman" w:cs="Times New Roman"/>
          <w:kern w:val="0"/>
          <w14:ligatures w14:val="none"/>
        </w:rPr>
      </w:pPr>
      <w:r w:rsidRPr="00024D6D">
        <w:rPr>
          <w:rFonts w:ascii="Times New Roman" w:eastAsia="Times New Roman" w:hAnsi="Times New Roman" w:cs="Times New Roman"/>
          <w:kern w:val="0"/>
          <w14:ligatures w14:val="none"/>
        </w:rPr>
        <w:t xml:space="preserve">Water Resources Authority (WRA), 2023. </w:t>
      </w:r>
      <w:r w:rsidRPr="00024D6D">
        <w:rPr>
          <w:rFonts w:ascii="Times New Roman" w:eastAsia="Times New Roman" w:hAnsi="Times New Roman" w:cs="Times New Roman"/>
          <w:i/>
          <w:iCs/>
          <w:kern w:val="0"/>
          <w14:ligatures w14:val="none"/>
        </w:rPr>
        <w:t>National Water Resources Status Report</w:t>
      </w:r>
      <w:r w:rsidRPr="00024D6D">
        <w:rPr>
          <w:rFonts w:ascii="Times New Roman" w:eastAsia="Times New Roman" w:hAnsi="Times New Roman" w:cs="Times New Roman"/>
          <w:kern w:val="0"/>
          <w14:ligatures w14:val="none"/>
        </w:rPr>
        <w:t>. Nairobi: Water Resources Authority.</w:t>
      </w:r>
    </w:p>
    <w:p w14:paraId="5AB7CF1C" w14:textId="77777777" w:rsidR="00EB476E" w:rsidRPr="00024D6D" w:rsidRDefault="00EB476E" w:rsidP="00EB476E">
      <w:pPr>
        <w:spacing w:before="100" w:beforeAutospacing="1" w:after="100" w:afterAutospacing="1" w:line="240" w:lineRule="auto"/>
        <w:rPr>
          <w:rFonts w:ascii="Times New Roman" w:eastAsia="Times New Roman" w:hAnsi="Times New Roman" w:cs="Times New Roman"/>
          <w:kern w:val="0"/>
          <w14:ligatures w14:val="none"/>
        </w:rPr>
      </w:pPr>
      <w:r w:rsidRPr="00024D6D">
        <w:rPr>
          <w:rFonts w:ascii="Times New Roman" w:eastAsia="Times New Roman" w:hAnsi="Times New Roman" w:cs="Times New Roman"/>
          <w:kern w:val="0"/>
          <w14:ligatures w14:val="none"/>
        </w:rPr>
        <w:lastRenderedPageBreak/>
        <w:t xml:space="preserve">Williamson, O.E., 1985. </w:t>
      </w:r>
      <w:r w:rsidRPr="00024D6D">
        <w:rPr>
          <w:rFonts w:ascii="Times New Roman" w:eastAsia="Times New Roman" w:hAnsi="Times New Roman" w:cs="Times New Roman"/>
          <w:i/>
          <w:iCs/>
          <w:kern w:val="0"/>
          <w14:ligatures w14:val="none"/>
        </w:rPr>
        <w:t>The Economic Institutions of Capitalism</w:t>
      </w:r>
      <w:r w:rsidRPr="00024D6D">
        <w:rPr>
          <w:rFonts w:ascii="Times New Roman" w:eastAsia="Times New Roman" w:hAnsi="Times New Roman" w:cs="Times New Roman"/>
          <w:kern w:val="0"/>
          <w14:ligatures w14:val="none"/>
        </w:rPr>
        <w:t>. New York: Free Press.</w:t>
      </w:r>
    </w:p>
    <w:p w14:paraId="58915C62" w14:textId="77777777" w:rsidR="00EB476E" w:rsidRPr="00024D6D" w:rsidRDefault="00EB476E" w:rsidP="00EB476E">
      <w:pPr>
        <w:spacing w:before="100" w:beforeAutospacing="1" w:after="100" w:afterAutospacing="1" w:line="240" w:lineRule="auto"/>
        <w:rPr>
          <w:rFonts w:ascii="Times New Roman" w:eastAsia="Times New Roman" w:hAnsi="Times New Roman" w:cs="Times New Roman"/>
          <w:kern w:val="0"/>
          <w14:ligatures w14:val="none"/>
        </w:rPr>
      </w:pPr>
      <w:r w:rsidRPr="00024D6D">
        <w:rPr>
          <w:rFonts w:ascii="Times New Roman" w:eastAsia="Times New Roman" w:hAnsi="Times New Roman" w:cs="Times New Roman"/>
          <w:kern w:val="0"/>
          <w14:ligatures w14:val="none"/>
        </w:rPr>
        <w:t xml:space="preserve">World Bank, 2017. </w:t>
      </w:r>
      <w:r w:rsidRPr="00024D6D">
        <w:rPr>
          <w:rFonts w:ascii="Times New Roman" w:eastAsia="Times New Roman" w:hAnsi="Times New Roman" w:cs="Times New Roman"/>
          <w:i/>
          <w:iCs/>
          <w:kern w:val="0"/>
          <w14:ligatures w14:val="none"/>
        </w:rPr>
        <w:t>Governance and the Law</w:t>
      </w:r>
      <w:r w:rsidRPr="00024D6D">
        <w:rPr>
          <w:rFonts w:ascii="Times New Roman" w:eastAsia="Times New Roman" w:hAnsi="Times New Roman" w:cs="Times New Roman"/>
          <w:kern w:val="0"/>
          <w14:ligatures w14:val="none"/>
        </w:rPr>
        <w:t>. Washington, DC: World Bank.</w:t>
      </w:r>
    </w:p>
    <w:p w14:paraId="5B91F511" w14:textId="77777777" w:rsidR="00EB476E" w:rsidRPr="00024D6D" w:rsidRDefault="00EB476E" w:rsidP="00EB476E">
      <w:pPr>
        <w:spacing w:before="100" w:beforeAutospacing="1" w:after="100" w:afterAutospacing="1" w:line="240" w:lineRule="auto"/>
        <w:rPr>
          <w:rFonts w:ascii="Times New Roman" w:eastAsia="Times New Roman" w:hAnsi="Times New Roman" w:cs="Times New Roman"/>
          <w:kern w:val="0"/>
          <w14:ligatures w14:val="none"/>
        </w:rPr>
      </w:pPr>
      <w:r w:rsidRPr="00024D6D">
        <w:rPr>
          <w:rFonts w:ascii="Times New Roman" w:eastAsia="Times New Roman" w:hAnsi="Times New Roman" w:cs="Times New Roman"/>
          <w:kern w:val="0"/>
          <w14:ligatures w14:val="none"/>
        </w:rPr>
        <w:t xml:space="preserve">World Bank, 2019. </w:t>
      </w:r>
      <w:r w:rsidRPr="00024D6D">
        <w:rPr>
          <w:rFonts w:ascii="Times New Roman" w:eastAsia="Times New Roman" w:hAnsi="Times New Roman" w:cs="Times New Roman"/>
          <w:i/>
          <w:iCs/>
          <w:kern w:val="0"/>
          <w14:ligatures w14:val="none"/>
        </w:rPr>
        <w:t>Lifelines: The Resilient Infrastructure Opportunity</w:t>
      </w:r>
      <w:r w:rsidRPr="00024D6D">
        <w:rPr>
          <w:rFonts w:ascii="Times New Roman" w:eastAsia="Times New Roman" w:hAnsi="Times New Roman" w:cs="Times New Roman"/>
          <w:kern w:val="0"/>
          <w14:ligatures w14:val="none"/>
        </w:rPr>
        <w:t>. Washington, DC: World Bank.</w:t>
      </w:r>
    </w:p>
    <w:p w14:paraId="0973625F" w14:textId="77777777" w:rsidR="00EB476E" w:rsidRPr="00024D6D" w:rsidRDefault="00EB476E" w:rsidP="00EB476E">
      <w:pPr>
        <w:spacing w:before="100" w:beforeAutospacing="1" w:after="100" w:afterAutospacing="1" w:line="240" w:lineRule="auto"/>
        <w:rPr>
          <w:rFonts w:ascii="Times New Roman" w:eastAsia="Times New Roman" w:hAnsi="Times New Roman" w:cs="Times New Roman"/>
          <w:kern w:val="0"/>
          <w14:ligatures w14:val="none"/>
        </w:rPr>
      </w:pPr>
      <w:r w:rsidRPr="00024D6D">
        <w:rPr>
          <w:rFonts w:ascii="Times New Roman" w:eastAsia="Times New Roman" w:hAnsi="Times New Roman" w:cs="Times New Roman"/>
          <w:kern w:val="0"/>
          <w14:ligatures w14:val="none"/>
        </w:rPr>
        <w:t xml:space="preserve">World Bank, 2020. </w:t>
      </w:r>
      <w:r w:rsidRPr="00024D6D">
        <w:rPr>
          <w:rFonts w:ascii="Times New Roman" w:eastAsia="Times New Roman" w:hAnsi="Times New Roman" w:cs="Times New Roman"/>
          <w:i/>
          <w:iCs/>
          <w:kern w:val="0"/>
          <w14:ligatures w14:val="none"/>
        </w:rPr>
        <w:t>Kenya Economic Update</w:t>
      </w:r>
      <w:r w:rsidRPr="00024D6D">
        <w:rPr>
          <w:rFonts w:ascii="Times New Roman" w:eastAsia="Times New Roman" w:hAnsi="Times New Roman" w:cs="Times New Roman"/>
          <w:kern w:val="0"/>
          <w14:ligatures w14:val="none"/>
        </w:rPr>
        <w:t>. Washington, DC: World Bank.</w:t>
      </w:r>
    </w:p>
    <w:p w14:paraId="2A919E25" w14:textId="77777777" w:rsidR="00EB476E" w:rsidRPr="00024D6D" w:rsidRDefault="00EB476E" w:rsidP="00EB476E">
      <w:pPr>
        <w:spacing w:before="100" w:beforeAutospacing="1" w:after="100" w:afterAutospacing="1" w:line="240" w:lineRule="auto"/>
        <w:rPr>
          <w:rFonts w:ascii="Times New Roman" w:eastAsia="Times New Roman" w:hAnsi="Times New Roman" w:cs="Times New Roman"/>
          <w:kern w:val="0"/>
          <w14:ligatures w14:val="none"/>
        </w:rPr>
      </w:pPr>
      <w:r w:rsidRPr="00024D6D">
        <w:rPr>
          <w:rFonts w:ascii="Times New Roman" w:eastAsia="Times New Roman" w:hAnsi="Times New Roman" w:cs="Times New Roman"/>
          <w:kern w:val="0"/>
          <w14:ligatures w14:val="none"/>
        </w:rPr>
        <w:t xml:space="preserve">World Bank, 2023. </w:t>
      </w:r>
      <w:r w:rsidRPr="00024D6D">
        <w:rPr>
          <w:rFonts w:ascii="Times New Roman" w:eastAsia="Times New Roman" w:hAnsi="Times New Roman" w:cs="Times New Roman"/>
          <w:i/>
          <w:iCs/>
          <w:kern w:val="0"/>
          <w14:ligatures w14:val="none"/>
        </w:rPr>
        <w:t>World Development Report 2023: Migrants, Refugees and Societies</w:t>
      </w:r>
      <w:r w:rsidRPr="00024D6D">
        <w:rPr>
          <w:rFonts w:ascii="Times New Roman" w:eastAsia="Times New Roman" w:hAnsi="Times New Roman" w:cs="Times New Roman"/>
          <w:kern w:val="0"/>
          <w14:ligatures w14:val="none"/>
        </w:rPr>
        <w:t>. Washington, DC: World Bank.</w:t>
      </w:r>
    </w:p>
    <w:p w14:paraId="2F6CBDCB" w14:textId="77777777" w:rsidR="00EB476E" w:rsidRPr="00024D6D" w:rsidRDefault="00EB476E" w:rsidP="00EB476E">
      <w:pPr>
        <w:spacing w:before="100" w:beforeAutospacing="1" w:after="100" w:afterAutospacing="1" w:line="240" w:lineRule="auto"/>
        <w:rPr>
          <w:rFonts w:ascii="Times New Roman" w:eastAsia="Times New Roman" w:hAnsi="Times New Roman" w:cs="Times New Roman"/>
          <w:kern w:val="0"/>
          <w14:ligatures w14:val="none"/>
        </w:rPr>
      </w:pPr>
      <w:r w:rsidRPr="00024D6D">
        <w:rPr>
          <w:rFonts w:ascii="Times New Roman" w:eastAsia="Times New Roman" w:hAnsi="Times New Roman" w:cs="Times New Roman"/>
          <w:kern w:val="0"/>
          <w14:ligatures w14:val="none"/>
        </w:rPr>
        <w:t xml:space="preserve">World Economic Forum, 2023. </w:t>
      </w:r>
      <w:r w:rsidRPr="00024D6D">
        <w:rPr>
          <w:rFonts w:ascii="Times New Roman" w:eastAsia="Times New Roman" w:hAnsi="Times New Roman" w:cs="Times New Roman"/>
          <w:i/>
          <w:iCs/>
          <w:kern w:val="0"/>
          <w14:ligatures w14:val="none"/>
        </w:rPr>
        <w:t>The Global Risks Report 2023</w:t>
      </w:r>
      <w:r w:rsidRPr="00024D6D">
        <w:rPr>
          <w:rFonts w:ascii="Times New Roman" w:eastAsia="Times New Roman" w:hAnsi="Times New Roman" w:cs="Times New Roman"/>
          <w:kern w:val="0"/>
          <w14:ligatures w14:val="none"/>
        </w:rPr>
        <w:t>. Geneva: World Economic Forum.</w:t>
      </w:r>
    </w:p>
    <w:p w14:paraId="79B9F21B" w14:textId="77777777" w:rsidR="00EB476E" w:rsidRPr="00024D6D" w:rsidRDefault="00EB476E" w:rsidP="00EB476E">
      <w:pPr>
        <w:spacing w:before="100" w:beforeAutospacing="1" w:after="100" w:afterAutospacing="1" w:line="240" w:lineRule="auto"/>
        <w:rPr>
          <w:rFonts w:ascii="Times New Roman" w:eastAsia="Times New Roman" w:hAnsi="Times New Roman" w:cs="Times New Roman"/>
          <w:kern w:val="0"/>
          <w14:ligatures w14:val="none"/>
        </w:rPr>
      </w:pPr>
      <w:r w:rsidRPr="00024D6D">
        <w:rPr>
          <w:rFonts w:ascii="Times New Roman" w:eastAsia="Times New Roman" w:hAnsi="Times New Roman" w:cs="Times New Roman"/>
          <w:kern w:val="0"/>
          <w14:ligatures w14:val="none"/>
        </w:rPr>
        <w:t xml:space="preserve">Yescombe, E.R., 2018. </w:t>
      </w:r>
      <w:r w:rsidRPr="00024D6D">
        <w:rPr>
          <w:rFonts w:ascii="Times New Roman" w:eastAsia="Times New Roman" w:hAnsi="Times New Roman" w:cs="Times New Roman"/>
          <w:i/>
          <w:iCs/>
          <w:kern w:val="0"/>
          <w14:ligatures w14:val="none"/>
        </w:rPr>
        <w:t>Public–Private Partnerships for Infrastructure: Principles of Policy and Finance</w:t>
      </w:r>
      <w:r w:rsidRPr="00024D6D">
        <w:rPr>
          <w:rFonts w:ascii="Times New Roman" w:eastAsia="Times New Roman" w:hAnsi="Times New Roman" w:cs="Times New Roman"/>
          <w:kern w:val="0"/>
          <w14:ligatures w14:val="none"/>
        </w:rPr>
        <w:t>. 2nd ed. Oxford: Butterworth-Heinemann.</w:t>
      </w:r>
    </w:p>
    <w:p w14:paraId="720310F2" w14:textId="77777777" w:rsidR="0077024C" w:rsidRPr="00AF0CC3" w:rsidRDefault="0077024C" w:rsidP="0077024C">
      <w:pPr>
        <w:spacing w:after="240" w:line="480" w:lineRule="auto"/>
        <w:ind w:left="720" w:hanging="720"/>
        <w:rPr>
          <w:rFonts w:ascii="Times New Roman" w:hAnsi="Times New Roman" w:cs="Times New Roman"/>
          <w:color w:val="000000" w:themeColor="text1"/>
        </w:rPr>
      </w:pPr>
    </w:p>
    <w:p w14:paraId="03AE0FFE" w14:textId="77777777" w:rsidR="0077024C" w:rsidRPr="00AF0CC3" w:rsidRDefault="0077024C" w:rsidP="0077024C">
      <w:pPr>
        <w:spacing w:after="240" w:line="480" w:lineRule="auto"/>
        <w:ind w:left="720" w:hanging="720"/>
        <w:rPr>
          <w:rFonts w:ascii="Times New Roman" w:hAnsi="Times New Roman" w:cs="Times New Roman"/>
          <w:color w:val="000000" w:themeColor="text1"/>
        </w:rPr>
      </w:pPr>
    </w:p>
    <w:p w14:paraId="1D09A140" w14:textId="77777777" w:rsidR="0077024C" w:rsidRPr="00AF0CC3" w:rsidRDefault="0077024C" w:rsidP="0077024C">
      <w:pPr>
        <w:spacing w:after="240" w:line="480" w:lineRule="auto"/>
        <w:ind w:left="720" w:hanging="720"/>
        <w:rPr>
          <w:rFonts w:ascii="Times New Roman" w:hAnsi="Times New Roman" w:cs="Times New Roman"/>
          <w:color w:val="000000" w:themeColor="text1"/>
        </w:rPr>
      </w:pPr>
    </w:p>
    <w:p w14:paraId="5A24F026" w14:textId="77777777" w:rsidR="00095007" w:rsidRPr="00AF0CC3" w:rsidRDefault="00095007" w:rsidP="0077024C">
      <w:pPr>
        <w:spacing w:after="240" w:line="480" w:lineRule="auto"/>
        <w:ind w:left="720" w:hanging="720"/>
        <w:rPr>
          <w:rFonts w:ascii="Times New Roman" w:hAnsi="Times New Roman" w:cs="Times New Roman"/>
          <w:color w:val="000000" w:themeColor="text1"/>
        </w:rPr>
      </w:pPr>
    </w:p>
    <w:p w14:paraId="4D21E135" w14:textId="77777777" w:rsidR="00095007" w:rsidRPr="00AF0CC3" w:rsidRDefault="00095007" w:rsidP="0077024C">
      <w:pPr>
        <w:spacing w:after="240" w:line="480" w:lineRule="auto"/>
        <w:ind w:left="720" w:hanging="720"/>
        <w:rPr>
          <w:rFonts w:ascii="Times New Roman" w:hAnsi="Times New Roman" w:cs="Times New Roman"/>
          <w:color w:val="000000" w:themeColor="text1"/>
        </w:rPr>
      </w:pPr>
    </w:p>
    <w:p w14:paraId="7C25D37A" w14:textId="77777777" w:rsidR="00095007" w:rsidRPr="00AF0CC3" w:rsidRDefault="00095007" w:rsidP="0077024C">
      <w:pPr>
        <w:spacing w:after="240" w:line="480" w:lineRule="auto"/>
        <w:ind w:left="720" w:hanging="720"/>
        <w:rPr>
          <w:rFonts w:ascii="Times New Roman" w:hAnsi="Times New Roman" w:cs="Times New Roman"/>
          <w:color w:val="000000" w:themeColor="text1"/>
        </w:rPr>
      </w:pPr>
    </w:p>
    <w:p w14:paraId="6F768487" w14:textId="77777777" w:rsidR="00095007" w:rsidRPr="00AF0CC3" w:rsidRDefault="00095007" w:rsidP="0077024C">
      <w:pPr>
        <w:spacing w:after="240" w:line="480" w:lineRule="auto"/>
        <w:ind w:left="720" w:hanging="720"/>
        <w:rPr>
          <w:rFonts w:ascii="Times New Roman" w:hAnsi="Times New Roman" w:cs="Times New Roman"/>
          <w:color w:val="000000" w:themeColor="text1"/>
        </w:rPr>
      </w:pPr>
    </w:p>
    <w:p w14:paraId="62A90A03" w14:textId="77777777" w:rsidR="00095007" w:rsidRPr="00AF0CC3" w:rsidRDefault="00095007" w:rsidP="0077024C">
      <w:pPr>
        <w:spacing w:after="240" w:line="480" w:lineRule="auto"/>
        <w:ind w:left="720" w:hanging="720"/>
        <w:rPr>
          <w:rFonts w:ascii="Times New Roman" w:hAnsi="Times New Roman" w:cs="Times New Roman"/>
          <w:color w:val="000000" w:themeColor="text1"/>
        </w:rPr>
      </w:pPr>
    </w:p>
    <w:p w14:paraId="22A703C8" w14:textId="77777777" w:rsidR="00095007" w:rsidRPr="00AF0CC3" w:rsidRDefault="00095007" w:rsidP="0077024C">
      <w:pPr>
        <w:spacing w:after="240" w:line="480" w:lineRule="auto"/>
        <w:ind w:left="720" w:hanging="720"/>
        <w:rPr>
          <w:rFonts w:ascii="Times New Roman" w:hAnsi="Times New Roman" w:cs="Times New Roman"/>
          <w:color w:val="000000" w:themeColor="text1"/>
        </w:rPr>
      </w:pPr>
    </w:p>
    <w:p w14:paraId="0ED19CC2" w14:textId="77777777" w:rsidR="00095007" w:rsidRPr="00AF0CC3" w:rsidRDefault="00095007" w:rsidP="0077024C">
      <w:pPr>
        <w:spacing w:after="240" w:line="480" w:lineRule="auto"/>
        <w:ind w:left="720" w:hanging="720"/>
        <w:rPr>
          <w:rFonts w:ascii="Times New Roman" w:hAnsi="Times New Roman" w:cs="Times New Roman"/>
          <w:color w:val="000000" w:themeColor="text1"/>
        </w:rPr>
      </w:pPr>
    </w:p>
    <w:p w14:paraId="012F4B2A" w14:textId="77777777" w:rsidR="0077024C" w:rsidRPr="00AF0CC3" w:rsidRDefault="0077024C" w:rsidP="00EB476E">
      <w:pPr>
        <w:spacing w:after="240" w:line="480" w:lineRule="auto"/>
        <w:rPr>
          <w:rFonts w:ascii="Times New Roman" w:hAnsi="Times New Roman" w:cs="Times New Roman"/>
          <w:color w:val="000000" w:themeColor="text1"/>
        </w:rPr>
      </w:pPr>
    </w:p>
    <w:p w14:paraId="3A386289" w14:textId="1EEB51E7" w:rsidR="0077024C" w:rsidRPr="00AF0CC3" w:rsidRDefault="0077024C" w:rsidP="000B497C">
      <w:pPr>
        <w:pStyle w:val="FrontMatterheading2"/>
        <w:rPr>
          <w:szCs w:val="24"/>
        </w:rPr>
      </w:pPr>
      <w:bookmarkStart w:id="610" w:name="_Toc234489160"/>
      <w:r w:rsidRPr="00AF0CC3">
        <w:rPr>
          <w:szCs w:val="24"/>
        </w:rPr>
        <w:lastRenderedPageBreak/>
        <w:t>APPENDIX A</w:t>
      </w:r>
      <w:r w:rsidR="000B497C" w:rsidRPr="00AF0CC3">
        <w:rPr>
          <w:szCs w:val="24"/>
        </w:rPr>
        <w:t>: Panel Project Data Checklist –Water Management Projects</w:t>
      </w:r>
      <w:bookmarkEnd w:id="610"/>
    </w:p>
    <w:p w14:paraId="11A1E079" w14:textId="77777777" w:rsidR="000B497C" w:rsidRPr="00AF0CC3" w:rsidRDefault="000B497C" w:rsidP="000B497C">
      <w:pPr>
        <w:rPr>
          <w:rFonts w:ascii="Times New Roman" w:hAnsi="Times New Roman" w:cs="Times New Roman"/>
        </w:rPr>
      </w:pPr>
    </w:p>
    <w:tbl>
      <w:tblPr>
        <w:tblW w:w="9836" w:type="dxa"/>
        <w:tblLook w:val="04A0" w:firstRow="1" w:lastRow="0" w:firstColumn="1" w:lastColumn="0" w:noHBand="0" w:noVBand="1"/>
      </w:tblPr>
      <w:tblGrid>
        <w:gridCol w:w="2313"/>
        <w:gridCol w:w="2386"/>
        <w:gridCol w:w="1161"/>
        <w:gridCol w:w="976"/>
        <w:gridCol w:w="1710"/>
        <w:gridCol w:w="1480"/>
      </w:tblGrid>
      <w:tr w:rsidR="0047047C" w:rsidRPr="00AF0CC3" w14:paraId="285B2136" w14:textId="77777777" w:rsidTr="0047047C">
        <w:trPr>
          <w:trHeight w:val="326"/>
        </w:trPr>
        <w:tc>
          <w:tcPr>
            <w:tcW w:w="9836" w:type="dxa"/>
            <w:gridSpan w:val="6"/>
            <w:tcBorders>
              <w:top w:val="nil"/>
              <w:left w:val="nil"/>
              <w:bottom w:val="nil"/>
              <w:right w:val="nil"/>
            </w:tcBorders>
            <w:noWrap/>
            <w:vAlign w:val="bottom"/>
            <w:hideMark/>
          </w:tcPr>
          <w:p w14:paraId="4A75E83C" w14:textId="77777777" w:rsidR="0047047C" w:rsidRPr="00AF0CC3" w:rsidRDefault="0047047C" w:rsidP="0047047C">
            <w:pPr>
              <w:spacing w:after="0" w:line="240" w:lineRule="auto"/>
              <w:rPr>
                <w:rFonts w:ascii="Times New Roman" w:eastAsia="Times New Roman" w:hAnsi="Times New Roman" w:cs="Times New Roman"/>
                <w:b/>
                <w:bCs/>
                <w:kern w:val="0"/>
                <w14:ligatures w14:val="none"/>
              </w:rPr>
            </w:pPr>
            <w:r w:rsidRPr="00AF0CC3">
              <w:rPr>
                <w:rFonts w:ascii="Times New Roman" w:eastAsia="Times New Roman" w:hAnsi="Times New Roman" w:cs="Times New Roman"/>
                <w:b/>
                <w:bCs/>
                <w:kern w:val="0"/>
                <w14:ligatures w14:val="none"/>
              </w:rPr>
              <w:t>Panel Project Data Checklist –Water Management Projects</w:t>
            </w:r>
          </w:p>
        </w:tc>
      </w:tr>
      <w:tr w:rsidR="0047047C" w:rsidRPr="00AF0CC3" w14:paraId="5CF6424F" w14:textId="77777777" w:rsidTr="0047047C">
        <w:trPr>
          <w:trHeight w:val="256"/>
        </w:trPr>
        <w:tc>
          <w:tcPr>
            <w:tcW w:w="2313" w:type="dxa"/>
            <w:tcBorders>
              <w:top w:val="nil"/>
              <w:left w:val="nil"/>
              <w:bottom w:val="nil"/>
              <w:right w:val="nil"/>
            </w:tcBorders>
            <w:noWrap/>
            <w:vAlign w:val="bottom"/>
            <w:hideMark/>
          </w:tcPr>
          <w:p w14:paraId="4B15DF2C" w14:textId="77777777" w:rsidR="0047047C" w:rsidRPr="00AF0CC3" w:rsidRDefault="0047047C" w:rsidP="0047047C">
            <w:pPr>
              <w:spacing w:after="0" w:line="240" w:lineRule="auto"/>
              <w:rPr>
                <w:rFonts w:ascii="Times New Roman" w:eastAsia="Times New Roman" w:hAnsi="Times New Roman" w:cs="Times New Roman"/>
                <w:b/>
                <w:bCs/>
                <w:kern w:val="0"/>
                <w14:ligatures w14:val="none"/>
              </w:rPr>
            </w:pPr>
          </w:p>
        </w:tc>
        <w:tc>
          <w:tcPr>
            <w:tcW w:w="2386" w:type="dxa"/>
            <w:tcBorders>
              <w:top w:val="nil"/>
              <w:left w:val="nil"/>
              <w:bottom w:val="nil"/>
              <w:right w:val="nil"/>
            </w:tcBorders>
            <w:noWrap/>
            <w:vAlign w:val="bottom"/>
            <w:hideMark/>
          </w:tcPr>
          <w:p w14:paraId="211F6A8F" w14:textId="77777777" w:rsidR="0047047C" w:rsidRPr="00AF0CC3" w:rsidRDefault="0047047C" w:rsidP="0047047C">
            <w:pPr>
              <w:spacing w:after="0" w:line="240" w:lineRule="auto"/>
              <w:rPr>
                <w:rFonts w:ascii="Times New Roman" w:eastAsia="Times New Roman" w:hAnsi="Times New Roman" w:cs="Times New Roman"/>
                <w:kern w:val="0"/>
                <w14:ligatures w14:val="none"/>
              </w:rPr>
            </w:pPr>
          </w:p>
        </w:tc>
        <w:tc>
          <w:tcPr>
            <w:tcW w:w="1161" w:type="dxa"/>
            <w:tcBorders>
              <w:top w:val="nil"/>
              <w:left w:val="nil"/>
              <w:bottom w:val="nil"/>
              <w:right w:val="nil"/>
            </w:tcBorders>
            <w:noWrap/>
            <w:vAlign w:val="bottom"/>
            <w:hideMark/>
          </w:tcPr>
          <w:p w14:paraId="4D47C60B" w14:textId="77777777" w:rsidR="0047047C" w:rsidRPr="00AF0CC3" w:rsidRDefault="0047047C" w:rsidP="0047047C">
            <w:pPr>
              <w:spacing w:after="0" w:line="240" w:lineRule="auto"/>
              <w:rPr>
                <w:rFonts w:ascii="Times New Roman" w:eastAsia="Times New Roman" w:hAnsi="Times New Roman" w:cs="Times New Roman"/>
                <w:kern w:val="0"/>
                <w14:ligatures w14:val="none"/>
              </w:rPr>
            </w:pPr>
          </w:p>
        </w:tc>
        <w:tc>
          <w:tcPr>
            <w:tcW w:w="784" w:type="dxa"/>
            <w:tcBorders>
              <w:top w:val="nil"/>
              <w:left w:val="nil"/>
              <w:bottom w:val="nil"/>
              <w:right w:val="nil"/>
            </w:tcBorders>
            <w:noWrap/>
            <w:vAlign w:val="bottom"/>
            <w:hideMark/>
          </w:tcPr>
          <w:p w14:paraId="55856285" w14:textId="77777777" w:rsidR="0047047C" w:rsidRPr="00AF0CC3" w:rsidRDefault="0047047C" w:rsidP="0047047C">
            <w:pPr>
              <w:spacing w:after="0" w:line="240" w:lineRule="auto"/>
              <w:rPr>
                <w:rFonts w:ascii="Times New Roman" w:eastAsia="Times New Roman" w:hAnsi="Times New Roman" w:cs="Times New Roman"/>
                <w:kern w:val="0"/>
                <w14:ligatures w14:val="none"/>
              </w:rPr>
            </w:pPr>
          </w:p>
        </w:tc>
        <w:tc>
          <w:tcPr>
            <w:tcW w:w="1710" w:type="dxa"/>
            <w:tcBorders>
              <w:top w:val="nil"/>
              <w:left w:val="nil"/>
              <w:bottom w:val="nil"/>
              <w:right w:val="nil"/>
            </w:tcBorders>
            <w:noWrap/>
            <w:vAlign w:val="bottom"/>
            <w:hideMark/>
          </w:tcPr>
          <w:p w14:paraId="79216FF0" w14:textId="77777777" w:rsidR="0047047C" w:rsidRPr="00AF0CC3" w:rsidRDefault="0047047C" w:rsidP="0047047C">
            <w:pPr>
              <w:spacing w:after="0" w:line="240" w:lineRule="auto"/>
              <w:rPr>
                <w:rFonts w:ascii="Times New Roman" w:eastAsia="Times New Roman" w:hAnsi="Times New Roman" w:cs="Times New Roman"/>
                <w:kern w:val="0"/>
                <w14:ligatures w14:val="none"/>
              </w:rPr>
            </w:pPr>
          </w:p>
        </w:tc>
        <w:tc>
          <w:tcPr>
            <w:tcW w:w="1480" w:type="dxa"/>
            <w:tcBorders>
              <w:top w:val="nil"/>
              <w:left w:val="nil"/>
              <w:bottom w:val="nil"/>
              <w:right w:val="nil"/>
            </w:tcBorders>
            <w:noWrap/>
            <w:vAlign w:val="bottom"/>
            <w:hideMark/>
          </w:tcPr>
          <w:p w14:paraId="12D05269" w14:textId="77777777" w:rsidR="0047047C" w:rsidRPr="00AF0CC3" w:rsidRDefault="0047047C" w:rsidP="0047047C">
            <w:pPr>
              <w:spacing w:after="0" w:line="240" w:lineRule="auto"/>
              <w:rPr>
                <w:rFonts w:ascii="Times New Roman" w:eastAsia="Times New Roman" w:hAnsi="Times New Roman" w:cs="Times New Roman"/>
                <w:kern w:val="0"/>
                <w14:ligatures w14:val="none"/>
              </w:rPr>
            </w:pPr>
          </w:p>
        </w:tc>
      </w:tr>
      <w:tr w:rsidR="0047047C" w:rsidRPr="00AF0CC3" w14:paraId="74A1EB4C" w14:textId="77777777" w:rsidTr="0047047C">
        <w:trPr>
          <w:trHeight w:val="256"/>
        </w:trPr>
        <w:tc>
          <w:tcPr>
            <w:tcW w:w="2313" w:type="dxa"/>
            <w:tcBorders>
              <w:top w:val="nil"/>
              <w:left w:val="nil"/>
              <w:bottom w:val="nil"/>
              <w:right w:val="nil"/>
            </w:tcBorders>
            <w:noWrap/>
            <w:vAlign w:val="bottom"/>
            <w:hideMark/>
          </w:tcPr>
          <w:p w14:paraId="6E5ACB6E" w14:textId="77777777" w:rsidR="0047047C" w:rsidRPr="00AF0CC3" w:rsidRDefault="0047047C" w:rsidP="0047047C">
            <w:pPr>
              <w:spacing w:after="0" w:line="240" w:lineRule="auto"/>
              <w:rPr>
                <w:rFonts w:ascii="Times New Roman" w:eastAsia="Times New Roman" w:hAnsi="Times New Roman" w:cs="Times New Roman"/>
                <w:b/>
                <w:bCs/>
                <w:kern w:val="0"/>
                <w14:ligatures w14:val="none"/>
              </w:rPr>
            </w:pPr>
            <w:r w:rsidRPr="00AF0CC3">
              <w:rPr>
                <w:rFonts w:ascii="Times New Roman" w:eastAsia="Times New Roman" w:hAnsi="Times New Roman" w:cs="Times New Roman"/>
                <w:b/>
                <w:bCs/>
                <w:kern w:val="0"/>
                <w14:ligatures w14:val="none"/>
              </w:rPr>
              <w:t>Project Name:</w:t>
            </w:r>
          </w:p>
        </w:tc>
        <w:tc>
          <w:tcPr>
            <w:tcW w:w="7523" w:type="dxa"/>
            <w:gridSpan w:val="5"/>
            <w:tcBorders>
              <w:top w:val="nil"/>
              <w:left w:val="nil"/>
              <w:bottom w:val="nil"/>
              <w:right w:val="nil"/>
            </w:tcBorders>
            <w:noWrap/>
            <w:vAlign w:val="bottom"/>
            <w:hideMark/>
          </w:tcPr>
          <w:p w14:paraId="2C3B2908" w14:textId="77777777" w:rsidR="0047047C" w:rsidRPr="00AF0CC3" w:rsidRDefault="0047047C" w:rsidP="0047047C">
            <w:pPr>
              <w:spacing w:after="0" w:line="240" w:lineRule="auto"/>
              <w:rPr>
                <w:rFonts w:ascii="Times New Roman" w:eastAsia="Times New Roman" w:hAnsi="Times New Roman" w:cs="Times New Roman"/>
                <w:b/>
                <w:bCs/>
                <w:kern w:val="0"/>
                <w14:ligatures w14:val="none"/>
              </w:rPr>
            </w:pPr>
          </w:p>
        </w:tc>
      </w:tr>
      <w:tr w:rsidR="0047047C" w:rsidRPr="00AF0CC3" w14:paraId="3AFE3AE5" w14:textId="77777777" w:rsidTr="0047047C">
        <w:trPr>
          <w:trHeight w:val="256"/>
        </w:trPr>
        <w:tc>
          <w:tcPr>
            <w:tcW w:w="2313" w:type="dxa"/>
            <w:tcBorders>
              <w:top w:val="nil"/>
              <w:left w:val="nil"/>
              <w:bottom w:val="nil"/>
              <w:right w:val="nil"/>
            </w:tcBorders>
            <w:noWrap/>
            <w:vAlign w:val="bottom"/>
            <w:hideMark/>
          </w:tcPr>
          <w:p w14:paraId="02CCC92F" w14:textId="77777777" w:rsidR="0047047C" w:rsidRPr="00AF0CC3" w:rsidRDefault="0047047C" w:rsidP="0047047C">
            <w:pPr>
              <w:spacing w:after="0" w:line="240" w:lineRule="auto"/>
              <w:rPr>
                <w:rFonts w:ascii="Times New Roman" w:eastAsia="Times New Roman" w:hAnsi="Times New Roman" w:cs="Times New Roman"/>
                <w:b/>
                <w:bCs/>
                <w:kern w:val="0"/>
                <w14:ligatures w14:val="none"/>
              </w:rPr>
            </w:pPr>
            <w:r w:rsidRPr="00AF0CC3">
              <w:rPr>
                <w:rFonts w:ascii="Times New Roman" w:eastAsia="Times New Roman" w:hAnsi="Times New Roman" w:cs="Times New Roman"/>
                <w:b/>
                <w:bCs/>
                <w:kern w:val="0"/>
                <w14:ligatures w14:val="none"/>
              </w:rPr>
              <w:t>Implementing Agency / Utility:</w:t>
            </w:r>
          </w:p>
        </w:tc>
        <w:tc>
          <w:tcPr>
            <w:tcW w:w="7523" w:type="dxa"/>
            <w:gridSpan w:val="5"/>
            <w:tcBorders>
              <w:top w:val="nil"/>
              <w:left w:val="nil"/>
              <w:bottom w:val="nil"/>
              <w:right w:val="nil"/>
            </w:tcBorders>
            <w:noWrap/>
            <w:vAlign w:val="bottom"/>
            <w:hideMark/>
          </w:tcPr>
          <w:p w14:paraId="054ECC3F" w14:textId="77777777" w:rsidR="0047047C" w:rsidRPr="00AF0CC3" w:rsidRDefault="0047047C" w:rsidP="0047047C">
            <w:pPr>
              <w:spacing w:after="0" w:line="240" w:lineRule="auto"/>
              <w:rPr>
                <w:rFonts w:ascii="Times New Roman" w:eastAsia="Times New Roman" w:hAnsi="Times New Roman" w:cs="Times New Roman"/>
                <w:b/>
                <w:bCs/>
                <w:kern w:val="0"/>
                <w14:ligatures w14:val="none"/>
              </w:rPr>
            </w:pPr>
          </w:p>
        </w:tc>
      </w:tr>
      <w:tr w:rsidR="0047047C" w:rsidRPr="00AF0CC3" w14:paraId="47F861DC" w14:textId="77777777" w:rsidTr="0047047C">
        <w:trPr>
          <w:trHeight w:val="256"/>
        </w:trPr>
        <w:tc>
          <w:tcPr>
            <w:tcW w:w="2313" w:type="dxa"/>
            <w:tcBorders>
              <w:top w:val="nil"/>
              <w:left w:val="nil"/>
              <w:bottom w:val="nil"/>
              <w:right w:val="nil"/>
            </w:tcBorders>
            <w:noWrap/>
            <w:vAlign w:val="bottom"/>
            <w:hideMark/>
          </w:tcPr>
          <w:p w14:paraId="462641E4" w14:textId="77777777" w:rsidR="0047047C" w:rsidRPr="00AF0CC3" w:rsidRDefault="0047047C" w:rsidP="0047047C">
            <w:pPr>
              <w:spacing w:after="0" w:line="240" w:lineRule="auto"/>
              <w:rPr>
                <w:rFonts w:ascii="Times New Roman" w:eastAsia="Times New Roman" w:hAnsi="Times New Roman" w:cs="Times New Roman"/>
                <w:b/>
                <w:bCs/>
                <w:kern w:val="0"/>
                <w14:ligatures w14:val="none"/>
              </w:rPr>
            </w:pPr>
            <w:r w:rsidRPr="00AF0CC3">
              <w:rPr>
                <w:rFonts w:ascii="Times New Roman" w:eastAsia="Times New Roman" w:hAnsi="Times New Roman" w:cs="Times New Roman"/>
                <w:b/>
                <w:bCs/>
                <w:kern w:val="0"/>
                <w14:ligatures w14:val="none"/>
              </w:rPr>
              <w:t>Coverage Period (Years):</w:t>
            </w:r>
          </w:p>
        </w:tc>
        <w:tc>
          <w:tcPr>
            <w:tcW w:w="7523" w:type="dxa"/>
            <w:gridSpan w:val="5"/>
            <w:tcBorders>
              <w:top w:val="nil"/>
              <w:left w:val="nil"/>
              <w:bottom w:val="nil"/>
              <w:right w:val="nil"/>
            </w:tcBorders>
            <w:noWrap/>
            <w:vAlign w:val="bottom"/>
            <w:hideMark/>
          </w:tcPr>
          <w:p w14:paraId="44BAA929" w14:textId="77777777" w:rsidR="0047047C" w:rsidRPr="00AF0CC3" w:rsidRDefault="0047047C" w:rsidP="0047047C">
            <w:pPr>
              <w:spacing w:after="0" w:line="240" w:lineRule="auto"/>
              <w:rPr>
                <w:rFonts w:ascii="Times New Roman" w:eastAsia="Times New Roman" w:hAnsi="Times New Roman" w:cs="Times New Roman"/>
                <w:b/>
                <w:bCs/>
                <w:kern w:val="0"/>
                <w14:ligatures w14:val="none"/>
              </w:rPr>
            </w:pPr>
          </w:p>
        </w:tc>
      </w:tr>
      <w:tr w:rsidR="0047047C" w:rsidRPr="00AF0CC3" w14:paraId="6A1C5087" w14:textId="77777777" w:rsidTr="0047047C">
        <w:trPr>
          <w:trHeight w:val="256"/>
        </w:trPr>
        <w:tc>
          <w:tcPr>
            <w:tcW w:w="2313" w:type="dxa"/>
            <w:tcBorders>
              <w:top w:val="nil"/>
              <w:left w:val="nil"/>
              <w:bottom w:val="nil"/>
              <w:right w:val="nil"/>
            </w:tcBorders>
            <w:noWrap/>
            <w:vAlign w:val="bottom"/>
            <w:hideMark/>
          </w:tcPr>
          <w:p w14:paraId="1ECF1834" w14:textId="77777777" w:rsidR="0047047C" w:rsidRPr="00AF0CC3" w:rsidRDefault="0047047C" w:rsidP="0047047C">
            <w:pPr>
              <w:spacing w:after="0" w:line="240" w:lineRule="auto"/>
              <w:rPr>
                <w:rFonts w:ascii="Times New Roman" w:eastAsia="Times New Roman" w:hAnsi="Times New Roman" w:cs="Times New Roman"/>
                <w:kern w:val="0"/>
                <w14:ligatures w14:val="none"/>
              </w:rPr>
            </w:pPr>
          </w:p>
        </w:tc>
        <w:tc>
          <w:tcPr>
            <w:tcW w:w="2386" w:type="dxa"/>
            <w:tcBorders>
              <w:top w:val="nil"/>
              <w:left w:val="nil"/>
              <w:bottom w:val="nil"/>
              <w:right w:val="nil"/>
            </w:tcBorders>
            <w:noWrap/>
            <w:vAlign w:val="bottom"/>
            <w:hideMark/>
          </w:tcPr>
          <w:p w14:paraId="09E05038" w14:textId="77777777" w:rsidR="0047047C" w:rsidRPr="00AF0CC3" w:rsidRDefault="0047047C" w:rsidP="0047047C">
            <w:pPr>
              <w:spacing w:after="0" w:line="240" w:lineRule="auto"/>
              <w:rPr>
                <w:rFonts w:ascii="Times New Roman" w:eastAsia="Times New Roman" w:hAnsi="Times New Roman" w:cs="Times New Roman"/>
                <w:kern w:val="0"/>
                <w14:ligatures w14:val="none"/>
              </w:rPr>
            </w:pPr>
          </w:p>
        </w:tc>
        <w:tc>
          <w:tcPr>
            <w:tcW w:w="1161" w:type="dxa"/>
            <w:tcBorders>
              <w:top w:val="nil"/>
              <w:left w:val="nil"/>
              <w:bottom w:val="nil"/>
              <w:right w:val="nil"/>
            </w:tcBorders>
            <w:noWrap/>
            <w:vAlign w:val="bottom"/>
            <w:hideMark/>
          </w:tcPr>
          <w:p w14:paraId="7D723933" w14:textId="77777777" w:rsidR="0047047C" w:rsidRPr="00AF0CC3" w:rsidRDefault="0047047C" w:rsidP="0047047C">
            <w:pPr>
              <w:spacing w:after="0" w:line="240" w:lineRule="auto"/>
              <w:rPr>
                <w:rFonts w:ascii="Times New Roman" w:eastAsia="Times New Roman" w:hAnsi="Times New Roman" w:cs="Times New Roman"/>
                <w:kern w:val="0"/>
                <w14:ligatures w14:val="none"/>
              </w:rPr>
            </w:pPr>
          </w:p>
        </w:tc>
        <w:tc>
          <w:tcPr>
            <w:tcW w:w="784" w:type="dxa"/>
            <w:tcBorders>
              <w:top w:val="nil"/>
              <w:left w:val="nil"/>
              <w:bottom w:val="nil"/>
              <w:right w:val="nil"/>
            </w:tcBorders>
            <w:noWrap/>
            <w:vAlign w:val="bottom"/>
            <w:hideMark/>
          </w:tcPr>
          <w:p w14:paraId="220956F6" w14:textId="77777777" w:rsidR="0047047C" w:rsidRPr="00AF0CC3" w:rsidRDefault="0047047C" w:rsidP="0047047C">
            <w:pPr>
              <w:spacing w:after="0" w:line="240" w:lineRule="auto"/>
              <w:rPr>
                <w:rFonts w:ascii="Times New Roman" w:eastAsia="Times New Roman" w:hAnsi="Times New Roman" w:cs="Times New Roman"/>
                <w:kern w:val="0"/>
                <w14:ligatures w14:val="none"/>
              </w:rPr>
            </w:pPr>
          </w:p>
        </w:tc>
        <w:tc>
          <w:tcPr>
            <w:tcW w:w="1710" w:type="dxa"/>
            <w:tcBorders>
              <w:top w:val="nil"/>
              <w:left w:val="nil"/>
              <w:bottom w:val="nil"/>
              <w:right w:val="nil"/>
            </w:tcBorders>
            <w:noWrap/>
            <w:vAlign w:val="bottom"/>
            <w:hideMark/>
          </w:tcPr>
          <w:p w14:paraId="5B59D18A" w14:textId="77777777" w:rsidR="0047047C" w:rsidRPr="00AF0CC3" w:rsidRDefault="0047047C" w:rsidP="0047047C">
            <w:pPr>
              <w:spacing w:after="0" w:line="240" w:lineRule="auto"/>
              <w:rPr>
                <w:rFonts w:ascii="Times New Roman" w:eastAsia="Times New Roman" w:hAnsi="Times New Roman" w:cs="Times New Roman"/>
                <w:kern w:val="0"/>
                <w14:ligatures w14:val="none"/>
              </w:rPr>
            </w:pPr>
          </w:p>
        </w:tc>
        <w:tc>
          <w:tcPr>
            <w:tcW w:w="1480" w:type="dxa"/>
            <w:tcBorders>
              <w:top w:val="nil"/>
              <w:left w:val="nil"/>
              <w:bottom w:val="nil"/>
              <w:right w:val="nil"/>
            </w:tcBorders>
            <w:noWrap/>
            <w:vAlign w:val="bottom"/>
            <w:hideMark/>
          </w:tcPr>
          <w:p w14:paraId="1FC8817D" w14:textId="77777777" w:rsidR="0047047C" w:rsidRPr="00AF0CC3" w:rsidRDefault="0047047C" w:rsidP="0047047C">
            <w:pPr>
              <w:spacing w:after="0" w:line="240" w:lineRule="auto"/>
              <w:rPr>
                <w:rFonts w:ascii="Times New Roman" w:eastAsia="Times New Roman" w:hAnsi="Times New Roman" w:cs="Times New Roman"/>
                <w:kern w:val="0"/>
                <w14:ligatures w14:val="none"/>
              </w:rPr>
            </w:pPr>
          </w:p>
        </w:tc>
      </w:tr>
      <w:tr w:rsidR="0047047C" w:rsidRPr="00AF0CC3" w14:paraId="45B40158" w14:textId="77777777" w:rsidTr="0047047C">
        <w:trPr>
          <w:trHeight w:val="256"/>
        </w:trPr>
        <w:tc>
          <w:tcPr>
            <w:tcW w:w="2313" w:type="dxa"/>
            <w:tcBorders>
              <w:top w:val="single" w:sz="4" w:space="0" w:color="9E9E9E"/>
              <w:left w:val="single" w:sz="4" w:space="0" w:color="9E9E9E"/>
              <w:bottom w:val="single" w:sz="4" w:space="0" w:color="9E9E9E"/>
              <w:right w:val="single" w:sz="4" w:space="0" w:color="9E9E9E"/>
            </w:tcBorders>
            <w:shd w:val="clear" w:color="000000" w:fill="1F4E79"/>
            <w:noWrap/>
            <w:vAlign w:val="center"/>
            <w:hideMark/>
          </w:tcPr>
          <w:p w14:paraId="5B4A4D1E" w14:textId="77777777" w:rsidR="0047047C" w:rsidRPr="00AF0CC3" w:rsidRDefault="0047047C" w:rsidP="0047047C">
            <w:pPr>
              <w:spacing w:after="0" w:line="240" w:lineRule="auto"/>
              <w:jc w:val="center"/>
              <w:rPr>
                <w:rFonts w:ascii="Times New Roman" w:eastAsia="Times New Roman" w:hAnsi="Times New Roman" w:cs="Times New Roman"/>
                <w:b/>
                <w:bCs/>
                <w:color w:val="FFFFFF"/>
                <w:kern w:val="0"/>
                <w14:ligatures w14:val="none"/>
              </w:rPr>
            </w:pPr>
            <w:r w:rsidRPr="00AF0CC3">
              <w:rPr>
                <w:rFonts w:ascii="Times New Roman" w:eastAsia="Times New Roman" w:hAnsi="Times New Roman" w:cs="Times New Roman"/>
                <w:b/>
                <w:bCs/>
                <w:color w:val="FFFFFF"/>
                <w:kern w:val="0"/>
                <w14:ligatures w14:val="none"/>
              </w:rPr>
              <w:t>Section</w:t>
            </w:r>
          </w:p>
        </w:tc>
        <w:tc>
          <w:tcPr>
            <w:tcW w:w="2386" w:type="dxa"/>
            <w:tcBorders>
              <w:top w:val="single" w:sz="4" w:space="0" w:color="9E9E9E"/>
              <w:left w:val="nil"/>
              <w:bottom w:val="single" w:sz="4" w:space="0" w:color="9E9E9E"/>
              <w:right w:val="single" w:sz="4" w:space="0" w:color="9E9E9E"/>
            </w:tcBorders>
            <w:shd w:val="clear" w:color="000000" w:fill="1F4E79"/>
            <w:noWrap/>
            <w:vAlign w:val="center"/>
            <w:hideMark/>
          </w:tcPr>
          <w:p w14:paraId="4C7D5E53" w14:textId="77777777" w:rsidR="0047047C" w:rsidRPr="00AF0CC3" w:rsidRDefault="0047047C" w:rsidP="0047047C">
            <w:pPr>
              <w:spacing w:after="0" w:line="240" w:lineRule="auto"/>
              <w:jc w:val="center"/>
              <w:rPr>
                <w:rFonts w:ascii="Times New Roman" w:eastAsia="Times New Roman" w:hAnsi="Times New Roman" w:cs="Times New Roman"/>
                <w:b/>
                <w:bCs/>
                <w:color w:val="FFFFFF"/>
                <w:kern w:val="0"/>
                <w14:ligatures w14:val="none"/>
              </w:rPr>
            </w:pPr>
            <w:r w:rsidRPr="00AF0CC3">
              <w:rPr>
                <w:rFonts w:ascii="Times New Roman" w:eastAsia="Times New Roman" w:hAnsi="Times New Roman" w:cs="Times New Roman"/>
                <w:b/>
                <w:bCs/>
                <w:color w:val="FFFFFF"/>
                <w:kern w:val="0"/>
                <w14:ligatures w14:val="none"/>
              </w:rPr>
              <w:t>Item</w:t>
            </w:r>
          </w:p>
        </w:tc>
        <w:tc>
          <w:tcPr>
            <w:tcW w:w="1161" w:type="dxa"/>
            <w:tcBorders>
              <w:top w:val="single" w:sz="4" w:space="0" w:color="9E9E9E"/>
              <w:left w:val="nil"/>
              <w:bottom w:val="single" w:sz="4" w:space="0" w:color="9E9E9E"/>
              <w:right w:val="single" w:sz="4" w:space="0" w:color="9E9E9E"/>
            </w:tcBorders>
            <w:shd w:val="clear" w:color="000000" w:fill="1F4E79"/>
            <w:noWrap/>
            <w:vAlign w:val="center"/>
            <w:hideMark/>
          </w:tcPr>
          <w:p w14:paraId="00987B9C" w14:textId="77777777" w:rsidR="0047047C" w:rsidRPr="00AF0CC3" w:rsidRDefault="0047047C" w:rsidP="0047047C">
            <w:pPr>
              <w:spacing w:after="0" w:line="240" w:lineRule="auto"/>
              <w:jc w:val="center"/>
              <w:rPr>
                <w:rFonts w:ascii="Times New Roman" w:eastAsia="Times New Roman" w:hAnsi="Times New Roman" w:cs="Times New Roman"/>
                <w:b/>
                <w:bCs/>
                <w:color w:val="FFFFFF"/>
                <w:kern w:val="0"/>
                <w14:ligatures w14:val="none"/>
              </w:rPr>
            </w:pPr>
            <w:r w:rsidRPr="00AF0CC3">
              <w:rPr>
                <w:rFonts w:ascii="Times New Roman" w:eastAsia="Times New Roman" w:hAnsi="Times New Roman" w:cs="Times New Roman"/>
                <w:b/>
                <w:bCs/>
                <w:color w:val="FFFFFF"/>
                <w:kern w:val="0"/>
                <w14:ligatures w14:val="none"/>
              </w:rPr>
              <w:t>Check (Yes/No)</w:t>
            </w:r>
          </w:p>
        </w:tc>
        <w:tc>
          <w:tcPr>
            <w:tcW w:w="784" w:type="dxa"/>
            <w:tcBorders>
              <w:top w:val="single" w:sz="4" w:space="0" w:color="9E9E9E"/>
              <w:left w:val="nil"/>
              <w:bottom w:val="single" w:sz="4" w:space="0" w:color="9E9E9E"/>
              <w:right w:val="single" w:sz="4" w:space="0" w:color="9E9E9E"/>
            </w:tcBorders>
            <w:shd w:val="clear" w:color="000000" w:fill="1F4E79"/>
            <w:noWrap/>
            <w:vAlign w:val="center"/>
            <w:hideMark/>
          </w:tcPr>
          <w:p w14:paraId="74CAC0E6" w14:textId="77777777" w:rsidR="0047047C" w:rsidRPr="00AF0CC3" w:rsidRDefault="0047047C" w:rsidP="0047047C">
            <w:pPr>
              <w:spacing w:after="0" w:line="240" w:lineRule="auto"/>
              <w:jc w:val="center"/>
              <w:rPr>
                <w:rFonts w:ascii="Times New Roman" w:eastAsia="Times New Roman" w:hAnsi="Times New Roman" w:cs="Times New Roman"/>
                <w:b/>
                <w:bCs/>
                <w:color w:val="FFFFFF"/>
                <w:kern w:val="0"/>
                <w14:ligatures w14:val="none"/>
              </w:rPr>
            </w:pPr>
            <w:r w:rsidRPr="00AF0CC3">
              <w:rPr>
                <w:rFonts w:ascii="Times New Roman" w:eastAsia="Times New Roman" w:hAnsi="Times New Roman" w:cs="Times New Roman"/>
                <w:b/>
                <w:bCs/>
                <w:color w:val="FFFFFF"/>
                <w:kern w:val="0"/>
                <w14:ligatures w14:val="none"/>
              </w:rPr>
              <w:t>Year(s)</w:t>
            </w:r>
          </w:p>
        </w:tc>
        <w:tc>
          <w:tcPr>
            <w:tcW w:w="1710" w:type="dxa"/>
            <w:tcBorders>
              <w:top w:val="single" w:sz="4" w:space="0" w:color="9E9E9E"/>
              <w:left w:val="nil"/>
              <w:bottom w:val="single" w:sz="4" w:space="0" w:color="9E9E9E"/>
              <w:right w:val="single" w:sz="4" w:space="0" w:color="9E9E9E"/>
            </w:tcBorders>
            <w:shd w:val="clear" w:color="000000" w:fill="1F4E79"/>
            <w:noWrap/>
            <w:vAlign w:val="center"/>
            <w:hideMark/>
          </w:tcPr>
          <w:p w14:paraId="21571E5C" w14:textId="77777777" w:rsidR="0047047C" w:rsidRPr="00AF0CC3" w:rsidRDefault="0047047C" w:rsidP="0047047C">
            <w:pPr>
              <w:spacing w:after="0" w:line="240" w:lineRule="auto"/>
              <w:jc w:val="center"/>
              <w:rPr>
                <w:rFonts w:ascii="Times New Roman" w:eastAsia="Times New Roman" w:hAnsi="Times New Roman" w:cs="Times New Roman"/>
                <w:b/>
                <w:bCs/>
                <w:color w:val="FFFFFF"/>
                <w:kern w:val="0"/>
                <w14:ligatures w14:val="none"/>
              </w:rPr>
            </w:pPr>
            <w:r w:rsidRPr="00AF0CC3">
              <w:rPr>
                <w:rFonts w:ascii="Times New Roman" w:eastAsia="Times New Roman" w:hAnsi="Times New Roman" w:cs="Times New Roman"/>
                <w:b/>
                <w:bCs/>
                <w:color w:val="FFFFFF"/>
                <w:kern w:val="0"/>
                <w14:ligatures w14:val="none"/>
              </w:rPr>
              <w:t>Data Source</w:t>
            </w:r>
          </w:p>
        </w:tc>
        <w:tc>
          <w:tcPr>
            <w:tcW w:w="1480" w:type="dxa"/>
            <w:tcBorders>
              <w:top w:val="single" w:sz="4" w:space="0" w:color="9E9E9E"/>
              <w:left w:val="nil"/>
              <w:bottom w:val="single" w:sz="4" w:space="0" w:color="9E9E9E"/>
              <w:right w:val="single" w:sz="4" w:space="0" w:color="9E9E9E"/>
            </w:tcBorders>
            <w:shd w:val="clear" w:color="000000" w:fill="1F4E79"/>
            <w:noWrap/>
            <w:vAlign w:val="center"/>
            <w:hideMark/>
          </w:tcPr>
          <w:p w14:paraId="26347688" w14:textId="77777777" w:rsidR="0047047C" w:rsidRPr="00AF0CC3" w:rsidRDefault="0047047C" w:rsidP="0047047C">
            <w:pPr>
              <w:spacing w:after="0" w:line="240" w:lineRule="auto"/>
              <w:jc w:val="center"/>
              <w:rPr>
                <w:rFonts w:ascii="Times New Roman" w:eastAsia="Times New Roman" w:hAnsi="Times New Roman" w:cs="Times New Roman"/>
                <w:b/>
                <w:bCs/>
                <w:color w:val="FFFFFF"/>
                <w:kern w:val="0"/>
                <w14:ligatures w14:val="none"/>
              </w:rPr>
            </w:pPr>
            <w:r w:rsidRPr="00AF0CC3">
              <w:rPr>
                <w:rFonts w:ascii="Times New Roman" w:eastAsia="Times New Roman" w:hAnsi="Times New Roman" w:cs="Times New Roman"/>
                <w:b/>
                <w:bCs/>
                <w:color w:val="FFFFFF"/>
                <w:kern w:val="0"/>
                <w14:ligatures w14:val="none"/>
              </w:rPr>
              <w:t>Notes</w:t>
            </w:r>
          </w:p>
        </w:tc>
      </w:tr>
      <w:tr w:rsidR="0047047C" w:rsidRPr="00AF0CC3" w14:paraId="537B15F9" w14:textId="77777777" w:rsidTr="0047047C">
        <w:trPr>
          <w:trHeight w:val="256"/>
        </w:trPr>
        <w:tc>
          <w:tcPr>
            <w:tcW w:w="2313" w:type="dxa"/>
            <w:tcBorders>
              <w:top w:val="nil"/>
              <w:left w:val="single" w:sz="4" w:space="0" w:color="9E9E9E"/>
              <w:bottom w:val="single" w:sz="4" w:space="0" w:color="9E9E9E"/>
              <w:right w:val="single" w:sz="4" w:space="0" w:color="9E9E9E"/>
            </w:tcBorders>
            <w:hideMark/>
          </w:tcPr>
          <w:p w14:paraId="25A460D1" w14:textId="77777777" w:rsidR="0047047C" w:rsidRPr="00AF0CC3" w:rsidRDefault="0047047C" w:rsidP="0047047C">
            <w:pPr>
              <w:spacing w:after="0" w:line="240" w:lineRule="auto"/>
              <w:rPr>
                <w:rFonts w:ascii="Times New Roman" w:eastAsia="Times New Roman" w:hAnsi="Times New Roman" w:cs="Times New Roman"/>
                <w:color w:val="000000"/>
                <w:kern w:val="0"/>
                <w14:ligatures w14:val="none"/>
              </w:rPr>
            </w:pPr>
            <w:r w:rsidRPr="00AF0CC3">
              <w:rPr>
                <w:rFonts w:ascii="Times New Roman" w:eastAsia="Times New Roman" w:hAnsi="Times New Roman" w:cs="Times New Roman"/>
                <w:color w:val="000000"/>
                <w:kern w:val="0"/>
                <w14:ligatures w14:val="none"/>
              </w:rPr>
              <w:t>A. Project Identification</w:t>
            </w:r>
          </w:p>
        </w:tc>
        <w:tc>
          <w:tcPr>
            <w:tcW w:w="2386" w:type="dxa"/>
            <w:tcBorders>
              <w:top w:val="nil"/>
              <w:left w:val="nil"/>
              <w:bottom w:val="single" w:sz="4" w:space="0" w:color="9E9E9E"/>
              <w:right w:val="single" w:sz="4" w:space="0" w:color="9E9E9E"/>
            </w:tcBorders>
            <w:hideMark/>
          </w:tcPr>
          <w:p w14:paraId="2E22EF38" w14:textId="77777777" w:rsidR="0047047C" w:rsidRPr="00AF0CC3" w:rsidRDefault="0047047C" w:rsidP="0047047C">
            <w:pPr>
              <w:spacing w:after="0" w:line="240" w:lineRule="auto"/>
              <w:rPr>
                <w:rFonts w:ascii="Times New Roman" w:eastAsia="Times New Roman" w:hAnsi="Times New Roman" w:cs="Times New Roman"/>
                <w:color w:val="000000"/>
                <w:kern w:val="0"/>
                <w14:ligatures w14:val="none"/>
              </w:rPr>
            </w:pPr>
            <w:r w:rsidRPr="00AF0CC3">
              <w:rPr>
                <w:rFonts w:ascii="Times New Roman" w:eastAsia="Times New Roman" w:hAnsi="Times New Roman" w:cs="Times New Roman"/>
                <w:color w:val="000000"/>
                <w:kern w:val="0"/>
                <w14:ligatures w14:val="none"/>
              </w:rPr>
              <w:t>Project start year</w:t>
            </w:r>
          </w:p>
        </w:tc>
        <w:tc>
          <w:tcPr>
            <w:tcW w:w="1161" w:type="dxa"/>
            <w:tcBorders>
              <w:top w:val="nil"/>
              <w:left w:val="nil"/>
              <w:bottom w:val="single" w:sz="4" w:space="0" w:color="9E9E9E"/>
              <w:right w:val="single" w:sz="4" w:space="0" w:color="9E9E9E"/>
            </w:tcBorders>
            <w:noWrap/>
            <w:vAlign w:val="center"/>
            <w:hideMark/>
          </w:tcPr>
          <w:p w14:paraId="0D400127" w14:textId="77777777" w:rsidR="0047047C" w:rsidRPr="00AF0CC3" w:rsidRDefault="0047047C" w:rsidP="0047047C">
            <w:pPr>
              <w:spacing w:after="0" w:line="240" w:lineRule="auto"/>
              <w:jc w:val="center"/>
              <w:rPr>
                <w:rFonts w:ascii="Times New Roman" w:eastAsia="Times New Roman" w:hAnsi="Times New Roman" w:cs="Times New Roman"/>
                <w:color w:val="000000"/>
                <w:kern w:val="0"/>
                <w14:ligatures w14:val="none"/>
              </w:rPr>
            </w:pPr>
            <w:r w:rsidRPr="00AF0CC3">
              <w:rPr>
                <w:rFonts w:ascii="Times New Roman" w:eastAsia="Times New Roman" w:hAnsi="Times New Roman" w:cs="Times New Roman"/>
                <w:color w:val="000000"/>
                <w:kern w:val="0"/>
                <w14:ligatures w14:val="none"/>
              </w:rPr>
              <w:t> </w:t>
            </w:r>
          </w:p>
        </w:tc>
        <w:tc>
          <w:tcPr>
            <w:tcW w:w="784" w:type="dxa"/>
            <w:tcBorders>
              <w:top w:val="nil"/>
              <w:left w:val="nil"/>
              <w:bottom w:val="single" w:sz="4" w:space="0" w:color="9E9E9E"/>
              <w:right w:val="single" w:sz="4" w:space="0" w:color="9E9E9E"/>
            </w:tcBorders>
            <w:noWrap/>
            <w:vAlign w:val="center"/>
            <w:hideMark/>
          </w:tcPr>
          <w:p w14:paraId="6B78E56B" w14:textId="77777777" w:rsidR="0047047C" w:rsidRPr="00AF0CC3" w:rsidRDefault="0047047C" w:rsidP="0047047C">
            <w:pPr>
              <w:spacing w:after="0" w:line="240" w:lineRule="auto"/>
              <w:jc w:val="center"/>
              <w:rPr>
                <w:rFonts w:ascii="Times New Roman" w:eastAsia="Times New Roman" w:hAnsi="Times New Roman" w:cs="Times New Roman"/>
                <w:color w:val="000000"/>
                <w:kern w:val="0"/>
                <w14:ligatures w14:val="none"/>
              </w:rPr>
            </w:pPr>
            <w:r w:rsidRPr="00AF0CC3">
              <w:rPr>
                <w:rFonts w:ascii="Times New Roman" w:eastAsia="Times New Roman" w:hAnsi="Times New Roman" w:cs="Times New Roman"/>
                <w:color w:val="000000"/>
                <w:kern w:val="0"/>
                <w14:ligatures w14:val="none"/>
              </w:rPr>
              <w:t> </w:t>
            </w:r>
          </w:p>
        </w:tc>
        <w:tc>
          <w:tcPr>
            <w:tcW w:w="1710" w:type="dxa"/>
            <w:tcBorders>
              <w:top w:val="nil"/>
              <w:left w:val="nil"/>
              <w:bottom w:val="single" w:sz="4" w:space="0" w:color="9E9E9E"/>
              <w:right w:val="single" w:sz="4" w:space="0" w:color="9E9E9E"/>
            </w:tcBorders>
            <w:hideMark/>
          </w:tcPr>
          <w:p w14:paraId="1806392D" w14:textId="77777777" w:rsidR="0047047C" w:rsidRPr="00AF0CC3" w:rsidRDefault="0047047C" w:rsidP="0047047C">
            <w:pPr>
              <w:spacing w:after="0" w:line="240" w:lineRule="auto"/>
              <w:rPr>
                <w:rFonts w:ascii="Times New Roman" w:eastAsia="Times New Roman" w:hAnsi="Times New Roman" w:cs="Times New Roman"/>
                <w:color w:val="000000"/>
                <w:kern w:val="0"/>
                <w14:ligatures w14:val="none"/>
              </w:rPr>
            </w:pPr>
            <w:r w:rsidRPr="00AF0CC3">
              <w:rPr>
                <w:rFonts w:ascii="Times New Roman" w:eastAsia="Times New Roman" w:hAnsi="Times New Roman" w:cs="Times New Roman"/>
                <w:color w:val="000000"/>
                <w:kern w:val="0"/>
                <w14:ligatures w14:val="none"/>
              </w:rPr>
              <w:t> </w:t>
            </w:r>
          </w:p>
        </w:tc>
        <w:tc>
          <w:tcPr>
            <w:tcW w:w="1480" w:type="dxa"/>
            <w:tcBorders>
              <w:top w:val="nil"/>
              <w:left w:val="nil"/>
              <w:bottom w:val="single" w:sz="4" w:space="0" w:color="9E9E9E"/>
              <w:right w:val="single" w:sz="4" w:space="0" w:color="9E9E9E"/>
            </w:tcBorders>
            <w:hideMark/>
          </w:tcPr>
          <w:p w14:paraId="41CC3E34" w14:textId="77777777" w:rsidR="0047047C" w:rsidRPr="00AF0CC3" w:rsidRDefault="0047047C" w:rsidP="0047047C">
            <w:pPr>
              <w:spacing w:after="0" w:line="240" w:lineRule="auto"/>
              <w:rPr>
                <w:rFonts w:ascii="Times New Roman" w:eastAsia="Times New Roman" w:hAnsi="Times New Roman" w:cs="Times New Roman"/>
                <w:color w:val="000000"/>
                <w:kern w:val="0"/>
                <w14:ligatures w14:val="none"/>
              </w:rPr>
            </w:pPr>
            <w:r w:rsidRPr="00AF0CC3">
              <w:rPr>
                <w:rFonts w:ascii="Times New Roman" w:eastAsia="Times New Roman" w:hAnsi="Times New Roman" w:cs="Times New Roman"/>
                <w:color w:val="000000"/>
                <w:kern w:val="0"/>
                <w14:ligatures w14:val="none"/>
              </w:rPr>
              <w:t> </w:t>
            </w:r>
          </w:p>
        </w:tc>
      </w:tr>
      <w:tr w:rsidR="0047047C" w:rsidRPr="00AF0CC3" w14:paraId="4DC4480C" w14:textId="77777777" w:rsidTr="0047047C">
        <w:trPr>
          <w:trHeight w:val="256"/>
        </w:trPr>
        <w:tc>
          <w:tcPr>
            <w:tcW w:w="2313" w:type="dxa"/>
            <w:tcBorders>
              <w:top w:val="nil"/>
              <w:left w:val="single" w:sz="4" w:space="0" w:color="9E9E9E"/>
              <w:bottom w:val="single" w:sz="4" w:space="0" w:color="9E9E9E"/>
              <w:right w:val="single" w:sz="4" w:space="0" w:color="9E9E9E"/>
            </w:tcBorders>
            <w:hideMark/>
          </w:tcPr>
          <w:p w14:paraId="3406DD6E" w14:textId="77777777" w:rsidR="0047047C" w:rsidRPr="00AF0CC3" w:rsidRDefault="0047047C" w:rsidP="0047047C">
            <w:pPr>
              <w:spacing w:after="0" w:line="240" w:lineRule="auto"/>
              <w:rPr>
                <w:rFonts w:ascii="Times New Roman" w:eastAsia="Times New Roman" w:hAnsi="Times New Roman" w:cs="Times New Roman"/>
                <w:color w:val="000000"/>
                <w:kern w:val="0"/>
                <w14:ligatures w14:val="none"/>
              </w:rPr>
            </w:pPr>
            <w:r w:rsidRPr="00AF0CC3">
              <w:rPr>
                <w:rFonts w:ascii="Times New Roman" w:eastAsia="Times New Roman" w:hAnsi="Times New Roman" w:cs="Times New Roman"/>
                <w:color w:val="000000"/>
                <w:kern w:val="0"/>
                <w14:ligatures w14:val="none"/>
              </w:rPr>
              <w:t>A. Project Identification</w:t>
            </w:r>
          </w:p>
        </w:tc>
        <w:tc>
          <w:tcPr>
            <w:tcW w:w="2386" w:type="dxa"/>
            <w:tcBorders>
              <w:top w:val="nil"/>
              <w:left w:val="nil"/>
              <w:bottom w:val="single" w:sz="4" w:space="0" w:color="9E9E9E"/>
              <w:right w:val="single" w:sz="4" w:space="0" w:color="9E9E9E"/>
            </w:tcBorders>
            <w:hideMark/>
          </w:tcPr>
          <w:p w14:paraId="066994FD" w14:textId="77777777" w:rsidR="0047047C" w:rsidRPr="00AF0CC3" w:rsidRDefault="0047047C" w:rsidP="0047047C">
            <w:pPr>
              <w:spacing w:after="0" w:line="240" w:lineRule="auto"/>
              <w:rPr>
                <w:rFonts w:ascii="Times New Roman" w:eastAsia="Times New Roman" w:hAnsi="Times New Roman" w:cs="Times New Roman"/>
                <w:color w:val="000000"/>
                <w:kern w:val="0"/>
                <w14:ligatures w14:val="none"/>
              </w:rPr>
            </w:pPr>
            <w:r w:rsidRPr="00AF0CC3">
              <w:rPr>
                <w:rFonts w:ascii="Times New Roman" w:eastAsia="Times New Roman" w:hAnsi="Times New Roman" w:cs="Times New Roman"/>
                <w:color w:val="000000"/>
                <w:kern w:val="0"/>
                <w14:ligatures w14:val="none"/>
              </w:rPr>
              <w:t>Project planned end year</w:t>
            </w:r>
          </w:p>
        </w:tc>
        <w:tc>
          <w:tcPr>
            <w:tcW w:w="1161" w:type="dxa"/>
            <w:tcBorders>
              <w:top w:val="nil"/>
              <w:left w:val="nil"/>
              <w:bottom w:val="single" w:sz="4" w:space="0" w:color="9E9E9E"/>
              <w:right w:val="single" w:sz="4" w:space="0" w:color="9E9E9E"/>
            </w:tcBorders>
            <w:noWrap/>
            <w:vAlign w:val="center"/>
            <w:hideMark/>
          </w:tcPr>
          <w:p w14:paraId="1B856117" w14:textId="77777777" w:rsidR="0047047C" w:rsidRPr="00AF0CC3" w:rsidRDefault="0047047C" w:rsidP="0047047C">
            <w:pPr>
              <w:spacing w:after="0" w:line="240" w:lineRule="auto"/>
              <w:jc w:val="center"/>
              <w:rPr>
                <w:rFonts w:ascii="Times New Roman" w:eastAsia="Times New Roman" w:hAnsi="Times New Roman" w:cs="Times New Roman"/>
                <w:color w:val="000000"/>
                <w:kern w:val="0"/>
                <w14:ligatures w14:val="none"/>
              </w:rPr>
            </w:pPr>
            <w:r w:rsidRPr="00AF0CC3">
              <w:rPr>
                <w:rFonts w:ascii="Times New Roman" w:eastAsia="Times New Roman" w:hAnsi="Times New Roman" w:cs="Times New Roman"/>
                <w:color w:val="000000"/>
                <w:kern w:val="0"/>
                <w14:ligatures w14:val="none"/>
              </w:rPr>
              <w:t> </w:t>
            </w:r>
          </w:p>
        </w:tc>
        <w:tc>
          <w:tcPr>
            <w:tcW w:w="784" w:type="dxa"/>
            <w:tcBorders>
              <w:top w:val="nil"/>
              <w:left w:val="nil"/>
              <w:bottom w:val="single" w:sz="4" w:space="0" w:color="9E9E9E"/>
              <w:right w:val="single" w:sz="4" w:space="0" w:color="9E9E9E"/>
            </w:tcBorders>
            <w:noWrap/>
            <w:vAlign w:val="center"/>
            <w:hideMark/>
          </w:tcPr>
          <w:p w14:paraId="66EA6527" w14:textId="77777777" w:rsidR="0047047C" w:rsidRPr="00AF0CC3" w:rsidRDefault="0047047C" w:rsidP="0047047C">
            <w:pPr>
              <w:spacing w:after="0" w:line="240" w:lineRule="auto"/>
              <w:jc w:val="center"/>
              <w:rPr>
                <w:rFonts w:ascii="Times New Roman" w:eastAsia="Times New Roman" w:hAnsi="Times New Roman" w:cs="Times New Roman"/>
                <w:color w:val="000000"/>
                <w:kern w:val="0"/>
                <w14:ligatures w14:val="none"/>
              </w:rPr>
            </w:pPr>
            <w:r w:rsidRPr="00AF0CC3">
              <w:rPr>
                <w:rFonts w:ascii="Times New Roman" w:eastAsia="Times New Roman" w:hAnsi="Times New Roman" w:cs="Times New Roman"/>
                <w:color w:val="000000"/>
                <w:kern w:val="0"/>
                <w14:ligatures w14:val="none"/>
              </w:rPr>
              <w:t> </w:t>
            </w:r>
          </w:p>
        </w:tc>
        <w:tc>
          <w:tcPr>
            <w:tcW w:w="1710" w:type="dxa"/>
            <w:tcBorders>
              <w:top w:val="nil"/>
              <w:left w:val="nil"/>
              <w:bottom w:val="single" w:sz="4" w:space="0" w:color="9E9E9E"/>
              <w:right w:val="single" w:sz="4" w:space="0" w:color="9E9E9E"/>
            </w:tcBorders>
            <w:hideMark/>
          </w:tcPr>
          <w:p w14:paraId="4937730B" w14:textId="77777777" w:rsidR="0047047C" w:rsidRPr="00AF0CC3" w:rsidRDefault="0047047C" w:rsidP="0047047C">
            <w:pPr>
              <w:spacing w:after="0" w:line="240" w:lineRule="auto"/>
              <w:rPr>
                <w:rFonts w:ascii="Times New Roman" w:eastAsia="Times New Roman" w:hAnsi="Times New Roman" w:cs="Times New Roman"/>
                <w:color w:val="000000"/>
                <w:kern w:val="0"/>
                <w14:ligatures w14:val="none"/>
              </w:rPr>
            </w:pPr>
            <w:r w:rsidRPr="00AF0CC3">
              <w:rPr>
                <w:rFonts w:ascii="Times New Roman" w:eastAsia="Times New Roman" w:hAnsi="Times New Roman" w:cs="Times New Roman"/>
                <w:color w:val="000000"/>
                <w:kern w:val="0"/>
                <w14:ligatures w14:val="none"/>
              </w:rPr>
              <w:t> </w:t>
            </w:r>
          </w:p>
        </w:tc>
        <w:tc>
          <w:tcPr>
            <w:tcW w:w="1480" w:type="dxa"/>
            <w:tcBorders>
              <w:top w:val="nil"/>
              <w:left w:val="nil"/>
              <w:bottom w:val="single" w:sz="4" w:space="0" w:color="9E9E9E"/>
              <w:right w:val="single" w:sz="4" w:space="0" w:color="9E9E9E"/>
            </w:tcBorders>
            <w:hideMark/>
          </w:tcPr>
          <w:p w14:paraId="6F4539B8" w14:textId="77777777" w:rsidR="0047047C" w:rsidRPr="00AF0CC3" w:rsidRDefault="0047047C" w:rsidP="0047047C">
            <w:pPr>
              <w:spacing w:after="0" w:line="240" w:lineRule="auto"/>
              <w:rPr>
                <w:rFonts w:ascii="Times New Roman" w:eastAsia="Times New Roman" w:hAnsi="Times New Roman" w:cs="Times New Roman"/>
                <w:color w:val="000000"/>
                <w:kern w:val="0"/>
                <w14:ligatures w14:val="none"/>
              </w:rPr>
            </w:pPr>
            <w:r w:rsidRPr="00AF0CC3">
              <w:rPr>
                <w:rFonts w:ascii="Times New Roman" w:eastAsia="Times New Roman" w:hAnsi="Times New Roman" w:cs="Times New Roman"/>
                <w:color w:val="000000"/>
                <w:kern w:val="0"/>
                <w14:ligatures w14:val="none"/>
              </w:rPr>
              <w:t> </w:t>
            </w:r>
          </w:p>
        </w:tc>
      </w:tr>
      <w:tr w:rsidR="0047047C" w:rsidRPr="00AF0CC3" w14:paraId="479C3948" w14:textId="77777777" w:rsidTr="0047047C">
        <w:trPr>
          <w:trHeight w:val="256"/>
        </w:trPr>
        <w:tc>
          <w:tcPr>
            <w:tcW w:w="2313" w:type="dxa"/>
            <w:tcBorders>
              <w:top w:val="nil"/>
              <w:left w:val="single" w:sz="4" w:space="0" w:color="9E9E9E"/>
              <w:bottom w:val="single" w:sz="4" w:space="0" w:color="9E9E9E"/>
              <w:right w:val="single" w:sz="4" w:space="0" w:color="9E9E9E"/>
            </w:tcBorders>
            <w:hideMark/>
          </w:tcPr>
          <w:p w14:paraId="7E0CC61A" w14:textId="77777777" w:rsidR="0047047C" w:rsidRPr="00AF0CC3" w:rsidRDefault="0047047C" w:rsidP="0047047C">
            <w:pPr>
              <w:spacing w:after="0" w:line="240" w:lineRule="auto"/>
              <w:rPr>
                <w:rFonts w:ascii="Times New Roman" w:eastAsia="Times New Roman" w:hAnsi="Times New Roman" w:cs="Times New Roman"/>
                <w:color w:val="000000"/>
                <w:kern w:val="0"/>
                <w14:ligatures w14:val="none"/>
              </w:rPr>
            </w:pPr>
            <w:r w:rsidRPr="00AF0CC3">
              <w:rPr>
                <w:rFonts w:ascii="Times New Roman" w:eastAsia="Times New Roman" w:hAnsi="Times New Roman" w:cs="Times New Roman"/>
                <w:color w:val="000000"/>
                <w:kern w:val="0"/>
                <w14:ligatures w14:val="none"/>
              </w:rPr>
              <w:t>A. Project Identification</w:t>
            </w:r>
          </w:p>
        </w:tc>
        <w:tc>
          <w:tcPr>
            <w:tcW w:w="2386" w:type="dxa"/>
            <w:tcBorders>
              <w:top w:val="nil"/>
              <w:left w:val="nil"/>
              <w:bottom w:val="single" w:sz="4" w:space="0" w:color="9E9E9E"/>
              <w:right w:val="single" w:sz="4" w:space="0" w:color="9E9E9E"/>
            </w:tcBorders>
            <w:hideMark/>
          </w:tcPr>
          <w:p w14:paraId="4B18DA2B" w14:textId="77777777" w:rsidR="0047047C" w:rsidRPr="00AF0CC3" w:rsidRDefault="0047047C" w:rsidP="0047047C">
            <w:pPr>
              <w:spacing w:after="0" w:line="240" w:lineRule="auto"/>
              <w:rPr>
                <w:rFonts w:ascii="Times New Roman" w:eastAsia="Times New Roman" w:hAnsi="Times New Roman" w:cs="Times New Roman"/>
                <w:color w:val="000000"/>
                <w:kern w:val="0"/>
                <w14:ligatures w14:val="none"/>
              </w:rPr>
            </w:pPr>
            <w:r w:rsidRPr="00AF0CC3">
              <w:rPr>
                <w:rFonts w:ascii="Times New Roman" w:eastAsia="Times New Roman" w:hAnsi="Times New Roman" w:cs="Times New Roman"/>
                <w:color w:val="000000"/>
                <w:kern w:val="0"/>
                <w14:ligatures w14:val="none"/>
              </w:rPr>
              <w:t>Project operational status</w:t>
            </w:r>
          </w:p>
        </w:tc>
        <w:tc>
          <w:tcPr>
            <w:tcW w:w="1161" w:type="dxa"/>
            <w:tcBorders>
              <w:top w:val="nil"/>
              <w:left w:val="nil"/>
              <w:bottom w:val="single" w:sz="4" w:space="0" w:color="9E9E9E"/>
              <w:right w:val="single" w:sz="4" w:space="0" w:color="9E9E9E"/>
            </w:tcBorders>
            <w:noWrap/>
            <w:vAlign w:val="center"/>
            <w:hideMark/>
          </w:tcPr>
          <w:p w14:paraId="13766DE1" w14:textId="77777777" w:rsidR="0047047C" w:rsidRPr="00AF0CC3" w:rsidRDefault="0047047C" w:rsidP="0047047C">
            <w:pPr>
              <w:spacing w:after="0" w:line="240" w:lineRule="auto"/>
              <w:jc w:val="center"/>
              <w:rPr>
                <w:rFonts w:ascii="Times New Roman" w:eastAsia="Times New Roman" w:hAnsi="Times New Roman" w:cs="Times New Roman"/>
                <w:color w:val="000000"/>
                <w:kern w:val="0"/>
                <w14:ligatures w14:val="none"/>
              </w:rPr>
            </w:pPr>
            <w:r w:rsidRPr="00AF0CC3">
              <w:rPr>
                <w:rFonts w:ascii="Times New Roman" w:eastAsia="Times New Roman" w:hAnsi="Times New Roman" w:cs="Times New Roman"/>
                <w:color w:val="000000"/>
                <w:kern w:val="0"/>
                <w14:ligatures w14:val="none"/>
              </w:rPr>
              <w:t> </w:t>
            </w:r>
          </w:p>
        </w:tc>
        <w:tc>
          <w:tcPr>
            <w:tcW w:w="784" w:type="dxa"/>
            <w:tcBorders>
              <w:top w:val="nil"/>
              <w:left w:val="nil"/>
              <w:bottom w:val="single" w:sz="4" w:space="0" w:color="9E9E9E"/>
              <w:right w:val="single" w:sz="4" w:space="0" w:color="9E9E9E"/>
            </w:tcBorders>
            <w:noWrap/>
            <w:vAlign w:val="center"/>
            <w:hideMark/>
          </w:tcPr>
          <w:p w14:paraId="41620470" w14:textId="77777777" w:rsidR="0047047C" w:rsidRPr="00AF0CC3" w:rsidRDefault="0047047C" w:rsidP="0047047C">
            <w:pPr>
              <w:spacing w:after="0" w:line="240" w:lineRule="auto"/>
              <w:jc w:val="center"/>
              <w:rPr>
                <w:rFonts w:ascii="Times New Roman" w:eastAsia="Times New Roman" w:hAnsi="Times New Roman" w:cs="Times New Roman"/>
                <w:color w:val="000000"/>
                <w:kern w:val="0"/>
                <w14:ligatures w14:val="none"/>
              </w:rPr>
            </w:pPr>
            <w:r w:rsidRPr="00AF0CC3">
              <w:rPr>
                <w:rFonts w:ascii="Times New Roman" w:eastAsia="Times New Roman" w:hAnsi="Times New Roman" w:cs="Times New Roman"/>
                <w:color w:val="000000"/>
                <w:kern w:val="0"/>
                <w14:ligatures w14:val="none"/>
              </w:rPr>
              <w:t> </w:t>
            </w:r>
          </w:p>
        </w:tc>
        <w:tc>
          <w:tcPr>
            <w:tcW w:w="1710" w:type="dxa"/>
            <w:tcBorders>
              <w:top w:val="nil"/>
              <w:left w:val="nil"/>
              <w:bottom w:val="single" w:sz="4" w:space="0" w:color="9E9E9E"/>
              <w:right w:val="single" w:sz="4" w:space="0" w:color="9E9E9E"/>
            </w:tcBorders>
            <w:hideMark/>
          </w:tcPr>
          <w:p w14:paraId="68512343" w14:textId="77777777" w:rsidR="0047047C" w:rsidRPr="00AF0CC3" w:rsidRDefault="0047047C" w:rsidP="0047047C">
            <w:pPr>
              <w:spacing w:after="0" w:line="240" w:lineRule="auto"/>
              <w:rPr>
                <w:rFonts w:ascii="Times New Roman" w:eastAsia="Times New Roman" w:hAnsi="Times New Roman" w:cs="Times New Roman"/>
                <w:color w:val="000000"/>
                <w:kern w:val="0"/>
                <w14:ligatures w14:val="none"/>
              </w:rPr>
            </w:pPr>
            <w:r w:rsidRPr="00AF0CC3">
              <w:rPr>
                <w:rFonts w:ascii="Times New Roman" w:eastAsia="Times New Roman" w:hAnsi="Times New Roman" w:cs="Times New Roman"/>
                <w:color w:val="000000"/>
                <w:kern w:val="0"/>
                <w14:ligatures w14:val="none"/>
              </w:rPr>
              <w:t> </w:t>
            </w:r>
          </w:p>
        </w:tc>
        <w:tc>
          <w:tcPr>
            <w:tcW w:w="1480" w:type="dxa"/>
            <w:tcBorders>
              <w:top w:val="nil"/>
              <w:left w:val="nil"/>
              <w:bottom w:val="single" w:sz="4" w:space="0" w:color="9E9E9E"/>
              <w:right w:val="single" w:sz="4" w:space="0" w:color="9E9E9E"/>
            </w:tcBorders>
            <w:hideMark/>
          </w:tcPr>
          <w:p w14:paraId="0BC2B4BC" w14:textId="77777777" w:rsidR="0047047C" w:rsidRPr="00AF0CC3" w:rsidRDefault="0047047C" w:rsidP="0047047C">
            <w:pPr>
              <w:spacing w:after="0" w:line="240" w:lineRule="auto"/>
              <w:rPr>
                <w:rFonts w:ascii="Times New Roman" w:eastAsia="Times New Roman" w:hAnsi="Times New Roman" w:cs="Times New Roman"/>
                <w:color w:val="000000"/>
                <w:kern w:val="0"/>
                <w14:ligatures w14:val="none"/>
              </w:rPr>
            </w:pPr>
            <w:r w:rsidRPr="00AF0CC3">
              <w:rPr>
                <w:rFonts w:ascii="Times New Roman" w:eastAsia="Times New Roman" w:hAnsi="Times New Roman" w:cs="Times New Roman"/>
                <w:color w:val="000000"/>
                <w:kern w:val="0"/>
                <w14:ligatures w14:val="none"/>
              </w:rPr>
              <w:t> </w:t>
            </w:r>
          </w:p>
        </w:tc>
      </w:tr>
      <w:tr w:rsidR="0047047C" w:rsidRPr="00AF0CC3" w14:paraId="7F194569" w14:textId="77777777" w:rsidTr="0047047C">
        <w:trPr>
          <w:trHeight w:val="256"/>
        </w:trPr>
        <w:tc>
          <w:tcPr>
            <w:tcW w:w="2313" w:type="dxa"/>
            <w:tcBorders>
              <w:top w:val="nil"/>
              <w:left w:val="single" w:sz="4" w:space="0" w:color="9E9E9E"/>
              <w:bottom w:val="single" w:sz="4" w:space="0" w:color="9E9E9E"/>
              <w:right w:val="single" w:sz="4" w:space="0" w:color="9E9E9E"/>
            </w:tcBorders>
            <w:hideMark/>
          </w:tcPr>
          <w:p w14:paraId="4F4E66B5" w14:textId="77777777" w:rsidR="0047047C" w:rsidRPr="00AF0CC3" w:rsidRDefault="0047047C" w:rsidP="0047047C">
            <w:pPr>
              <w:spacing w:after="0" w:line="240" w:lineRule="auto"/>
              <w:rPr>
                <w:rFonts w:ascii="Times New Roman" w:eastAsia="Times New Roman" w:hAnsi="Times New Roman" w:cs="Times New Roman"/>
                <w:color w:val="000000"/>
                <w:kern w:val="0"/>
                <w14:ligatures w14:val="none"/>
              </w:rPr>
            </w:pPr>
            <w:r w:rsidRPr="00AF0CC3">
              <w:rPr>
                <w:rFonts w:ascii="Times New Roman" w:eastAsia="Times New Roman" w:hAnsi="Times New Roman" w:cs="Times New Roman"/>
                <w:color w:val="000000"/>
                <w:kern w:val="0"/>
                <w14:ligatures w14:val="none"/>
              </w:rPr>
              <w:t>B. Financing Structure</w:t>
            </w:r>
          </w:p>
        </w:tc>
        <w:tc>
          <w:tcPr>
            <w:tcW w:w="2386" w:type="dxa"/>
            <w:tcBorders>
              <w:top w:val="nil"/>
              <w:left w:val="nil"/>
              <w:bottom w:val="single" w:sz="4" w:space="0" w:color="9E9E9E"/>
              <w:right w:val="single" w:sz="4" w:space="0" w:color="9E9E9E"/>
            </w:tcBorders>
            <w:hideMark/>
          </w:tcPr>
          <w:p w14:paraId="0DC708A5" w14:textId="77777777" w:rsidR="0047047C" w:rsidRPr="00AF0CC3" w:rsidRDefault="0047047C" w:rsidP="0047047C">
            <w:pPr>
              <w:spacing w:after="0" w:line="240" w:lineRule="auto"/>
              <w:rPr>
                <w:rFonts w:ascii="Times New Roman" w:eastAsia="Times New Roman" w:hAnsi="Times New Roman" w:cs="Times New Roman"/>
                <w:color w:val="000000"/>
                <w:kern w:val="0"/>
                <w14:ligatures w14:val="none"/>
              </w:rPr>
            </w:pPr>
            <w:r w:rsidRPr="00AF0CC3">
              <w:rPr>
                <w:rFonts w:ascii="Times New Roman" w:eastAsia="Times New Roman" w:hAnsi="Times New Roman" w:cs="Times New Roman"/>
                <w:color w:val="000000"/>
                <w:kern w:val="0"/>
                <w14:ligatures w14:val="none"/>
              </w:rPr>
              <w:t>Total approved budget</w:t>
            </w:r>
          </w:p>
        </w:tc>
        <w:tc>
          <w:tcPr>
            <w:tcW w:w="1161" w:type="dxa"/>
            <w:tcBorders>
              <w:top w:val="nil"/>
              <w:left w:val="nil"/>
              <w:bottom w:val="single" w:sz="4" w:space="0" w:color="9E9E9E"/>
              <w:right w:val="single" w:sz="4" w:space="0" w:color="9E9E9E"/>
            </w:tcBorders>
            <w:noWrap/>
            <w:vAlign w:val="center"/>
            <w:hideMark/>
          </w:tcPr>
          <w:p w14:paraId="27A36215" w14:textId="77777777" w:rsidR="0047047C" w:rsidRPr="00AF0CC3" w:rsidRDefault="0047047C" w:rsidP="0047047C">
            <w:pPr>
              <w:spacing w:after="0" w:line="240" w:lineRule="auto"/>
              <w:jc w:val="center"/>
              <w:rPr>
                <w:rFonts w:ascii="Times New Roman" w:eastAsia="Times New Roman" w:hAnsi="Times New Roman" w:cs="Times New Roman"/>
                <w:color w:val="000000"/>
                <w:kern w:val="0"/>
                <w14:ligatures w14:val="none"/>
              </w:rPr>
            </w:pPr>
            <w:r w:rsidRPr="00AF0CC3">
              <w:rPr>
                <w:rFonts w:ascii="Times New Roman" w:eastAsia="Times New Roman" w:hAnsi="Times New Roman" w:cs="Times New Roman"/>
                <w:color w:val="000000"/>
                <w:kern w:val="0"/>
                <w14:ligatures w14:val="none"/>
              </w:rPr>
              <w:t> </w:t>
            </w:r>
          </w:p>
        </w:tc>
        <w:tc>
          <w:tcPr>
            <w:tcW w:w="784" w:type="dxa"/>
            <w:tcBorders>
              <w:top w:val="nil"/>
              <w:left w:val="nil"/>
              <w:bottom w:val="single" w:sz="4" w:space="0" w:color="9E9E9E"/>
              <w:right w:val="single" w:sz="4" w:space="0" w:color="9E9E9E"/>
            </w:tcBorders>
            <w:noWrap/>
            <w:vAlign w:val="center"/>
            <w:hideMark/>
          </w:tcPr>
          <w:p w14:paraId="41F685B0" w14:textId="77777777" w:rsidR="0047047C" w:rsidRPr="00AF0CC3" w:rsidRDefault="0047047C" w:rsidP="0047047C">
            <w:pPr>
              <w:spacing w:after="0" w:line="240" w:lineRule="auto"/>
              <w:jc w:val="center"/>
              <w:rPr>
                <w:rFonts w:ascii="Times New Roman" w:eastAsia="Times New Roman" w:hAnsi="Times New Roman" w:cs="Times New Roman"/>
                <w:color w:val="000000"/>
                <w:kern w:val="0"/>
                <w14:ligatures w14:val="none"/>
              </w:rPr>
            </w:pPr>
            <w:r w:rsidRPr="00AF0CC3">
              <w:rPr>
                <w:rFonts w:ascii="Times New Roman" w:eastAsia="Times New Roman" w:hAnsi="Times New Roman" w:cs="Times New Roman"/>
                <w:color w:val="000000"/>
                <w:kern w:val="0"/>
                <w14:ligatures w14:val="none"/>
              </w:rPr>
              <w:t> </w:t>
            </w:r>
          </w:p>
        </w:tc>
        <w:tc>
          <w:tcPr>
            <w:tcW w:w="1710" w:type="dxa"/>
            <w:tcBorders>
              <w:top w:val="nil"/>
              <w:left w:val="nil"/>
              <w:bottom w:val="single" w:sz="4" w:space="0" w:color="9E9E9E"/>
              <w:right w:val="single" w:sz="4" w:space="0" w:color="9E9E9E"/>
            </w:tcBorders>
            <w:hideMark/>
          </w:tcPr>
          <w:p w14:paraId="29738469" w14:textId="77777777" w:rsidR="0047047C" w:rsidRPr="00AF0CC3" w:rsidRDefault="0047047C" w:rsidP="0047047C">
            <w:pPr>
              <w:spacing w:after="0" w:line="240" w:lineRule="auto"/>
              <w:rPr>
                <w:rFonts w:ascii="Times New Roman" w:eastAsia="Times New Roman" w:hAnsi="Times New Roman" w:cs="Times New Roman"/>
                <w:color w:val="000000"/>
                <w:kern w:val="0"/>
                <w14:ligatures w14:val="none"/>
              </w:rPr>
            </w:pPr>
            <w:r w:rsidRPr="00AF0CC3">
              <w:rPr>
                <w:rFonts w:ascii="Times New Roman" w:eastAsia="Times New Roman" w:hAnsi="Times New Roman" w:cs="Times New Roman"/>
                <w:color w:val="000000"/>
                <w:kern w:val="0"/>
                <w14:ligatures w14:val="none"/>
              </w:rPr>
              <w:t> </w:t>
            </w:r>
          </w:p>
        </w:tc>
        <w:tc>
          <w:tcPr>
            <w:tcW w:w="1480" w:type="dxa"/>
            <w:tcBorders>
              <w:top w:val="nil"/>
              <w:left w:val="nil"/>
              <w:bottom w:val="single" w:sz="4" w:space="0" w:color="9E9E9E"/>
              <w:right w:val="single" w:sz="4" w:space="0" w:color="9E9E9E"/>
            </w:tcBorders>
            <w:hideMark/>
          </w:tcPr>
          <w:p w14:paraId="4FAB70F5" w14:textId="77777777" w:rsidR="0047047C" w:rsidRPr="00AF0CC3" w:rsidRDefault="0047047C" w:rsidP="0047047C">
            <w:pPr>
              <w:spacing w:after="0" w:line="240" w:lineRule="auto"/>
              <w:rPr>
                <w:rFonts w:ascii="Times New Roman" w:eastAsia="Times New Roman" w:hAnsi="Times New Roman" w:cs="Times New Roman"/>
                <w:color w:val="000000"/>
                <w:kern w:val="0"/>
                <w14:ligatures w14:val="none"/>
              </w:rPr>
            </w:pPr>
            <w:r w:rsidRPr="00AF0CC3">
              <w:rPr>
                <w:rFonts w:ascii="Times New Roman" w:eastAsia="Times New Roman" w:hAnsi="Times New Roman" w:cs="Times New Roman"/>
                <w:color w:val="000000"/>
                <w:kern w:val="0"/>
                <w14:ligatures w14:val="none"/>
              </w:rPr>
              <w:t> </w:t>
            </w:r>
          </w:p>
        </w:tc>
      </w:tr>
      <w:tr w:rsidR="0047047C" w:rsidRPr="00AF0CC3" w14:paraId="41279E57" w14:textId="77777777" w:rsidTr="0047047C">
        <w:trPr>
          <w:trHeight w:val="256"/>
        </w:trPr>
        <w:tc>
          <w:tcPr>
            <w:tcW w:w="2313" w:type="dxa"/>
            <w:tcBorders>
              <w:top w:val="nil"/>
              <w:left w:val="single" w:sz="4" w:space="0" w:color="9E9E9E"/>
              <w:bottom w:val="single" w:sz="4" w:space="0" w:color="9E9E9E"/>
              <w:right w:val="single" w:sz="4" w:space="0" w:color="9E9E9E"/>
            </w:tcBorders>
            <w:hideMark/>
          </w:tcPr>
          <w:p w14:paraId="0788C841" w14:textId="77777777" w:rsidR="0047047C" w:rsidRPr="00AF0CC3" w:rsidRDefault="0047047C" w:rsidP="0047047C">
            <w:pPr>
              <w:spacing w:after="0" w:line="240" w:lineRule="auto"/>
              <w:rPr>
                <w:rFonts w:ascii="Times New Roman" w:eastAsia="Times New Roman" w:hAnsi="Times New Roman" w:cs="Times New Roman"/>
                <w:color w:val="000000"/>
                <w:kern w:val="0"/>
                <w14:ligatures w14:val="none"/>
              </w:rPr>
            </w:pPr>
            <w:r w:rsidRPr="00AF0CC3">
              <w:rPr>
                <w:rFonts w:ascii="Times New Roman" w:eastAsia="Times New Roman" w:hAnsi="Times New Roman" w:cs="Times New Roman"/>
                <w:color w:val="000000"/>
                <w:kern w:val="0"/>
                <w14:ligatures w14:val="none"/>
              </w:rPr>
              <w:t>B. Financing Structure</w:t>
            </w:r>
          </w:p>
        </w:tc>
        <w:tc>
          <w:tcPr>
            <w:tcW w:w="2386" w:type="dxa"/>
            <w:tcBorders>
              <w:top w:val="nil"/>
              <w:left w:val="nil"/>
              <w:bottom w:val="single" w:sz="4" w:space="0" w:color="9E9E9E"/>
              <w:right w:val="single" w:sz="4" w:space="0" w:color="9E9E9E"/>
            </w:tcBorders>
            <w:hideMark/>
          </w:tcPr>
          <w:p w14:paraId="257729E0" w14:textId="77777777" w:rsidR="0047047C" w:rsidRPr="00AF0CC3" w:rsidRDefault="0047047C" w:rsidP="0047047C">
            <w:pPr>
              <w:spacing w:after="0" w:line="240" w:lineRule="auto"/>
              <w:rPr>
                <w:rFonts w:ascii="Times New Roman" w:eastAsia="Times New Roman" w:hAnsi="Times New Roman" w:cs="Times New Roman"/>
                <w:color w:val="000000"/>
                <w:kern w:val="0"/>
                <w14:ligatures w14:val="none"/>
              </w:rPr>
            </w:pPr>
            <w:r w:rsidRPr="00AF0CC3">
              <w:rPr>
                <w:rFonts w:ascii="Times New Roman" w:eastAsia="Times New Roman" w:hAnsi="Times New Roman" w:cs="Times New Roman"/>
                <w:color w:val="000000"/>
                <w:kern w:val="0"/>
                <w14:ligatures w14:val="none"/>
              </w:rPr>
              <w:t>Annual disbursement data</w:t>
            </w:r>
          </w:p>
        </w:tc>
        <w:tc>
          <w:tcPr>
            <w:tcW w:w="1161" w:type="dxa"/>
            <w:tcBorders>
              <w:top w:val="nil"/>
              <w:left w:val="nil"/>
              <w:bottom w:val="single" w:sz="4" w:space="0" w:color="9E9E9E"/>
              <w:right w:val="single" w:sz="4" w:space="0" w:color="9E9E9E"/>
            </w:tcBorders>
            <w:noWrap/>
            <w:vAlign w:val="center"/>
            <w:hideMark/>
          </w:tcPr>
          <w:p w14:paraId="678E3C0E" w14:textId="77777777" w:rsidR="0047047C" w:rsidRPr="00AF0CC3" w:rsidRDefault="0047047C" w:rsidP="0047047C">
            <w:pPr>
              <w:spacing w:after="0" w:line="240" w:lineRule="auto"/>
              <w:jc w:val="center"/>
              <w:rPr>
                <w:rFonts w:ascii="Times New Roman" w:eastAsia="Times New Roman" w:hAnsi="Times New Roman" w:cs="Times New Roman"/>
                <w:color w:val="000000"/>
                <w:kern w:val="0"/>
                <w14:ligatures w14:val="none"/>
              </w:rPr>
            </w:pPr>
            <w:r w:rsidRPr="00AF0CC3">
              <w:rPr>
                <w:rFonts w:ascii="Times New Roman" w:eastAsia="Times New Roman" w:hAnsi="Times New Roman" w:cs="Times New Roman"/>
                <w:color w:val="000000"/>
                <w:kern w:val="0"/>
                <w14:ligatures w14:val="none"/>
              </w:rPr>
              <w:t> </w:t>
            </w:r>
          </w:p>
        </w:tc>
        <w:tc>
          <w:tcPr>
            <w:tcW w:w="784" w:type="dxa"/>
            <w:tcBorders>
              <w:top w:val="nil"/>
              <w:left w:val="nil"/>
              <w:bottom w:val="single" w:sz="4" w:space="0" w:color="9E9E9E"/>
              <w:right w:val="single" w:sz="4" w:space="0" w:color="9E9E9E"/>
            </w:tcBorders>
            <w:noWrap/>
            <w:vAlign w:val="center"/>
            <w:hideMark/>
          </w:tcPr>
          <w:p w14:paraId="56A2E271" w14:textId="77777777" w:rsidR="0047047C" w:rsidRPr="00AF0CC3" w:rsidRDefault="0047047C" w:rsidP="0047047C">
            <w:pPr>
              <w:spacing w:after="0" w:line="240" w:lineRule="auto"/>
              <w:jc w:val="center"/>
              <w:rPr>
                <w:rFonts w:ascii="Times New Roman" w:eastAsia="Times New Roman" w:hAnsi="Times New Roman" w:cs="Times New Roman"/>
                <w:color w:val="000000"/>
                <w:kern w:val="0"/>
                <w14:ligatures w14:val="none"/>
              </w:rPr>
            </w:pPr>
            <w:r w:rsidRPr="00AF0CC3">
              <w:rPr>
                <w:rFonts w:ascii="Times New Roman" w:eastAsia="Times New Roman" w:hAnsi="Times New Roman" w:cs="Times New Roman"/>
                <w:color w:val="000000"/>
                <w:kern w:val="0"/>
                <w14:ligatures w14:val="none"/>
              </w:rPr>
              <w:t> </w:t>
            </w:r>
          </w:p>
        </w:tc>
        <w:tc>
          <w:tcPr>
            <w:tcW w:w="1710" w:type="dxa"/>
            <w:tcBorders>
              <w:top w:val="nil"/>
              <w:left w:val="nil"/>
              <w:bottom w:val="single" w:sz="4" w:space="0" w:color="9E9E9E"/>
              <w:right w:val="single" w:sz="4" w:space="0" w:color="9E9E9E"/>
            </w:tcBorders>
            <w:hideMark/>
          </w:tcPr>
          <w:p w14:paraId="41D5DE78" w14:textId="77777777" w:rsidR="0047047C" w:rsidRPr="00AF0CC3" w:rsidRDefault="0047047C" w:rsidP="0047047C">
            <w:pPr>
              <w:spacing w:after="0" w:line="240" w:lineRule="auto"/>
              <w:rPr>
                <w:rFonts w:ascii="Times New Roman" w:eastAsia="Times New Roman" w:hAnsi="Times New Roman" w:cs="Times New Roman"/>
                <w:color w:val="000000"/>
                <w:kern w:val="0"/>
                <w14:ligatures w14:val="none"/>
              </w:rPr>
            </w:pPr>
            <w:r w:rsidRPr="00AF0CC3">
              <w:rPr>
                <w:rFonts w:ascii="Times New Roman" w:eastAsia="Times New Roman" w:hAnsi="Times New Roman" w:cs="Times New Roman"/>
                <w:color w:val="000000"/>
                <w:kern w:val="0"/>
                <w14:ligatures w14:val="none"/>
              </w:rPr>
              <w:t> </w:t>
            </w:r>
          </w:p>
        </w:tc>
        <w:tc>
          <w:tcPr>
            <w:tcW w:w="1480" w:type="dxa"/>
            <w:tcBorders>
              <w:top w:val="nil"/>
              <w:left w:val="nil"/>
              <w:bottom w:val="single" w:sz="4" w:space="0" w:color="9E9E9E"/>
              <w:right w:val="single" w:sz="4" w:space="0" w:color="9E9E9E"/>
            </w:tcBorders>
            <w:hideMark/>
          </w:tcPr>
          <w:p w14:paraId="44C47E21" w14:textId="77777777" w:rsidR="0047047C" w:rsidRPr="00AF0CC3" w:rsidRDefault="0047047C" w:rsidP="0047047C">
            <w:pPr>
              <w:spacing w:after="0" w:line="240" w:lineRule="auto"/>
              <w:rPr>
                <w:rFonts w:ascii="Times New Roman" w:eastAsia="Times New Roman" w:hAnsi="Times New Roman" w:cs="Times New Roman"/>
                <w:color w:val="000000"/>
                <w:kern w:val="0"/>
                <w14:ligatures w14:val="none"/>
              </w:rPr>
            </w:pPr>
            <w:r w:rsidRPr="00AF0CC3">
              <w:rPr>
                <w:rFonts w:ascii="Times New Roman" w:eastAsia="Times New Roman" w:hAnsi="Times New Roman" w:cs="Times New Roman"/>
                <w:color w:val="000000"/>
                <w:kern w:val="0"/>
                <w14:ligatures w14:val="none"/>
              </w:rPr>
              <w:t> </w:t>
            </w:r>
          </w:p>
        </w:tc>
      </w:tr>
      <w:tr w:rsidR="0047047C" w:rsidRPr="00AF0CC3" w14:paraId="3D695DF5" w14:textId="77777777" w:rsidTr="0047047C">
        <w:trPr>
          <w:trHeight w:val="256"/>
        </w:trPr>
        <w:tc>
          <w:tcPr>
            <w:tcW w:w="2313" w:type="dxa"/>
            <w:tcBorders>
              <w:top w:val="nil"/>
              <w:left w:val="single" w:sz="4" w:space="0" w:color="9E9E9E"/>
              <w:bottom w:val="single" w:sz="4" w:space="0" w:color="9E9E9E"/>
              <w:right w:val="single" w:sz="4" w:space="0" w:color="9E9E9E"/>
            </w:tcBorders>
            <w:hideMark/>
          </w:tcPr>
          <w:p w14:paraId="27F24E18" w14:textId="77777777" w:rsidR="0047047C" w:rsidRPr="00AF0CC3" w:rsidRDefault="0047047C" w:rsidP="0047047C">
            <w:pPr>
              <w:spacing w:after="0" w:line="240" w:lineRule="auto"/>
              <w:rPr>
                <w:rFonts w:ascii="Times New Roman" w:eastAsia="Times New Roman" w:hAnsi="Times New Roman" w:cs="Times New Roman"/>
                <w:color w:val="000000"/>
                <w:kern w:val="0"/>
                <w14:ligatures w14:val="none"/>
              </w:rPr>
            </w:pPr>
            <w:r w:rsidRPr="00AF0CC3">
              <w:rPr>
                <w:rFonts w:ascii="Times New Roman" w:eastAsia="Times New Roman" w:hAnsi="Times New Roman" w:cs="Times New Roman"/>
                <w:color w:val="000000"/>
                <w:kern w:val="0"/>
                <w14:ligatures w14:val="none"/>
              </w:rPr>
              <w:t>B. Financing Structure</w:t>
            </w:r>
          </w:p>
        </w:tc>
        <w:tc>
          <w:tcPr>
            <w:tcW w:w="2386" w:type="dxa"/>
            <w:tcBorders>
              <w:top w:val="nil"/>
              <w:left w:val="nil"/>
              <w:bottom w:val="single" w:sz="4" w:space="0" w:color="9E9E9E"/>
              <w:right w:val="single" w:sz="4" w:space="0" w:color="9E9E9E"/>
            </w:tcBorders>
            <w:hideMark/>
          </w:tcPr>
          <w:p w14:paraId="15AAA412" w14:textId="77777777" w:rsidR="0047047C" w:rsidRPr="00AF0CC3" w:rsidRDefault="0047047C" w:rsidP="0047047C">
            <w:pPr>
              <w:spacing w:after="0" w:line="240" w:lineRule="auto"/>
              <w:rPr>
                <w:rFonts w:ascii="Times New Roman" w:eastAsia="Times New Roman" w:hAnsi="Times New Roman" w:cs="Times New Roman"/>
                <w:color w:val="000000"/>
                <w:kern w:val="0"/>
                <w14:ligatures w14:val="none"/>
              </w:rPr>
            </w:pPr>
            <w:r w:rsidRPr="00AF0CC3">
              <w:rPr>
                <w:rFonts w:ascii="Times New Roman" w:eastAsia="Times New Roman" w:hAnsi="Times New Roman" w:cs="Times New Roman"/>
                <w:color w:val="000000"/>
                <w:kern w:val="0"/>
                <w14:ligatures w14:val="none"/>
              </w:rPr>
              <w:t>Private capital share identified</w:t>
            </w:r>
          </w:p>
        </w:tc>
        <w:tc>
          <w:tcPr>
            <w:tcW w:w="1161" w:type="dxa"/>
            <w:tcBorders>
              <w:top w:val="nil"/>
              <w:left w:val="nil"/>
              <w:bottom w:val="single" w:sz="4" w:space="0" w:color="9E9E9E"/>
              <w:right w:val="single" w:sz="4" w:space="0" w:color="9E9E9E"/>
            </w:tcBorders>
            <w:noWrap/>
            <w:vAlign w:val="center"/>
            <w:hideMark/>
          </w:tcPr>
          <w:p w14:paraId="4E65069A" w14:textId="77777777" w:rsidR="0047047C" w:rsidRPr="00AF0CC3" w:rsidRDefault="0047047C" w:rsidP="0047047C">
            <w:pPr>
              <w:spacing w:after="0" w:line="240" w:lineRule="auto"/>
              <w:jc w:val="center"/>
              <w:rPr>
                <w:rFonts w:ascii="Times New Roman" w:eastAsia="Times New Roman" w:hAnsi="Times New Roman" w:cs="Times New Roman"/>
                <w:color w:val="000000"/>
                <w:kern w:val="0"/>
                <w14:ligatures w14:val="none"/>
              </w:rPr>
            </w:pPr>
            <w:r w:rsidRPr="00AF0CC3">
              <w:rPr>
                <w:rFonts w:ascii="Times New Roman" w:eastAsia="Times New Roman" w:hAnsi="Times New Roman" w:cs="Times New Roman"/>
                <w:color w:val="000000"/>
                <w:kern w:val="0"/>
                <w14:ligatures w14:val="none"/>
              </w:rPr>
              <w:t> </w:t>
            </w:r>
          </w:p>
        </w:tc>
        <w:tc>
          <w:tcPr>
            <w:tcW w:w="784" w:type="dxa"/>
            <w:tcBorders>
              <w:top w:val="nil"/>
              <w:left w:val="nil"/>
              <w:bottom w:val="single" w:sz="4" w:space="0" w:color="9E9E9E"/>
              <w:right w:val="single" w:sz="4" w:space="0" w:color="9E9E9E"/>
            </w:tcBorders>
            <w:noWrap/>
            <w:vAlign w:val="center"/>
            <w:hideMark/>
          </w:tcPr>
          <w:p w14:paraId="14BB2767" w14:textId="77777777" w:rsidR="0047047C" w:rsidRPr="00AF0CC3" w:rsidRDefault="0047047C" w:rsidP="0047047C">
            <w:pPr>
              <w:spacing w:after="0" w:line="240" w:lineRule="auto"/>
              <w:jc w:val="center"/>
              <w:rPr>
                <w:rFonts w:ascii="Times New Roman" w:eastAsia="Times New Roman" w:hAnsi="Times New Roman" w:cs="Times New Roman"/>
                <w:color w:val="000000"/>
                <w:kern w:val="0"/>
                <w14:ligatures w14:val="none"/>
              </w:rPr>
            </w:pPr>
            <w:r w:rsidRPr="00AF0CC3">
              <w:rPr>
                <w:rFonts w:ascii="Times New Roman" w:eastAsia="Times New Roman" w:hAnsi="Times New Roman" w:cs="Times New Roman"/>
                <w:color w:val="000000"/>
                <w:kern w:val="0"/>
                <w14:ligatures w14:val="none"/>
              </w:rPr>
              <w:t> </w:t>
            </w:r>
          </w:p>
        </w:tc>
        <w:tc>
          <w:tcPr>
            <w:tcW w:w="1710" w:type="dxa"/>
            <w:tcBorders>
              <w:top w:val="nil"/>
              <w:left w:val="nil"/>
              <w:bottom w:val="single" w:sz="4" w:space="0" w:color="9E9E9E"/>
              <w:right w:val="single" w:sz="4" w:space="0" w:color="9E9E9E"/>
            </w:tcBorders>
            <w:hideMark/>
          </w:tcPr>
          <w:p w14:paraId="6AE34BA5" w14:textId="77777777" w:rsidR="0047047C" w:rsidRPr="00AF0CC3" w:rsidRDefault="0047047C" w:rsidP="0047047C">
            <w:pPr>
              <w:spacing w:after="0" w:line="240" w:lineRule="auto"/>
              <w:rPr>
                <w:rFonts w:ascii="Times New Roman" w:eastAsia="Times New Roman" w:hAnsi="Times New Roman" w:cs="Times New Roman"/>
                <w:color w:val="000000"/>
                <w:kern w:val="0"/>
                <w14:ligatures w14:val="none"/>
              </w:rPr>
            </w:pPr>
            <w:r w:rsidRPr="00AF0CC3">
              <w:rPr>
                <w:rFonts w:ascii="Times New Roman" w:eastAsia="Times New Roman" w:hAnsi="Times New Roman" w:cs="Times New Roman"/>
                <w:color w:val="000000"/>
                <w:kern w:val="0"/>
                <w14:ligatures w14:val="none"/>
              </w:rPr>
              <w:t> </w:t>
            </w:r>
          </w:p>
        </w:tc>
        <w:tc>
          <w:tcPr>
            <w:tcW w:w="1480" w:type="dxa"/>
            <w:tcBorders>
              <w:top w:val="nil"/>
              <w:left w:val="nil"/>
              <w:bottom w:val="single" w:sz="4" w:space="0" w:color="9E9E9E"/>
              <w:right w:val="single" w:sz="4" w:space="0" w:color="9E9E9E"/>
            </w:tcBorders>
            <w:hideMark/>
          </w:tcPr>
          <w:p w14:paraId="2CD9DFBF" w14:textId="77777777" w:rsidR="0047047C" w:rsidRPr="00AF0CC3" w:rsidRDefault="0047047C" w:rsidP="0047047C">
            <w:pPr>
              <w:spacing w:after="0" w:line="240" w:lineRule="auto"/>
              <w:rPr>
                <w:rFonts w:ascii="Times New Roman" w:eastAsia="Times New Roman" w:hAnsi="Times New Roman" w:cs="Times New Roman"/>
                <w:color w:val="000000"/>
                <w:kern w:val="0"/>
                <w14:ligatures w14:val="none"/>
              </w:rPr>
            </w:pPr>
            <w:r w:rsidRPr="00AF0CC3">
              <w:rPr>
                <w:rFonts w:ascii="Times New Roman" w:eastAsia="Times New Roman" w:hAnsi="Times New Roman" w:cs="Times New Roman"/>
                <w:color w:val="000000"/>
                <w:kern w:val="0"/>
                <w14:ligatures w14:val="none"/>
              </w:rPr>
              <w:t> </w:t>
            </w:r>
          </w:p>
        </w:tc>
      </w:tr>
      <w:tr w:rsidR="0047047C" w:rsidRPr="00AF0CC3" w14:paraId="63305F3A" w14:textId="77777777" w:rsidTr="0047047C">
        <w:trPr>
          <w:trHeight w:val="256"/>
        </w:trPr>
        <w:tc>
          <w:tcPr>
            <w:tcW w:w="2313" w:type="dxa"/>
            <w:tcBorders>
              <w:top w:val="nil"/>
              <w:left w:val="single" w:sz="4" w:space="0" w:color="9E9E9E"/>
              <w:bottom w:val="single" w:sz="4" w:space="0" w:color="9E9E9E"/>
              <w:right w:val="single" w:sz="4" w:space="0" w:color="9E9E9E"/>
            </w:tcBorders>
            <w:hideMark/>
          </w:tcPr>
          <w:p w14:paraId="0E4642FE" w14:textId="77777777" w:rsidR="0047047C" w:rsidRPr="00AF0CC3" w:rsidRDefault="0047047C" w:rsidP="0047047C">
            <w:pPr>
              <w:spacing w:after="0" w:line="240" w:lineRule="auto"/>
              <w:rPr>
                <w:rFonts w:ascii="Times New Roman" w:eastAsia="Times New Roman" w:hAnsi="Times New Roman" w:cs="Times New Roman"/>
                <w:color w:val="000000"/>
                <w:kern w:val="0"/>
                <w14:ligatures w14:val="none"/>
              </w:rPr>
            </w:pPr>
            <w:r w:rsidRPr="00AF0CC3">
              <w:rPr>
                <w:rFonts w:ascii="Times New Roman" w:eastAsia="Times New Roman" w:hAnsi="Times New Roman" w:cs="Times New Roman"/>
                <w:color w:val="000000"/>
                <w:kern w:val="0"/>
                <w14:ligatures w14:val="none"/>
              </w:rPr>
              <w:t>C1. Stakeholder Inclusion</w:t>
            </w:r>
          </w:p>
        </w:tc>
        <w:tc>
          <w:tcPr>
            <w:tcW w:w="2386" w:type="dxa"/>
            <w:tcBorders>
              <w:top w:val="nil"/>
              <w:left w:val="nil"/>
              <w:bottom w:val="single" w:sz="4" w:space="0" w:color="9E9E9E"/>
              <w:right w:val="single" w:sz="4" w:space="0" w:color="9E9E9E"/>
            </w:tcBorders>
            <w:hideMark/>
          </w:tcPr>
          <w:p w14:paraId="3884CC96" w14:textId="77777777" w:rsidR="0047047C" w:rsidRPr="00AF0CC3" w:rsidRDefault="0047047C" w:rsidP="0047047C">
            <w:pPr>
              <w:spacing w:after="0" w:line="240" w:lineRule="auto"/>
              <w:rPr>
                <w:rFonts w:ascii="Times New Roman" w:eastAsia="Times New Roman" w:hAnsi="Times New Roman" w:cs="Times New Roman"/>
                <w:color w:val="000000"/>
                <w:kern w:val="0"/>
                <w14:ligatures w14:val="none"/>
              </w:rPr>
            </w:pPr>
            <w:r w:rsidRPr="00AF0CC3">
              <w:rPr>
                <w:rFonts w:ascii="Times New Roman" w:eastAsia="Times New Roman" w:hAnsi="Times New Roman" w:cs="Times New Roman"/>
                <w:color w:val="000000"/>
                <w:kern w:val="0"/>
                <w14:ligatures w14:val="none"/>
              </w:rPr>
              <w:t>Formal governance structure exists</w:t>
            </w:r>
          </w:p>
        </w:tc>
        <w:tc>
          <w:tcPr>
            <w:tcW w:w="1161" w:type="dxa"/>
            <w:tcBorders>
              <w:top w:val="nil"/>
              <w:left w:val="nil"/>
              <w:bottom w:val="single" w:sz="4" w:space="0" w:color="9E9E9E"/>
              <w:right w:val="single" w:sz="4" w:space="0" w:color="9E9E9E"/>
            </w:tcBorders>
            <w:noWrap/>
            <w:vAlign w:val="center"/>
            <w:hideMark/>
          </w:tcPr>
          <w:p w14:paraId="59A966D0" w14:textId="77777777" w:rsidR="0047047C" w:rsidRPr="00AF0CC3" w:rsidRDefault="0047047C" w:rsidP="0047047C">
            <w:pPr>
              <w:spacing w:after="0" w:line="240" w:lineRule="auto"/>
              <w:jc w:val="center"/>
              <w:rPr>
                <w:rFonts w:ascii="Times New Roman" w:eastAsia="Times New Roman" w:hAnsi="Times New Roman" w:cs="Times New Roman"/>
                <w:color w:val="000000"/>
                <w:kern w:val="0"/>
                <w14:ligatures w14:val="none"/>
              </w:rPr>
            </w:pPr>
            <w:r w:rsidRPr="00AF0CC3">
              <w:rPr>
                <w:rFonts w:ascii="Times New Roman" w:eastAsia="Times New Roman" w:hAnsi="Times New Roman" w:cs="Times New Roman"/>
                <w:color w:val="000000"/>
                <w:kern w:val="0"/>
                <w14:ligatures w14:val="none"/>
              </w:rPr>
              <w:t> </w:t>
            </w:r>
          </w:p>
        </w:tc>
        <w:tc>
          <w:tcPr>
            <w:tcW w:w="784" w:type="dxa"/>
            <w:tcBorders>
              <w:top w:val="nil"/>
              <w:left w:val="nil"/>
              <w:bottom w:val="single" w:sz="4" w:space="0" w:color="9E9E9E"/>
              <w:right w:val="single" w:sz="4" w:space="0" w:color="9E9E9E"/>
            </w:tcBorders>
            <w:noWrap/>
            <w:vAlign w:val="center"/>
            <w:hideMark/>
          </w:tcPr>
          <w:p w14:paraId="52DA2EF9" w14:textId="77777777" w:rsidR="0047047C" w:rsidRPr="00AF0CC3" w:rsidRDefault="0047047C" w:rsidP="0047047C">
            <w:pPr>
              <w:spacing w:after="0" w:line="240" w:lineRule="auto"/>
              <w:jc w:val="center"/>
              <w:rPr>
                <w:rFonts w:ascii="Times New Roman" w:eastAsia="Times New Roman" w:hAnsi="Times New Roman" w:cs="Times New Roman"/>
                <w:color w:val="000000"/>
                <w:kern w:val="0"/>
                <w14:ligatures w14:val="none"/>
              </w:rPr>
            </w:pPr>
            <w:r w:rsidRPr="00AF0CC3">
              <w:rPr>
                <w:rFonts w:ascii="Times New Roman" w:eastAsia="Times New Roman" w:hAnsi="Times New Roman" w:cs="Times New Roman"/>
                <w:color w:val="000000"/>
                <w:kern w:val="0"/>
                <w14:ligatures w14:val="none"/>
              </w:rPr>
              <w:t> </w:t>
            </w:r>
          </w:p>
        </w:tc>
        <w:tc>
          <w:tcPr>
            <w:tcW w:w="1710" w:type="dxa"/>
            <w:tcBorders>
              <w:top w:val="nil"/>
              <w:left w:val="nil"/>
              <w:bottom w:val="single" w:sz="4" w:space="0" w:color="9E9E9E"/>
              <w:right w:val="single" w:sz="4" w:space="0" w:color="9E9E9E"/>
            </w:tcBorders>
            <w:hideMark/>
          </w:tcPr>
          <w:p w14:paraId="1748F880" w14:textId="77777777" w:rsidR="0047047C" w:rsidRPr="00AF0CC3" w:rsidRDefault="0047047C" w:rsidP="0047047C">
            <w:pPr>
              <w:spacing w:after="0" w:line="240" w:lineRule="auto"/>
              <w:rPr>
                <w:rFonts w:ascii="Times New Roman" w:eastAsia="Times New Roman" w:hAnsi="Times New Roman" w:cs="Times New Roman"/>
                <w:color w:val="000000"/>
                <w:kern w:val="0"/>
                <w14:ligatures w14:val="none"/>
              </w:rPr>
            </w:pPr>
            <w:r w:rsidRPr="00AF0CC3">
              <w:rPr>
                <w:rFonts w:ascii="Times New Roman" w:eastAsia="Times New Roman" w:hAnsi="Times New Roman" w:cs="Times New Roman"/>
                <w:color w:val="000000"/>
                <w:kern w:val="0"/>
                <w14:ligatures w14:val="none"/>
              </w:rPr>
              <w:t> </w:t>
            </w:r>
          </w:p>
        </w:tc>
        <w:tc>
          <w:tcPr>
            <w:tcW w:w="1480" w:type="dxa"/>
            <w:tcBorders>
              <w:top w:val="nil"/>
              <w:left w:val="nil"/>
              <w:bottom w:val="single" w:sz="4" w:space="0" w:color="9E9E9E"/>
              <w:right w:val="single" w:sz="4" w:space="0" w:color="9E9E9E"/>
            </w:tcBorders>
            <w:hideMark/>
          </w:tcPr>
          <w:p w14:paraId="65720B82" w14:textId="77777777" w:rsidR="0047047C" w:rsidRPr="00AF0CC3" w:rsidRDefault="0047047C" w:rsidP="0047047C">
            <w:pPr>
              <w:spacing w:after="0" w:line="240" w:lineRule="auto"/>
              <w:rPr>
                <w:rFonts w:ascii="Times New Roman" w:eastAsia="Times New Roman" w:hAnsi="Times New Roman" w:cs="Times New Roman"/>
                <w:color w:val="000000"/>
                <w:kern w:val="0"/>
                <w14:ligatures w14:val="none"/>
              </w:rPr>
            </w:pPr>
            <w:r w:rsidRPr="00AF0CC3">
              <w:rPr>
                <w:rFonts w:ascii="Times New Roman" w:eastAsia="Times New Roman" w:hAnsi="Times New Roman" w:cs="Times New Roman"/>
                <w:color w:val="000000"/>
                <w:kern w:val="0"/>
                <w14:ligatures w14:val="none"/>
              </w:rPr>
              <w:t> </w:t>
            </w:r>
          </w:p>
        </w:tc>
      </w:tr>
      <w:tr w:rsidR="0047047C" w:rsidRPr="00AF0CC3" w14:paraId="5877F757" w14:textId="77777777" w:rsidTr="0047047C">
        <w:trPr>
          <w:trHeight w:val="256"/>
        </w:trPr>
        <w:tc>
          <w:tcPr>
            <w:tcW w:w="2313" w:type="dxa"/>
            <w:tcBorders>
              <w:top w:val="nil"/>
              <w:left w:val="single" w:sz="4" w:space="0" w:color="9E9E9E"/>
              <w:bottom w:val="single" w:sz="4" w:space="0" w:color="9E9E9E"/>
              <w:right w:val="single" w:sz="4" w:space="0" w:color="9E9E9E"/>
            </w:tcBorders>
            <w:hideMark/>
          </w:tcPr>
          <w:p w14:paraId="51C22E94" w14:textId="77777777" w:rsidR="0047047C" w:rsidRPr="00AF0CC3" w:rsidRDefault="0047047C" w:rsidP="0047047C">
            <w:pPr>
              <w:spacing w:after="0" w:line="240" w:lineRule="auto"/>
              <w:rPr>
                <w:rFonts w:ascii="Times New Roman" w:eastAsia="Times New Roman" w:hAnsi="Times New Roman" w:cs="Times New Roman"/>
                <w:color w:val="000000"/>
                <w:kern w:val="0"/>
                <w14:ligatures w14:val="none"/>
              </w:rPr>
            </w:pPr>
            <w:r w:rsidRPr="00AF0CC3">
              <w:rPr>
                <w:rFonts w:ascii="Times New Roman" w:eastAsia="Times New Roman" w:hAnsi="Times New Roman" w:cs="Times New Roman"/>
                <w:color w:val="000000"/>
                <w:kern w:val="0"/>
                <w14:ligatures w14:val="none"/>
              </w:rPr>
              <w:t>C1. Stakeholder Inclusion</w:t>
            </w:r>
          </w:p>
        </w:tc>
        <w:tc>
          <w:tcPr>
            <w:tcW w:w="2386" w:type="dxa"/>
            <w:tcBorders>
              <w:top w:val="nil"/>
              <w:left w:val="nil"/>
              <w:bottom w:val="single" w:sz="4" w:space="0" w:color="9E9E9E"/>
              <w:right w:val="single" w:sz="4" w:space="0" w:color="9E9E9E"/>
            </w:tcBorders>
            <w:hideMark/>
          </w:tcPr>
          <w:p w14:paraId="2181BCEF" w14:textId="77777777" w:rsidR="0047047C" w:rsidRPr="00AF0CC3" w:rsidRDefault="0047047C" w:rsidP="0047047C">
            <w:pPr>
              <w:spacing w:after="0" w:line="240" w:lineRule="auto"/>
              <w:rPr>
                <w:rFonts w:ascii="Times New Roman" w:eastAsia="Times New Roman" w:hAnsi="Times New Roman" w:cs="Times New Roman"/>
                <w:color w:val="000000"/>
                <w:kern w:val="0"/>
                <w14:ligatures w14:val="none"/>
              </w:rPr>
            </w:pPr>
            <w:r w:rsidRPr="00AF0CC3">
              <w:rPr>
                <w:rFonts w:ascii="Times New Roman" w:eastAsia="Times New Roman" w:hAnsi="Times New Roman" w:cs="Times New Roman"/>
                <w:color w:val="000000"/>
                <w:kern w:val="0"/>
                <w14:ligatures w14:val="none"/>
              </w:rPr>
              <w:t>Social actors represented</w:t>
            </w:r>
          </w:p>
        </w:tc>
        <w:tc>
          <w:tcPr>
            <w:tcW w:w="1161" w:type="dxa"/>
            <w:tcBorders>
              <w:top w:val="nil"/>
              <w:left w:val="nil"/>
              <w:bottom w:val="single" w:sz="4" w:space="0" w:color="9E9E9E"/>
              <w:right w:val="single" w:sz="4" w:space="0" w:color="9E9E9E"/>
            </w:tcBorders>
            <w:noWrap/>
            <w:vAlign w:val="center"/>
            <w:hideMark/>
          </w:tcPr>
          <w:p w14:paraId="0939D626" w14:textId="77777777" w:rsidR="0047047C" w:rsidRPr="00AF0CC3" w:rsidRDefault="0047047C" w:rsidP="0047047C">
            <w:pPr>
              <w:spacing w:after="0" w:line="240" w:lineRule="auto"/>
              <w:jc w:val="center"/>
              <w:rPr>
                <w:rFonts w:ascii="Times New Roman" w:eastAsia="Times New Roman" w:hAnsi="Times New Roman" w:cs="Times New Roman"/>
                <w:color w:val="000000"/>
                <w:kern w:val="0"/>
                <w14:ligatures w14:val="none"/>
              </w:rPr>
            </w:pPr>
            <w:r w:rsidRPr="00AF0CC3">
              <w:rPr>
                <w:rFonts w:ascii="Times New Roman" w:eastAsia="Times New Roman" w:hAnsi="Times New Roman" w:cs="Times New Roman"/>
                <w:color w:val="000000"/>
                <w:kern w:val="0"/>
                <w14:ligatures w14:val="none"/>
              </w:rPr>
              <w:t> </w:t>
            </w:r>
          </w:p>
        </w:tc>
        <w:tc>
          <w:tcPr>
            <w:tcW w:w="784" w:type="dxa"/>
            <w:tcBorders>
              <w:top w:val="nil"/>
              <w:left w:val="nil"/>
              <w:bottom w:val="single" w:sz="4" w:space="0" w:color="9E9E9E"/>
              <w:right w:val="single" w:sz="4" w:space="0" w:color="9E9E9E"/>
            </w:tcBorders>
            <w:noWrap/>
            <w:vAlign w:val="center"/>
            <w:hideMark/>
          </w:tcPr>
          <w:p w14:paraId="0AD92190" w14:textId="77777777" w:rsidR="0047047C" w:rsidRPr="00AF0CC3" w:rsidRDefault="0047047C" w:rsidP="0047047C">
            <w:pPr>
              <w:spacing w:after="0" w:line="240" w:lineRule="auto"/>
              <w:jc w:val="center"/>
              <w:rPr>
                <w:rFonts w:ascii="Times New Roman" w:eastAsia="Times New Roman" w:hAnsi="Times New Roman" w:cs="Times New Roman"/>
                <w:color w:val="000000"/>
                <w:kern w:val="0"/>
                <w14:ligatures w14:val="none"/>
              </w:rPr>
            </w:pPr>
            <w:r w:rsidRPr="00AF0CC3">
              <w:rPr>
                <w:rFonts w:ascii="Times New Roman" w:eastAsia="Times New Roman" w:hAnsi="Times New Roman" w:cs="Times New Roman"/>
                <w:color w:val="000000"/>
                <w:kern w:val="0"/>
                <w14:ligatures w14:val="none"/>
              </w:rPr>
              <w:t> </w:t>
            </w:r>
          </w:p>
        </w:tc>
        <w:tc>
          <w:tcPr>
            <w:tcW w:w="1710" w:type="dxa"/>
            <w:tcBorders>
              <w:top w:val="nil"/>
              <w:left w:val="nil"/>
              <w:bottom w:val="single" w:sz="4" w:space="0" w:color="9E9E9E"/>
              <w:right w:val="single" w:sz="4" w:space="0" w:color="9E9E9E"/>
            </w:tcBorders>
            <w:hideMark/>
          </w:tcPr>
          <w:p w14:paraId="46E935CD" w14:textId="77777777" w:rsidR="0047047C" w:rsidRPr="00AF0CC3" w:rsidRDefault="0047047C" w:rsidP="0047047C">
            <w:pPr>
              <w:spacing w:after="0" w:line="240" w:lineRule="auto"/>
              <w:rPr>
                <w:rFonts w:ascii="Times New Roman" w:eastAsia="Times New Roman" w:hAnsi="Times New Roman" w:cs="Times New Roman"/>
                <w:color w:val="000000"/>
                <w:kern w:val="0"/>
                <w14:ligatures w14:val="none"/>
              </w:rPr>
            </w:pPr>
            <w:r w:rsidRPr="00AF0CC3">
              <w:rPr>
                <w:rFonts w:ascii="Times New Roman" w:eastAsia="Times New Roman" w:hAnsi="Times New Roman" w:cs="Times New Roman"/>
                <w:color w:val="000000"/>
                <w:kern w:val="0"/>
                <w14:ligatures w14:val="none"/>
              </w:rPr>
              <w:t> </w:t>
            </w:r>
          </w:p>
        </w:tc>
        <w:tc>
          <w:tcPr>
            <w:tcW w:w="1480" w:type="dxa"/>
            <w:tcBorders>
              <w:top w:val="nil"/>
              <w:left w:val="nil"/>
              <w:bottom w:val="single" w:sz="4" w:space="0" w:color="9E9E9E"/>
              <w:right w:val="single" w:sz="4" w:space="0" w:color="9E9E9E"/>
            </w:tcBorders>
            <w:hideMark/>
          </w:tcPr>
          <w:p w14:paraId="7BC1E4EB" w14:textId="77777777" w:rsidR="0047047C" w:rsidRPr="00AF0CC3" w:rsidRDefault="0047047C" w:rsidP="0047047C">
            <w:pPr>
              <w:spacing w:after="0" w:line="240" w:lineRule="auto"/>
              <w:rPr>
                <w:rFonts w:ascii="Times New Roman" w:eastAsia="Times New Roman" w:hAnsi="Times New Roman" w:cs="Times New Roman"/>
                <w:color w:val="000000"/>
                <w:kern w:val="0"/>
                <w14:ligatures w14:val="none"/>
              </w:rPr>
            </w:pPr>
            <w:r w:rsidRPr="00AF0CC3">
              <w:rPr>
                <w:rFonts w:ascii="Times New Roman" w:eastAsia="Times New Roman" w:hAnsi="Times New Roman" w:cs="Times New Roman"/>
                <w:color w:val="000000"/>
                <w:kern w:val="0"/>
                <w14:ligatures w14:val="none"/>
              </w:rPr>
              <w:t> </w:t>
            </w:r>
          </w:p>
        </w:tc>
      </w:tr>
      <w:tr w:rsidR="0047047C" w:rsidRPr="00AF0CC3" w14:paraId="4C67DC61" w14:textId="77777777" w:rsidTr="0047047C">
        <w:trPr>
          <w:trHeight w:val="512"/>
        </w:trPr>
        <w:tc>
          <w:tcPr>
            <w:tcW w:w="2313" w:type="dxa"/>
            <w:tcBorders>
              <w:top w:val="nil"/>
              <w:left w:val="single" w:sz="4" w:space="0" w:color="9E9E9E"/>
              <w:bottom w:val="single" w:sz="4" w:space="0" w:color="9E9E9E"/>
              <w:right w:val="single" w:sz="4" w:space="0" w:color="9E9E9E"/>
            </w:tcBorders>
            <w:hideMark/>
          </w:tcPr>
          <w:p w14:paraId="0D58BB12" w14:textId="77777777" w:rsidR="0047047C" w:rsidRPr="00AF0CC3" w:rsidRDefault="0047047C" w:rsidP="0047047C">
            <w:pPr>
              <w:spacing w:after="0" w:line="240" w:lineRule="auto"/>
              <w:rPr>
                <w:rFonts w:ascii="Times New Roman" w:eastAsia="Times New Roman" w:hAnsi="Times New Roman" w:cs="Times New Roman"/>
                <w:color w:val="000000"/>
                <w:kern w:val="0"/>
                <w14:ligatures w14:val="none"/>
              </w:rPr>
            </w:pPr>
            <w:r w:rsidRPr="00AF0CC3">
              <w:rPr>
                <w:rFonts w:ascii="Times New Roman" w:eastAsia="Times New Roman" w:hAnsi="Times New Roman" w:cs="Times New Roman"/>
                <w:color w:val="000000"/>
                <w:kern w:val="0"/>
                <w14:ligatures w14:val="none"/>
              </w:rPr>
              <w:t>C2. Accountability &amp; Transparency</w:t>
            </w:r>
          </w:p>
        </w:tc>
        <w:tc>
          <w:tcPr>
            <w:tcW w:w="2386" w:type="dxa"/>
            <w:tcBorders>
              <w:top w:val="nil"/>
              <w:left w:val="nil"/>
              <w:bottom w:val="single" w:sz="4" w:space="0" w:color="9E9E9E"/>
              <w:right w:val="single" w:sz="4" w:space="0" w:color="9E9E9E"/>
            </w:tcBorders>
            <w:hideMark/>
          </w:tcPr>
          <w:p w14:paraId="200D5BB0" w14:textId="77777777" w:rsidR="0047047C" w:rsidRPr="00AF0CC3" w:rsidRDefault="0047047C" w:rsidP="0047047C">
            <w:pPr>
              <w:spacing w:after="0" w:line="240" w:lineRule="auto"/>
              <w:rPr>
                <w:rFonts w:ascii="Times New Roman" w:eastAsia="Times New Roman" w:hAnsi="Times New Roman" w:cs="Times New Roman"/>
                <w:color w:val="000000"/>
                <w:kern w:val="0"/>
                <w14:ligatures w14:val="none"/>
              </w:rPr>
            </w:pPr>
            <w:r w:rsidRPr="00AF0CC3">
              <w:rPr>
                <w:rFonts w:ascii="Times New Roman" w:eastAsia="Times New Roman" w:hAnsi="Times New Roman" w:cs="Times New Roman"/>
                <w:color w:val="000000"/>
                <w:kern w:val="0"/>
                <w14:ligatures w14:val="none"/>
              </w:rPr>
              <w:t>Public reporting available</w:t>
            </w:r>
          </w:p>
        </w:tc>
        <w:tc>
          <w:tcPr>
            <w:tcW w:w="1161" w:type="dxa"/>
            <w:tcBorders>
              <w:top w:val="nil"/>
              <w:left w:val="nil"/>
              <w:bottom w:val="single" w:sz="4" w:space="0" w:color="9E9E9E"/>
              <w:right w:val="single" w:sz="4" w:space="0" w:color="9E9E9E"/>
            </w:tcBorders>
            <w:noWrap/>
            <w:vAlign w:val="center"/>
            <w:hideMark/>
          </w:tcPr>
          <w:p w14:paraId="3B83209E" w14:textId="77777777" w:rsidR="0047047C" w:rsidRPr="00AF0CC3" w:rsidRDefault="0047047C" w:rsidP="0047047C">
            <w:pPr>
              <w:spacing w:after="0" w:line="240" w:lineRule="auto"/>
              <w:jc w:val="center"/>
              <w:rPr>
                <w:rFonts w:ascii="Times New Roman" w:eastAsia="Times New Roman" w:hAnsi="Times New Roman" w:cs="Times New Roman"/>
                <w:color w:val="000000"/>
                <w:kern w:val="0"/>
                <w14:ligatures w14:val="none"/>
              </w:rPr>
            </w:pPr>
            <w:r w:rsidRPr="00AF0CC3">
              <w:rPr>
                <w:rFonts w:ascii="Times New Roman" w:eastAsia="Times New Roman" w:hAnsi="Times New Roman" w:cs="Times New Roman"/>
                <w:color w:val="000000"/>
                <w:kern w:val="0"/>
                <w14:ligatures w14:val="none"/>
              </w:rPr>
              <w:t> </w:t>
            </w:r>
          </w:p>
        </w:tc>
        <w:tc>
          <w:tcPr>
            <w:tcW w:w="784" w:type="dxa"/>
            <w:tcBorders>
              <w:top w:val="nil"/>
              <w:left w:val="nil"/>
              <w:bottom w:val="single" w:sz="4" w:space="0" w:color="9E9E9E"/>
              <w:right w:val="single" w:sz="4" w:space="0" w:color="9E9E9E"/>
            </w:tcBorders>
            <w:noWrap/>
            <w:vAlign w:val="center"/>
            <w:hideMark/>
          </w:tcPr>
          <w:p w14:paraId="30871149" w14:textId="77777777" w:rsidR="0047047C" w:rsidRPr="00AF0CC3" w:rsidRDefault="0047047C" w:rsidP="0047047C">
            <w:pPr>
              <w:spacing w:after="0" w:line="240" w:lineRule="auto"/>
              <w:jc w:val="center"/>
              <w:rPr>
                <w:rFonts w:ascii="Times New Roman" w:eastAsia="Times New Roman" w:hAnsi="Times New Roman" w:cs="Times New Roman"/>
                <w:color w:val="000000"/>
                <w:kern w:val="0"/>
                <w14:ligatures w14:val="none"/>
              </w:rPr>
            </w:pPr>
            <w:r w:rsidRPr="00AF0CC3">
              <w:rPr>
                <w:rFonts w:ascii="Times New Roman" w:eastAsia="Times New Roman" w:hAnsi="Times New Roman" w:cs="Times New Roman"/>
                <w:color w:val="000000"/>
                <w:kern w:val="0"/>
                <w14:ligatures w14:val="none"/>
              </w:rPr>
              <w:t> </w:t>
            </w:r>
          </w:p>
        </w:tc>
        <w:tc>
          <w:tcPr>
            <w:tcW w:w="1710" w:type="dxa"/>
            <w:tcBorders>
              <w:top w:val="nil"/>
              <w:left w:val="nil"/>
              <w:bottom w:val="single" w:sz="4" w:space="0" w:color="9E9E9E"/>
              <w:right w:val="single" w:sz="4" w:space="0" w:color="9E9E9E"/>
            </w:tcBorders>
            <w:hideMark/>
          </w:tcPr>
          <w:p w14:paraId="48AEE6B9" w14:textId="77777777" w:rsidR="0047047C" w:rsidRPr="00AF0CC3" w:rsidRDefault="0047047C" w:rsidP="0047047C">
            <w:pPr>
              <w:spacing w:after="0" w:line="240" w:lineRule="auto"/>
              <w:rPr>
                <w:rFonts w:ascii="Times New Roman" w:eastAsia="Times New Roman" w:hAnsi="Times New Roman" w:cs="Times New Roman"/>
                <w:color w:val="000000"/>
                <w:kern w:val="0"/>
                <w14:ligatures w14:val="none"/>
              </w:rPr>
            </w:pPr>
            <w:r w:rsidRPr="00AF0CC3">
              <w:rPr>
                <w:rFonts w:ascii="Times New Roman" w:eastAsia="Times New Roman" w:hAnsi="Times New Roman" w:cs="Times New Roman"/>
                <w:color w:val="000000"/>
                <w:kern w:val="0"/>
                <w14:ligatures w14:val="none"/>
              </w:rPr>
              <w:t> </w:t>
            </w:r>
          </w:p>
        </w:tc>
        <w:tc>
          <w:tcPr>
            <w:tcW w:w="1480" w:type="dxa"/>
            <w:tcBorders>
              <w:top w:val="nil"/>
              <w:left w:val="nil"/>
              <w:bottom w:val="single" w:sz="4" w:space="0" w:color="9E9E9E"/>
              <w:right w:val="single" w:sz="4" w:space="0" w:color="9E9E9E"/>
            </w:tcBorders>
            <w:hideMark/>
          </w:tcPr>
          <w:p w14:paraId="78D632CD" w14:textId="77777777" w:rsidR="0047047C" w:rsidRPr="00AF0CC3" w:rsidRDefault="0047047C" w:rsidP="0047047C">
            <w:pPr>
              <w:spacing w:after="0" w:line="240" w:lineRule="auto"/>
              <w:rPr>
                <w:rFonts w:ascii="Times New Roman" w:eastAsia="Times New Roman" w:hAnsi="Times New Roman" w:cs="Times New Roman"/>
                <w:color w:val="000000"/>
                <w:kern w:val="0"/>
                <w14:ligatures w14:val="none"/>
              </w:rPr>
            </w:pPr>
            <w:r w:rsidRPr="00AF0CC3">
              <w:rPr>
                <w:rFonts w:ascii="Times New Roman" w:eastAsia="Times New Roman" w:hAnsi="Times New Roman" w:cs="Times New Roman"/>
                <w:color w:val="000000"/>
                <w:kern w:val="0"/>
                <w14:ligatures w14:val="none"/>
              </w:rPr>
              <w:t> </w:t>
            </w:r>
          </w:p>
        </w:tc>
      </w:tr>
      <w:tr w:rsidR="0047047C" w:rsidRPr="00AF0CC3" w14:paraId="12D92B37" w14:textId="77777777" w:rsidTr="0047047C">
        <w:trPr>
          <w:trHeight w:val="512"/>
        </w:trPr>
        <w:tc>
          <w:tcPr>
            <w:tcW w:w="2313" w:type="dxa"/>
            <w:tcBorders>
              <w:top w:val="nil"/>
              <w:left w:val="single" w:sz="4" w:space="0" w:color="9E9E9E"/>
              <w:bottom w:val="single" w:sz="4" w:space="0" w:color="9E9E9E"/>
              <w:right w:val="single" w:sz="4" w:space="0" w:color="9E9E9E"/>
            </w:tcBorders>
            <w:hideMark/>
          </w:tcPr>
          <w:p w14:paraId="477E6375" w14:textId="77777777" w:rsidR="0047047C" w:rsidRPr="00AF0CC3" w:rsidRDefault="0047047C" w:rsidP="0047047C">
            <w:pPr>
              <w:spacing w:after="0" w:line="240" w:lineRule="auto"/>
              <w:rPr>
                <w:rFonts w:ascii="Times New Roman" w:eastAsia="Times New Roman" w:hAnsi="Times New Roman" w:cs="Times New Roman"/>
                <w:color w:val="000000"/>
                <w:kern w:val="0"/>
                <w14:ligatures w14:val="none"/>
              </w:rPr>
            </w:pPr>
            <w:r w:rsidRPr="00AF0CC3">
              <w:rPr>
                <w:rFonts w:ascii="Times New Roman" w:eastAsia="Times New Roman" w:hAnsi="Times New Roman" w:cs="Times New Roman"/>
                <w:color w:val="000000"/>
                <w:kern w:val="0"/>
                <w14:ligatures w14:val="none"/>
              </w:rPr>
              <w:t>C2. Accountability &amp; Transparency</w:t>
            </w:r>
          </w:p>
        </w:tc>
        <w:tc>
          <w:tcPr>
            <w:tcW w:w="2386" w:type="dxa"/>
            <w:tcBorders>
              <w:top w:val="nil"/>
              <w:left w:val="nil"/>
              <w:bottom w:val="single" w:sz="4" w:space="0" w:color="9E9E9E"/>
              <w:right w:val="single" w:sz="4" w:space="0" w:color="9E9E9E"/>
            </w:tcBorders>
            <w:hideMark/>
          </w:tcPr>
          <w:p w14:paraId="56BA60C3" w14:textId="77777777" w:rsidR="0047047C" w:rsidRPr="00AF0CC3" w:rsidRDefault="0047047C" w:rsidP="0047047C">
            <w:pPr>
              <w:spacing w:after="0" w:line="240" w:lineRule="auto"/>
              <w:rPr>
                <w:rFonts w:ascii="Times New Roman" w:eastAsia="Times New Roman" w:hAnsi="Times New Roman" w:cs="Times New Roman"/>
                <w:color w:val="000000"/>
                <w:kern w:val="0"/>
                <w14:ligatures w14:val="none"/>
              </w:rPr>
            </w:pPr>
            <w:r w:rsidRPr="00AF0CC3">
              <w:rPr>
                <w:rFonts w:ascii="Times New Roman" w:eastAsia="Times New Roman" w:hAnsi="Times New Roman" w:cs="Times New Roman"/>
                <w:color w:val="000000"/>
                <w:kern w:val="0"/>
                <w14:ligatures w14:val="none"/>
              </w:rPr>
              <w:t>Independent oversight mechanism</w:t>
            </w:r>
          </w:p>
        </w:tc>
        <w:tc>
          <w:tcPr>
            <w:tcW w:w="1161" w:type="dxa"/>
            <w:tcBorders>
              <w:top w:val="nil"/>
              <w:left w:val="nil"/>
              <w:bottom w:val="single" w:sz="4" w:space="0" w:color="9E9E9E"/>
              <w:right w:val="single" w:sz="4" w:space="0" w:color="9E9E9E"/>
            </w:tcBorders>
            <w:noWrap/>
            <w:vAlign w:val="center"/>
            <w:hideMark/>
          </w:tcPr>
          <w:p w14:paraId="471EE9D6" w14:textId="77777777" w:rsidR="0047047C" w:rsidRPr="00AF0CC3" w:rsidRDefault="0047047C" w:rsidP="0047047C">
            <w:pPr>
              <w:spacing w:after="0" w:line="240" w:lineRule="auto"/>
              <w:jc w:val="center"/>
              <w:rPr>
                <w:rFonts w:ascii="Times New Roman" w:eastAsia="Times New Roman" w:hAnsi="Times New Roman" w:cs="Times New Roman"/>
                <w:color w:val="000000"/>
                <w:kern w:val="0"/>
                <w14:ligatures w14:val="none"/>
              </w:rPr>
            </w:pPr>
            <w:r w:rsidRPr="00AF0CC3">
              <w:rPr>
                <w:rFonts w:ascii="Times New Roman" w:eastAsia="Times New Roman" w:hAnsi="Times New Roman" w:cs="Times New Roman"/>
                <w:color w:val="000000"/>
                <w:kern w:val="0"/>
                <w14:ligatures w14:val="none"/>
              </w:rPr>
              <w:t> </w:t>
            </w:r>
          </w:p>
        </w:tc>
        <w:tc>
          <w:tcPr>
            <w:tcW w:w="784" w:type="dxa"/>
            <w:tcBorders>
              <w:top w:val="nil"/>
              <w:left w:val="nil"/>
              <w:bottom w:val="single" w:sz="4" w:space="0" w:color="9E9E9E"/>
              <w:right w:val="single" w:sz="4" w:space="0" w:color="9E9E9E"/>
            </w:tcBorders>
            <w:noWrap/>
            <w:vAlign w:val="center"/>
            <w:hideMark/>
          </w:tcPr>
          <w:p w14:paraId="07FD9E26" w14:textId="77777777" w:rsidR="0047047C" w:rsidRPr="00AF0CC3" w:rsidRDefault="0047047C" w:rsidP="0047047C">
            <w:pPr>
              <w:spacing w:after="0" w:line="240" w:lineRule="auto"/>
              <w:jc w:val="center"/>
              <w:rPr>
                <w:rFonts w:ascii="Times New Roman" w:eastAsia="Times New Roman" w:hAnsi="Times New Roman" w:cs="Times New Roman"/>
                <w:color w:val="000000"/>
                <w:kern w:val="0"/>
                <w14:ligatures w14:val="none"/>
              </w:rPr>
            </w:pPr>
            <w:r w:rsidRPr="00AF0CC3">
              <w:rPr>
                <w:rFonts w:ascii="Times New Roman" w:eastAsia="Times New Roman" w:hAnsi="Times New Roman" w:cs="Times New Roman"/>
                <w:color w:val="000000"/>
                <w:kern w:val="0"/>
                <w14:ligatures w14:val="none"/>
              </w:rPr>
              <w:t> </w:t>
            </w:r>
          </w:p>
        </w:tc>
        <w:tc>
          <w:tcPr>
            <w:tcW w:w="1710" w:type="dxa"/>
            <w:tcBorders>
              <w:top w:val="nil"/>
              <w:left w:val="nil"/>
              <w:bottom w:val="single" w:sz="4" w:space="0" w:color="9E9E9E"/>
              <w:right w:val="single" w:sz="4" w:space="0" w:color="9E9E9E"/>
            </w:tcBorders>
            <w:hideMark/>
          </w:tcPr>
          <w:p w14:paraId="27A8BE65" w14:textId="77777777" w:rsidR="0047047C" w:rsidRPr="00AF0CC3" w:rsidRDefault="0047047C" w:rsidP="0047047C">
            <w:pPr>
              <w:spacing w:after="0" w:line="240" w:lineRule="auto"/>
              <w:rPr>
                <w:rFonts w:ascii="Times New Roman" w:eastAsia="Times New Roman" w:hAnsi="Times New Roman" w:cs="Times New Roman"/>
                <w:color w:val="000000"/>
                <w:kern w:val="0"/>
                <w14:ligatures w14:val="none"/>
              </w:rPr>
            </w:pPr>
            <w:r w:rsidRPr="00AF0CC3">
              <w:rPr>
                <w:rFonts w:ascii="Times New Roman" w:eastAsia="Times New Roman" w:hAnsi="Times New Roman" w:cs="Times New Roman"/>
                <w:color w:val="000000"/>
                <w:kern w:val="0"/>
                <w14:ligatures w14:val="none"/>
              </w:rPr>
              <w:t> </w:t>
            </w:r>
          </w:p>
        </w:tc>
        <w:tc>
          <w:tcPr>
            <w:tcW w:w="1480" w:type="dxa"/>
            <w:tcBorders>
              <w:top w:val="nil"/>
              <w:left w:val="nil"/>
              <w:bottom w:val="single" w:sz="4" w:space="0" w:color="9E9E9E"/>
              <w:right w:val="single" w:sz="4" w:space="0" w:color="9E9E9E"/>
            </w:tcBorders>
            <w:hideMark/>
          </w:tcPr>
          <w:p w14:paraId="0F9CF113" w14:textId="77777777" w:rsidR="0047047C" w:rsidRPr="00AF0CC3" w:rsidRDefault="0047047C" w:rsidP="0047047C">
            <w:pPr>
              <w:spacing w:after="0" w:line="240" w:lineRule="auto"/>
              <w:rPr>
                <w:rFonts w:ascii="Times New Roman" w:eastAsia="Times New Roman" w:hAnsi="Times New Roman" w:cs="Times New Roman"/>
                <w:color w:val="000000"/>
                <w:kern w:val="0"/>
                <w14:ligatures w14:val="none"/>
              </w:rPr>
            </w:pPr>
            <w:r w:rsidRPr="00AF0CC3">
              <w:rPr>
                <w:rFonts w:ascii="Times New Roman" w:eastAsia="Times New Roman" w:hAnsi="Times New Roman" w:cs="Times New Roman"/>
                <w:color w:val="000000"/>
                <w:kern w:val="0"/>
                <w14:ligatures w14:val="none"/>
              </w:rPr>
              <w:t> </w:t>
            </w:r>
          </w:p>
        </w:tc>
      </w:tr>
      <w:tr w:rsidR="0047047C" w:rsidRPr="00AF0CC3" w14:paraId="66A6F522" w14:textId="77777777" w:rsidTr="0047047C">
        <w:trPr>
          <w:trHeight w:val="256"/>
        </w:trPr>
        <w:tc>
          <w:tcPr>
            <w:tcW w:w="2313" w:type="dxa"/>
            <w:tcBorders>
              <w:top w:val="nil"/>
              <w:left w:val="single" w:sz="4" w:space="0" w:color="9E9E9E"/>
              <w:bottom w:val="single" w:sz="4" w:space="0" w:color="9E9E9E"/>
              <w:right w:val="single" w:sz="4" w:space="0" w:color="9E9E9E"/>
            </w:tcBorders>
            <w:hideMark/>
          </w:tcPr>
          <w:p w14:paraId="305B9122" w14:textId="77777777" w:rsidR="0047047C" w:rsidRPr="00AF0CC3" w:rsidRDefault="0047047C" w:rsidP="0047047C">
            <w:pPr>
              <w:spacing w:after="0" w:line="240" w:lineRule="auto"/>
              <w:rPr>
                <w:rFonts w:ascii="Times New Roman" w:eastAsia="Times New Roman" w:hAnsi="Times New Roman" w:cs="Times New Roman"/>
                <w:color w:val="000000"/>
                <w:kern w:val="0"/>
                <w14:ligatures w14:val="none"/>
              </w:rPr>
            </w:pPr>
            <w:r w:rsidRPr="00AF0CC3">
              <w:rPr>
                <w:rFonts w:ascii="Times New Roman" w:eastAsia="Times New Roman" w:hAnsi="Times New Roman" w:cs="Times New Roman"/>
                <w:color w:val="000000"/>
                <w:kern w:val="0"/>
                <w14:ligatures w14:val="none"/>
              </w:rPr>
              <w:t>C3. Adaptive Capacity</w:t>
            </w:r>
          </w:p>
        </w:tc>
        <w:tc>
          <w:tcPr>
            <w:tcW w:w="2386" w:type="dxa"/>
            <w:tcBorders>
              <w:top w:val="nil"/>
              <w:left w:val="nil"/>
              <w:bottom w:val="single" w:sz="4" w:space="0" w:color="9E9E9E"/>
              <w:right w:val="single" w:sz="4" w:space="0" w:color="9E9E9E"/>
            </w:tcBorders>
            <w:hideMark/>
          </w:tcPr>
          <w:p w14:paraId="43DB8903" w14:textId="77777777" w:rsidR="0047047C" w:rsidRPr="00AF0CC3" w:rsidRDefault="0047047C" w:rsidP="0047047C">
            <w:pPr>
              <w:spacing w:after="0" w:line="240" w:lineRule="auto"/>
              <w:rPr>
                <w:rFonts w:ascii="Times New Roman" w:eastAsia="Times New Roman" w:hAnsi="Times New Roman" w:cs="Times New Roman"/>
                <w:color w:val="000000"/>
                <w:kern w:val="0"/>
                <w14:ligatures w14:val="none"/>
              </w:rPr>
            </w:pPr>
            <w:r w:rsidRPr="00AF0CC3">
              <w:rPr>
                <w:rFonts w:ascii="Times New Roman" w:eastAsia="Times New Roman" w:hAnsi="Times New Roman" w:cs="Times New Roman"/>
                <w:color w:val="000000"/>
                <w:kern w:val="0"/>
                <w14:ligatures w14:val="none"/>
              </w:rPr>
              <w:t>Governance flexibility mechanisms</w:t>
            </w:r>
          </w:p>
        </w:tc>
        <w:tc>
          <w:tcPr>
            <w:tcW w:w="1161" w:type="dxa"/>
            <w:tcBorders>
              <w:top w:val="nil"/>
              <w:left w:val="nil"/>
              <w:bottom w:val="single" w:sz="4" w:space="0" w:color="9E9E9E"/>
              <w:right w:val="single" w:sz="4" w:space="0" w:color="9E9E9E"/>
            </w:tcBorders>
            <w:noWrap/>
            <w:vAlign w:val="center"/>
            <w:hideMark/>
          </w:tcPr>
          <w:p w14:paraId="582412C0" w14:textId="77777777" w:rsidR="0047047C" w:rsidRPr="00AF0CC3" w:rsidRDefault="0047047C" w:rsidP="0047047C">
            <w:pPr>
              <w:spacing w:after="0" w:line="240" w:lineRule="auto"/>
              <w:jc w:val="center"/>
              <w:rPr>
                <w:rFonts w:ascii="Times New Roman" w:eastAsia="Times New Roman" w:hAnsi="Times New Roman" w:cs="Times New Roman"/>
                <w:color w:val="000000"/>
                <w:kern w:val="0"/>
                <w14:ligatures w14:val="none"/>
              </w:rPr>
            </w:pPr>
            <w:r w:rsidRPr="00AF0CC3">
              <w:rPr>
                <w:rFonts w:ascii="Times New Roman" w:eastAsia="Times New Roman" w:hAnsi="Times New Roman" w:cs="Times New Roman"/>
                <w:color w:val="000000"/>
                <w:kern w:val="0"/>
                <w14:ligatures w14:val="none"/>
              </w:rPr>
              <w:t> </w:t>
            </w:r>
          </w:p>
        </w:tc>
        <w:tc>
          <w:tcPr>
            <w:tcW w:w="784" w:type="dxa"/>
            <w:tcBorders>
              <w:top w:val="nil"/>
              <w:left w:val="nil"/>
              <w:bottom w:val="single" w:sz="4" w:space="0" w:color="9E9E9E"/>
              <w:right w:val="single" w:sz="4" w:space="0" w:color="9E9E9E"/>
            </w:tcBorders>
            <w:noWrap/>
            <w:vAlign w:val="center"/>
            <w:hideMark/>
          </w:tcPr>
          <w:p w14:paraId="7AF047B5" w14:textId="77777777" w:rsidR="0047047C" w:rsidRPr="00AF0CC3" w:rsidRDefault="0047047C" w:rsidP="0047047C">
            <w:pPr>
              <w:spacing w:after="0" w:line="240" w:lineRule="auto"/>
              <w:jc w:val="center"/>
              <w:rPr>
                <w:rFonts w:ascii="Times New Roman" w:eastAsia="Times New Roman" w:hAnsi="Times New Roman" w:cs="Times New Roman"/>
                <w:color w:val="000000"/>
                <w:kern w:val="0"/>
                <w14:ligatures w14:val="none"/>
              </w:rPr>
            </w:pPr>
            <w:r w:rsidRPr="00AF0CC3">
              <w:rPr>
                <w:rFonts w:ascii="Times New Roman" w:eastAsia="Times New Roman" w:hAnsi="Times New Roman" w:cs="Times New Roman"/>
                <w:color w:val="000000"/>
                <w:kern w:val="0"/>
                <w14:ligatures w14:val="none"/>
              </w:rPr>
              <w:t> </w:t>
            </w:r>
          </w:p>
        </w:tc>
        <w:tc>
          <w:tcPr>
            <w:tcW w:w="1710" w:type="dxa"/>
            <w:tcBorders>
              <w:top w:val="nil"/>
              <w:left w:val="nil"/>
              <w:bottom w:val="single" w:sz="4" w:space="0" w:color="9E9E9E"/>
              <w:right w:val="single" w:sz="4" w:space="0" w:color="9E9E9E"/>
            </w:tcBorders>
            <w:hideMark/>
          </w:tcPr>
          <w:p w14:paraId="6EFBE389" w14:textId="77777777" w:rsidR="0047047C" w:rsidRPr="00AF0CC3" w:rsidRDefault="0047047C" w:rsidP="0047047C">
            <w:pPr>
              <w:spacing w:after="0" w:line="240" w:lineRule="auto"/>
              <w:rPr>
                <w:rFonts w:ascii="Times New Roman" w:eastAsia="Times New Roman" w:hAnsi="Times New Roman" w:cs="Times New Roman"/>
                <w:color w:val="000000"/>
                <w:kern w:val="0"/>
                <w14:ligatures w14:val="none"/>
              </w:rPr>
            </w:pPr>
            <w:r w:rsidRPr="00AF0CC3">
              <w:rPr>
                <w:rFonts w:ascii="Times New Roman" w:eastAsia="Times New Roman" w:hAnsi="Times New Roman" w:cs="Times New Roman"/>
                <w:color w:val="000000"/>
                <w:kern w:val="0"/>
                <w14:ligatures w14:val="none"/>
              </w:rPr>
              <w:t> </w:t>
            </w:r>
          </w:p>
        </w:tc>
        <w:tc>
          <w:tcPr>
            <w:tcW w:w="1480" w:type="dxa"/>
            <w:tcBorders>
              <w:top w:val="nil"/>
              <w:left w:val="nil"/>
              <w:bottom w:val="single" w:sz="4" w:space="0" w:color="9E9E9E"/>
              <w:right w:val="single" w:sz="4" w:space="0" w:color="9E9E9E"/>
            </w:tcBorders>
            <w:hideMark/>
          </w:tcPr>
          <w:p w14:paraId="5054F77A" w14:textId="77777777" w:rsidR="0047047C" w:rsidRPr="00AF0CC3" w:rsidRDefault="0047047C" w:rsidP="0047047C">
            <w:pPr>
              <w:spacing w:after="0" w:line="240" w:lineRule="auto"/>
              <w:rPr>
                <w:rFonts w:ascii="Times New Roman" w:eastAsia="Times New Roman" w:hAnsi="Times New Roman" w:cs="Times New Roman"/>
                <w:color w:val="000000"/>
                <w:kern w:val="0"/>
                <w14:ligatures w14:val="none"/>
              </w:rPr>
            </w:pPr>
            <w:r w:rsidRPr="00AF0CC3">
              <w:rPr>
                <w:rFonts w:ascii="Times New Roman" w:eastAsia="Times New Roman" w:hAnsi="Times New Roman" w:cs="Times New Roman"/>
                <w:color w:val="000000"/>
                <w:kern w:val="0"/>
                <w14:ligatures w14:val="none"/>
              </w:rPr>
              <w:t> </w:t>
            </w:r>
          </w:p>
        </w:tc>
      </w:tr>
      <w:tr w:rsidR="0047047C" w:rsidRPr="00AF0CC3" w14:paraId="3CFDDFE7" w14:textId="77777777" w:rsidTr="0047047C">
        <w:trPr>
          <w:trHeight w:val="256"/>
        </w:trPr>
        <w:tc>
          <w:tcPr>
            <w:tcW w:w="2313" w:type="dxa"/>
            <w:tcBorders>
              <w:top w:val="nil"/>
              <w:left w:val="single" w:sz="4" w:space="0" w:color="9E9E9E"/>
              <w:bottom w:val="single" w:sz="4" w:space="0" w:color="9E9E9E"/>
              <w:right w:val="single" w:sz="4" w:space="0" w:color="9E9E9E"/>
            </w:tcBorders>
            <w:hideMark/>
          </w:tcPr>
          <w:p w14:paraId="2E17162F" w14:textId="77777777" w:rsidR="0047047C" w:rsidRPr="00AF0CC3" w:rsidRDefault="0047047C" w:rsidP="0047047C">
            <w:pPr>
              <w:spacing w:after="0" w:line="240" w:lineRule="auto"/>
              <w:rPr>
                <w:rFonts w:ascii="Times New Roman" w:eastAsia="Times New Roman" w:hAnsi="Times New Roman" w:cs="Times New Roman"/>
                <w:color w:val="000000"/>
                <w:kern w:val="0"/>
                <w14:ligatures w14:val="none"/>
              </w:rPr>
            </w:pPr>
            <w:r w:rsidRPr="00AF0CC3">
              <w:rPr>
                <w:rFonts w:ascii="Times New Roman" w:eastAsia="Times New Roman" w:hAnsi="Times New Roman" w:cs="Times New Roman"/>
                <w:color w:val="000000"/>
                <w:kern w:val="0"/>
                <w14:ligatures w14:val="none"/>
              </w:rPr>
              <w:t>C3. Adaptive Capacity</w:t>
            </w:r>
          </w:p>
        </w:tc>
        <w:tc>
          <w:tcPr>
            <w:tcW w:w="2386" w:type="dxa"/>
            <w:tcBorders>
              <w:top w:val="nil"/>
              <w:left w:val="nil"/>
              <w:bottom w:val="single" w:sz="4" w:space="0" w:color="9E9E9E"/>
              <w:right w:val="single" w:sz="4" w:space="0" w:color="9E9E9E"/>
            </w:tcBorders>
            <w:hideMark/>
          </w:tcPr>
          <w:p w14:paraId="46BAD414" w14:textId="77777777" w:rsidR="0047047C" w:rsidRPr="00AF0CC3" w:rsidRDefault="0047047C" w:rsidP="0047047C">
            <w:pPr>
              <w:spacing w:after="0" w:line="240" w:lineRule="auto"/>
              <w:rPr>
                <w:rFonts w:ascii="Times New Roman" w:eastAsia="Times New Roman" w:hAnsi="Times New Roman" w:cs="Times New Roman"/>
                <w:color w:val="000000"/>
                <w:kern w:val="0"/>
                <w14:ligatures w14:val="none"/>
              </w:rPr>
            </w:pPr>
            <w:r w:rsidRPr="00AF0CC3">
              <w:rPr>
                <w:rFonts w:ascii="Times New Roman" w:eastAsia="Times New Roman" w:hAnsi="Times New Roman" w:cs="Times New Roman"/>
                <w:color w:val="000000"/>
                <w:kern w:val="0"/>
                <w14:ligatures w14:val="none"/>
              </w:rPr>
              <w:t>Evidence of adaptive decisions</w:t>
            </w:r>
          </w:p>
        </w:tc>
        <w:tc>
          <w:tcPr>
            <w:tcW w:w="1161" w:type="dxa"/>
            <w:tcBorders>
              <w:top w:val="nil"/>
              <w:left w:val="nil"/>
              <w:bottom w:val="single" w:sz="4" w:space="0" w:color="9E9E9E"/>
              <w:right w:val="single" w:sz="4" w:space="0" w:color="9E9E9E"/>
            </w:tcBorders>
            <w:noWrap/>
            <w:vAlign w:val="center"/>
            <w:hideMark/>
          </w:tcPr>
          <w:p w14:paraId="0866D64A" w14:textId="77777777" w:rsidR="0047047C" w:rsidRPr="00AF0CC3" w:rsidRDefault="0047047C" w:rsidP="0047047C">
            <w:pPr>
              <w:spacing w:after="0" w:line="240" w:lineRule="auto"/>
              <w:jc w:val="center"/>
              <w:rPr>
                <w:rFonts w:ascii="Times New Roman" w:eastAsia="Times New Roman" w:hAnsi="Times New Roman" w:cs="Times New Roman"/>
                <w:color w:val="000000"/>
                <w:kern w:val="0"/>
                <w14:ligatures w14:val="none"/>
              </w:rPr>
            </w:pPr>
            <w:r w:rsidRPr="00AF0CC3">
              <w:rPr>
                <w:rFonts w:ascii="Times New Roman" w:eastAsia="Times New Roman" w:hAnsi="Times New Roman" w:cs="Times New Roman"/>
                <w:color w:val="000000"/>
                <w:kern w:val="0"/>
                <w14:ligatures w14:val="none"/>
              </w:rPr>
              <w:t> </w:t>
            </w:r>
          </w:p>
        </w:tc>
        <w:tc>
          <w:tcPr>
            <w:tcW w:w="784" w:type="dxa"/>
            <w:tcBorders>
              <w:top w:val="nil"/>
              <w:left w:val="nil"/>
              <w:bottom w:val="single" w:sz="4" w:space="0" w:color="9E9E9E"/>
              <w:right w:val="single" w:sz="4" w:space="0" w:color="9E9E9E"/>
            </w:tcBorders>
            <w:noWrap/>
            <w:vAlign w:val="center"/>
            <w:hideMark/>
          </w:tcPr>
          <w:p w14:paraId="6C37923F" w14:textId="77777777" w:rsidR="0047047C" w:rsidRPr="00AF0CC3" w:rsidRDefault="0047047C" w:rsidP="0047047C">
            <w:pPr>
              <w:spacing w:after="0" w:line="240" w:lineRule="auto"/>
              <w:jc w:val="center"/>
              <w:rPr>
                <w:rFonts w:ascii="Times New Roman" w:eastAsia="Times New Roman" w:hAnsi="Times New Roman" w:cs="Times New Roman"/>
                <w:color w:val="000000"/>
                <w:kern w:val="0"/>
                <w14:ligatures w14:val="none"/>
              </w:rPr>
            </w:pPr>
            <w:r w:rsidRPr="00AF0CC3">
              <w:rPr>
                <w:rFonts w:ascii="Times New Roman" w:eastAsia="Times New Roman" w:hAnsi="Times New Roman" w:cs="Times New Roman"/>
                <w:color w:val="000000"/>
                <w:kern w:val="0"/>
                <w14:ligatures w14:val="none"/>
              </w:rPr>
              <w:t> </w:t>
            </w:r>
          </w:p>
        </w:tc>
        <w:tc>
          <w:tcPr>
            <w:tcW w:w="1710" w:type="dxa"/>
            <w:tcBorders>
              <w:top w:val="nil"/>
              <w:left w:val="nil"/>
              <w:bottom w:val="single" w:sz="4" w:space="0" w:color="9E9E9E"/>
              <w:right w:val="single" w:sz="4" w:space="0" w:color="9E9E9E"/>
            </w:tcBorders>
            <w:hideMark/>
          </w:tcPr>
          <w:p w14:paraId="2AF27206" w14:textId="77777777" w:rsidR="0047047C" w:rsidRPr="00AF0CC3" w:rsidRDefault="0047047C" w:rsidP="0047047C">
            <w:pPr>
              <w:spacing w:after="0" w:line="240" w:lineRule="auto"/>
              <w:rPr>
                <w:rFonts w:ascii="Times New Roman" w:eastAsia="Times New Roman" w:hAnsi="Times New Roman" w:cs="Times New Roman"/>
                <w:color w:val="000000"/>
                <w:kern w:val="0"/>
                <w14:ligatures w14:val="none"/>
              </w:rPr>
            </w:pPr>
            <w:r w:rsidRPr="00AF0CC3">
              <w:rPr>
                <w:rFonts w:ascii="Times New Roman" w:eastAsia="Times New Roman" w:hAnsi="Times New Roman" w:cs="Times New Roman"/>
                <w:color w:val="000000"/>
                <w:kern w:val="0"/>
                <w14:ligatures w14:val="none"/>
              </w:rPr>
              <w:t> </w:t>
            </w:r>
          </w:p>
        </w:tc>
        <w:tc>
          <w:tcPr>
            <w:tcW w:w="1480" w:type="dxa"/>
            <w:tcBorders>
              <w:top w:val="nil"/>
              <w:left w:val="nil"/>
              <w:bottom w:val="single" w:sz="4" w:space="0" w:color="9E9E9E"/>
              <w:right w:val="single" w:sz="4" w:space="0" w:color="9E9E9E"/>
            </w:tcBorders>
            <w:hideMark/>
          </w:tcPr>
          <w:p w14:paraId="320D22D4" w14:textId="77777777" w:rsidR="0047047C" w:rsidRPr="00AF0CC3" w:rsidRDefault="0047047C" w:rsidP="0047047C">
            <w:pPr>
              <w:spacing w:after="0" w:line="240" w:lineRule="auto"/>
              <w:rPr>
                <w:rFonts w:ascii="Times New Roman" w:eastAsia="Times New Roman" w:hAnsi="Times New Roman" w:cs="Times New Roman"/>
                <w:color w:val="000000"/>
                <w:kern w:val="0"/>
                <w14:ligatures w14:val="none"/>
              </w:rPr>
            </w:pPr>
            <w:r w:rsidRPr="00AF0CC3">
              <w:rPr>
                <w:rFonts w:ascii="Times New Roman" w:eastAsia="Times New Roman" w:hAnsi="Times New Roman" w:cs="Times New Roman"/>
                <w:color w:val="000000"/>
                <w:kern w:val="0"/>
                <w14:ligatures w14:val="none"/>
              </w:rPr>
              <w:t> </w:t>
            </w:r>
          </w:p>
        </w:tc>
      </w:tr>
      <w:tr w:rsidR="0047047C" w:rsidRPr="00AF0CC3" w14:paraId="17AD3CFB" w14:textId="77777777" w:rsidTr="0047047C">
        <w:trPr>
          <w:trHeight w:val="256"/>
        </w:trPr>
        <w:tc>
          <w:tcPr>
            <w:tcW w:w="2313" w:type="dxa"/>
            <w:tcBorders>
              <w:top w:val="nil"/>
              <w:left w:val="single" w:sz="4" w:space="0" w:color="9E9E9E"/>
              <w:bottom w:val="single" w:sz="4" w:space="0" w:color="9E9E9E"/>
              <w:right w:val="single" w:sz="4" w:space="0" w:color="9E9E9E"/>
            </w:tcBorders>
            <w:hideMark/>
          </w:tcPr>
          <w:p w14:paraId="7283864B" w14:textId="77777777" w:rsidR="0047047C" w:rsidRPr="00AF0CC3" w:rsidRDefault="0047047C" w:rsidP="0047047C">
            <w:pPr>
              <w:spacing w:after="0" w:line="240" w:lineRule="auto"/>
              <w:rPr>
                <w:rFonts w:ascii="Times New Roman" w:eastAsia="Times New Roman" w:hAnsi="Times New Roman" w:cs="Times New Roman"/>
                <w:color w:val="000000"/>
                <w:kern w:val="0"/>
                <w14:ligatures w14:val="none"/>
              </w:rPr>
            </w:pPr>
            <w:r w:rsidRPr="00AF0CC3">
              <w:rPr>
                <w:rFonts w:ascii="Times New Roman" w:eastAsia="Times New Roman" w:hAnsi="Times New Roman" w:cs="Times New Roman"/>
                <w:color w:val="000000"/>
                <w:kern w:val="0"/>
                <w14:ligatures w14:val="none"/>
              </w:rPr>
              <w:t>C4. Investor Risk Governance</w:t>
            </w:r>
          </w:p>
        </w:tc>
        <w:tc>
          <w:tcPr>
            <w:tcW w:w="2386" w:type="dxa"/>
            <w:tcBorders>
              <w:top w:val="nil"/>
              <w:left w:val="nil"/>
              <w:bottom w:val="single" w:sz="4" w:space="0" w:color="9E9E9E"/>
              <w:right w:val="single" w:sz="4" w:space="0" w:color="9E9E9E"/>
            </w:tcBorders>
            <w:hideMark/>
          </w:tcPr>
          <w:p w14:paraId="3AC3E23C" w14:textId="77777777" w:rsidR="0047047C" w:rsidRPr="00AF0CC3" w:rsidRDefault="0047047C" w:rsidP="0047047C">
            <w:pPr>
              <w:spacing w:after="0" w:line="240" w:lineRule="auto"/>
              <w:rPr>
                <w:rFonts w:ascii="Times New Roman" w:eastAsia="Times New Roman" w:hAnsi="Times New Roman" w:cs="Times New Roman"/>
                <w:color w:val="000000"/>
                <w:kern w:val="0"/>
                <w14:ligatures w14:val="none"/>
              </w:rPr>
            </w:pPr>
            <w:r w:rsidRPr="00AF0CC3">
              <w:rPr>
                <w:rFonts w:ascii="Times New Roman" w:eastAsia="Times New Roman" w:hAnsi="Times New Roman" w:cs="Times New Roman"/>
                <w:color w:val="000000"/>
                <w:kern w:val="0"/>
                <w14:ligatures w14:val="none"/>
              </w:rPr>
              <w:t>Risk allocation framework documented</w:t>
            </w:r>
          </w:p>
        </w:tc>
        <w:tc>
          <w:tcPr>
            <w:tcW w:w="1161" w:type="dxa"/>
            <w:tcBorders>
              <w:top w:val="nil"/>
              <w:left w:val="nil"/>
              <w:bottom w:val="single" w:sz="4" w:space="0" w:color="9E9E9E"/>
              <w:right w:val="single" w:sz="4" w:space="0" w:color="9E9E9E"/>
            </w:tcBorders>
            <w:noWrap/>
            <w:vAlign w:val="center"/>
            <w:hideMark/>
          </w:tcPr>
          <w:p w14:paraId="07CADC5C" w14:textId="77777777" w:rsidR="0047047C" w:rsidRPr="00AF0CC3" w:rsidRDefault="0047047C" w:rsidP="0047047C">
            <w:pPr>
              <w:spacing w:after="0" w:line="240" w:lineRule="auto"/>
              <w:jc w:val="center"/>
              <w:rPr>
                <w:rFonts w:ascii="Times New Roman" w:eastAsia="Times New Roman" w:hAnsi="Times New Roman" w:cs="Times New Roman"/>
                <w:color w:val="000000"/>
                <w:kern w:val="0"/>
                <w14:ligatures w14:val="none"/>
              </w:rPr>
            </w:pPr>
            <w:r w:rsidRPr="00AF0CC3">
              <w:rPr>
                <w:rFonts w:ascii="Times New Roman" w:eastAsia="Times New Roman" w:hAnsi="Times New Roman" w:cs="Times New Roman"/>
                <w:color w:val="000000"/>
                <w:kern w:val="0"/>
                <w14:ligatures w14:val="none"/>
              </w:rPr>
              <w:t> </w:t>
            </w:r>
          </w:p>
        </w:tc>
        <w:tc>
          <w:tcPr>
            <w:tcW w:w="784" w:type="dxa"/>
            <w:tcBorders>
              <w:top w:val="nil"/>
              <w:left w:val="nil"/>
              <w:bottom w:val="single" w:sz="4" w:space="0" w:color="9E9E9E"/>
              <w:right w:val="single" w:sz="4" w:space="0" w:color="9E9E9E"/>
            </w:tcBorders>
            <w:noWrap/>
            <w:vAlign w:val="center"/>
            <w:hideMark/>
          </w:tcPr>
          <w:p w14:paraId="0C74709E" w14:textId="77777777" w:rsidR="0047047C" w:rsidRPr="00AF0CC3" w:rsidRDefault="0047047C" w:rsidP="0047047C">
            <w:pPr>
              <w:spacing w:after="0" w:line="240" w:lineRule="auto"/>
              <w:jc w:val="center"/>
              <w:rPr>
                <w:rFonts w:ascii="Times New Roman" w:eastAsia="Times New Roman" w:hAnsi="Times New Roman" w:cs="Times New Roman"/>
                <w:color w:val="000000"/>
                <w:kern w:val="0"/>
                <w14:ligatures w14:val="none"/>
              </w:rPr>
            </w:pPr>
            <w:r w:rsidRPr="00AF0CC3">
              <w:rPr>
                <w:rFonts w:ascii="Times New Roman" w:eastAsia="Times New Roman" w:hAnsi="Times New Roman" w:cs="Times New Roman"/>
                <w:color w:val="000000"/>
                <w:kern w:val="0"/>
                <w14:ligatures w14:val="none"/>
              </w:rPr>
              <w:t> </w:t>
            </w:r>
          </w:p>
        </w:tc>
        <w:tc>
          <w:tcPr>
            <w:tcW w:w="1710" w:type="dxa"/>
            <w:tcBorders>
              <w:top w:val="nil"/>
              <w:left w:val="nil"/>
              <w:bottom w:val="single" w:sz="4" w:space="0" w:color="9E9E9E"/>
              <w:right w:val="single" w:sz="4" w:space="0" w:color="9E9E9E"/>
            </w:tcBorders>
            <w:hideMark/>
          </w:tcPr>
          <w:p w14:paraId="6A1123E7" w14:textId="77777777" w:rsidR="0047047C" w:rsidRPr="00AF0CC3" w:rsidRDefault="0047047C" w:rsidP="0047047C">
            <w:pPr>
              <w:spacing w:after="0" w:line="240" w:lineRule="auto"/>
              <w:rPr>
                <w:rFonts w:ascii="Times New Roman" w:eastAsia="Times New Roman" w:hAnsi="Times New Roman" w:cs="Times New Roman"/>
                <w:color w:val="000000"/>
                <w:kern w:val="0"/>
                <w14:ligatures w14:val="none"/>
              </w:rPr>
            </w:pPr>
            <w:r w:rsidRPr="00AF0CC3">
              <w:rPr>
                <w:rFonts w:ascii="Times New Roman" w:eastAsia="Times New Roman" w:hAnsi="Times New Roman" w:cs="Times New Roman"/>
                <w:color w:val="000000"/>
                <w:kern w:val="0"/>
                <w14:ligatures w14:val="none"/>
              </w:rPr>
              <w:t> </w:t>
            </w:r>
          </w:p>
        </w:tc>
        <w:tc>
          <w:tcPr>
            <w:tcW w:w="1480" w:type="dxa"/>
            <w:tcBorders>
              <w:top w:val="nil"/>
              <w:left w:val="nil"/>
              <w:bottom w:val="single" w:sz="4" w:space="0" w:color="9E9E9E"/>
              <w:right w:val="single" w:sz="4" w:space="0" w:color="9E9E9E"/>
            </w:tcBorders>
            <w:hideMark/>
          </w:tcPr>
          <w:p w14:paraId="2E9B5233" w14:textId="77777777" w:rsidR="0047047C" w:rsidRPr="00AF0CC3" w:rsidRDefault="0047047C" w:rsidP="0047047C">
            <w:pPr>
              <w:spacing w:after="0" w:line="240" w:lineRule="auto"/>
              <w:rPr>
                <w:rFonts w:ascii="Times New Roman" w:eastAsia="Times New Roman" w:hAnsi="Times New Roman" w:cs="Times New Roman"/>
                <w:color w:val="000000"/>
                <w:kern w:val="0"/>
                <w14:ligatures w14:val="none"/>
              </w:rPr>
            </w:pPr>
            <w:r w:rsidRPr="00AF0CC3">
              <w:rPr>
                <w:rFonts w:ascii="Times New Roman" w:eastAsia="Times New Roman" w:hAnsi="Times New Roman" w:cs="Times New Roman"/>
                <w:color w:val="000000"/>
                <w:kern w:val="0"/>
                <w14:ligatures w14:val="none"/>
              </w:rPr>
              <w:t> </w:t>
            </w:r>
          </w:p>
        </w:tc>
      </w:tr>
      <w:tr w:rsidR="0047047C" w:rsidRPr="00AF0CC3" w14:paraId="76CE4A2C" w14:textId="77777777" w:rsidTr="0047047C">
        <w:trPr>
          <w:trHeight w:val="256"/>
        </w:trPr>
        <w:tc>
          <w:tcPr>
            <w:tcW w:w="2313" w:type="dxa"/>
            <w:tcBorders>
              <w:top w:val="nil"/>
              <w:left w:val="single" w:sz="4" w:space="0" w:color="9E9E9E"/>
              <w:bottom w:val="single" w:sz="4" w:space="0" w:color="9E9E9E"/>
              <w:right w:val="single" w:sz="4" w:space="0" w:color="9E9E9E"/>
            </w:tcBorders>
            <w:hideMark/>
          </w:tcPr>
          <w:p w14:paraId="6C09237A" w14:textId="77777777" w:rsidR="0047047C" w:rsidRPr="00AF0CC3" w:rsidRDefault="0047047C" w:rsidP="0047047C">
            <w:pPr>
              <w:spacing w:after="0" w:line="240" w:lineRule="auto"/>
              <w:rPr>
                <w:rFonts w:ascii="Times New Roman" w:eastAsia="Times New Roman" w:hAnsi="Times New Roman" w:cs="Times New Roman"/>
                <w:color w:val="000000"/>
                <w:kern w:val="0"/>
                <w14:ligatures w14:val="none"/>
              </w:rPr>
            </w:pPr>
            <w:r w:rsidRPr="00AF0CC3">
              <w:rPr>
                <w:rFonts w:ascii="Times New Roman" w:eastAsia="Times New Roman" w:hAnsi="Times New Roman" w:cs="Times New Roman"/>
                <w:color w:val="000000"/>
                <w:kern w:val="0"/>
                <w14:ligatures w14:val="none"/>
              </w:rPr>
              <w:t>C5. Institutional Coordination</w:t>
            </w:r>
          </w:p>
        </w:tc>
        <w:tc>
          <w:tcPr>
            <w:tcW w:w="2386" w:type="dxa"/>
            <w:tcBorders>
              <w:top w:val="nil"/>
              <w:left w:val="nil"/>
              <w:bottom w:val="single" w:sz="4" w:space="0" w:color="9E9E9E"/>
              <w:right w:val="single" w:sz="4" w:space="0" w:color="9E9E9E"/>
            </w:tcBorders>
            <w:hideMark/>
          </w:tcPr>
          <w:p w14:paraId="35A2E54C" w14:textId="77777777" w:rsidR="0047047C" w:rsidRPr="00AF0CC3" w:rsidRDefault="0047047C" w:rsidP="0047047C">
            <w:pPr>
              <w:spacing w:after="0" w:line="240" w:lineRule="auto"/>
              <w:rPr>
                <w:rFonts w:ascii="Times New Roman" w:eastAsia="Times New Roman" w:hAnsi="Times New Roman" w:cs="Times New Roman"/>
                <w:color w:val="000000"/>
                <w:kern w:val="0"/>
                <w14:ligatures w14:val="none"/>
              </w:rPr>
            </w:pPr>
            <w:r w:rsidRPr="00AF0CC3">
              <w:rPr>
                <w:rFonts w:ascii="Times New Roman" w:eastAsia="Times New Roman" w:hAnsi="Times New Roman" w:cs="Times New Roman"/>
                <w:color w:val="000000"/>
                <w:kern w:val="0"/>
                <w14:ligatures w14:val="none"/>
              </w:rPr>
              <w:t>National–county coordination mechanism</w:t>
            </w:r>
          </w:p>
        </w:tc>
        <w:tc>
          <w:tcPr>
            <w:tcW w:w="1161" w:type="dxa"/>
            <w:tcBorders>
              <w:top w:val="nil"/>
              <w:left w:val="nil"/>
              <w:bottom w:val="single" w:sz="4" w:space="0" w:color="9E9E9E"/>
              <w:right w:val="single" w:sz="4" w:space="0" w:color="9E9E9E"/>
            </w:tcBorders>
            <w:noWrap/>
            <w:vAlign w:val="center"/>
            <w:hideMark/>
          </w:tcPr>
          <w:p w14:paraId="454376B1" w14:textId="77777777" w:rsidR="0047047C" w:rsidRPr="00AF0CC3" w:rsidRDefault="0047047C" w:rsidP="0047047C">
            <w:pPr>
              <w:spacing w:after="0" w:line="240" w:lineRule="auto"/>
              <w:jc w:val="center"/>
              <w:rPr>
                <w:rFonts w:ascii="Times New Roman" w:eastAsia="Times New Roman" w:hAnsi="Times New Roman" w:cs="Times New Roman"/>
                <w:color w:val="000000"/>
                <w:kern w:val="0"/>
                <w14:ligatures w14:val="none"/>
              </w:rPr>
            </w:pPr>
            <w:r w:rsidRPr="00AF0CC3">
              <w:rPr>
                <w:rFonts w:ascii="Times New Roman" w:eastAsia="Times New Roman" w:hAnsi="Times New Roman" w:cs="Times New Roman"/>
                <w:color w:val="000000"/>
                <w:kern w:val="0"/>
                <w14:ligatures w14:val="none"/>
              </w:rPr>
              <w:t> </w:t>
            </w:r>
          </w:p>
        </w:tc>
        <w:tc>
          <w:tcPr>
            <w:tcW w:w="784" w:type="dxa"/>
            <w:tcBorders>
              <w:top w:val="nil"/>
              <w:left w:val="nil"/>
              <w:bottom w:val="single" w:sz="4" w:space="0" w:color="9E9E9E"/>
              <w:right w:val="single" w:sz="4" w:space="0" w:color="9E9E9E"/>
            </w:tcBorders>
            <w:noWrap/>
            <w:vAlign w:val="center"/>
            <w:hideMark/>
          </w:tcPr>
          <w:p w14:paraId="482D3539" w14:textId="77777777" w:rsidR="0047047C" w:rsidRPr="00AF0CC3" w:rsidRDefault="0047047C" w:rsidP="0047047C">
            <w:pPr>
              <w:spacing w:after="0" w:line="240" w:lineRule="auto"/>
              <w:jc w:val="center"/>
              <w:rPr>
                <w:rFonts w:ascii="Times New Roman" w:eastAsia="Times New Roman" w:hAnsi="Times New Roman" w:cs="Times New Roman"/>
                <w:color w:val="000000"/>
                <w:kern w:val="0"/>
                <w14:ligatures w14:val="none"/>
              </w:rPr>
            </w:pPr>
            <w:r w:rsidRPr="00AF0CC3">
              <w:rPr>
                <w:rFonts w:ascii="Times New Roman" w:eastAsia="Times New Roman" w:hAnsi="Times New Roman" w:cs="Times New Roman"/>
                <w:color w:val="000000"/>
                <w:kern w:val="0"/>
                <w14:ligatures w14:val="none"/>
              </w:rPr>
              <w:t> </w:t>
            </w:r>
          </w:p>
        </w:tc>
        <w:tc>
          <w:tcPr>
            <w:tcW w:w="1710" w:type="dxa"/>
            <w:tcBorders>
              <w:top w:val="nil"/>
              <w:left w:val="nil"/>
              <w:bottom w:val="single" w:sz="4" w:space="0" w:color="9E9E9E"/>
              <w:right w:val="single" w:sz="4" w:space="0" w:color="9E9E9E"/>
            </w:tcBorders>
            <w:hideMark/>
          </w:tcPr>
          <w:p w14:paraId="095FAC25" w14:textId="77777777" w:rsidR="0047047C" w:rsidRPr="00AF0CC3" w:rsidRDefault="0047047C" w:rsidP="0047047C">
            <w:pPr>
              <w:spacing w:after="0" w:line="240" w:lineRule="auto"/>
              <w:rPr>
                <w:rFonts w:ascii="Times New Roman" w:eastAsia="Times New Roman" w:hAnsi="Times New Roman" w:cs="Times New Roman"/>
                <w:color w:val="000000"/>
                <w:kern w:val="0"/>
                <w14:ligatures w14:val="none"/>
              </w:rPr>
            </w:pPr>
            <w:r w:rsidRPr="00AF0CC3">
              <w:rPr>
                <w:rFonts w:ascii="Times New Roman" w:eastAsia="Times New Roman" w:hAnsi="Times New Roman" w:cs="Times New Roman"/>
                <w:color w:val="000000"/>
                <w:kern w:val="0"/>
                <w14:ligatures w14:val="none"/>
              </w:rPr>
              <w:t> </w:t>
            </w:r>
          </w:p>
        </w:tc>
        <w:tc>
          <w:tcPr>
            <w:tcW w:w="1480" w:type="dxa"/>
            <w:tcBorders>
              <w:top w:val="nil"/>
              <w:left w:val="nil"/>
              <w:bottom w:val="single" w:sz="4" w:space="0" w:color="9E9E9E"/>
              <w:right w:val="single" w:sz="4" w:space="0" w:color="9E9E9E"/>
            </w:tcBorders>
            <w:hideMark/>
          </w:tcPr>
          <w:p w14:paraId="365BB227" w14:textId="77777777" w:rsidR="0047047C" w:rsidRPr="00AF0CC3" w:rsidRDefault="0047047C" w:rsidP="0047047C">
            <w:pPr>
              <w:spacing w:after="0" w:line="240" w:lineRule="auto"/>
              <w:rPr>
                <w:rFonts w:ascii="Times New Roman" w:eastAsia="Times New Roman" w:hAnsi="Times New Roman" w:cs="Times New Roman"/>
                <w:color w:val="000000"/>
                <w:kern w:val="0"/>
                <w14:ligatures w14:val="none"/>
              </w:rPr>
            </w:pPr>
            <w:r w:rsidRPr="00AF0CC3">
              <w:rPr>
                <w:rFonts w:ascii="Times New Roman" w:eastAsia="Times New Roman" w:hAnsi="Times New Roman" w:cs="Times New Roman"/>
                <w:color w:val="000000"/>
                <w:kern w:val="0"/>
                <w14:ligatures w14:val="none"/>
              </w:rPr>
              <w:t> </w:t>
            </w:r>
          </w:p>
        </w:tc>
      </w:tr>
      <w:tr w:rsidR="0047047C" w:rsidRPr="00AF0CC3" w14:paraId="51AF93DF" w14:textId="77777777" w:rsidTr="0047047C">
        <w:trPr>
          <w:trHeight w:val="256"/>
        </w:trPr>
        <w:tc>
          <w:tcPr>
            <w:tcW w:w="2313" w:type="dxa"/>
            <w:tcBorders>
              <w:top w:val="nil"/>
              <w:left w:val="single" w:sz="4" w:space="0" w:color="9E9E9E"/>
              <w:bottom w:val="single" w:sz="4" w:space="0" w:color="9E9E9E"/>
              <w:right w:val="single" w:sz="4" w:space="0" w:color="9E9E9E"/>
            </w:tcBorders>
            <w:hideMark/>
          </w:tcPr>
          <w:p w14:paraId="6300692D" w14:textId="77777777" w:rsidR="0047047C" w:rsidRPr="00AF0CC3" w:rsidRDefault="0047047C" w:rsidP="0047047C">
            <w:pPr>
              <w:spacing w:after="0" w:line="240" w:lineRule="auto"/>
              <w:rPr>
                <w:rFonts w:ascii="Times New Roman" w:eastAsia="Times New Roman" w:hAnsi="Times New Roman" w:cs="Times New Roman"/>
                <w:color w:val="000000"/>
                <w:kern w:val="0"/>
                <w14:ligatures w14:val="none"/>
              </w:rPr>
            </w:pPr>
            <w:r w:rsidRPr="00AF0CC3">
              <w:rPr>
                <w:rFonts w:ascii="Times New Roman" w:eastAsia="Times New Roman" w:hAnsi="Times New Roman" w:cs="Times New Roman"/>
                <w:color w:val="000000"/>
                <w:kern w:val="0"/>
                <w14:ligatures w14:val="none"/>
              </w:rPr>
              <w:t>D. Social Outcomes</w:t>
            </w:r>
          </w:p>
        </w:tc>
        <w:tc>
          <w:tcPr>
            <w:tcW w:w="2386" w:type="dxa"/>
            <w:tcBorders>
              <w:top w:val="nil"/>
              <w:left w:val="nil"/>
              <w:bottom w:val="single" w:sz="4" w:space="0" w:color="9E9E9E"/>
              <w:right w:val="single" w:sz="4" w:space="0" w:color="9E9E9E"/>
            </w:tcBorders>
            <w:hideMark/>
          </w:tcPr>
          <w:p w14:paraId="21CFD278" w14:textId="77777777" w:rsidR="0047047C" w:rsidRPr="00AF0CC3" w:rsidRDefault="0047047C" w:rsidP="0047047C">
            <w:pPr>
              <w:spacing w:after="0" w:line="240" w:lineRule="auto"/>
              <w:rPr>
                <w:rFonts w:ascii="Times New Roman" w:eastAsia="Times New Roman" w:hAnsi="Times New Roman" w:cs="Times New Roman"/>
                <w:color w:val="000000"/>
                <w:kern w:val="0"/>
                <w14:ligatures w14:val="none"/>
              </w:rPr>
            </w:pPr>
            <w:r w:rsidRPr="00AF0CC3">
              <w:rPr>
                <w:rFonts w:ascii="Times New Roman" w:eastAsia="Times New Roman" w:hAnsi="Times New Roman" w:cs="Times New Roman"/>
                <w:color w:val="000000"/>
                <w:kern w:val="0"/>
                <w14:ligatures w14:val="none"/>
              </w:rPr>
              <w:t>Population served data</w:t>
            </w:r>
          </w:p>
        </w:tc>
        <w:tc>
          <w:tcPr>
            <w:tcW w:w="1161" w:type="dxa"/>
            <w:tcBorders>
              <w:top w:val="nil"/>
              <w:left w:val="nil"/>
              <w:bottom w:val="single" w:sz="4" w:space="0" w:color="9E9E9E"/>
              <w:right w:val="single" w:sz="4" w:space="0" w:color="9E9E9E"/>
            </w:tcBorders>
            <w:noWrap/>
            <w:vAlign w:val="center"/>
            <w:hideMark/>
          </w:tcPr>
          <w:p w14:paraId="3CCA0762" w14:textId="77777777" w:rsidR="0047047C" w:rsidRPr="00AF0CC3" w:rsidRDefault="0047047C" w:rsidP="0047047C">
            <w:pPr>
              <w:spacing w:after="0" w:line="240" w:lineRule="auto"/>
              <w:jc w:val="center"/>
              <w:rPr>
                <w:rFonts w:ascii="Times New Roman" w:eastAsia="Times New Roman" w:hAnsi="Times New Roman" w:cs="Times New Roman"/>
                <w:color w:val="000000"/>
                <w:kern w:val="0"/>
                <w14:ligatures w14:val="none"/>
              </w:rPr>
            </w:pPr>
            <w:r w:rsidRPr="00AF0CC3">
              <w:rPr>
                <w:rFonts w:ascii="Times New Roman" w:eastAsia="Times New Roman" w:hAnsi="Times New Roman" w:cs="Times New Roman"/>
                <w:color w:val="000000"/>
                <w:kern w:val="0"/>
                <w14:ligatures w14:val="none"/>
              </w:rPr>
              <w:t> </w:t>
            </w:r>
          </w:p>
        </w:tc>
        <w:tc>
          <w:tcPr>
            <w:tcW w:w="784" w:type="dxa"/>
            <w:tcBorders>
              <w:top w:val="nil"/>
              <w:left w:val="nil"/>
              <w:bottom w:val="single" w:sz="4" w:space="0" w:color="9E9E9E"/>
              <w:right w:val="single" w:sz="4" w:space="0" w:color="9E9E9E"/>
            </w:tcBorders>
            <w:noWrap/>
            <w:vAlign w:val="center"/>
            <w:hideMark/>
          </w:tcPr>
          <w:p w14:paraId="2D8A0083" w14:textId="77777777" w:rsidR="0047047C" w:rsidRPr="00AF0CC3" w:rsidRDefault="0047047C" w:rsidP="0047047C">
            <w:pPr>
              <w:spacing w:after="0" w:line="240" w:lineRule="auto"/>
              <w:jc w:val="center"/>
              <w:rPr>
                <w:rFonts w:ascii="Times New Roman" w:eastAsia="Times New Roman" w:hAnsi="Times New Roman" w:cs="Times New Roman"/>
                <w:color w:val="000000"/>
                <w:kern w:val="0"/>
                <w14:ligatures w14:val="none"/>
              </w:rPr>
            </w:pPr>
            <w:r w:rsidRPr="00AF0CC3">
              <w:rPr>
                <w:rFonts w:ascii="Times New Roman" w:eastAsia="Times New Roman" w:hAnsi="Times New Roman" w:cs="Times New Roman"/>
                <w:color w:val="000000"/>
                <w:kern w:val="0"/>
                <w14:ligatures w14:val="none"/>
              </w:rPr>
              <w:t> </w:t>
            </w:r>
          </w:p>
        </w:tc>
        <w:tc>
          <w:tcPr>
            <w:tcW w:w="1710" w:type="dxa"/>
            <w:tcBorders>
              <w:top w:val="nil"/>
              <w:left w:val="nil"/>
              <w:bottom w:val="single" w:sz="4" w:space="0" w:color="9E9E9E"/>
              <w:right w:val="single" w:sz="4" w:space="0" w:color="9E9E9E"/>
            </w:tcBorders>
            <w:hideMark/>
          </w:tcPr>
          <w:p w14:paraId="22426720" w14:textId="77777777" w:rsidR="0047047C" w:rsidRPr="00AF0CC3" w:rsidRDefault="0047047C" w:rsidP="0047047C">
            <w:pPr>
              <w:spacing w:after="0" w:line="240" w:lineRule="auto"/>
              <w:rPr>
                <w:rFonts w:ascii="Times New Roman" w:eastAsia="Times New Roman" w:hAnsi="Times New Roman" w:cs="Times New Roman"/>
                <w:color w:val="000000"/>
                <w:kern w:val="0"/>
                <w14:ligatures w14:val="none"/>
              </w:rPr>
            </w:pPr>
            <w:r w:rsidRPr="00AF0CC3">
              <w:rPr>
                <w:rFonts w:ascii="Times New Roman" w:eastAsia="Times New Roman" w:hAnsi="Times New Roman" w:cs="Times New Roman"/>
                <w:color w:val="000000"/>
                <w:kern w:val="0"/>
                <w14:ligatures w14:val="none"/>
              </w:rPr>
              <w:t> </w:t>
            </w:r>
          </w:p>
        </w:tc>
        <w:tc>
          <w:tcPr>
            <w:tcW w:w="1480" w:type="dxa"/>
            <w:tcBorders>
              <w:top w:val="nil"/>
              <w:left w:val="nil"/>
              <w:bottom w:val="single" w:sz="4" w:space="0" w:color="9E9E9E"/>
              <w:right w:val="single" w:sz="4" w:space="0" w:color="9E9E9E"/>
            </w:tcBorders>
            <w:hideMark/>
          </w:tcPr>
          <w:p w14:paraId="687AFFAE" w14:textId="77777777" w:rsidR="0047047C" w:rsidRPr="00AF0CC3" w:rsidRDefault="0047047C" w:rsidP="0047047C">
            <w:pPr>
              <w:spacing w:after="0" w:line="240" w:lineRule="auto"/>
              <w:rPr>
                <w:rFonts w:ascii="Times New Roman" w:eastAsia="Times New Roman" w:hAnsi="Times New Roman" w:cs="Times New Roman"/>
                <w:color w:val="000000"/>
                <w:kern w:val="0"/>
                <w14:ligatures w14:val="none"/>
              </w:rPr>
            </w:pPr>
            <w:r w:rsidRPr="00AF0CC3">
              <w:rPr>
                <w:rFonts w:ascii="Times New Roman" w:eastAsia="Times New Roman" w:hAnsi="Times New Roman" w:cs="Times New Roman"/>
                <w:color w:val="000000"/>
                <w:kern w:val="0"/>
                <w14:ligatures w14:val="none"/>
              </w:rPr>
              <w:t> </w:t>
            </w:r>
          </w:p>
        </w:tc>
      </w:tr>
      <w:tr w:rsidR="0047047C" w:rsidRPr="00AF0CC3" w14:paraId="4A6A748D" w14:textId="77777777" w:rsidTr="0047047C">
        <w:trPr>
          <w:trHeight w:val="256"/>
        </w:trPr>
        <w:tc>
          <w:tcPr>
            <w:tcW w:w="2313" w:type="dxa"/>
            <w:tcBorders>
              <w:top w:val="nil"/>
              <w:left w:val="single" w:sz="4" w:space="0" w:color="9E9E9E"/>
              <w:bottom w:val="single" w:sz="4" w:space="0" w:color="9E9E9E"/>
              <w:right w:val="single" w:sz="4" w:space="0" w:color="9E9E9E"/>
            </w:tcBorders>
            <w:hideMark/>
          </w:tcPr>
          <w:p w14:paraId="57C8ADCC" w14:textId="77777777" w:rsidR="0047047C" w:rsidRPr="00AF0CC3" w:rsidRDefault="0047047C" w:rsidP="0047047C">
            <w:pPr>
              <w:spacing w:after="0" w:line="240" w:lineRule="auto"/>
              <w:rPr>
                <w:rFonts w:ascii="Times New Roman" w:eastAsia="Times New Roman" w:hAnsi="Times New Roman" w:cs="Times New Roman"/>
                <w:color w:val="000000"/>
                <w:kern w:val="0"/>
                <w14:ligatures w14:val="none"/>
              </w:rPr>
            </w:pPr>
            <w:r w:rsidRPr="00AF0CC3">
              <w:rPr>
                <w:rFonts w:ascii="Times New Roman" w:eastAsia="Times New Roman" w:hAnsi="Times New Roman" w:cs="Times New Roman"/>
                <w:color w:val="000000"/>
                <w:kern w:val="0"/>
                <w14:ligatures w14:val="none"/>
              </w:rPr>
              <w:lastRenderedPageBreak/>
              <w:t>D. Social Outcomes</w:t>
            </w:r>
          </w:p>
        </w:tc>
        <w:tc>
          <w:tcPr>
            <w:tcW w:w="2386" w:type="dxa"/>
            <w:tcBorders>
              <w:top w:val="nil"/>
              <w:left w:val="nil"/>
              <w:bottom w:val="single" w:sz="4" w:space="0" w:color="9E9E9E"/>
              <w:right w:val="single" w:sz="4" w:space="0" w:color="9E9E9E"/>
            </w:tcBorders>
            <w:hideMark/>
          </w:tcPr>
          <w:p w14:paraId="48C05881" w14:textId="77777777" w:rsidR="0047047C" w:rsidRPr="00AF0CC3" w:rsidRDefault="0047047C" w:rsidP="0047047C">
            <w:pPr>
              <w:spacing w:after="0" w:line="240" w:lineRule="auto"/>
              <w:rPr>
                <w:rFonts w:ascii="Times New Roman" w:eastAsia="Times New Roman" w:hAnsi="Times New Roman" w:cs="Times New Roman"/>
                <w:color w:val="000000"/>
                <w:kern w:val="0"/>
                <w14:ligatures w14:val="none"/>
              </w:rPr>
            </w:pPr>
            <w:r w:rsidRPr="00AF0CC3">
              <w:rPr>
                <w:rFonts w:ascii="Times New Roman" w:eastAsia="Times New Roman" w:hAnsi="Times New Roman" w:cs="Times New Roman"/>
                <w:color w:val="000000"/>
                <w:kern w:val="0"/>
                <w14:ligatures w14:val="none"/>
              </w:rPr>
              <w:t>Service access indicators</w:t>
            </w:r>
          </w:p>
        </w:tc>
        <w:tc>
          <w:tcPr>
            <w:tcW w:w="1161" w:type="dxa"/>
            <w:tcBorders>
              <w:top w:val="nil"/>
              <w:left w:val="nil"/>
              <w:bottom w:val="single" w:sz="4" w:space="0" w:color="9E9E9E"/>
              <w:right w:val="single" w:sz="4" w:space="0" w:color="9E9E9E"/>
            </w:tcBorders>
            <w:noWrap/>
            <w:vAlign w:val="center"/>
            <w:hideMark/>
          </w:tcPr>
          <w:p w14:paraId="16102E33" w14:textId="77777777" w:rsidR="0047047C" w:rsidRPr="00AF0CC3" w:rsidRDefault="0047047C" w:rsidP="0047047C">
            <w:pPr>
              <w:spacing w:after="0" w:line="240" w:lineRule="auto"/>
              <w:jc w:val="center"/>
              <w:rPr>
                <w:rFonts w:ascii="Times New Roman" w:eastAsia="Times New Roman" w:hAnsi="Times New Roman" w:cs="Times New Roman"/>
                <w:color w:val="000000"/>
                <w:kern w:val="0"/>
                <w14:ligatures w14:val="none"/>
              </w:rPr>
            </w:pPr>
            <w:r w:rsidRPr="00AF0CC3">
              <w:rPr>
                <w:rFonts w:ascii="Times New Roman" w:eastAsia="Times New Roman" w:hAnsi="Times New Roman" w:cs="Times New Roman"/>
                <w:color w:val="000000"/>
                <w:kern w:val="0"/>
                <w14:ligatures w14:val="none"/>
              </w:rPr>
              <w:t> </w:t>
            </w:r>
          </w:p>
        </w:tc>
        <w:tc>
          <w:tcPr>
            <w:tcW w:w="784" w:type="dxa"/>
            <w:tcBorders>
              <w:top w:val="nil"/>
              <w:left w:val="nil"/>
              <w:bottom w:val="single" w:sz="4" w:space="0" w:color="9E9E9E"/>
              <w:right w:val="single" w:sz="4" w:space="0" w:color="9E9E9E"/>
            </w:tcBorders>
            <w:noWrap/>
            <w:vAlign w:val="center"/>
            <w:hideMark/>
          </w:tcPr>
          <w:p w14:paraId="05C90C22" w14:textId="77777777" w:rsidR="0047047C" w:rsidRPr="00AF0CC3" w:rsidRDefault="0047047C" w:rsidP="0047047C">
            <w:pPr>
              <w:spacing w:after="0" w:line="240" w:lineRule="auto"/>
              <w:jc w:val="center"/>
              <w:rPr>
                <w:rFonts w:ascii="Times New Roman" w:eastAsia="Times New Roman" w:hAnsi="Times New Roman" w:cs="Times New Roman"/>
                <w:color w:val="000000"/>
                <w:kern w:val="0"/>
                <w14:ligatures w14:val="none"/>
              </w:rPr>
            </w:pPr>
            <w:r w:rsidRPr="00AF0CC3">
              <w:rPr>
                <w:rFonts w:ascii="Times New Roman" w:eastAsia="Times New Roman" w:hAnsi="Times New Roman" w:cs="Times New Roman"/>
                <w:color w:val="000000"/>
                <w:kern w:val="0"/>
                <w14:ligatures w14:val="none"/>
              </w:rPr>
              <w:t> </w:t>
            </w:r>
          </w:p>
        </w:tc>
        <w:tc>
          <w:tcPr>
            <w:tcW w:w="1710" w:type="dxa"/>
            <w:tcBorders>
              <w:top w:val="nil"/>
              <w:left w:val="nil"/>
              <w:bottom w:val="single" w:sz="4" w:space="0" w:color="9E9E9E"/>
              <w:right w:val="single" w:sz="4" w:space="0" w:color="9E9E9E"/>
            </w:tcBorders>
            <w:hideMark/>
          </w:tcPr>
          <w:p w14:paraId="0CE33146" w14:textId="77777777" w:rsidR="0047047C" w:rsidRPr="00AF0CC3" w:rsidRDefault="0047047C" w:rsidP="0047047C">
            <w:pPr>
              <w:spacing w:after="0" w:line="240" w:lineRule="auto"/>
              <w:rPr>
                <w:rFonts w:ascii="Times New Roman" w:eastAsia="Times New Roman" w:hAnsi="Times New Roman" w:cs="Times New Roman"/>
                <w:color w:val="000000"/>
                <w:kern w:val="0"/>
                <w14:ligatures w14:val="none"/>
              </w:rPr>
            </w:pPr>
            <w:r w:rsidRPr="00AF0CC3">
              <w:rPr>
                <w:rFonts w:ascii="Times New Roman" w:eastAsia="Times New Roman" w:hAnsi="Times New Roman" w:cs="Times New Roman"/>
                <w:color w:val="000000"/>
                <w:kern w:val="0"/>
                <w14:ligatures w14:val="none"/>
              </w:rPr>
              <w:t> </w:t>
            </w:r>
          </w:p>
        </w:tc>
        <w:tc>
          <w:tcPr>
            <w:tcW w:w="1480" w:type="dxa"/>
            <w:tcBorders>
              <w:top w:val="nil"/>
              <w:left w:val="nil"/>
              <w:bottom w:val="single" w:sz="4" w:space="0" w:color="9E9E9E"/>
              <w:right w:val="single" w:sz="4" w:space="0" w:color="9E9E9E"/>
            </w:tcBorders>
            <w:hideMark/>
          </w:tcPr>
          <w:p w14:paraId="02E5F165" w14:textId="77777777" w:rsidR="0047047C" w:rsidRPr="00AF0CC3" w:rsidRDefault="0047047C" w:rsidP="0047047C">
            <w:pPr>
              <w:spacing w:after="0" w:line="240" w:lineRule="auto"/>
              <w:rPr>
                <w:rFonts w:ascii="Times New Roman" w:eastAsia="Times New Roman" w:hAnsi="Times New Roman" w:cs="Times New Roman"/>
                <w:color w:val="000000"/>
                <w:kern w:val="0"/>
                <w14:ligatures w14:val="none"/>
              </w:rPr>
            </w:pPr>
            <w:r w:rsidRPr="00AF0CC3">
              <w:rPr>
                <w:rFonts w:ascii="Times New Roman" w:eastAsia="Times New Roman" w:hAnsi="Times New Roman" w:cs="Times New Roman"/>
                <w:color w:val="000000"/>
                <w:kern w:val="0"/>
                <w14:ligatures w14:val="none"/>
              </w:rPr>
              <w:t> </w:t>
            </w:r>
          </w:p>
        </w:tc>
      </w:tr>
      <w:tr w:rsidR="0047047C" w:rsidRPr="00AF0CC3" w14:paraId="1A9E673E" w14:textId="77777777" w:rsidTr="0047047C">
        <w:trPr>
          <w:trHeight w:val="256"/>
        </w:trPr>
        <w:tc>
          <w:tcPr>
            <w:tcW w:w="2313" w:type="dxa"/>
            <w:tcBorders>
              <w:top w:val="nil"/>
              <w:left w:val="single" w:sz="4" w:space="0" w:color="9E9E9E"/>
              <w:bottom w:val="single" w:sz="4" w:space="0" w:color="9E9E9E"/>
              <w:right w:val="single" w:sz="4" w:space="0" w:color="9E9E9E"/>
            </w:tcBorders>
            <w:hideMark/>
          </w:tcPr>
          <w:p w14:paraId="71061C4A" w14:textId="77777777" w:rsidR="0047047C" w:rsidRPr="00AF0CC3" w:rsidRDefault="0047047C" w:rsidP="0047047C">
            <w:pPr>
              <w:spacing w:after="0" w:line="240" w:lineRule="auto"/>
              <w:rPr>
                <w:rFonts w:ascii="Times New Roman" w:eastAsia="Times New Roman" w:hAnsi="Times New Roman" w:cs="Times New Roman"/>
                <w:color w:val="000000"/>
                <w:kern w:val="0"/>
                <w14:ligatures w14:val="none"/>
              </w:rPr>
            </w:pPr>
            <w:r w:rsidRPr="00AF0CC3">
              <w:rPr>
                <w:rFonts w:ascii="Times New Roman" w:eastAsia="Times New Roman" w:hAnsi="Times New Roman" w:cs="Times New Roman"/>
                <w:color w:val="000000"/>
                <w:kern w:val="0"/>
                <w14:ligatures w14:val="none"/>
              </w:rPr>
              <w:t>E. Resilience Outcomes</w:t>
            </w:r>
          </w:p>
        </w:tc>
        <w:tc>
          <w:tcPr>
            <w:tcW w:w="2386" w:type="dxa"/>
            <w:tcBorders>
              <w:top w:val="nil"/>
              <w:left w:val="nil"/>
              <w:bottom w:val="single" w:sz="4" w:space="0" w:color="9E9E9E"/>
              <w:right w:val="single" w:sz="4" w:space="0" w:color="9E9E9E"/>
            </w:tcBorders>
            <w:hideMark/>
          </w:tcPr>
          <w:p w14:paraId="12783647" w14:textId="77777777" w:rsidR="0047047C" w:rsidRPr="00AF0CC3" w:rsidRDefault="0047047C" w:rsidP="0047047C">
            <w:pPr>
              <w:spacing w:after="0" w:line="240" w:lineRule="auto"/>
              <w:rPr>
                <w:rFonts w:ascii="Times New Roman" w:eastAsia="Times New Roman" w:hAnsi="Times New Roman" w:cs="Times New Roman"/>
                <w:color w:val="000000"/>
                <w:kern w:val="0"/>
                <w14:ligatures w14:val="none"/>
              </w:rPr>
            </w:pPr>
            <w:r w:rsidRPr="00AF0CC3">
              <w:rPr>
                <w:rFonts w:ascii="Times New Roman" w:eastAsia="Times New Roman" w:hAnsi="Times New Roman" w:cs="Times New Roman"/>
                <w:color w:val="000000"/>
                <w:kern w:val="0"/>
                <w14:ligatures w14:val="none"/>
              </w:rPr>
              <w:t>Service continuity indicators</w:t>
            </w:r>
          </w:p>
        </w:tc>
        <w:tc>
          <w:tcPr>
            <w:tcW w:w="1161" w:type="dxa"/>
            <w:tcBorders>
              <w:top w:val="nil"/>
              <w:left w:val="nil"/>
              <w:bottom w:val="single" w:sz="4" w:space="0" w:color="9E9E9E"/>
              <w:right w:val="single" w:sz="4" w:space="0" w:color="9E9E9E"/>
            </w:tcBorders>
            <w:noWrap/>
            <w:vAlign w:val="center"/>
            <w:hideMark/>
          </w:tcPr>
          <w:p w14:paraId="28C6EAC8" w14:textId="77777777" w:rsidR="0047047C" w:rsidRPr="00AF0CC3" w:rsidRDefault="0047047C" w:rsidP="0047047C">
            <w:pPr>
              <w:spacing w:after="0" w:line="240" w:lineRule="auto"/>
              <w:jc w:val="center"/>
              <w:rPr>
                <w:rFonts w:ascii="Times New Roman" w:eastAsia="Times New Roman" w:hAnsi="Times New Roman" w:cs="Times New Roman"/>
                <w:color w:val="000000"/>
                <w:kern w:val="0"/>
                <w14:ligatures w14:val="none"/>
              </w:rPr>
            </w:pPr>
            <w:r w:rsidRPr="00AF0CC3">
              <w:rPr>
                <w:rFonts w:ascii="Times New Roman" w:eastAsia="Times New Roman" w:hAnsi="Times New Roman" w:cs="Times New Roman"/>
                <w:color w:val="000000"/>
                <w:kern w:val="0"/>
                <w14:ligatures w14:val="none"/>
              </w:rPr>
              <w:t> </w:t>
            </w:r>
          </w:p>
        </w:tc>
        <w:tc>
          <w:tcPr>
            <w:tcW w:w="784" w:type="dxa"/>
            <w:tcBorders>
              <w:top w:val="nil"/>
              <w:left w:val="nil"/>
              <w:bottom w:val="single" w:sz="4" w:space="0" w:color="9E9E9E"/>
              <w:right w:val="single" w:sz="4" w:space="0" w:color="9E9E9E"/>
            </w:tcBorders>
            <w:noWrap/>
            <w:vAlign w:val="center"/>
            <w:hideMark/>
          </w:tcPr>
          <w:p w14:paraId="7229BBD7" w14:textId="77777777" w:rsidR="0047047C" w:rsidRPr="00AF0CC3" w:rsidRDefault="0047047C" w:rsidP="0047047C">
            <w:pPr>
              <w:spacing w:after="0" w:line="240" w:lineRule="auto"/>
              <w:jc w:val="center"/>
              <w:rPr>
                <w:rFonts w:ascii="Times New Roman" w:eastAsia="Times New Roman" w:hAnsi="Times New Roman" w:cs="Times New Roman"/>
                <w:color w:val="000000"/>
                <w:kern w:val="0"/>
                <w14:ligatures w14:val="none"/>
              </w:rPr>
            </w:pPr>
            <w:r w:rsidRPr="00AF0CC3">
              <w:rPr>
                <w:rFonts w:ascii="Times New Roman" w:eastAsia="Times New Roman" w:hAnsi="Times New Roman" w:cs="Times New Roman"/>
                <w:color w:val="000000"/>
                <w:kern w:val="0"/>
                <w14:ligatures w14:val="none"/>
              </w:rPr>
              <w:t> </w:t>
            </w:r>
          </w:p>
        </w:tc>
        <w:tc>
          <w:tcPr>
            <w:tcW w:w="1710" w:type="dxa"/>
            <w:tcBorders>
              <w:top w:val="nil"/>
              <w:left w:val="nil"/>
              <w:bottom w:val="single" w:sz="4" w:space="0" w:color="9E9E9E"/>
              <w:right w:val="single" w:sz="4" w:space="0" w:color="9E9E9E"/>
            </w:tcBorders>
            <w:hideMark/>
          </w:tcPr>
          <w:p w14:paraId="4618285B" w14:textId="77777777" w:rsidR="0047047C" w:rsidRPr="00AF0CC3" w:rsidRDefault="0047047C" w:rsidP="0047047C">
            <w:pPr>
              <w:spacing w:after="0" w:line="240" w:lineRule="auto"/>
              <w:rPr>
                <w:rFonts w:ascii="Times New Roman" w:eastAsia="Times New Roman" w:hAnsi="Times New Roman" w:cs="Times New Roman"/>
                <w:color w:val="000000"/>
                <w:kern w:val="0"/>
                <w14:ligatures w14:val="none"/>
              </w:rPr>
            </w:pPr>
            <w:r w:rsidRPr="00AF0CC3">
              <w:rPr>
                <w:rFonts w:ascii="Times New Roman" w:eastAsia="Times New Roman" w:hAnsi="Times New Roman" w:cs="Times New Roman"/>
                <w:color w:val="000000"/>
                <w:kern w:val="0"/>
                <w14:ligatures w14:val="none"/>
              </w:rPr>
              <w:t> </w:t>
            </w:r>
          </w:p>
        </w:tc>
        <w:tc>
          <w:tcPr>
            <w:tcW w:w="1480" w:type="dxa"/>
            <w:tcBorders>
              <w:top w:val="nil"/>
              <w:left w:val="nil"/>
              <w:bottom w:val="single" w:sz="4" w:space="0" w:color="9E9E9E"/>
              <w:right w:val="single" w:sz="4" w:space="0" w:color="9E9E9E"/>
            </w:tcBorders>
            <w:hideMark/>
          </w:tcPr>
          <w:p w14:paraId="27D111A3" w14:textId="77777777" w:rsidR="0047047C" w:rsidRPr="00AF0CC3" w:rsidRDefault="0047047C" w:rsidP="0047047C">
            <w:pPr>
              <w:spacing w:after="0" w:line="240" w:lineRule="auto"/>
              <w:rPr>
                <w:rFonts w:ascii="Times New Roman" w:eastAsia="Times New Roman" w:hAnsi="Times New Roman" w:cs="Times New Roman"/>
                <w:color w:val="000000"/>
                <w:kern w:val="0"/>
                <w14:ligatures w14:val="none"/>
              </w:rPr>
            </w:pPr>
            <w:r w:rsidRPr="00AF0CC3">
              <w:rPr>
                <w:rFonts w:ascii="Times New Roman" w:eastAsia="Times New Roman" w:hAnsi="Times New Roman" w:cs="Times New Roman"/>
                <w:color w:val="000000"/>
                <w:kern w:val="0"/>
                <w14:ligatures w14:val="none"/>
              </w:rPr>
              <w:t> </w:t>
            </w:r>
          </w:p>
        </w:tc>
      </w:tr>
      <w:tr w:rsidR="0047047C" w:rsidRPr="00AF0CC3" w14:paraId="1393D2FC" w14:textId="77777777" w:rsidTr="0047047C">
        <w:trPr>
          <w:trHeight w:val="256"/>
        </w:trPr>
        <w:tc>
          <w:tcPr>
            <w:tcW w:w="2313" w:type="dxa"/>
            <w:tcBorders>
              <w:top w:val="nil"/>
              <w:left w:val="single" w:sz="4" w:space="0" w:color="9E9E9E"/>
              <w:bottom w:val="single" w:sz="4" w:space="0" w:color="9E9E9E"/>
              <w:right w:val="single" w:sz="4" w:space="0" w:color="9E9E9E"/>
            </w:tcBorders>
            <w:hideMark/>
          </w:tcPr>
          <w:p w14:paraId="49EB84DF" w14:textId="77777777" w:rsidR="0047047C" w:rsidRPr="00AF0CC3" w:rsidRDefault="0047047C" w:rsidP="0047047C">
            <w:pPr>
              <w:spacing w:after="0" w:line="240" w:lineRule="auto"/>
              <w:rPr>
                <w:rFonts w:ascii="Times New Roman" w:eastAsia="Times New Roman" w:hAnsi="Times New Roman" w:cs="Times New Roman"/>
                <w:color w:val="000000"/>
                <w:kern w:val="0"/>
                <w14:ligatures w14:val="none"/>
              </w:rPr>
            </w:pPr>
            <w:r w:rsidRPr="00AF0CC3">
              <w:rPr>
                <w:rFonts w:ascii="Times New Roman" w:eastAsia="Times New Roman" w:hAnsi="Times New Roman" w:cs="Times New Roman"/>
                <w:color w:val="000000"/>
                <w:kern w:val="0"/>
                <w14:ligatures w14:val="none"/>
              </w:rPr>
              <w:t>E. Resilience Outcomes</w:t>
            </w:r>
          </w:p>
        </w:tc>
        <w:tc>
          <w:tcPr>
            <w:tcW w:w="2386" w:type="dxa"/>
            <w:tcBorders>
              <w:top w:val="nil"/>
              <w:left w:val="nil"/>
              <w:bottom w:val="single" w:sz="4" w:space="0" w:color="9E9E9E"/>
              <w:right w:val="single" w:sz="4" w:space="0" w:color="9E9E9E"/>
            </w:tcBorders>
            <w:hideMark/>
          </w:tcPr>
          <w:p w14:paraId="6B55468F" w14:textId="77777777" w:rsidR="0047047C" w:rsidRPr="00AF0CC3" w:rsidRDefault="0047047C" w:rsidP="0047047C">
            <w:pPr>
              <w:spacing w:after="0" w:line="240" w:lineRule="auto"/>
              <w:rPr>
                <w:rFonts w:ascii="Times New Roman" w:eastAsia="Times New Roman" w:hAnsi="Times New Roman" w:cs="Times New Roman"/>
                <w:color w:val="000000"/>
                <w:kern w:val="0"/>
                <w14:ligatures w14:val="none"/>
              </w:rPr>
            </w:pPr>
            <w:r w:rsidRPr="00AF0CC3">
              <w:rPr>
                <w:rFonts w:ascii="Times New Roman" w:eastAsia="Times New Roman" w:hAnsi="Times New Roman" w:cs="Times New Roman"/>
                <w:color w:val="000000"/>
                <w:kern w:val="0"/>
                <w14:ligatures w14:val="none"/>
              </w:rPr>
              <w:t>Recovery time after shocks</w:t>
            </w:r>
          </w:p>
        </w:tc>
        <w:tc>
          <w:tcPr>
            <w:tcW w:w="1161" w:type="dxa"/>
            <w:tcBorders>
              <w:top w:val="nil"/>
              <w:left w:val="nil"/>
              <w:bottom w:val="single" w:sz="4" w:space="0" w:color="9E9E9E"/>
              <w:right w:val="single" w:sz="4" w:space="0" w:color="9E9E9E"/>
            </w:tcBorders>
            <w:noWrap/>
            <w:vAlign w:val="center"/>
            <w:hideMark/>
          </w:tcPr>
          <w:p w14:paraId="4180DD33" w14:textId="77777777" w:rsidR="0047047C" w:rsidRPr="00AF0CC3" w:rsidRDefault="0047047C" w:rsidP="0047047C">
            <w:pPr>
              <w:spacing w:after="0" w:line="240" w:lineRule="auto"/>
              <w:jc w:val="center"/>
              <w:rPr>
                <w:rFonts w:ascii="Times New Roman" w:eastAsia="Times New Roman" w:hAnsi="Times New Roman" w:cs="Times New Roman"/>
                <w:color w:val="000000"/>
                <w:kern w:val="0"/>
                <w14:ligatures w14:val="none"/>
              </w:rPr>
            </w:pPr>
            <w:r w:rsidRPr="00AF0CC3">
              <w:rPr>
                <w:rFonts w:ascii="Times New Roman" w:eastAsia="Times New Roman" w:hAnsi="Times New Roman" w:cs="Times New Roman"/>
                <w:color w:val="000000"/>
                <w:kern w:val="0"/>
                <w14:ligatures w14:val="none"/>
              </w:rPr>
              <w:t> </w:t>
            </w:r>
          </w:p>
        </w:tc>
        <w:tc>
          <w:tcPr>
            <w:tcW w:w="784" w:type="dxa"/>
            <w:tcBorders>
              <w:top w:val="nil"/>
              <w:left w:val="nil"/>
              <w:bottom w:val="single" w:sz="4" w:space="0" w:color="9E9E9E"/>
              <w:right w:val="single" w:sz="4" w:space="0" w:color="9E9E9E"/>
            </w:tcBorders>
            <w:noWrap/>
            <w:vAlign w:val="center"/>
            <w:hideMark/>
          </w:tcPr>
          <w:p w14:paraId="07B2D41C" w14:textId="77777777" w:rsidR="0047047C" w:rsidRPr="00AF0CC3" w:rsidRDefault="0047047C" w:rsidP="0047047C">
            <w:pPr>
              <w:spacing w:after="0" w:line="240" w:lineRule="auto"/>
              <w:jc w:val="center"/>
              <w:rPr>
                <w:rFonts w:ascii="Times New Roman" w:eastAsia="Times New Roman" w:hAnsi="Times New Roman" w:cs="Times New Roman"/>
                <w:color w:val="000000"/>
                <w:kern w:val="0"/>
                <w14:ligatures w14:val="none"/>
              </w:rPr>
            </w:pPr>
            <w:r w:rsidRPr="00AF0CC3">
              <w:rPr>
                <w:rFonts w:ascii="Times New Roman" w:eastAsia="Times New Roman" w:hAnsi="Times New Roman" w:cs="Times New Roman"/>
                <w:color w:val="000000"/>
                <w:kern w:val="0"/>
                <w14:ligatures w14:val="none"/>
              </w:rPr>
              <w:t> </w:t>
            </w:r>
          </w:p>
        </w:tc>
        <w:tc>
          <w:tcPr>
            <w:tcW w:w="1710" w:type="dxa"/>
            <w:tcBorders>
              <w:top w:val="nil"/>
              <w:left w:val="nil"/>
              <w:bottom w:val="single" w:sz="4" w:space="0" w:color="9E9E9E"/>
              <w:right w:val="single" w:sz="4" w:space="0" w:color="9E9E9E"/>
            </w:tcBorders>
            <w:hideMark/>
          </w:tcPr>
          <w:p w14:paraId="727FDCD5" w14:textId="77777777" w:rsidR="0047047C" w:rsidRPr="00AF0CC3" w:rsidRDefault="0047047C" w:rsidP="0047047C">
            <w:pPr>
              <w:spacing w:after="0" w:line="240" w:lineRule="auto"/>
              <w:rPr>
                <w:rFonts w:ascii="Times New Roman" w:eastAsia="Times New Roman" w:hAnsi="Times New Roman" w:cs="Times New Roman"/>
                <w:color w:val="000000"/>
                <w:kern w:val="0"/>
                <w14:ligatures w14:val="none"/>
              </w:rPr>
            </w:pPr>
            <w:r w:rsidRPr="00AF0CC3">
              <w:rPr>
                <w:rFonts w:ascii="Times New Roman" w:eastAsia="Times New Roman" w:hAnsi="Times New Roman" w:cs="Times New Roman"/>
                <w:color w:val="000000"/>
                <w:kern w:val="0"/>
                <w14:ligatures w14:val="none"/>
              </w:rPr>
              <w:t> </w:t>
            </w:r>
          </w:p>
        </w:tc>
        <w:tc>
          <w:tcPr>
            <w:tcW w:w="1480" w:type="dxa"/>
            <w:tcBorders>
              <w:top w:val="nil"/>
              <w:left w:val="nil"/>
              <w:bottom w:val="single" w:sz="4" w:space="0" w:color="9E9E9E"/>
              <w:right w:val="single" w:sz="4" w:space="0" w:color="9E9E9E"/>
            </w:tcBorders>
            <w:hideMark/>
          </w:tcPr>
          <w:p w14:paraId="2E47CD18" w14:textId="77777777" w:rsidR="0047047C" w:rsidRPr="00AF0CC3" w:rsidRDefault="0047047C" w:rsidP="0047047C">
            <w:pPr>
              <w:spacing w:after="0" w:line="240" w:lineRule="auto"/>
              <w:rPr>
                <w:rFonts w:ascii="Times New Roman" w:eastAsia="Times New Roman" w:hAnsi="Times New Roman" w:cs="Times New Roman"/>
                <w:color w:val="000000"/>
                <w:kern w:val="0"/>
                <w14:ligatures w14:val="none"/>
              </w:rPr>
            </w:pPr>
            <w:r w:rsidRPr="00AF0CC3">
              <w:rPr>
                <w:rFonts w:ascii="Times New Roman" w:eastAsia="Times New Roman" w:hAnsi="Times New Roman" w:cs="Times New Roman"/>
                <w:color w:val="000000"/>
                <w:kern w:val="0"/>
                <w14:ligatures w14:val="none"/>
              </w:rPr>
              <w:t> </w:t>
            </w:r>
          </w:p>
        </w:tc>
      </w:tr>
      <w:tr w:rsidR="0047047C" w:rsidRPr="00AF0CC3" w14:paraId="1D2E125C" w14:textId="77777777" w:rsidTr="0047047C">
        <w:trPr>
          <w:trHeight w:val="256"/>
        </w:trPr>
        <w:tc>
          <w:tcPr>
            <w:tcW w:w="2313" w:type="dxa"/>
            <w:tcBorders>
              <w:top w:val="nil"/>
              <w:left w:val="single" w:sz="4" w:space="0" w:color="9E9E9E"/>
              <w:bottom w:val="single" w:sz="4" w:space="0" w:color="9E9E9E"/>
              <w:right w:val="single" w:sz="4" w:space="0" w:color="9E9E9E"/>
            </w:tcBorders>
            <w:hideMark/>
          </w:tcPr>
          <w:p w14:paraId="2911C90B" w14:textId="77777777" w:rsidR="0047047C" w:rsidRPr="00AF0CC3" w:rsidRDefault="0047047C" w:rsidP="0047047C">
            <w:pPr>
              <w:spacing w:after="0" w:line="240" w:lineRule="auto"/>
              <w:rPr>
                <w:rFonts w:ascii="Times New Roman" w:eastAsia="Times New Roman" w:hAnsi="Times New Roman" w:cs="Times New Roman"/>
                <w:color w:val="000000"/>
                <w:kern w:val="0"/>
                <w14:ligatures w14:val="none"/>
              </w:rPr>
            </w:pPr>
            <w:r w:rsidRPr="00AF0CC3">
              <w:rPr>
                <w:rFonts w:ascii="Times New Roman" w:eastAsia="Times New Roman" w:hAnsi="Times New Roman" w:cs="Times New Roman"/>
                <w:color w:val="000000"/>
                <w:kern w:val="0"/>
                <w14:ligatures w14:val="none"/>
              </w:rPr>
              <w:t>F. Climate Context</w:t>
            </w:r>
          </w:p>
        </w:tc>
        <w:tc>
          <w:tcPr>
            <w:tcW w:w="2386" w:type="dxa"/>
            <w:tcBorders>
              <w:top w:val="nil"/>
              <w:left w:val="nil"/>
              <w:bottom w:val="single" w:sz="4" w:space="0" w:color="9E9E9E"/>
              <w:right w:val="single" w:sz="4" w:space="0" w:color="9E9E9E"/>
            </w:tcBorders>
            <w:hideMark/>
          </w:tcPr>
          <w:p w14:paraId="2A5A6704" w14:textId="77777777" w:rsidR="0047047C" w:rsidRPr="00AF0CC3" w:rsidRDefault="0047047C" w:rsidP="0047047C">
            <w:pPr>
              <w:spacing w:after="0" w:line="240" w:lineRule="auto"/>
              <w:rPr>
                <w:rFonts w:ascii="Times New Roman" w:eastAsia="Times New Roman" w:hAnsi="Times New Roman" w:cs="Times New Roman"/>
                <w:color w:val="000000"/>
                <w:kern w:val="0"/>
                <w14:ligatures w14:val="none"/>
              </w:rPr>
            </w:pPr>
            <w:r w:rsidRPr="00AF0CC3">
              <w:rPr>
                <w:rFonts w:ascii="Times New Roman" w:eastAsia="Times New Roman" w:hAnsi="Times New Roman" w:cs="Times New Roman"/>
                <w:color w:val="000000"/>
                <w:kern w:val="0"/>
                <w14:ligatures w14:val="none"/>
              </w:rPr>
              <w:t>Climate shock years identified</w:t>
            </w:r>
          </w:p>
        </w:tc>
        <w:tc>
          <w:tcPr>
            <w:tcW w:w="1161" w:type="dxa"/>
            <w:tcBorders>
              <w:top w:val="nil"/>
              <w:left w:val="nil"/>
              <w:bottom w:val="single" w:sz="4" w:space="0" w:color="9E9E9E"/>
              <w:right w:val="single" w:sz="4" w:space="0" w:color="9E9E9E"/>
            </w:tcBorders>
            <w:noWrap/>
            <w:vAlign w:val="center"/>
            <w:hideMark/>
          </w:tcPr>
          <w:p w14:paraId="692ECAE2" w14:textId="77777777" w:rsidR="0047047C" w:rsidRPr="00AF0CC3" w:rsidRDefault="0047047C" w:rsidP="0047047C">
            <w:pPr>
              <w:spacing w:after="0" w:line="240" w:lineRule="auto"/>
              <w:jc w:val="center"/>
              <w:rPr>
                <w:rFonts w:ascii="Times New Roman" w:eastAsia="Times New Roman" w:hAnsi="Times New Roman" w:cs="Times New Roman"/>
                <w:color w:val="000000"/>
                <w:kern w:val="0"/>
                <w14:ligatures w14:val="none"/>
              </w:rPr>
            </w:pPr>
            <w:r w:rsidRPr="00AF0CC3">
              <w:rPr>
                <w:rFonts w:ascii="Times New Roman" w:eastAsia="Times New Roman" w:hAnsi="Times New Roman" w:cs="Times New Roman"/>
                <w:color w:val="000000"/>
                <w:kern w:val="0"/>
                <w14:ligatures w14:val="none"/>
              </w:rPr>
              <w:t> </w:t>
            </w:r>
          </w:p>
        </w:tc>
        <w:tc>
          <w:tcPr>
            <w:tcW w:w="784" w:type="dxa"/>
            <w:tcBorders>
              <w:top w:val="nil"/>
              <w:left w:val="nil"/>
              <w:bottom w:val="single" w:sz="4" w:space="0" w:color="9E9E9E"/>
              <w:right w:val="single" w:sz="4" w:space="0" w:color="9E9E9E"/>
            </w:tcBorders>
            <w:noWrap/>
            <w:vAlign w:val="center"/>
            <w:hideMark/>
          </w:tcPr>
          <w:p w14:paraId="432A366A" w14:textId="77777777" w:rsidR="0047047C" w:rsidRPr="00AF0CC3" w:rsidRDefault="0047047C" w:rsidP="0047047C">
            <w:pPr>
              <w:spacing w:after="0" w:line="240" w:lineRule="auto"/>
              <w:jc w:val="center"/>
              <w:rPr>
                <w:rFonts w:ascii="Times New Roman" w:eastAsia="Times New Roman" w:hAnsi="Times New Roman" w:cs="Times New Roman"/>
                <w:color w:val="000000"/>
                <w:kern w:val="0"/>
                <w14:ligatures w14:val="none"/>
              </w:rPr>
            </w:pPr>
            <w:r w:rsidRPr="00AF0CC3">
              <w:rPr>
                <w:rFonts w:ascii="Times New Roman" w:eastAsia="Times New Roman" w:hAnsi="Times New Roman" w:cs="Times New Roman"/>
                <w:color w:val="000000"/>
                <w:kern w:val="0"/>
                <w14:ligatures w14:val="none"/>
              </w:rPr>
              <w:t> </w:t>
            </w:r>
          </w:p>
        </w:tc>
        <w:tc>
          <w:tcPr>
            <w:tcW w:w="1710" w:type="dxa"/>
            <w:tcBorders>
              <w:top w:val="nil"/>
              <w:left w:val="nil"/>
              <w:bottom w:val="single" w:sz="4" w:space="0" w:color="9E9E9E"/>
              <w:right w:val="single" w:sz="4" w:space="0" w:color="9E9E9E"/>
            </w:tcBorders>
            <w:hideMark/>
          </w:tcPr>
          <w:p w14:paraId="45765314" w14:textId="77777777" w:rsidR="0047047C" w:rsidRPr="00AF0CC3" w:rsidRDefault="0047047C" w:rsidP="0047047C">
            <w:pPr>
              <w:spacing w:after="0" w:line="240" w:lineRule="auto"/>
              <w:rPr>
                <w:rFonts w:ascii="Times New Roman" w:eastAsia="Times New Roman" w:hAnsi="Times New Roman" w:cs="Times New Roman"/>
                <w:color w:val="000000"/>
                <w:kern w:val="0"/>
                <w14:ligatures w14:val="none"/>
              </w:rPr>
            </w:pPr>
            <w:r w:rsidRPr="00AF0CC3">
              <w:rPr>
                <w:rFonts w:ascii="Times New Roman" w:eastAsia="Times New Roman" w:hAnsi="Times New Roman" w:cs="Times New Roman"/>
                <w:color w:val="000000"/>
                <w:kern w:val="0"/>
                <w14:ligatures w14:val="none"/>
              </w:rPr>
              <w:t> </w:t>
            </w:r>
          </w:p>
        </w:tc>
        <w:tc>
          <w:tcPr>
            <w:tcW w:w="1480" w:type="dxa"/>
            <w:tcBorders>
              <w:top w:val="nil"/>
              <w:left w:val="nil"/>
              <w:bottom w:val="single" w:sz="4" w:space="0" w:color="9E9E9E"/>
              <w:right w:val="single" w:sz="4" w:space="0" w:color="9E9E9E"/>
            </w:tcBorders>
            <w:hideMark/>
          </w:tcPr>
          <w:p w14:paraId="675E068C" w14:textId="77777777" w:rsidR="0047047C" w:rsidRPr="00AF0CC3" w:rsidRDefault="0047047C" w:rsidP="0047047C">
            <w:pPr>
              <w:spacing w:after="0" w:line="240" w:lineRule="auto"/>
              <w:rPr>
                <w:rFonts w:ascii="Times New Roman" w:eastAsia="Times New Roman" w:hAnsi="Times New Roman" w:cs="Times New Roman"/>
                <w:color w:val="000000"/>
                <w:kern w:val="0"/>
                <w14:ligatures w14:val="none"/>
              </w:rPr>
            </w:pPr>
            <w:r w:rsidRPr="00AF0CC3">
              <w:rPr>
                <w:rFonts w:ascii="Times New Roman" w:eastAsia="Times New Roman" w:hAnsi="Times New Roman" w:cs="Times New Roman"/>
                <w:color w:val="000000"/>
                <w:kern w:val="0"/>
                <w14:ligatures w14:val="none"/>
              </w:rPr>
              <w:t> </w:t>
            </w:r>
          </w:p>
        </w:tc>
      </w:tr>
      <w:tr w:rsidR="0047047C" w:rsidRPr="00AF0CC3" w14:paraId="3DD7D005" w14:textId="77777777" w:rsidTr="0047047C">
        <w:trPr>
          <w:trHeight w:val="256"/>
        </w:trPr>
        <w:tc>
          <w:tcPr>
            <w:tcW w:w="2313" w:type="dxa"/>
            <w:tcBorders>
              <w:top w:val="nil"/>
              <w:left w:val="single" w:sz="4" w:space="0" w:color="9E9E9E"/>
              <w:bottom w:val="single" w:sz="4" w:space="0" w:color="9E9E9E"/>
              <w:right w:val="single" w:sz="4" w:space="0" w:color="9E9E9E"/>
            </w:tcBorders>
            <w:hideMark/>
          </w:tcPr>
          <w:p w14:paraId="0B8323AC" w14:textId="77777777" w:rsidR="0047047C" w:rsidRPr="00AF0CC3" w:rsidRDefault="0047047C" w:rsidP="0047047C">
            <w:pPr>
              <w:spacing w:after="0" w:line="240" w:lineRule="auto"/>
              <w:rPr>
                <w:rFonts w:ascii="Times New Roman" w:eastAsia="Times New Roman" w:hAnsi="Times New Roman" w:cs="Times New Roman"/>
                <w:color w:val="000000"/>
                <w:kern w:val="0"/>
                <w14:ligatures w14:val="none"/>
              </w:rPr>
            </w:pPr>
            <w:r w:rsidRPr="00AF0CC3">
              <w:rPr>
                <w:rFonts w:ascii="Times New Roman" w:eastAsia="Times New Roman" w:hAnsi="Times New Roman" w:cs="Times New Roman"/>
                <w:color w:val="000000"/>
                <w:kern w:val="0"/>
                <w14:ligatures w14:val="none"/>
              </w:rPr>
              <w:t>G. Data Quality</w:t>
            </w:r>
          </w:p>
        </w:tc>
        <w:tc>
          <w:tcPr>
            <w:tcW w:w="2386" w:type="dxa"/>
            <w:tcBorders>
              <w:top w:val="nil"/>
              <w:left w:val="nil"/>
              <w:bottom w:val="single" w:sz="4" w:space="0" w:color="9E9E9E"/>
              <w:right w:val="single" w:sz="4" w:space="0" w:color="9E9E9E"/>
            </w:tcBorders>
            <w:hideMark/>
          </w:tcPr>
          <w:p w14:paraId="40FC4591" w14:textId="77777777" w:rsidR="0047047C" w:rsidRPr="00AF0CC3" w:rsidRDefault="0047047C" w:rsidP="0047047C">
            <w:pPr>
              <w:spacing w:after="0" w:line="240" w:lineRule="auto"/>
              <w:rPr>
                <w:rFonts w:ascii="Times New Roman" w:eastAsia="Times New Roman" w:hAnsi="Times New Roman" w:cs="Times New Roman"/>
                <w:color w:val="000000"/>
                <w:kern w:val="0"/>
                <w14:ligatures w14:val="none"/>
              </w:rPr>
            </w:pPr>
            <w:r w:rsidRPr="00AF0CC3">
              <w:rPr>
                <w:rFonts w:ascii="Times New Roman" w:eastAsia="Times New Roman" w:hAnsi="Times New Roman" w:cs="Times New Roman"/>
                <w:color w:val="000000"/>
                <w:kern w:val="0"/>
                <w14:ligatures w14:val="none"/>
              </w:rPr>
              <w:t>At least 5 years of consistent data</w:t>
            </w:r>
          </w:p>
        </w:tc>
        <w:tc>
          <w:tcPr>
            <w:tcW w:w="1161" w:type="dxa"/>
            <w:tcBorders>
              <w:top w:val="nil"/>
              <w:left w:val="nil"/>
              <w:bottom w:val="single" w:sz="4" w:space="0" w:color="9E9E9E"/>
              <w:right w:val="single" w:sz="4" w:space="0" w:color="9E9E9E"/>
            </w:tcBorders>
            <w:noWrap/>
            <w:vAlign w:val="center"/>
            <w:hideMark/>
          </w:tcPr>
          <w:p w14:paraId="29059B7A" w14:textId="77777777" w:rsidR="0047047C" w:rsidRPr="00AF0CC3" w:rsidRDefault="0047047C" w:rsidP="0047047C">
            <w:pPr>
              <w:spacing w:after="0" w:line="240" w:lineRule="auto"/>
              <w:jc w:val="center"/>
              <w:rPr>
                <w:rFonts w:ascii="Times New Roman" w:eastAsia="Times New Roman" w:hAnsi="Times New Roman" w:cs="Times New Roman"/>
                <w:color w:val="000000"/>
                <w:kern w:val="0"/>
                <w14:ligatures w14:val="none"/>
              </w:rPr>
            </w:pPr>
            <w:r w:rsidRPr="00AF0CC3">
              <w:rPr>
                <w:rFonts w:ascii="Times New Roman" w:eastAsia="Times New Roman" w:hAnsi="Times New Roman" w:cs="Times New Roman"/>
                <w:color w:val="000000"/>
                <w:kern w:val="0"/>
                <w14:ligatures w14:val="none"/>
              </w:rPr>
              <w:t> </w:t>
            </w:r>
          </w:p>
        </w:tc>
        <w:tc>
          <w:tcPr>
            <w:tcW w:w="784" w:type="dxa"/>
            <w:tcBorders>
              <w:top w:val="nil"/>
              <w:left w:val="nil"/>
              <w:bottom w:val="single" w:sz="4" w:space="0" w:color="9E9E9E"/>
              <w:right w:val="single" w:sz="4" w:space="0" w:color="9E9E9E"/>
            </w:tcBorders>
            <w:noWrap/>
            <w:vAlign w:val="center"/>
            <w:hideMark/>
          </w:tcPr>
          <w:p w14:paraId="572A5BF4" w14:textId="77777777" w:rsidR="0047047C" w:rsidRPr="00AF0CC3" w:rsidRDefault="0047047C" w:rsidP="0047047C">
            <w:pPr>
              <w:spacing w:after="0" w:line="240" w:lineRule="auto"/>
              <w:jc w:val="center"/>
              <w:rPr>
                <w:rFonts w:ascii="Times New Roman" w:eastAsia="Times New Roman" w:hAnsi="Times New Roman" w:cs="Times New Roman"/>
                <w:color w:val="000000"/>
                <w:kern w:val="0"/>
                <w14:ligatures w14:val="none"/>
              </w:rPr>
            </w:pPr>
            <w:r w:rsidRPr="00AF0CC3">
              <w:rPr>
                <w:rFonts w:ascii="Times New Roman" w:eastAsia="Times New Roman" w:hAnsi="Times New Roman" w:cs="Times New Roman"/>
                <w:color w:val="000000"/>
                <w:kern w:val="0"/>
                <w14:ligatures w14:val="none"/>
              </w:rPr>
              <w:t> </w:t>
            </w:r>
          </w:p>
        </w:tc>
        <w:tc>
          <w:tcPr>
            <w:tcW w:w="1710" w:type="dxa"/>
            <w:tcBorders>
              <w:top w:val="nil"/>
              <w:left w:val="nil"/>
              <w:bottom w:val="single" w:sz="4" w:space="0" w:color="9E9E9E"/>
              <w:right w:val="single" w:sz="4" w:space="0" w:color="9E9E9E"/>
            </w:tcBorders>
            <w:hideMark/>
          </w:tcPr>
          <w:p w14:paraId="0F16882B" w14:textId="77777777" w:rsidR="0047047C" w:rsidRPr="00AF0CC3" w:rsidRDefault="0047047C" w:rsidP="0047047C">
            <w:pPr>
              <w:spacing w:after="0" w:line="240" w:lineRule="auto"/>
              <w:rPr>
                <w:rFonts w:ascii="Times New Roman" w:eastAsia="Times New Roman" w:hAnsi="Times New Roman" w:cs="Times New Roman"/>
                <w:color w:val="000000"/>
                <w:kern w:val="0"/>
                <w14:ligatures w14:val="none"/>
              </w:rPr>
            </w:pPr>
            <w:r w:rsidRPr="00AF0CC3">
              <w:rPr>
                <w:rFonts w:ascii="Times New Roman" w:eastAsia="Times New Roman" w:hAnsi="Times New Roman" w:cs="Times New Roman"/>
                <w:color w:val="000000"/>
                <w:kern w:val="0"/>
                <w14:ligatures w14:val="none"/>
              </w:rPr>
              <w:t> </w:t>
            </w:r>
          </w:p>
        </w:tc>
        <w:tc>
          <w:tcPr>
            <w:tcW w:w="1480" w:type="dxa"/>
            <w:tcBorders>
              <w:top w:val="nil"/>
              <w:left w:val="nil"/>
              <w:bottom w:val="single" w:sz="4" w:space="0" w:color="9E9E9E"/>
              <w:right w:val="single" w:sz="4" w:space="0" w:color="9E9E9E"/>
            </w:tcBorders>
            <w:hideMark/>
          </w:tcPr>
          <w:p w14:paraId="6E729C01" w14:textId="77777777" w:rsidR="0047047C" w:rsidRPr="00AF0CC3" w:rsidRDefault="0047047C" w:rsidP="0047047C">
            <w:pPr>
              <w:spacing w:after="0" w:line="240" w:lineRule="auto"/>
              <w:rPr>
                <w:rFonts w:ascii="Times New Roman" w:eastAsia="Times New Roman" w:hAnsi="Times New Roman" w:cs="Times New Roman"/>
                <w:color w:val="000000"/>
                <w:kern w:val="0"/>
                <w14:ligatures w14:val="none"/>
              </w:rPr>
            </w:pPr>
            <w:r w:rsidRPr="00AF0CC3">
              <w:rPr>
                <w:rFonts w:ascii="Times New Roman" w:eastAsia="Times New Roman" w:hAnsi="Times New Roman" w:cs="Times New Roman"/>
                <w:color w:val="000000"/>
                <w:kern w:val="0"/>
                <w14:ligatures w14:val="none"/>
              </w:rPr>
              <w:t> </w:t>
            </w:r>
          </w:p>
        </w:tc>
      </w:tr>
    </w:tbl>
    <w:p w14:paraId="04844832" w14:textId="77777777" w:rsidR="000B497C" w:rsidRPr="00AF0CC3" w:rsidRDefault="000B497C" w:rsidP="000B497C">
      <w:pPr>
        <w:rPr>
          <w:rFonts w:ascii="Times New Roman" w:hAnsi="Times New Roman" w:cs="Times New Roman"/>
        </w:rPr>
      </w:pPr>
    </w:p>
    <w:p w14:paraId="5FCE02D7" w14:textId="77777777" w:rsidR="000B497C" w:rsidRPr="00AF0CC3" w:rsidRDefault="000B497C" w:rsidP="000B497C">
      <w:pPr>
        <w:rPr>
          <w:rFonts w:ascii="Times New Roman" w:hAnsi="Times New Roman" w:cs="Times New Roman"/>
        </w:rPr>
      </w:pPr>
    </w:p>
    <w:p w14:paraId="7C71D080" w14:textId="77777777" w:rsidR="000B497C" w:rsidRPr="00AF0CC3" w:rsidRDefault="000B497C" w:rsidP="000B497C">
      <w:pPr>
        <w:rPr>
          <w:rFonts w:ascii="Times New Roman" w:hAnsi="Times New Roman" w:cs="Times New Roman"/>
        </w:rPr>
      </w:pPr>
    </w:p>
    <w:p w14:paraId="28B58FD9" w14:textId="77777777" w:rsidR="000B497C" w:rsidRPr="00AF0CC3" w:rsidRDefault="000B497C" w:rsidP="000B497C">
      <w:pPr>
        <w:rPr>
          <w:rFonts w:ascii="Times New Roman" w:hAnsi="Times New Roman" w:cs="Times New Roman"/>
        </w:rPr>
      </w:pPr>
    </w:p>
    <w:p w14:paraId="63832108" w14:textId="77777777" w:rsidR="000B497C" w:rsidRPr="00AF0CC3" w:rsidRDefault="000B497C" w:rsidP="000B497C">
      <w:pPr>
        <w:rPr>
          <w:rFonts w:ascii="Times New Roman" w:hAnsi="Times New Roman" w:cs="Times New Roman"/>
        </w:rPr>
      </w:pPr>
    </w:p>
    <w:p w14:paraId="19882615" w14:textId="77777777" w:rsidR="000B497C" w:rsidRPr="00AF0CC3" w:rsidRDefault="000B497C" w:rsidP="000B497C">
      <w:pPr>
        <w:rPr>
          <w:rFonts w:ascii="Times New Roman" w:hAnsi="Times New Roman" w:cs="Times New Roman"/>
        </w:rPr>
      </w:pPr>
    </w:p>
    <w:p w14:paraId="66D1A474" w14:textId="77777777" w:rsidR="00095007" w:rsidRPr="00AF0CC3" w:rsidRDefault="00095007" w:rsidP="000B497C">
      <w:pPr>
        <w:rPr>
          <w:rFonts w:ascii="Times New Roman" w:hAnsi="Times New Roman" w:cs="Times New Roman"/>
        </w:rPr>
      </w:pPr>
    </w:p>
    <w:p w14:paraId="507DAC42" w14:textId="77777777" w:rsidR="00095007" w:rsidRPr="00AF0CC3" w:rsidRDefault="00095007" w:rsidP="000B497C">
      <w:pPr>
        <w:rPr>
          <w:rFonts w:ascii="Times New Roman" w:hAnsi="Times New Roman" w:cs="Times New Roman"/>
        </w:rPr>
      </w:pPr>
    </w:p>
    <w:p w14:paraId="216CB55E" w14:textId="77777777" w:rsidR="00095007" w:rsidRPr="00AF0CC3" w:rsidRDefault="00095007" w:rsidP="000B497C">
      <w:pPr>
        <w:rPr>
          <w:rFonts w:ascii="Times New Roman" w:hAnsi="Times New Roman" w:cs="Times New Roman"/>
        </w:rPr>
      </w:pPr>
    </w:p>
    <w:p w14:paraId="7A6E8822" w14:textId="77777777" w:rsidR="00095007" w:rsidRPr="00AF0CC3" w:rsidRDefault="00095007" w:rsidP="000B497C">
      <w:pPr>
        <w:rPr>
          <w:rFonts w:ascii="Times New Roman" w:hAnsi="Times New Roman" w:cs="Times New Roman"/>
        </w:rPr>
      </w:pPr>
    </w:p>
    <w:p w14:paraId="54AEEB29" w14:textId="77777777" w:rsidR="00095007" w:rsidRPr="00AF0CC3" w:rsidRDefault="00095007" w:rsidP="000B497C">
      <w:pPr>
        <w:rPr>
          <w:rFonts w:ascii="Times New Roman" w:hAnsi="Times New Roman" w:cs="Times New Roman"/>
        </w:rPr>
      </w:pPr>
    </w:p>
    <w:p w14:paraId="3A36B459" w14:textId="77777777" w:rsidR="00095007" w:rsidRPr="00AF0CC3" w:rsidRDefault="00095007" w:rsidP="000B497C">
      <w:pPr>
        <w:rPr>
          <w:rFonts w:ascii="Times New Roman" w:hAnsi="Times New Roman" w:cs="Times New Roman"/>
        </w:rPr>
      </w:pPr>
    </w:p>
    <w:p w14:paraId="37CB0D79" w14:textId="77777777" w:rsidR="00095007" w:rsidRPr="00AF0CC3" w:rsidRDefault="00095007" w:rsidP="000B497C">
      <w:pPr>
        <w:rPr>
          <w:rFonts w:ascii="Times New Roman" w:hAnsi="Times New Roman" w:cs="Times New Roman"/>
        </w:rPr>
      </w:pPr>
    </w:p>
    <w:p w14:paraId="75566E93" w14:textId="77777777" w:rsidR="00095007" w:rsidRPr="00AF0CC3" w:rsidRDefault="00095007" w:rsidP="000B497C">
      <w:pPr>
        <w:rPr>
          <w:rFonts w:ascii="Times New Roman" w:hAnsi="Times New Roman" w:cs="Times New Roman"/>
        </w:rPr>
      </w:pPr>
    </w:p>
    <w:p w14:paraId="2D3626D5" w14:textId="77777777" w:rsidR="00095007" w:rsidRPr="00AF0CC3" w:rsidRDefault="00095007" w:rsidP="000B497C">
      <w:pPr>
        <w:rPr>
          <w:rFonts w:ascii="Times New Roman" w:hAnsi="Times New Roman" w:cs="Times New Roman"/>
        </w:rPr>
      </w:pPr>
    </w:p>
    <w:p w14:paraId="6F7127D2" w14:textId="77777777" w:rsidR="00095007" w:rsidRPr="00AF0CC3" w:rsidRDefault="00095007" w:rsidP="000B497C">
      <w:pPr>
        <w:rPr>
          <w:rFonts w:ascii="Times New Roman" w:hAnsi="Times New Roman" w:cs="Times New Roman"/>
        </w:rPr>
      </w:pPr>
    </w:p>
    <w:p w14:paraId="341C28BB" w14:textId="77777777" w:rsidR="00095007" w:rsidRPr="00AF0CC3" w:rsidRDefault="00095007" w:rsidP="000B497C">
      <w:pPr>
        <w:rPr>
          <w:rFonts w:ascii="Times New Roman" w:hAnsi="Times New Roman" w:cs="Times New Roman"/>
        </w:rPr>
      </w:pPr>
    </w:p>
    <w:p w14:paraId="1231B19A" w14:textId="77777777" w:rsidR="00095007" w:rsidRPr="00AF0CC3" w:rsidRDefault="00095007" w:rsidP="000B497C">
      <w:pPr>
        <w:rPr>
          <w:rFonts w:ascii="Times New Roman" w:hAnsi="Times New Roman" w:cs="Times New Roman"/>
        </w:rPr>
      </w:pPr>
    </w:p>
    <w:p w14:paraId="1E897ABE" w14:textId="77777777" w:rsidR="0047047C" w:rsidRPr="00AF0CC3" w:rsidRDefault="0047047C" w:rsidP="000B497C">
      <w:pPr>
        <w:rPr>
          <w:rFonts w:ascii="Times New Roman" w:hAnsi="Times New Roman" w:cs="Times New Roman"/>
        </w:rPr>
      </w:pPr>
    </w:p>
    <w:p w14:paraId="14AB45A8" w14:textId="77777777" w:rsidR="0047047C" w:rsidRPr="00AF0CC3" w:rsidRDefault="0047047C" w:rsidP="000B497C">
      <w:pPr>
        <w:rPr>
          <w:rFonts w:ascii="Times New Roman" w:hAnsi="Times New Roman" w:cs="Times New Roman"/>
        </w:rPr>
      </w:pPr>
    </w:p>
    <w:p w14:paraId="34C2DF8F" w14:textId="77777777" w:rsidR="000B497C" w:rsidRPr="00AF0CC3" w:rsidRDefault="000B497C" w:rsidP="000B497C">
      <w:pPr>
        <w:rPr>
          <w:rFonts w:ascii="Times New Roman" w:hAnsi="Times New Roman" w:cs="Times New Roman"/>
        </w:rPr>
      </w:pPr>
    </w:p>
    <w:p w14:paraId="2028F458" w14:textId="7094C664" w:rsidR="0077024C" w:rsidRPr="00AF0CC3" w:rsidRDefault="0077024C" w:rsidP="000F3927">
      <w:pPr>
        <w:pStyle w:val="FrontMatterheading2"/>
        <w:rPr>
          <w:szCs w:val="24"/>
        </w:rPr>
      </w:pPr>
      <w:bookmarkStart w:id="611" w:name="_Toc234489161"/>
      <w:r w:rsidRPr="00AF0CC3">
        <w:rPr>
          <w:szCs w:val="24"/>
        </w:rPr>
        <w:lastRenderedPageBreak/>
        <w:t xml:space="preserve">APPENDIX </w:t>
      </w:r>
      <w:r w:rsidR="00F93734" w:rsidRPr="00AF0CC3">
        <w:rPr>
          <w:szCs w:val="24"/>
        </w:rPr>
        <w:t>B: Project Coding Guide for Project Dataset</w:t>
      </w:r>
      <w:bookmarkEnd w:id="611"/>
    </w:p>
    <w:p w14:paraId="0D10EC1F" w14:textId="77777777" w:rsidR="00095007" w:rsidRPr="00AF0CC3" w:rsidRDefault="00095007" w:rsidP="00095007">
      <w:pPr>
        <w:rPr>
          <w:rFonts w:ascii="Times New Roman" w:hAnsi="Times New Roman" w:cs="Times New Roman"/>
        </w:rPr>
      </w:pPr>
    </w:p>
    <w:tbl>
      <w:tblPr>
        <w:tblW w:w="10259" w:type="dxa"/>
        <w:tblLook w:val="04A0" w:firstRow="1" w:lastRow="0" w:firstColumn="1" w:lastColumn="0" w:noHBand="0" w:noVBand="1"/>
      </w:tblPr>
      <w:tblGrid>
        <w:gridCol w:w="10259"/>
      </w:tblGrid>
      <w:tr w:rsidR="00027D0E" w:rsidRPr="00AF0CC3" w14:paraId="41A26EBC" w14:textId="77777777" w:rsidTr="00095007">
        <w:trPr>
          <w:trHeight w:val="621"/>
        </w:trPr>
        <w:tc>
          <w:tcPr>
            <w:tcW w:w="10259" w:type="dxa"/>
            <w:tcBorders>
              <w:top w:val="nil"/>
              <w:left w:val="nil"/>
              <w:bottom w:val="nil"/>
              <w:right w:val="nil"/>
            </w:tcBorders>
            <w:noWrap/>
            <w:vAlign w:val="center"/>
            <w:hideMark/>
          </w:tcPr>
          <w:p w14:paraId="5A81D3AD" w14:textId="704D4664" w:rsidR="00027D0E" w:rsidRPr="00AF0CC3" w:rsidRDefault="00027D0E" w:rsidP="00027D0E">
            <w:pPr>
              <w:spacing w:after="0" w:line="240" w:lineRule="auto"/>
              <w:rPr>
                <w:rFonts w:ascii="Times New Roman" w:eastAsia="Times New Roman" w:hAnsi="Times New Roman" w:cs="Times New Roman"/>
                <w:b/>
                <w:bCs/>
                <w:color w:val="000000"/>
                <w:kern w:val="0"/>
                <w14:ligatures w14:val="none"/>
              </w:rPr>
            </w:pPr>
            <w:r w:rsidRPr="00AF0CC3">
              <w:rPr>
                <w:rFonts w:ascii="Times New Roman" w:eastAsia="Times New Roman" w:hAnsi="Times New Roman" w:cs="Times New Roman"/>
                <w:b/>
                <w:bCs/>
                <w:color w:val="000000"/>
                <w:kern w:val="0"/>
                <w14:ligatures w14:val="none"/>
              </w:rPr>
              <w:t>Coding Guide for Project Dataset</w:t>
            </w:r>
          </w:p>
        </w:tc>
      </w:tr>
      <w:tr w:rsidR="00027D0E" w:rsidRPr="00AF0CC3" w14:paraId="17816689" w14:textId="77777777" w:rsidTr="00095007">
        <w:trPr>
          <w:trHeight w:val="290"/>
        </w:trPr>
        <w:tc>
          <w:tcPr>
            <w:tcW w:w="10259" w:type="dxa"/>
            <w:tcBorders>
              <w:top w:val="nil"/>
              <w:left w:val="nil"/>
              <w:bottom w:val="nil"/>
              <w:right w:val="nil"/>
            </w:tcBorders>
            <w:noWrap/>
            <w:vAlign w:val="bottom"/>
            <w:hideMark/>
          </w:tcPr>
          <w:p w14:paraId="0F7F08CD" w14:textId="77777777" w:rsidR="00027D0E" w:rsidRPr="00AF0CC3" w:rsidRDefault="00027D0E" w:rsidP="00027D0E">
            <w:pPr>
              <w:spacing w:after="0" w:line="240" w:lineRule="auto"/>
              <w:rPr>
                <w:rFonts w:ascii="Times New Roman" w:eastAsia="Times New Roman" w:hAnsi="Times New Roman" w:cs="Times New Roman"/>
                <w:b/>
                <w:bCs/>
                <w:color w:val="000000"/>
                <w:kern w:val="0"/>
                <w14:ligatures w14:val="none"/>
              </w:rPr>
            </w:pPr>
          </w:p>
        </w:tc>
      </w:tr>
      <w:tr w:rsidR="00027D0E" w:rsidRPr="00AF0CC3" w14:paraId="7ADD728C" w14:textId="77777777" w:rsidTr="00095007">
        <w:trPr>
          <w:trHeight w:val="470"/>
        </w:trPr>
        <w:tc>
          <w:tcPr>
            <w:tcW w:w="10259" w:type="dxa"/>
            <w:tcBorders>
              <w:top w:val="nil"/>
              <w:left w:val="nil"/>
              <w:bottom w:val="nil"/>
              <w:right w:val="nil"/>
            </w:tcBorders>
            <w:noWrap/>
            <w:vAlign w:val="center"/>
            <w:hideMark/>
          </w:tcPr>
          <w:p w14:paraId="5A4742E0" w14:textId="77777777" w:rsidR="00027D0E" w:rsidRPr="00AF0CC3" w:rsidRDefault="00027D0E" w:rsidP="00027D0E">
            <w:pPr>
              <w:spacing w:after="0" w:line="240" w:lineRule="auto"/>
              <w:rPr>
                <w:rFonts w:ascii="Times New Roman" w:eastAsia="Times New Roman" w:hAnsi="Times New Roman" w:cs="Times New Roman"/>
                <w:b/>
                <w:bCs/>
                <w:color w:val="000000"/>
                <w:kern w:val="0"/>
                <w14:ligatures w14:val="none"/>
              </w:rPr>
            </w:pPr>
            <w:r w:rsidRPr="00AF0CC3">
              <w:rPr>
                <w:rFonts w:ascii="Times New Roman" w:eastAsia="Times New Roman" w:hAnsi="Times New Roman" w:cs="Times New Roman"/>
                <w:b/>
                <w:bCs/>
                <w:color w:val="000000"/>
                <w:kern w:val="0"/>
                <w14:ligatures w14:val="none"/>
              </w:rPr>
              <w:t>1. Governance Quality Index (GQI) Coding Rules</w:t>
            </w:r>
          </w:p>
        </w:tc>
      </w:tr>
      <w:tr w:rsidR="00027D0E" w:rsidRPr="00AF0CC3" w14:paraId="05614099" w14:textId="77777777" w:rsidTr="00095007">
        <w:trPr>
          <w:trHeight w:val="290"/>
        </w:trPr>
        <w:tc>
          <w:tcPr>
            <w:tcW w:w="10259" w:type="dxa"/>
            <w:tcBorders>
              <w:top w:val="nil"/>
              <w:left w:val="nil"/>
              <w:bottom w:val="nil"/>
              <w:right w:val="nil"/>
            </w:tcBorders>
            <w:noWrap/>
            <w:vAlign w:val="bottom"/>
            <w:hideMark/>
          </w:tcPr>
          <w:p w14:paraId="1C8069A3" w14:textId="77777777" w:rsidR="00027D0E" w:rsidRPr="00AF0CC3" w:rsidRDefault="00027D0E" w:rsidP="00027D0E">
            <w:pPr>
              <w:spacing w:after="0" w:line="240" w:lineRule="auto"/>
              <w:rPr>
                <w:rFonts w:ascii="Times New Roman" w:eastAsia="Times New Roman" w:hAnsi="Times New Roman" w:cs="Times New Roman"/>
                <w:b/>
                <w:bCs/>
                <w:color w:val="000000"/>
                <w:kern w:val="0"/>
                <w14:ligatures w14:val="none"/>
              </w:rPr>
            </w:pPr>
          </w:p>
        </w:tc>
      </w:tr>
      <w:tr w:rsidR="00027D0E" w:rsidRPr="00AF0CC3" w14:paraId="0902D149" w14:textId="77777777" w:rsidTr="00095007">
        <w:trPr>
          <w:trHeight w:val="290"/>
        </w:trPr>
        <w:tc>
          <w:tcPr>
            <w:tcW w:w="10259" w:type="dxa"/>
            <w:tcBorders>
              <w:top w:val="nil"/>
              <w:left w:val="nil"/>
              <w:bottom w:val="nil"/>
              <w:right w:val="nil"/>
            </w:tcBorders>
            <w:noWrap/>
            <w:vAlign w:val="bottom"/>
            <w:hideMark/>
          </w:tcPr>
          <w:p w14:paraId="7EF7F1C3" w14:textId="77777777" w:rsidR="00027D0E" w:rsidRPr="00AF0CC3" w:rsidRDefault="00027D0E" w:rsidP="00027D0E">
            <w:pPr>
              <w:spacing w:after="0" w:line="240" w:lineRule="auto"/>
              <w:rPr>
                <w:rFonts w:ascii="Times New Roman" w:eastAsia="Times New Roman" w:hAnsi="Times New Roman" w:cs="Times New Roman"/>
                <w:color w:val="000000"/>
                <w:kern w:val="0"/>
                <w14:ligatures w14:val="none"/>
              </w:rPr>
            </w:pPr>
            <w:r w:rsidRPr="00AF0CC3">
              <w:rPr>
                <w:rFonts w:ascii="Times New Roman" w:eastAsia="Times New Roman" w:hAnsi="Times New Roman" w:cs="Times New Roman"/>
                <w:color w:val="000000"/>
                <w:kern w:val="0"/>
                <w14:ligatures w14:val="none"/>
              </w:rPr>
              <w:t xml:space="preserve">Each GQI indicator is coded on a </w:t>
            </w:r>
            <w:r w:rsidRPr="00AF0CC3">
              <w:rPr>
                <w:rFonts w:ascii="Times New Roman" w:eastAsia="Times New Roman" w:hAnsi="Times New Roman" w:cs="Times New Roman"/>
                <w:b/>
                <w:bCs/>
                <w:color w:val="000000"/>
                <w:kern w:val="0"/>
                <w14:ligatures w14:val="none"/>
              </w:rPr>
              <w:t>three-point scale</w:t>
            </w:r>
            <w:r w:rsidRPr="00AF0CC3">
              <w:rPr>
                <w:rFonts w:ascii="Times New Roman" w:eastAsia="Times New Roman" w:hAnsi="Times New Roman" w:cs="Times New Roman"/>
                <w:color w:val="000000"/>
                <w:kern w:val="0"/>
                <w14:ligatures w14:val="none"/>
              </w:rPr>
              <w:t>:</w:t>
            </w:r>
          </w:p>
        </w:tc>
      </w:tr>
      <w:tr w:rsidR="00027D0E" w:rsidRPr="00AF0CC3" w14:paraId="0BB215FC" w14:textId="77777777" w:rsidTr="00095007">
        <w:trPr>
          <w:trHeight w:val="290"/>
        </w:trPr>
        <w:tc>
          <w:tcPr>
            <w:tcW w:w="10259" w:type="dxa"/>
            <w:tcBorders>
              <w:top w:val="nil"/>
              <w:left w:val="nil"/>
              <w:bottom w:val="nil"/>
              <w:right w:val="nil"/>
            </w:tcBorders>
            <w:noWrap/>
            <w:vAlign w:val="center"/>
            <w:hideMark/>
          </w:tcPr>
          <w:p w14:paraId="4C239258" w14:textId="77777777" w:rsidR="00027D0E" w:rsidRPr="00AF0CC3" w:rsidRDefault="00027D0E" w:rsidP="00027D0E">
            <w:pPr>
              <w:spacing w:after="0" w:line="240" w:lineRule="auto"/>
              <w:rPr>
                <w:rFonts w:ascii="Times New Roman" w:eastAsia="Times New Roman" w:hAnsi="Times New Roman" w:cs="Times New Roman"/>
                <w:color w:val="000000"/>
                <w:kern w:val="0"/>
                <w14:ligatures w14:val="none"/>
              </w:rPr>
            </w:pPr>
          </w:p>
        </w:tc>
      </w:tr>
      <w:tr w:rsidR="00027D0E" w:rsidRPr="00AF0CC3" w14:paraId="4DB0EC3B" w14:textId="77777777" w:rsidTr="00095007">
        <w:trPr>
          <w:trHeight w:val="290"/>
        </w:trPr>
        <w:tc>
          <w:tcPr>
            <w:tcW w:w="10259" w:type="dxa"/>
            <w:tcBorders>
              <w:top w:val="nil"/>
              <w:left w:val="nil"/>
              <w:bottom w:val="nil"/>
              <w:right w:val="nil"/>
            </w:tcBorders>
            <w:noWrap/>
            <w:vAlign w:val="center"/>
            <w:hideMark/>
          </w:tcPr>
          <w:p w14:paraId="4A021A1F" w14:textId="77777777" w:rsidR="00027D0E" w:rsidRPr="00AF0CC3" w:rsidRDefault="00027D0E" w:rsidP="00027D0E">
            <w:pPr>
              <w:spacing w:after="0" w:line="240" w:lineRule="auto"/>
              <w:ind w:firstLineChars="100" w:firstLine="241"/>
              <w:rPr>
                <w:rFonts w:ascii="Times New Roman" w:eastAsia="Times New Roman" w:hAnsi="Times New Roman" w:cs="Times New Roman"/>
                <w:b/>
                <w:bCs/>
                <w:color w:val="000000"/>
                <w:kern w:val="0"/>
                <w14:ligatures w14:val="none"/>
              </w:rPr>
            </w:pPr>
            <w:r w:rsidRPr="00AF0CC3">
              <w:rPr>
                <w:rFonts w:ascii="Times New Roman" w:eastAsia="Times New Roman" w:hAnsi="Times New Roman" w:cs="Times New Roman"/>
                <w:b/>
                <w:bCs/>
                <w:color w:val="000000"/>
                <w:kern w:val="0"/>
                <w14:ligatures w14:val="none"/>
              </w:rPr>
              <w:t>1 = Strong governance (fully meets criteria)</w:t>
            </w:r>
          </w:p>
        </w:tc>
      </w:tr>
      <w:tr w:rsidR="00027D0E" w:rsidRPr="00AF0CC3" w14:paraId="5C472965" w14:textId="77777777" w:rsidTr="00095007">
        <w:trPr>
          <w:trHeight w:val="290"/>
        </w:trPr>
        <w:tc>
          <w:tcPr>
            <w:tcW w:w="10259" w:type="dxa"/>
            <w:tcBorders>
              <w:top w:val="nil"/>
              <w:left w:val="nil"/>
              <w:bottom w:val="nil"/>
              <w:right w:val="nil"/>
            </w:tcBorders>
            <w:noWrap/>
            <w:vAlign w:val="center"/>
            <w:hideMark/>
          </w:tcPr>
          <w:p w14:paraId="17636C87" w14:textId="77777777" w:rsidR="00027D0E" w:rsidRPr="00AF0CC3" w:rsidRDefault="00027D0E" w:rsidP="00027D0E">
            <w:pPr>
              <w:spacing w:after="0" w:line="240" w:lineRule="auto"/>
              <w:ind w:firstLineChars="100" w:firstLine="241"/>
              <w:rPr>
                <w:rFonts w:ascii="Times New Roman" w:eastAsia="Times New Roman" w:hAnsi="Times New Roman" w:cs="Times New Roman"/>
                <w:b/>
                <w:bCs/>
                <w:color w:val="000000"/>
                <w:kern w:val="0"/>
                <w14:ligatures w14:val="none"/>
              </w:rPr>
            </w:pPr>
            <w:r w:rsidRPr="00AF0CC3">
              <w:rPr>
                <w:rFonts w:ascii="Times New Roman" w:eastAsia="Times New Roman" w:hAnsi="Times New Roman" w:cs="Times New Roman"/>
                <w:b/>
                <w:bCs/>
                <w:color w:val="000000"/>
                <w:kern w:val="0"/>
                <w14:ligatures w14:val="none"/>
              </w:rPr>
              <w:t>0.5 = Partial governance (some evidence, incomplete)</w:t>
            </w:r>
          </w:p>
        </w:tc>
      </w:tr>
      <w:tr w:rsidR="00027D0E" w:rsidRPr="00AF0CC3" w14:paraId="3033EBF1" w14:textId="77777777" w:rsidTr="00095007">
        <w:trPr>
          <w:trHeight w:val="290"/>
        </w:trPr>
        <w:tc>
          <w:tcPr>
            <w:tcW w:w="10259" w:type="dxa"/>
            <w:tcBorders>
              <w:top w:val="nil"/>
              <w:left w:val="nil"/>
              <w:bottom w:val="nil"/>
              <w:right w:val="nil"/>
            </w:tcBorders>
            <w:noWrap/>
            <w:vAlign w:val="center"/>
            <w:hideMark/>
          </w:tcPr>
          <w:p w14:paraId="310BE3EE" w14:textId="77777777" w:rsidR="00027D0E" w:rsidRPr="00AF0CC3" w:rsidRDefault="00027D0E" w:rsidP="00027D0E">
            <w:pPr>
              <w:spacing w:after="0" w:line="240" w:lineRule="auto"/>
              <w:ind w:firstLineChars="100" w:firstLine="241"/>
              <w:rPr>
                <w:rFonts w:ascii="Times New Roman" w:eastAsia="Times New Roman" w:hAnsi="Times New Roman" w:cs="Times New Roman"/>
                <w:b/>
                <w:bCs/>
                <w:color w:val="000000"/>
                <w:kern w:val="0"/>
                <w14:ligatures w14:val="none"/>
              </w:rPr>
            </w:pPr>
            <w:r w:rsidRPr="00AF0CC3">
              <w:rPr>
                <w:rFonts w:ascii="Times New Roman" w:eastAsia="Times New Roman" w:hAnsi="Times New Roman" w:cs="Times New Roman"/>
                <w:b/>
                <w:bCs/>
                <w:color w:val="000000"/>
                <w:kern w:val="0"/>
                <w14:ligatures w14:val="none"/>
              </w:rPr>
              <w:t>0 = Weak or absent governance</w:t>
            </w:r>
          </w:p>
        </w:tc>
      </w:tr>
      <w:tr w:rsidR="00027D0E" w:rsidRPr="00AF0CC3" w14:paraId="403CE9BF" w14:textId="77777777" w:rsidTr="00095007">
        <w:trPr>
          <w:trHeight w:val="290"/>
        </w:trPr>
        <w:tc>
          <w:tcPr>
            <w:tcW w:w="10259" w:type="dxa"/>
            <w:tcBorders>
              <w:top w:val="nil"/>
              <w:left w:val="nil"/>
              <w:bottom w:val="nil"/>
              <w:right w:val="nil"/>
            </w:tcBorders>
            <w:noWrap/>
            <w:vAlign w:val="bottom"/>
            <w:hideMark/>
          </w:tcPr>
          <w:p w14:paraId="52EF4528" w14:textId="77777777" w:rsidR="00027D0E" w:rsidRPr="00AF0CC3" w:rsidRDefault="00027D0E" w:rsidP="00027D0E">
            <w:pPr>
              <w:spacing w:after="0" w:line="240" w:lineRule="auto"/>
              <w:ind w:firstLineChars="100" w:firstLine="241"/>
              <w:rPr>
                <w:rFonts w:ascii="Times New Roman" w:eastAsia="Times New Roman" w:hAnsi="Times New Roman" w:cs="Times New Roman"/>
                <w:b/>
                <w:bCs/>
                <w:color w:val="000000"/>
                <w:kern w:val="0"/>
                <w14:ligatures w14:val="none"/>
              </w:rPr>
            </w:pPr>
          </w:p>
        </w:tc>
      </w:tr>
      <w:tr w:rsidR="00027D0E" w:rsidRPr="00AF0CC3" w14:paraId="5E33FCEA" w14:textId="77777777" w:rsidTr="00095007">
        <w:trPr>
          <w:trHeight w:val="290"/>
        </w:trPr>
        <w:tc>
          <w:tcPr>
            <w:tcW w:w="10259" w:type="dxa"/>
            <w:tcBorders>
              <w:top w:val="nil"/>
              <w:left w:val="nil"/>
              <w:bottom w:val="nil"/>
              <w:right w:val="nil"/>
            </w:tcBorders>
            <w:noWrap/>
            <w:vAlign w:val="bottom"/>
            <w:hideMark/>
          </w:tcPr>
          <w:p w14:paraId="7BE01289" w14:textId="77777777" w:rsidR="00027D0E" w:rsidRPr="00AF0CC3" w:rsidRDefault="00027D0E" w:rsidP="00027D0E">
            <w:pPr>
              <w:spacing w:after="0" w:line="240" w:lineRule="auto"/>
              <w:rPr>
                <w:rFonts w:ascii="Times New Roman" w:eastAsia="Times New Roman" w:hAnsi="Times New Roman" w:cs="Times New Roman"/>
                <w:color w:val="000000"/>
                <w:kern w:val="0"/>
                <w14:ligatures w14:val="none"/>
              </w:rPr>
            </w:pPr>
            <w:r w:rsidRPr="00AF0CC3">
              <w:rPr>
                <w:rFonts w:ascii="Times New Roman" w:eastAsia="Times New Roman" w:hAnsi="Times New Roman" w:cs="Times New Roman"/>
                <w:color w:val="000000"/>
                <w:kern w:val="0"/>
                <w14:ligatures w14:val="none"/>
              </w:rPr>
              <w:t xml:space="preserve">Coding must be based on </w:t>
            </w:r>
            <w:r w:rsidRPr="00AF0CC3">
              <w:rPr>
                <w:rFonts w:ascii="Times New Roman" w:eastAsia="Times New Roman" w:hAnsi="Times New Roman" w:cs="Times New Roman"/>
                <w:b/>
                <w:bCs/>
                <w:color w:val="000000"/>
                <w:kern w:val="0"/>
                <w14:ligatures w14:val="none"/>
              </w:rPr>
              <w:t>documentary evidence</w:t>
            </w:r>
            <w:r w:rsidRPr="00AF0CC3">
              <w:rPr>
                <w:rFonts w:ascii="Times New Roman" w:eastAsia="Times New Roman" w:hAnsi="Times New Roman" w:cs="Times New Roman"/>
                <w:color w:val="000000"/>
                <w:kern w:val="0"/>
                <w14:ligatures w14:val="none"/>
              </w:rPr>
              <w:t xml:space="preserve"> (project reports, audits, procurement records). Where evidence is unclear, apply </w:t>
            </w:r>
            <w:r w:rsidRPr="00AF0CC3">
              <w:rPr>
                <w:rFonts w:ascii="Times New Roman" w:eastAsia="Times New Roman" w:hAnsi="Times New Roman" w:cs="Times New Roman"/>
                <w:b/>
                <w:bCs/>
                <w:color w:val="000000"/>
                <w:kern w:val="0"/>
                <w14:ligatures w14:val="none"/>
              </w:rPr>
              <w:t>conservative coding</w:t>
            </w:r>
            <w:r w:rsidRPr="00AF0CC3">
              <w:rPr>
                <w:rFonts w:ascii="Times New Roman" w:eastAsia="Times New Roman" w:hAnsi="Times New Roman" w:cs="Times New Roman"/>
                <w:color w:val="000000"/>
                <w:kern w:val="0"/>
                <w14:ligatures w14:val="none"/>
              </w:rPr>
              <w:t>.</w:t>
            </w:r>
          </w:p>
        </w:tc>
      </w:tr>
      <w:tr w:rsidR="00027D0E" w:rsidRPr="00AF0CC3" w14:paraId="787E02D7" w14:textId="77777777" w:rsidTr="00095007">
        <w:trPr>
          <w:trHeight w:val="290"/>
        </w:trPr>
        <w:tc>
          <w:tcPr>
            <w:tcW w:w="10259" w:type="dxa"/>
            <w:tcBorders>
              <w:top w:val="nil"/>
              <w:left w:val="nil"/>
              <w:bottom w:val="nil"/>
              <w:right w:val="nil"/>
            </w:tcBorders>
            <w:noWrap/>
            <w:vAlign w:val="bottom"/>
            <w:hideMark/>
          </w:tcPr>
          <w:p w14:paraId="0B7A939F" w14:textId="77777777" w:rsidR="00027D0E" w:rsidRPr="00AF0CC3" w:rsidRDefault="00027D0E" w:rsidP="00027D0E">
            <w:pPr>
              <w:spacing w:after="0" w:line="240" w:lineRule="auto"/>
              <w:rPr>
                <w:rFonts w:ascii="Times New Roman" w:eastAsia="Times New Roman" w:hAnsi="Times New Roman" w:cs="Times New Roman"/>
                <w:color w:val="000000"/>
                <w:kern w:val="0"/>
                <w14:ligatures w14:val="none"/>
              </w:rPr>
            </w:pPr>
          </w:p>
        </w:tc>
      </w:tr>
      <w:tr w:rsidR="00027D0E" w:rsidRPr="00AF0CC3" w14:paraId="4FBE63C6" w14:textId="77777777" w:rsidTr="00095007">
        <w:trPr>
          <w:trHeight w:val="290"/>
        </w:trPr>
        <w:tc>
          <w:tcPr>
            <w:tcW w:w="10259" w:type="dxa"/>
            <w:tcBorders>
              <w:top w:val="nil"/>
              <w:left w:val="nil"/>
              <w:bottom w:val="nil"/>
              <w:right w:val="nil"/>
            </w:tcBorders>
            <w:noWrap/>
            <w:vAlign w:val="bottom"/>
            <w:hideMark/>
          </w:tcPr>
          <w:p w14:paraId="153FE845" w14:textId="77777777" w:rsidR="00027D0E" w:rsidRPr="00AF0CC3" w:rsidRDefault="00027D0E" w:rsidP="00027D0E">
            <w:pPr>
              <w:spacing w:after="0" w:line="240" w:lineRule="auto"/>
              <w:rPr>
                <w:rFonts w:ascii="Times New Roman" w:eastAsia="Times New Roman" w:hAnsi="Times New Roman" w:cs="Times New Roman"/>
                <w:kern w:val="0"/>
                <w14:ligatures w14:val="none"/>
              </w:rPr>
            </w:pPr>
          </w:p>
        </w:tc>
      </w:tr>
      <w:tr w:rsidR="00027D0E" w:rsidRPr="00AF0CC3" w14:paraId="552C1DDD" w14:textId="77777777" w:rsidTr="00095007">
        <w:trPr>
          <w:trHeight w:val="290"/>
        </w:trPr>
        <w:tc>
          <w:tcPr>
            <w:tcW w:w="10259" w:type="dxa"/>
            <w:tcBorders>
              <w:top w:val="nil"/>
              <w:left w:val="nil"/>
              <w:bottom w:val="nil"/>
              <w:right w:val="nil"/>
            </w:tcBorders>
            <w:noWrap/>
            <w:vAlign w:val="bottom"/>
            <w:hideMark/>
          </w:tcPr>
          <w:p w14:paraId="5606926C" w14:textId="77777777" w:rsidR="00027D0E" w:rsidRPr="00AF0CC3" w:rsidRDefault="00027D0E" w:rsidP="00027D0E">
            <w:pPr>
              <w:spacing w:after="0" w:line="240" w:lineRule="auto"/>
              <w:rPr>
                <w:rFonts w:ascii="Times New Roman" w:eastAsia="Times New Roman" w:hAnsi="Times New Roman" w:cs="Times New Roman"/>
                <w:kern w:val="0"/>
                <w14:ligatures w14:val="none"/>
              </w:rPr>
            </w:pPr>
          </w:p>
        </w:tc>
      </w:tr>
      <w:tr w:rsidR="00027D0E" w:rsidRPr="00AF0CC3" w14:paraId="614D1E0C" w14:textId="77777777" w:rsidTr="00095007">
        <w:trPr>
          <w:trHeight w:val="470"/>
        </w:trPr>
        <w:tc>
          <w:tcPr>
            <w:tcW w:w="10259" w:type="dxa"/>
            <w:tcBorders>
              <w:top w:val="nil"/>
              <w:left w:val="nil"/>
              <w:bottom w:val="nil"/>
              <w:right w:val="nil"/>
            </w:tcBorders>
            <w:noWrap/>
            <w:vAlign w:val="center"/>
            <w:hideMark/>
          </w:tcPr>
          <w:p w14:paraId="18827EF4" w14:textId="77777777" w:rsidR="00027D0E" w:rsidRPr="00AF0CC3" w:rsidRDefault="00027D0E" w:rsidP="00027D0E">
            <w:pPr>
              <w:spacing w:after="0" w:line="240" w:lineRule="auto"/>
              <w:rPr>
                <w:rFonts w:ascii="Times New Roman" w:eastAsia="Times New Roman" w:hAnsi="Times New Roman" w:cs="Times New Roman"/>
                <w:b/>
                <w:bCs/>
                <w:color w:val="000000"/>
                <w:kern w:val="0"/>
                <w14:ligatures w14:val="none"/>
              </w:rPr>
            </w:pPr>
            <w:r w:rsidRPr="00AF0CC3">
              <w:rPr>
                <w:rFonts w:ascii="Times New Roman" w:eastAsia="Times New Roman" w:hAnsi="Times New Roman" w:cs="Times New Roman"/>
                <w:b/>
                <w:bCs/>
                <w:color w:val="000000"/>
                <w:kern w:val="0"/>
                <w14:ligatures w14:val="none"/>
              </w:rPr>
              <w:t>1.1 Project Preparation</w:t>
            </w:r>
          </w:p>
        </w:tc>
      </w:tr>
      <w:tr w:rsidR="00027D0E" w:rsidRPr="00AF0CC3" w14:paraId="5355AB58" w14:textId="77777777" w:rsidTr="00095007">
        <w:trPr>
          <w:trHeight w:val="290"/>
        </w:trPr>
        <w:tc>
          <w:tcPr>
            <w:tcW w:w="10259" w:type="dxa"/>
            <w:tcBorders>
              <w:top w:val="nil"/>
              <w:left w:val="nil"/>
              <w:bottom w:val="nil"/>
              <w:right w:val="nil"/>
            </w:tcBorders>
            <w:noWrap/>
            <w:vAlign w:val="bottom"/>
            <w:hideMark/>
          </w:tcPr>
          <w:p w14:paraId="6686902B" w14:textId="77777777" w:rsidR="00027D0E" w:rsidRPr="00AF0CC3" w:rsidRDefault="00027D0E" w:rsidP="00027D0E">
            <w:pPr>
              <w:spacing w:after="0" w:line="240" w:lineRule="auto"/>
              <w:rPr>
                <w:rFonts w:ascii="Times New Roman" w:eastAsia="Times New Roman" w:hAnsi="Times New Roman" w:cs="Times New Roman"/>
                <w:b/>
                <w:bCs/>
                <w:color w:val="000000"/>
                <w:kern w:val="0"/>
                <w14:ligatures w14:val="none"/>
              </w:rPr>
            </w:pPr>
          </w:p>
        </w:tc>
      </w:tr>
      <w:tr w:rsidR="00027D0E" w:rsidRPr="00AF0CC3" w14:paraId="152B6B59" w14:textId="77777777" w:rsidTr="00095007">
        <w:trPr>
          <w:trHeight w:val="350"/>
        </w:trPr>
        <w:tc>
          <w:tcPr>
            <w:tcW w:w="10259" w:type="dxa"/>
            <w:tcBorders>
              <w:top w:val="nil"/>
              <w:left w:val="nil"/>
              <w:bottom w:val="nil"/>
              <w:right w:val="nil"/>
            </w:tcBorders>
            <w:noWrap/>
            <w:vAlign w:val="center"/>
            <w:hideMark/>
          </w:tcPr>
          <w:p w14:paraId="189B3420" w14:textId="77777777" w:rsidR="00027D0E" w:rsidRPr="00AF0CC3" w:rsidRDefault="00027D0E" w:rsidP="00027D0E">
            <w:pPr>
              <w:spacing w:after="0" w:line="240" w:lineRule="auto"/>
              <w:rPr>
                <w:rFonts w:ascii="Times New Roman" w:eastAsia="Times New Roman" w:hAnsi="Times New Roman" w:cs="Times New Roman"/>
                <w:b/>
                <w:bCs/>
                <w:color w:val="000000"/>
                <w:kern w:val="0"/>
                <w14:ligatures w14:val="none"/>
              </w:rPr>
            </w:pPr>
            <w:r w:rsidRPr="00AF0CC3">
              <w:rPr>
                <w:rFonts w:ascii="Times New Roman" w:eastAsia="Times New Roman" w:hAnsi="Times New Roman" w:cs="Times New Roman"/>
                <w:b/>
                <w:bCs/>
                <w:color w:val="000000"/>
                <w:kern w:val="0"/>
                <w14:ligatures w14:val="none"/>
              </w:rPr>
              <w:t>Feasibility Study Quality</w:t>
            </w:r>
          </w:p>
        </w:tc>
      </w:tr>
      <w:tr w:rsidR="00027D0E" w:rsidRPr="00AF0CC3" w14:paraId="51B70E43" w14:textId="77777777" w:rsidTr="00095007">
        <w:trPr>
          <w:trHeight w:val="290"/>
        </w:trPr>
        <w:tc>
          <w:tcPr>
            <w:tcW w:w="10259" w:type="dxa"/>
            <w:tcBorders>
              <w:top w:val="nil"/>
              <w:left w:val="nil"/>
              <w:bottom w:val="nil"/>
              <w:right w:val="nil"/>
            </w:tcBorders>
            <w:noWrap/>
            <w:vAlign w:val="center"/>
            <w:hideMark/>
          </w:tcPr>
          <w:p w14:paraId="3DC1DFE4" w14:textId="77777777" w:rsidR="00027D0E" w:rsidRPr="00AF0CC3" w:rsidRDefault="00027D0E" w:rsidP="00027D0E">
            <w:pPr>
              <w:spacing w:after="0" w:line="240" w:lineRule="auto"/>
              <w:rPr>
                <w:rFonts w:ascii="Times New Roman" w:eastAsia="Times New Roman" w:hAnsi="Times New Roman" w:cs="Times New Roman"/>
                <w:b/>
                <w:bCs/>
                <w:color w:val="000000"/>
                <w:kern w:val="0"/>
                <w14:ligatures w14:val="none"/>
              </w:rPr>
            </w:pPr>
          </w:p>
        </w:tc>
      </w:tr>
      <w:tr w:rsidR="00027D0E" w:rsidRPr="00AF0CC3" w14:paraId="16FC3784" w14:textId="77777777" w:rsidTr="00095007">
        <w:trPr>
          <w:trHeight w:val="290"/>
        </w:trPr>
        <w:tc>
          <w:tcPr>
            <w:tcW w:w="10259" w:type="dxa"/>
            <w:tcBorders>
              <w:top w:val="nil"/>
              <w:left w:val="nil"/>
              <w:bottom w:val="nil"/>
              <w:right w:val="nil"/>
            </w:tcBorders>
            <w:noWrap/>
            <w:vAlign w:val="center"/>
            <w:hideMark/>
          </w:tcPr>
          <w:p w14:paraId="76AAF169" w14:textId="77777777" w:rsidR="00027D0E" w:rsidRPr="00AF0CC3" w:rsidRDefault="00027D0E" w:rsidP="00027D0E">
            <w:pPr>
              <w:spacing w:after="0" w:line="240" w:lineRule="auto"/>
              <w:ind w:firstLineChars="100" w:firstLine="241"/>
              <w:rPr>
                <w:rFonts w:ascii="Times New Roman" w:eastAsia="Times New Roman" w:hAnsi="Times New Roman" w:cs="Times New Roman"/>
                <w:b/>
                <w:bCs/>
                <w:color w:val="000000"/>
                <w:kern w:val="0"/>
                <w14:ligatures w14:val="none"/>
              </w:rPr>
            </w:pPr>
            <w:r w:rsidRPr="00AF0CC3">
              <w:rPr>
                <w:rFonts w:ascii="Times New Roman" w:eastAsia="Times New Roman" w:hAnsi="Times New Roman" w:cs="Times New Roman"/>
                <w:b/>
                <w:bCs/>
                <w:color w:val="000000"/>
                <w:kern w:val="0"/>
                <w14:ligatures w14:val="none"/>
              </w:rPr>
              <w:t>1</w:t>
            </w:r>
            <w:r w:rsidRPr="00AF0CC3">
              <w:rPr>
                <w:rFonts w:ascii="Times New Roman" w:eastAsia="Times New Roman" w:hAnsi="Times New Roman" w:cs="Times New Roman"/>
                <w:color w:val="000000"/>
                <w:kern w:val="0"/>
                <w14:ligatures w14:val="none"/>
              </w:rPr>
              <w:t xml:space="preserve"> = Comprehensive feasibility study (technical, financial, demand analysis clearly documented)</w:t>
            </w:r>
          </w:p>
        </w:tc>
      </w:tr>
      <w:tr w:rsidR="00027D0E" w:rsidRPr="00AF0CC3" w14:paraId="150446A6" w14:textId="77777777" w:rsidTr="00095007">
        <w:trPr>
          <w:trHeight w:val="290"/>
        </w:trPr>
        <w:tc>
          <w:tcPr>
            <w:tcW w:w="10259" w:type="dxa"/>
            <w:tcBorders>
              <w:top w:val="nil"/>
              <w:left w:val="nil"/>
              <w:bottom w:val="nil"/>
              <w:right w:val="nil"/>
            </w:tcBorders>
            <w:noWrap/>
            <w:vAlign w:val="center"/>
            <w:hideMark/>
          </w:tcPr>
          <w:p w14:paraId="64EA8BDB" w14:textId="77777777" w:rsidR="00027D0E" w:rsidRPr="00AF0CC3" w:rsidRDefault="00027D0E" w:rsidP="00027D0E">
            <w:pPr>
              <w:spacing w:after="0" w:line="240" w:lineRule="auto"/>
              <w:ind w:firstLineChars="100" w:firstLine="241"/>
              <w:rPr>
                <w:rFonts w:ascii="Times New Roman" w:eastAsia="Times New Roman" w:hAnsi="Times New Roman" w:cs="Times New Roman"/>
                <w:b/>
                <w:bCs/>
                <w:color w:val="000000"/>
                <w:kern w:val="0"/>
                <w14:ligatures w14:val="none"/>
              </w:rPr>
            </w:pPr>
            <w:r w:rsidRPr="00AF0CC3">
              <w:rPr>
                <w:rFonts w:ascii="Times New Roman" w:eastAsia="Times New Roman" w:hAnsi="Times New Roman" w:cs="Times New Roman"/>
                <w:b/>
                <w:bCs/>
                <w:color w:val="000000"/>
                <w:kern w:val="0"/>
                <w14:ligatures w14:val="none"/>
              </w:rPr>
              <w:t>0.5</w:t>
            </w:r>
            <w:r w:rsidRPr="00AF0CC3">
              <w:rPr>
                <w:rFonts w:ascii="Times New Roman" w:eastAsia="Times New Roman" w:hAnsi="Times New Roman" w:cs="Times New Roman"/>
                <w:color w:val="000000"/>
                <w:kern w:val="0"/>
                <w14:ligatures w14:val="none"/>
              </w:rPr>
              <w:t xml:space="preserve"> = Partial or incomplete feasibility (missing key components)</w:t>
            </w:r>
          </w:p>
        </w:tc>
      </w:tr>
      <w:tr w:rsidR="00027D0E" w:rsidRPr="00AF0CC3" w14:paraId="6F3315BD" w14:textId="77777777" w:rsidTr="00095007">
        <w:trPr>
          <w:trHeight w:val="290"/>
        </w:trPr>
        <w:tc>
          <w:tcPr>
            <w:tcW w:w="10259" w:type="dxa"/>
            <w:tcBorders>
              <w:top w:val="nil"/>
              <w:left w:val="nil"/>
              <w:bottom w:val="nil"/>
              <w:right w:val="nil"/>
            </w:tcBorders>
            <w:noWrap/>
            <w:vAlign w:val="center"/>
            <w:hideMark/>
          </w:tcPr>
          <w:p w14:paraId="60170BF8" w14:textId="77777777" w:rsidR="00027D0E" w:rsidRPr="00AF0CC3" w:rsidRDefault="00027D0E" w:rsidP="00027D0E">
            <w:pPr>
              <w:spacing w:after="0" w:line="240" w:lineRule="auto"/>
              <w:ind w:firstLineChars="100" w:firstLine="241"/>
              <w:rPr>
                <w:rFonts w:ascii="Times New Roman" w:eastAsia="Times New Roman" w:hAnsi="Times New Roman" w:cs="Times New Roman"/>
                <w:b/>
                <w:bCs/>
                <w:color w:val="000000"/>
                <w:kern w:val="0"/>
                <w14:ligatures w14:val="none"/>
              </w:rPr>
            </w:pPr>
            <w:r w:rsidRPr="00AF0CC3">
              <w:rPr>
                <w:rFonts w:ascii="Times New Roman" w:eastAsia="Times New Roman" w:hAnsi="Times New Roman" w:cs="Times New Roman"/>
                <w:b/>
                <w:bCs/>
                <w:color w:val="000000"/>
                <w:kern w:val="0"/>
                <w14:ligatures w14:val="none"/>
              </w:rPr>
              <w:t>0</w:t>
            </w:r>
            <w:r w:rsidRPr="00AF0CC3">
              <w:rPr>
                <w:rFonts w:ascii="Times New Roman" w:eastAsia="Times New Roman" w:hAnsi="Times New Roman" w:cs="Times New Roman"/>
                <w:color w:val="000000"/>
                <w:kern w:val="0"/>
                <w14:ligatures w14:val="none"/>
              </w:rPr>
              <w:t xml:space="preserve"> = No credible feasibility study</w:t>
            </w:r>
          </w:p>
        </w:tc>
      </w:tr>
      <w:tr w:rsidR="00027D0E" w:rsidRPr="00AF0CC3" w14:paraId="48672028" w14:textId="77777777" w:rsidTr="00095007">
        <w:trPr>
          <w:trHeight w:val="290"/>
        </w:trPr>
        <w:tc>
          <w:tcPr>
            <w:tcW w:w="10259" w:type="dxa"/>
            <w:tcBorders>
              <w:top w:val="nil"/>
              <w:left w:val="nil"/>
              <w:bottom w:val="nil"/>
              <w:right w:val="nil"/>
            </w:tcBorders>
            <w:noWrap/>
            <w:vAlign w:val="bottom"/>
            <w:hideMark/>
          </w:tcPr>
          <w:p w14:paraId="15D5DC0A" w14:textId="77777777" w:rsidR="00027D0E" w:rsidRPr="00AF0CC3" w:rsidRDefault="00027D0E" w:rsidP="00027D0E">
            <w:pPr>
              <w:spacing w:after="0" w:line="240" w:lineRule="auto"/>
              <w:ind w:firstLineChars="100" w:firstLine="241"/>
              <w:rPr>
                <w:rFonts w:ascii="Times New Roman" w:eastAsia="Times New Roman" w:hAnsi="Times New Roman" w:cs="Times New Roman"/>
                <w:b/>
                <w:bCs/>
                <w:color w:val="000000"/>
                <w:kern w:val="0"/>
                <w14:ligatures w14:val="none"/>
              </w:rPr>
            </w:pPr>
          </w:p>
        </w:tc>
      </w:tr>
      <w:tr w:rsidR="00027D0E" w:rsidRPr="00AF0CC3" w14:paraId="1A817055" w14:textId="77777777" w:rsidTr="00095007">
        <w:trPr>
          <w:trHeight w:val="290"/>
        </w:trPr>
        <w:tc>
          <w:tcPr>
            <w:tcW w:w="10259" w:type="dxa"/>
            <w:tcBorders>
              <w:top w:val="nil"/>
              <w:left w:val="nil"/>
              <w:bottom w:val="nil"/>
              <w:right w:val="nil"/>
            </w:tcBorders>
            <w:noWrap/>
            <w:vAlign w:val="bottom"/>
            <w:hideMark/>
          </w:tcPr>
          <w:p w14:paraId="37498509" w14:textId="77777777" w:rsidR="00027D0E" w:rsidRPr="00AF0CC3" w:rsidRDefault="00027D0E" w:rsidP="00027D0E">
            <w:pPr>
              <w:spacing w:after="0" w:line="240" w:lineRule="auto"/>
              <w:rPr>
                <w:rFonts w:ascii="Times New Roman" w:eastAsia="Times New Roman" w:hAnsi="Times New Roman" w:cs="Times New Roman"/>
                <w:kern w:val="0"/>
                <w14:ligatures w14:val="none"/>
              </w:rPr>
            </w:pPr>
          </w:p>
        </w:tc>
      </w:tr>
      <w:tr w:rsidR="00027D0E" w:rsidRPr="00AF0CC3" w14:paraId="2854BFBA" w14:textId="77777777" w:rsidTr="00095007">
        <w:trPr>
          <w:trHeight w:val="290"/>
        </w:trPr>
        <w:tc>
          <w:tcPr>
            <w:tcW w:w="10259" w:type="dxa"/>
            <w:tcBorders>
              <w:top w:val="nil"/>
              <w:left w:val="nil"/>
              <w:bottom w:val="nil"/>
              <w:right w:val="nil"/>
            </w:tcBorders>
            <w:noWrap/>
            <w:vAlign w:val="bottom"/>
            <w:hideMark/>
          </w:tcPr>
          <w:p w14:paraId="72BF19FC" w14:textId="77777777" w:rsidR="00027D0E" w:rsidRPr="00AF0CC3" w:rsidRDefault="00027D0E" w:rsidP="00027D0E">
            <w:pPr>
              <w:spacing w:after="0" w:line="240" w:lineRule="auto"/>
              <w:rPr>
                <w:rFonts w:ascii="Times New Roman" w:eastAsia="Times New Roman" w:hAnsi="Times New Roman" w:cs="Times New Roman"/>
                <w:kern w:val="0"/>
                <w14:ligatures w14:val="none"/>
              </w:rPr>
            </w:pPr>
          </w:p>
        </w:tc>
      </w:tr>
      <w:tr w:rsidR="00027D0E" w:rsidRPr="00AF0CC3" w14:paraId="3BDD3403" w14:textId="77777777" w:rsidTr="00095007">
        <w:trPr>
          <w:trHeight w:val="350"/>
        </w:trPr>
        <w:tc>
          <w:tcPr>
            <w:tcW w:w="10259" w:type="dxa"/>
            <w:tcBorders>
              <w:top w:val="nil"/>
              <w:left w:val="nil"/>
              <w:bottom w:val="nil"/>
              <w:right w:val="nil"/>
            </w:tcBorders>
            <w:noWrap/>
            <w:vAlign w:val="center"/>
            <w:hideMark/>
          </w:tcPr>
          <w:p w14:paraId="564BFAB1" w14:textId="77777777" w:rsidR="00027D0E" w:rsidRPr="00AF0CC3" w:rsidRDefault="00027D0E" w:rsidP="00027D0E">
            <w:pPr>
              <w:spacing w:after="0" w:line="240" w:lineRule="auto"/>
              <w:rPr>
                <w:rFonts w:ascii="Times New Roman" w:eastAsia="Times New Roman" w:hAnsi="Times New Roman" w:cs="Times New Roman"/>
                <w:b/>
                <w:bCs/>
                <w:color w:val="000000"/>
                <w:kern w:val="0"/>
                <w14:ligatures w14:val="none"/>
              </w:rPr>
            </w:pPr>
            <w:r w:rsidRPr="00AF0CC3">
              <w:rPr>
                <w:rFonts w:ascii="Times New Roman" w:eastAsia="Times New Roman" w:hAnsi="Times New Roman" w:cs="Times New Roman"/>
                <w:b/>
                <w:bCs/>
                <w:color w:val="000000"/>
                <w:kern w:val="0"/>
                <w14:ligatures w14:val="none"/>
              </w:rPr>
              <w:t>Risk Identification and Mitigation</w:t>
            </w:r>
          </w:p>
        </w:tc>
      </w:tr>
      <w:tr w:rsidR="00027D0E" w:rsidRPr="00AF0CC3" w14:paraId="0641D669" w14:textId="77777777" w:rsidTr="00095007">
        <w:trPr>
          <w:trHeight w:val="290"/>
        </w:trPr>
        <w:tc>
          <w:tcPr>
            <w:tcW w:w="10259" w:type="dxa"/>
            <w:tcBorders>
              <w:top w:val="nil"/>
              <w:left w:val="nil"/>
              <w:bottom w:val="nil"/>
              <w:right w:val="nil"/>
            </w:tcBorders>
            <w:noWrap/>
            <w:vAlign w:val="center"/>
            <w:hideMark/>
          </w:tcPr>
          <w:p w14:paraId="30213D85" w14:textId="77777777" w:rsidR="00027D0E" w:rsidRPr="00AF0CC3" w:rsidRDefault="00027D0E" w:rsidP="00027D0E">
            <w:pPr>
              <w:spacing w:after="0" w:line="240" w:lineRule="auto"/>
              <w:rPr>
                <w:rFonts w:ascii="Times New Roman" w:eastAsia="Times New Roman" w:hAnsi="Times New Roman" w:cs="Times New Roman"/>
                <w:b/>
                <w:bCs/>
                <w:color w:val="000000"/>
                <w:kern w:val="0"/>
                <w14:ligatures w14:val="none"/>
              </w:rPr>
            </w:pPr>
          </w:p>
        </w:tc>
      </w:tr>
      <w:tr w:rsidR="00027D0E" w:rsidRPr="00AF0CC3" w14:paraId="5B4BC250" w14:textId="77777777" w:rsidTr="00095007">
        <w:trPr>
          <w:trHeight w:val="290"/>
        </w:trPr>
        <w:tc>
          <w:tcPr>
            <w:tcW w:w="10259" w:type="dxa"/>
            <w:tcBorders>
              <w:top w:val="nil"/>
              <w:left w:val="nil"/>
              <w:bottom w:val="nil"/>
              <w:right w:val="nil"/>
            </w:tcBorders>
            <w:noWrap/>
            <w:vAlign w:val="center"/>
            <w:hideMark/>
          </w:tcPr>
          <w:p w14:paraId="26CB2B60" w14:textId="77777777" w:rsidR="00027D0E" w:rsidRPr="00AF0CC3" w:rsidRDefault="00027D0E" w:rsidP="00027D0E">
            <w:pPr>
              <w:spacing w:after="0" w:line="240" w:lineRule="auto"/>
              <w:ind w:firstLineChars="100" w:firstLine="241"/>
              <w:rPr>
                <w:rFonts w:ascii="Times New Roman" w:eastAsia="Times New Roman" w:hAnsi="Times New Roman" w:cs="Times New Roman"/>
                <w:b/>
                <w:bCs/>
                <w:color w:val="000000"/>
                <w:kern w:val="0"/>
                <w14:ligatures w14:val="none"/>
              </w:rPr>
            </w:pPr>
            <w:r w:rsidRPr="00AF0CC3">
              <w:rPr>
                <w:rFonts w:ascii="Times New Roman" w:eastAsia="Times New Roman" w:hAnsi="Times New Roman" w:cs="Times New Roman"/>
                <w:b/>
                <w:bCs/>
                <w:color w:val="000000"/>
                <w:kern w:val="0"/>
                <w14:ligatures w14:val="none"/>
              </w:rPr>
              <w:t>1</w:t>
            </w:r>
            <w:r w:rsidRPr="00AF0CC3">
              <w:rPr>
                <w:rFonts w:ascii="Times New Roman" w:eastAsia="Times New Roman" w:hAnsi="Times New Roman" w:cs="Times New Roman"/>
                <w:color w:val="000000"/>
                <w:kern w:val="0"/>
                <w14:ligatures w14:val="none"/>
              </w:rPr>
              <w:t xml:space="preserve"> = Risks clearly identified with mitigation strategies</w:t>
            </w:r>
          </w:p>
        </w:tc>
      </w:tr>
      <w:tr w:rsidR="00027D0E" w:rsidRPr="00AF0CC3" w14:paraId="7EE4F19E" w14:textId="77777777" w:rsidTr="00095007">
        <w:trPr>
          <w:trHeight w:val="290"/>
        </w:trPr>
        <w:tc>
          <w:tcPr>
            <w:tcW w:w="10259" w:type="dxa"/>
            <w:tcBorders>
              <w:top w:val="nil"/>
              <w:left w:val="nil"/>
              <w:bottom w:val="nil"/>
              <w:right w:val="nil"/>
            </w:tcBorders>
            <w:noWrap/>
            <w:vAlign w:val="center"/>
            <w:hideMark/>
          </w:tcPr>
          <w:p w14:paraId="046A58FF" w14:textId="77777777" w:rsidR="00027D0E" w:rsidRPr="00AF0CC3" w:rsidRDefault="00027D0E" w:rsidP="00027D0E">
            <w:pPr>
              <w:spacing w:after="0" w:line="240" w:lineRule="auto"/>
              <w:ind w:firstLineChars="100" w:firstLine="241"/>
              <w:rPr>
                <w:rFonts w:ascii="Times New Roman" w:eastAsia="Times New Roman" w:hAnsi="Times New Roman" w:cs="Times New Roman"/>
                <w:b/>
                <w:bCs/>
                <w:color w:val="000000"/>
                <w:kern w:val="0"/>
                <w14:ligatures w14:val="none"/>
              </w:rPr>
            </w:pPr>
            <w:r w:rsidRPr="00AF0CC3">
              <w:rPr>
                <w:rFonts w:ascii="Times New Roman" w:eastAsia="Times New Roman" w:hAnsi="Times New Roman" w:cs="Times New Roman"/>
                <w:b/>
                <w:bCs/>
                <w:color w:val="000000"/>
                <w:kern w:val="0"/>
                <w14:ligatures w14:val="none"/>
              </w:rPr>
              <w:t>0.5</w:t>
            </w:r>
            <w:r w:rsidRPr="00AF0CC3">
              <w:rPr>
                <w:rFonts w:ascii="Times New Roman" w:eastAsia="Times New Roman" w:hAnsi="Times New Roman" w:cs="Times New Roman"/>
                <w:color w:val="000000"/>
                <w:kern w:val="0"/>
                <w14:ligatures w14:val="none"/>
              </w:rPr>
              <w:t xml:space="preserve"> = Risks mentioned but mitigation incomplete</w:t>
            </w:r>
          </w:p>
        </w:tc>
      </w:tr>
      <w:tr w:rsidR="00027D0E" w:rsidRPr="00AF0CC3" w14:paraId="620C1E15" w14:textId="77777777" w:rsidTr="00095007">
        <w:trPr>
          <w:trHeight w:val="290"/>
        </w:trPr>
        <w:tc>
          <w:tcPr>
            <w:tcW w:w="10259" w:type="dxa"/>
            <w:tcBorders>
              <w:top w:val="nil"/>
              <w:left w:val="nil"/>
              <w:bottom w:val="nil"/>
              <w:right w:val="nil"/>
            </w:tcBorders>
            <w:noWrap/>
            <w:vAlign w:val="center"/>
            <w:hideMark/>
          </w:tcPr>
          <w:p w14:paraId="30164970" w14:textId="77777777" w:rsidR="00027D0E" w:rsidRPr="00AF0CC3" w:rsidRDefault="00027D0E" w:rsidP="00027D0E">
            <w:pPr>
              <w:spacing w:after="0" w:line="240" w:lineRule="auto"/>
              <w:ind w:firstLineChars="100" w:firstLine="241"/>
              <w:rPr>
                <w:rFonts w:ascii="Times New Roman" w:eastAsia="Times New Roman" w:hAnsi="Times New Roman" w:cs="Times New Roman"/>
                <w:b/>
                <w:bCs/>
                <w:color w:val="000000"/>
                <w:kern w:val="0"/>
                <w14:ligatures w14:val="none"/>
              </w:rPr>
            </w:pPr>
            <w:r w:rsidRPr="00AF0CC3">
              <w:rPr>
                <w:rFonts w:ascii="Times New Roman" w:eastAsia="Times New Roman" w:hAnsi="Times New Roman" w:cs="Times New Roman"/>
                <w:b/>
                <w:bCs/>
                <w:color w:val="000000"/>
                <w:kern w:val="0"/>
                <w14:ligatures w14:val="none"/>
              </w:rPr>
              <w:t>0</w:t>
            </w:r>
            <w:r w:rsidRPr="00AF0CC3">
              <w:rPr>
                <w:rFonts w:ascii="Times New Roman" w:eastAsia="Times New Roman" w:hAnsi="Times New Roman" w:cs="Times New Roman"/>
                <w:color w:val="000000"/>
                <w:kern w:val="0"/>
                <w14:ligatures w14:val="none"/>
              </w:rPr>
              <w:t xml:space="preserve"> = No documented risk analysis</w:t>
            </w:r>
          </w:p>
        </w:tc>
      </w:tr>
      <w:tr w:rsidR="00027D0E" w:rsidRPr="00AF0CC3" w14:paraId="249F22A6" w14:textId="77777777" w:rsidTr="00095007">
        <w:trPr>
          <w:trHeight w:val="290"/>
        </w:trPr>
        <w:tc>
          <w:tcPr>
            <w:tcW w:w="10259" w:type="dxa"/>
            <w:tcBorders>
              <w:top w:val="nil"/>
              <w:left w:val="nil"/>
              <w:bottom w:val="nil"/>
              <w:right w:val="nil"/>
            </w:tcBorders>
            <w:noWrap/>
            <w:vAlign w:val="bottom"/>
            <w:hideMark/>
          </w:tcPr>
          <w:p w14:paraId="05EB0804" w14:textId="77777777" w:rsidR="00027D0E" w:rsidRPr="00AF0CC3" w:rsidRDefault="00027D0E" w:rsidP="00027D0E">
            <w:pPr>
              <w:spacing w:after="0" w:line="240" w:lineRule="auto"/>
              <w:ind w:firstLineChars="100" w:firstLine="241"/>
              <w:rPr>
                <w:rFonts w:ascii="Times New Roman" w:eastAsia="Times New Roman" w:hAnsi="Times New Roman" w:cs="Times New Roman"/>
                <w:b/>
                <w:bCs/>
                <w:color w:val="000000"/>
                <w:kern w:val="0"/>
                <w14:ligatures w14:val="none"/>
              </w:rPr>
            </w:pPr>
          </w:p>
        </w:tc>
      </w:tr>
      <w:tr w:rsidR="00027D0E" w:rsidRPr="00AF0CC3" w14:paraId="295DE46C" w14:textId="77777777" w:rsidTr="00095007">
        <w:trPr>
          <w:trHeight w:val="290"/>
        </w:trPr>
        <w:tc>
          <w:tcPr>
            <w:tcW w:w="10259" w:type="dxa"/>
            <w:tcBorders>
              <w:top w:val="nil"/>
              <w:left w:val="nil"/>
              <w:bottom w:val="nil"/>
              <w:right w:val="nil"/>
            </w:tcBorders>
            <w:noWrap/>
            <w:vAlign w:val="bottom"/>
            <w:hideMark/>
          </w:tcPr>
          <w:p w14:paraId="0800FFB1" w14:textId="77777777" w:rsidR="00027D0E" w:rsidRPr="00AF0CC3" w:rsidRDefault="00027D0E" w:rsidP="00027D0E">
            <w:pPr>
              <w:spacing w:after="0" w:line="240" w:lineRule="auto"/>
              <w:rPr>
                <w:rFonts w:ascii="Times New Roman" w:eastAsia="Times New Roman" w:hAnsi="Times New Roman" w:cs="Times New Roman"/>
                <w:kern w:val="0"/>
                <w14:ligatures w14:val="none"/>
              </w:rPr>
            </w:pPr>
          </w:p>
        </w:tc>
      </w:tr>
      <w:tr w:rsidR="00027D0E" w:rsidRPr="00AF0CC3" w14:paraId="280D00F8" w14:textId="77777777" w:rsidTr="00095007">
        <w:trPr>
          <w:trHeight w:val="290"/>
        </w:trPr>
        <w:tc>
          <w:tcPr>
            <w:tcW w:w="10259" w:type="dxa"/>
            <w:tcBorders>
              <w:top w:val="nil"/>
              <w:left w:val="nil"/>
              <w:bottom w:val="nil"/>
              <w:right w:val="nil"/>
            </w:tcBorders>
            <w:noWrap/>
            <w:vAlign w:val="bottom"/>
            <w:hideMark/>
          </w:tcPr>
          <w:p w14:paraId="1210C2C7" w14:textId="77777777" w:rsidR="00027D0E" w:rsidRPr="00AF0CC3" w:rsidRDefault="00027D0E" w:rsidP="00027D0E">
            <w:pPr>
              <w:spacing w:after="0" w:line="240" w:lineRule="auto"/>
              <w:rPr>
                <w:rFonts w:ascii="Times New Roman" w:eastAsia="Times New Roman" w:hAnsi="Times New Roman" w:cs="Times New Roman"/>
                <w:kern w:val="0"/>
                <w14:ligatures w14:val="none"/>
              </w:rPr>
            </w:pPr>
          </w:p>
        </w:tc>
      </w:tr>
      <w:tr w:rsidR="00027D0E" w:rsidRPr="00AF0CC3" w14:paraId="723F6DCC" w14:textId="77777777" w:rsidTr="00095007">
        <w:trPr>
          <w:trHeight w:val="470"/>
        </w:trPr>
        <w:tc>
          <w:tcPr>
            <w:tcW w:w="10259" w:type="dxa"/>
            <w:tcBorders>
              <w:top w:val="nil"/>
              <w:left w:val="nil"/>
              <w:bottom w:val="nil"/>
              <w:right w:val="nil"/>
            </w:tcBorders>
            <w:noWrap/>
            <w:vAlign w:val="center"/>
            <w:hideMark/>
          </w:tcPr>
          <w:p w14:paraId="15EAF82C" w14:textId="77777777" w:rsidR="00027D0E" w:rsidRPr="00AF0CC3" w:rsidRDefault="00027D0E" w:rsidP="00027D0E">
            <w:pPr>
              <w:spacing w:after="0" w:line="240" w:lineRule="auto"/>
              <w:rPr>
                <w:rFonts w:ascii="Times New Roman" w:eastAsia="Times New Roman" w:hAnsi="Times New Roman" w:cs="Times New Roman"/>
                <w:b/>
                <w:bCs/>
                <w:color w:val="000000"/>
                <w:kern w:val="0"/>
                <w14:ligatures w14:val="none"/>
              </w:rPr>
            </w:pPr>
            <w:r w:rsidRPr="00AF0CC3">
              <w:rPr>
                <w:rFonts w:ascii="Times New Roman" w:eastAsia="Times New Roman" w:hAnsi="Times New Roman" w:cs="Times New Roman"/>
                <w:b/>
                <w:bCs/>
                <w:color w:val="000000"/>
                <w:kern w:val="0"/>
                <w14:ligatures w14:val="none"/>
              </w:rPr>
              <w:t>1.2 Procurement and Contracting</w:t>
            </w:r>
          </w:p>
        </w:tc>
      </w:tr>
      <w:tr w:rsidR="00027D0E" w:rsidRPr="00AF0CC3" w14:paraId="4B06D76F" w14:textId="77777777" w:rsidTr="00095007">
        <w:trPr>
          <w:trHeight w:val="290"/>
        </w:trPr>
        <w:tc>
          <w:tcPr>
            <w:tcW w:w="10259" w:type="dxa"/>
            <w:tcBorders>
              <w:top w:val="nil"/>
              <w:left w:val="nil"/>
              <w:bottom w:val="nil"/>
              <w:right w:val="nil"/>
            </w:tcBorders>
            <w:noWrap/>
            <w:vAlign w:val="bottom"/>
            <w:hideMark/>
          </w:tcPr>
          <w:p w14:paraId="066425B2" w14:textId="77777777" w:rsidR="00027D0E" w:rsidRPr="00AF0CC3" w:rsidRDefault="00027D0E" w:rsidP="00027D0E">
            <w:pPr>
              <w:spacing w:after="0" w:line="240" w:lineRule="auto"/>
              <w:rPr>
                <w:rFonts w:ascii="Times New Roman" w:eastAsia="Times New Roman" w:hAnsi="Times New Roman" w:cs="Times New Roman"/>
                <w:b/>
                <w:bCs/>
                <w:color w:val="000000"/>
                <w:kern w:val="0"/>
                <w14:ligatures w14:val="none"/>
              </w:rPr>
            </w:pPr>
          </w:p>
        </w:tc>
      </w:tr>
      <w:tr w:rsidR="00027D0E" w:rsidRPr="00AF0CC3" w14:paraId="338D14F5" w14:textId="77777777" w:rsidTr="00095007">
        <w:trPr>
          <w:trHeight w:val="350"/>
        </w:trPr>
        <w:tc>
          <w:tcPr>
            <w:tcW w:w="10259" w:type="dxa"/>
            <w:tcBorders>
              <w:top w:val="nil"/>
              <w:left w:val="nil"/>
              <w:bottom w:val="nil"/>
              <w:right w:val="nil"/>
            </w:tcBorders>
            <w:noWrap/>
            <w:vAlign w:val="center"/>
            <w:hideMark/>
          </w:tcPr>
          <w:p w14:paraId="608398E3" w14:textId="77777777" w:rsidR="00027D0E" w:rsidRPr="00AF0CC3" w:rsidRDefault="00027D0E" w:rsidP="00027D0E">
            <w:pPr>
              <w:spacing w:after="0" w:line="240" w:lineRule="auto"/>
              <w:rPr>
                <w:rFonts w:ascii="Times New Roman" w:eastAsia="Times New Roman" w:hAnsi="Times New Roman" w:cs="Times New Roman"/>
                <w:b/>
                <w:bCs/>
                <w:color w:val="000000"/>
                <w:kern w:val="0"/>
                <w14:ligatures w14:val="none"/>
              </w:rPr>
            </w:pPr>
            <w:r w:rsidRPr="00AF0CC3">
              <w:rPr>
                <w:rFonts w:ascii="Times New Roman" w:eastAsia="Times New Roman" w:hAnsi="Times New Roman" w:cs="Times New Roman"/>
                <w:b/>
                <w:bCs/>
                <w:color w:val="000000"/>
                <w:kern w:val="0"/>
                <w14:ligatures w14:val="none"/>
              </w:rPr>
              <w:t>Procurement Transparency and Competitiveness</w:t>
            </w:r>
          </w:p>
        </w:tc>
      </w:tr>
      <w:tr w:rsidR="00027D0E" w:rsidRPr="00AF0CC3" w14:paraId="62513415" w14:textId="77777777" w:rsidTr="00095007">
        <w:trPr>
          <w:trHeight w:val="290"/>
        </w:trPr>
        <w:tc>
          <w:tcPr>
            <w:tcW w:w="10259" w:type="dxa"/>
            <w:tcBorders>
              <w:top w:val="nil"/>
              <w:left w:val="nil"/>
              <w:bottom w:val="nil"/>
              <w:right w:val="nil"/>
            </w:tcBorders>
            <w:noWrap/>
            <w:vAlign w:val="center"/>
            <w:hideMark/>
          </w:tcPr>
          <w:p w14:paraId="4669C256" w14:textId="77777777" w:rsidR="00027D0E" w:rsidRPr="00AF0CC3" w:rsidRDefault="00027D0E" w:rsidP="00027D0E">
            <w:pPr>
              <w:spacing w:after="0" w:line="240" w:lineRule="auto"/>
              <w:rPr>
                <w:rFonts w:ascii="Times New Roman" w:eastAsia="Times New Roman" w:hAnsi="Times New Roman" w:cs="Times New Roman"/>
                <w:b/>
                <w:bCs/>
                <w:color w:val="000000"/>
                <w:kern w:val="0"/>
                <w14:ligatures w14:val="none"/>
              </w:rPr>
            </w:pPr>
          </w:p>
        </w:tc>
      </w:tr>
      <w:tr w:rsidR="00027D0E" w:rsidRPr="00AF0CC3" w14:paraId="43EDC1BC" w14:textId="77777777" w:rsidTr="00095007">
        <w:trPr>
          <w:trHeight w:val="290"/>
        </w:trPr>
        <w:tc>
          <w:tcPr>
            <w:tcW w:w="10259" w:type="dxa"/>
            <w:tcBorders>
              <w:top w:val="nil"/>
              <w:left w:val="nil"/>
              <w:bottom w:val="nil"/>
              <w:right w:val="nil"/>
            </w:tcBorders>
            <w:noWrap/>
            <w:vAlign w:val="center"/>
            <w:hideMark/>
          </w:tcPr>
          <w:p w14:paraId="6047F779" w14:textId="77777777" w:rsidR="00027D0E" w:rsidRPr="00AF0CC3" w:rsidRDefault="00027D0E" w:rsidP="00027D0E">
            <w:pPr>
              <w:spacing w:after="0" w:line="240" w:lineRule="auto"/>
              <w:ind w:firstLineChars="100" w:firstLine="241"/>
              <w:rPr>
                <w:rFonts w:ascii="Times New Roman" w:eastAsia="Times New Roman" w:hAnsi="Times New Roman" w:cs="Times New Roman"/>
                <w:b/>
                <w:bCs/>
                <w:color w:val="000000"/>
                <w:kern w:val="0"/>
                <w14:ligatures w14:val="none"/>
              </w:rPr>
            </w:pPr>
            <w:r w:rsidRPr="00AF0CC3">
              <w:rPr>
                <w:rFonts w:ascii="Times New Roman" w:eastAsia="Times New Roman" w:hAnsi="Times New Roman" w:cs="Times New Roman"/>
                <w:b/>
                <w:bCs/>
                <w:color w:val="000000"/>
                <w:kern w:val="0"/>
                <w14:ligatures w14:val="none"/>
              </w:rPr>
              <w:t>1</w:t>
            </w:r>
            <w:r w:rsidRPr="00AF0CC3">
              <w:rPr>
                <w:rFonts w:ascii="Times New Roman" w:eastAsia="Times New Roman" w:hAnsi="Times New Roman" w:cs="Times New Roman"/>
                <w:color w:val="000000"/>
                <w:kern w:val="0"/>
                <w14:ligatures w14:val="none"/>
              </w:rPr>
              <w:t xml:space="preserve"> = Open competitive tender with clear documentation</w:t>
            </w:r>
          </w:p>
        </w:tc>
      </w:tr>
      <w:tr w:rsidR="00027D0E" w:rsidRPr="00AF0CC3" w14:paraId="6DCA1314" w14:textId="77777777" w:rsidTr="00095007">
        <w:trPr>
          <w:trHeight w:val="290"/>
        </w:trPr>
        <w:tc>
          <w:tcPr>
            <w:tcW w:w="10259" w:type="dxa"/>
            <w:tcBorders>
              <w:top w:val="nil"/>
              <w:left w:val="nil"/>
              <w:bottom w:val="nil"/>
              <w:right w:val="nil"/>
            </w:tcBorders>
            <w:noWrap/>
            <w:vAlign w:val="center"/>
            <w:hideMark/>
          </w:tcPr>
          <w:p w14:paraId="132E2EE7" w14:textId="77777777" w:rsidR="00027D0E" w:rsidRPr="00AF0CC3" w:rsidRDefault="00027D0E" w:rsidP="00027D0E">
            <w:pPr>
              <w:spacing w:after="0" w:line="240" w:lineRule="auto"/>
              <w:ind w:firstLineChars="100" w:firstLine="241"/>
              <w:rPr>
                <w:rFonts w:ascii="Times New Roman" w:eastAsia="Times New Roman" w:hAnsi="Times New Roman" w:cs="Times New Roman"/>
                <w:b/>
                <w:bCs/>
                <w:color w:val="000000"/>
                <w:kern w:val="0"/>
                <w14:ligatures w14:val="none"/>
              </w:rPr>
            </w:pPr>
            <w:r w:rsidRPr="00AF0CC3">
              <w:rPr>
                <w:rFonts w:ascii="Times New Roman" w:eastAsia="Times New Roman" w:hAnsi="Times New Roman" w:cs="Times New Roman"/>
                <w:b/>
                <w:bCs/>
                <w:color w:val="000000"/>
                <w:kern w:val="0"/>
                <w14:ligatures w14:val="none"/>
              </w:rPr>
              <w:lastRenderedPageBreak/>
              <w:t>0.5</w:t>
            </w:r>
            <w:r w:rsidRPr="00AF0CC3">
              <w:rPr>
                <w:rFonts w:ascii="Times New Roman" w:eastAsia="Times New Roman" w:hAnsi="Times New Roman" w:cs="Times New Roman"/>
                <w:color w:val="000000"/>
                <w:kern w:val="0"/>
                <w14:ligatures w14:val="none"/>
              </w:rPr>
              <w:t xml:space="preserve"> = Limited competition or partial transparency</w:t>
            </w:r>
          </w:p>
        </w:tc>
      </w:tr>
      <w:tr w:rsidR="00027D0E" w:rsidRPr="00AF0CC3" w14:paraId="612D7344" w14:textId="77777777" w:rsidTr="00095007">
        <w:trPr>
          <w:trHeight w:val="290"/>
        </w:trPr>
        <w:tc>
          <w:tcPr>
            <w:tcW w:w="10259" w:type="dxa"/>
            <w:tcBorders>
              <w:top w:val="nil"/>
              <w:left w:val="nil"/>
              <w:bottom w:val="nil"/>
              <w:right w:val="nil"/>
            </w:tcBorders>
            <w:noWrap/>
            <w:vAlign w:val="center"/>
            <w:hideMark/>
          </w:tcPr>
          <w:p w14:paraId="7C4AEB2F" w14:textId="77777777" w:rsidR="00027D0E" w:rsidRPr="00AF0CC3" w:rsidRDefault="00027D0E" w:rsidP="00027D0E">
            <w:pPr>
              <w:spacing w:after="0" w:line="240" w:lineRule="auto"/>
              <w:ind w:firstLineChars="100" w:firstLine="241"/>
              <w:rPr>
                <w:rFonts w:ascii="Times New Roman" w:eastAsia="Times New Roman" w:hAnsi="Times New Roman" w:cs="Times New Roman"/>
                <w:b/>
                <w:bCs/>
                <w:color w:val="000000"/>
                <w:kern w:val="0"/>
                <w14:ligatures w14:val="none"/>
              </w:rPr>
            </w:pPr>
            <w:r w:rsidRPr="00AF0CC3">
              <w:rPr>
                <w:rFonts w:ascii="Times New Roman" w:eastAsia="Times New Roman" w:hAnsi="Times New Roman" w:cs="Times New Roman"/>
                <w:b/>
                <w:bCs/>
                <w:color w:val="000000"/>
                <w:kern w:val="0"/>
                <w14:ligatures w14:val="none"/>
              </w:rPr>
              <w:t>0</w:t>
            </w:r>
            <w:r w:rsidRPr="00AF0CC3">
              <w:rPr>
                <w:rFonts w:ascii="Times New Roman" w:eastAsia="Times New Roman" w:hAnsi="Times New Roman" w:cs="Times New Roman"/>
                <w:color w:val="000000"/>
                <w:kern w:val="0"/>
                <w14:ligatures w14:val="none"/>
              </w:rPr>
              <w:t xml:space="preserve"> = Direct award or undocumented procurement</w:t>
            </w:r>
          </w:p>
        </w:tc>
      </w:tr>
      <w:tr w:rsidR="00027D0E" w:rsidRPr="00AF0CC3" w14:paraId="08F0EC60" w14:textId="77777777" w:rsidTr="00095007">
        <w:trPr>
          <w:trHeight w:val="290"/>
        </w:trPr>
        <w:tc>
          <w:tcPr>
            <w:tcW w:w="10259" w:type="dxa"/>
            <w:tcBorders>
              <w:top w:val="nil"/>
              <w:left w:val="nil"/>
              <w:bottom w:val="nil"/>
              <w:right w:val="nil"/>
            </w:tcBorders>
            <w:noWrap/>
            <w:vAlign w:val="bottom"/>
            <w:hideMark/>
          </w:tcPr>
          <w:p w14:paraId="27ABE806" w14:textId="77777777" w:rsidR="00027D0E" w:rsidRPr="00AF0CC3" w:rsidRDefault="00027D0E" w:rsidP="00027D0E">
            <w:pPr>
              <w:spacing w:after="0" w:line="240" w:lineRule="auto"/>
              <w:ind w:firstLineChars="100" w:firstLine="241"/>
              <w:rPr>
                <w:rFonts w:ascii="Times New Roman" w:eastAsia="Times New Roman" w:hAnsi="Times New Roman" w:cs="Times New Roman"/>
                <w:b/>
                <w:bCs/>
                <w:color w:val="000000"/>
                <w:kern w:val="0"/>
                <w14:ligatures w14:val="none"/>
              </w:rPr>
            </w:pPr>
          </w:p>
        </w:tc>
      </w:tr>
      <w:tr w:rsidR="00027D0E" w:rsidRPr="00AF0CC3" w14:paraId="6F3BE824" w14:textId="77777777" w:rsidTr="00095007">
        <w:trPr>
          <w:trHeight w:val="290"/>
        </w:trPr>
        <w:tc>
          <w:tcPr>
            <w:tcW w:w="10259" w:type="dxa"/>
            <w:tcBorders>
              <w:top w:val="nil"/>
              <w:left w:val="nil"/>
              <w:bottom w:val="nil"/>
              <w:right w:val="nil"/>
            </w:tcBorders>
            <w:noWrap/>
            <w:vAlign w:val="bottom"/>
            <w:hideMark/>
          </w:tcPr>
          <w:p w14:paraId="1DA8C936" w14:textId="77777777" w:rsidR="00027D0E" w:rsidRPr="00AF0CC3" w:rsidRDefault="00027D0E" w:rsidP="00027D0E">
            <w:pPr>
              <w:spacing w:after="0" w:line="240" w:lineRule="auto"/>
              <w:rPr>
                <w:rFonts w:ascii="Times New Roman" w:eastAsia="Times New Roman" w:hAnsi="Times New Roman" w:cs="Times New Roman"/>
                <w:kern w:val="0"/>
                <w14:ligatures w14:val="none"/>
              </w:rPr>
            </w:pPr>
          </w:p>
        </w:tc>
      </w:tr>
      <w:tr w:rsidR="00027D0E" w:rsidRPr="00AF0CC3" w14:paraId="549F6EB2" w14:textId="77777777" w:rsidTr="00095007">
        <w:trPr>
          <w:trHeight w:val="290"/>
        </w:trPr>
        <w:tc>
          <w:tcPr>
            <w:tcW w:w="10259" w:type="dxa"/>
            <w:tcBorders>
              <w:top w:val="nil"/>
              <w:left w:val="nil"/>
              <w:bottom w:val="nil"/>
              <w:right w:val="nil"/>
            </w:tcBorders>
            <w:noWrap/>
            <w:vAlign w:val="bottom"/>
            <w:hideMark/>
          </w:tcPr>
          <w:p w14:paraId="6845B0E0" w14:textId="77777777" w:rsidR="00027D0E" w:rsidRPr="00AF0CC3" w:rsidRDefault="00027D0E" w:rsidP="00027D0E">
            <w:pPr>
              <w:spacing w:after="0" w:line="240" w:lineRule="auto"/>
              <w:rPr>
                <w:rFonts w:ascii="Times New Roman" w:eastAsia="Times New Roman" w:hAnsi="Times New Roman" w:cs="Times New Roman"/>
                <w:kern w:val="0"/>
                <w14:ligatures w14:val="none"/>
              </w:rPr>
            </w:pPr>
          </w:p>
        </w:tc>
      </w:tr>
      <w:tr w:rsidR="00027D0E" w:rsidRPr="00AF0CC3" w14:paraId="0DD751A2" w14:textId="77777777" w:rsidTr="00095007">
        <w:trPr>
          <w:trHeight w:val="350"/>
        </w:trPr>
        <w:tc>
          <w:tcPr>
            <w:tcW w:w="10259" w:type="dxa"/>
            <w:tcBorders>
              <w:top w:val="nil"/>
              <w:left w:val="nil"/>
              <w:bottom w:val="nil"/>
              <w:right w:val="nil"/>
            </w:tcBorders>
            <w:noWrap/>
            <w:vAlign w:val="center"/>
            <w:hideMark/>
          </w:tcPr>
          <w:p w14:paraId="03667D08" w14:textId="77777777" w:rsidR="00027D0E" w:rsidRPr="00AF0CC3" w:rsidRDefault="00027D0E" w:rsidP="00027D0E">
            <w:pPr>
              <w:spacing w:after="0" w:line="240" w:lineRule="auto"/>
              <w:rPr>
                <w:rFonts w:ascii="Times New Roman" w:eastAsia="Times New Roman" w:hAnsi="Times New Roman" w:cs="Times New Roman"/>
                <w:b/>
                <w:bCs/>
                <w:color w:val="000000"/>
                <w:kern w:val="0"/>
                <w14:ligatures w14:val="none"/>
              </w:rPr>
            </w:pPr>
            <w:r w:rsidRPr="00AF0CC3">
              <w:rPr>
                <w:rFonts w:ascii="Times New Roman" w:eastAsia="Times New Roman" w:hAnsi="Times New Roman" w:cs="Times New Roman"/>
                <w:b/>
                <w:bCs/>
                <w:color w:val="000000"/>
                <w:kern w:val="0"/>
                <w14:ligatures w14:val="none"/>
              </w:rPr>
              <w:t>Contract Quality and Risk Allocation</w:t>
            </w:r>
          </w:p>
        </w:tc>
      </w:tr>
      <w:tr w:rsidR="00027D0E" w:rsidRPr="00AF0CC3" w14:paraId="39DBA38A" w14:textId="77777777" w:rsidTr="00095007">
        <w:trPr>
          <w:trHeight w:val="290"/>
        </w:trPr>
        <w:tc>
          <w:tcPr>
            <w:tcW w:w="10259" w:type="dxa"/>
            <w:tcBorders>
              <w:top w:val="nil"/>
              <w:left w:val="nil"/>
              <w:bottom w:val="nil"/>
              <w:right w:val="nil"/>
            </w:tcBorders>
            <w:noWrap/>
            <w:vAlign w:val="center"/>
            <w:hideMark/>
          </w:tcPr>
          <w:p w14:paraId="18637065" w14:textId="77777777" w:rsidR="00027D0E" w:rsidRPr="00AF0CC3" w:rsidRDefault="00027D0E" w:rsidP="00027D0E">
            <w:pPr>
              <w:spacing w:after="0" w:line="240" w:lineRule="auto"/>
              <w:rPr>
                <w:rFonts w:ascii="Times New Roman" w:eastAsia="Times New Roman" w:hAnsi="Times New Roman" w:cs="Times New Roman"/>
                <w:b/>
                <w:bCs/>
                <w:color w:val="000000"/>
                <w:kern w:val="0"/>
                <w14:ligatures w14:val="none"/>
              </w:rPr>
            </w:pPr>
          </w:p>
        </w:tc>
      </w:tr>
      <w:tr w:rsidR="00027D0E" w:rsidRPr="00AF0CC3" w14:paraId="2225C8C7" w14:textId="77777777" w:rsidTr="00095007">
        <w:trPr>
          <w:trHeight w:val="290"/>
        </w:trPr>
        <w:tc>
          <w:tcPr>
            <w:tcW w:w="10259" w:type="dxa"/>
            <w:tcBorders>
              <w:top w:val="nil"/>
              <w:left w:val="nil"/>
              <w:bottom w:val="nil"/>
              <w:right w:val="nil"/>
            </w:tcBorders>
            <w:noWrap/>
            <w:vAlign w:val="center"/>
            <w:hideMark/>
          </w:tcPr>
          <w:p w14:paraId="3A1DBE99" w14:textId="77777777" w:rsidR="00027D0E" w:rsidRPr="00AF0CC3" w:rsidRDefault="00027D0E" w:rsidP="00027D0E">
            <w:pPr>
              <w:spacing w:after="0" w:line="240" w:lineRule="auto"/>
              <w:ind w:firstLineChars="100" w:firstLine="241"/>
              <w:rPr>
                <w:rFonts w:ascii="Times New Roman" w:eastAsia="Times New Roman" w:hAnsi="Times New Roman" w:cs="Times New Roman"/>
                <w:b/>
                <w:bCs/>
                <w:color w:val="000000"/>
                <w:kern w:val="0"/>
                <w14:ligatures w14:val="none"/>
              </w:rPr>
            </w:pPr>
            <w:r w:rsidRPr="00AF0CC3">
              <w:rPr>
                <w:rFonts w:ascii="Times New Roman" w:eastAsia="Times New Roman" w:hAnsi="Times New Roman" w:cs="Times New Roman"/>
                <w:b/>
                <w:bCs/>
                <w:color w:val="000000"/>
                <w:kern w:val="0"/>
                <w14:ligatures w14:val="none"/>
              </w:rPr>
              <w:t>1</w:t>
            </w:r>
            <w:r w:rsidRPr="00AF0CC3">
              <w:rPr>
                <w:rFonts w:ascii="Times New Roman" w:eastAsia="Times New Roman" w:hAnsi="Times New Roman" w:cs="Times New Roman"/>
                <w:color w:val="000000"/>
                <w:kern w:val="0"/>
                <w14:ligatures w14:val="none"/>
              </w:rPr>
              <w:t xml:space="preserve"> = Clear contract specifying roles, timelines, and risk allocation</w:t>
            </w:r>
          </w:p>
        </w:tc>
      </w:tr>
      <w:tr w:rsidR="00027D0E" w:rsidRPr="00AF0CC3" w14:paraId="38B1ED73" w14:textId="77777777" w:rsidTr="00095007">
        <w:trPr>
          <w:trHeight w:val="290"/>
        </w:trPr>
        <w:tc>
          <w:tcPr>
            <w:tcW w:w="10259" w:type="dxa"/>
            <w:tcBorders>
              <w:top w:val="nil"/>
              <w:left w:val="nil"/>
              <w:bottom w:val="nil"/>
              <w:right w:val="nil"/>
            </w:tcBorders>
            <w:noWrap/>
            <w:vAlign w:val="center"/>
            <w:hideMark/>
          </w:tcPr>
          <w:p w14:paraId="1E9441ED" w14:textId="77777777" w:rsidR="00027D0E" w:rsidRPr="00AF0CC3" w:rsidRDefault="00027D0E" w:rsidP="00027D0E">
            <w:pPr>
              <w:spacing w:after="0" w:line="240" w:lineRule="auto"/>
              <w:ind w:firstLineChars="100" w:firstLine="241"/>
              <w:rPr>
                <w:rFonts w:ascii="Times New Roman" w:eastAsia="Times New Roman" w:hAnsi="Times New Roman" w:cs="Times New Roman"/>
                <w:b/>
                <w:bCs/>
                <w:color w:val="000000"/>
                <w:kern w:val="0"/>
                <w14:ligatures w14:val="none"/>
              </w:rPr>
            </w:pPr>
            <w:r w:rsidRPr="00AF0CC3">
              <w:rPr>
                <w:rFonts w:ascii="Times New Roman" w:eastAsia="Times New Roman" w:hAnsi="Times New Roman" w:cs="Times New Roman"/>
                <w:b/>
                <w:bCs/>
                <w:color w:val="000000"/>
                <w:kern w:val="0"/>
                <w14:ligatures w14:val="none"/>
              </w:rPr>
              <w:t>0.5</w:t>
            </w:r>
            <w:r w:rsidRPr="00AF0CC3">
              <w:rPr>
                <w:rFonts w:ascii="Times New Roman" w:eastAsia="Times New Roman" w:hAnsi="Times New Roman" w:cs="Times New Roman"/>
                <w:color w:val="000000"/>
                <w:kern w:val="0"/>
                <w14:ligatures w14:val="none"/>
              </w:rPr>
              <w:t xml:space="preserve"> = Contract exists but lacks clarity in key areas</w:t>
            </w:r>
          </w:p>
        </w:tc>
      </w:tr>
      <w:tr w:rsidR="00027D0E" w:rsidRPr="00AF0CC3" w14:paraId="1F634EFF" w14:textId="77777777" w:rsidTr="00095007">
        <w:trPr>
          <w:trHeight w:val="290"/>
        </w:trPr>
        <w:tc>
          <w:tcPr>
            <w:tcW w:w="10259" w:type="dxa"/>
            <w:tcBorders>
              <w:top w:val="nil"/>
              <w:left w:val="nil"/>
              <w:bottom w:val="nil"/>
              <w:right w:val="nil"/>
            </w:tcBorders>
            <w:noWrap/>
            <w:vAlign w:val="center"/>
            <w:hideMark/>
          </w:tcPr>
          <w:p w14:paraId="1CEF3224" w14:textId="77777777" w:rsidR="00027D0E" w:rsidRPr="00AF0CC3" w:rsidRDefault="00027D0E" w:rsidP="00027D0E">
            <w:pPr>
              <w:spacing w:after="0" w:line="240" w:lineRule="auto"/>
              <w:ind w:firstLineChars="100" w:firstLine="241"/>
              <w:rPr>
                <w:rFonts w:ascii="Times New Roman" w:eastAsia="Times New Roman" w:hAnsi="Times New Roman" w:cs="Times New Roman"/>
                <w:b/>
                <w:bCs/>
                <w:color w:val="000000"/>
                <w:kern w:val="0"/>
                <w14:ligatures w14:val="none"/>
              </w:rPr>
            </w:pPr>
            <w:r w:rsidRPr="00AF0CC3">
              <w:rPr>
                <w:rFonts w:ascii="Times New Roman" w:eastAsia="Times New Roman" w:hAnsi="Times New Roman" w:cs="Times New Roman"/>
                <w:b/>
                <w:bCs/>
                <w:color w:val="000000"/>
                <w:kern w:val="0"/>
                <w14:ligatures w14:val="none"/>
              </w:rPr>
              <w:t>0</w:t>
            </w:r>
            <w:r w:rsidRPr="00AF0CC3">
              <w:rPr>
                <w:rFonts w:ascii="Times New Roman" w:eastAsia="Times New Roman" w:hAnsi="Times New Roman" w:cs="Times New Roman"/>
                <w:color w:val="000000"/>
                <w:kern w:val="0"/>
                <w14:ligatures w14:val="none"/>
              </w:rPr>
              <w:t xml:space="preserve"> = Weak, incomplete, or unavailable contract</w:t>
            </w:r>
          </w:p>
        </w:tc>
      </w:tr>
      <w:tr w:rsidR="00027D0E" w:rsidRPr="00AF0CC3" w14:paraId="32814E38" w14:textId="77777777" w:rsidTr="00095007">
        <w:trPr>
          <w:trHeight w:val="290"/>
        </w:trPr>
        <w:tc>
          <w:tcPr>
            <w:tcW w:w="10259" w:type="dxa"/>
            <w:tcBorders>
              <w:top w:val="nil"/>
              <w:left w:val="nil"/>
              <w:bottom w:val="nil"/>
              <w:right w:val="nil"/>
            </w:tcBorders>
            <w:noWrap/>
            <w:vAlign w:val="bottom"/>
            <w:hideMark/>
          </w:tcPr>
          <w:p w14:paraId="3FDA3DCA" w14:textId="77777777" w:rsidR="00027D0E" w:rsidRPr="00AF0CC3" w:rsidRDefault="00027D0E" w:rsidP="00027D0E">
            <w:pPr>
              <w:spacing w:after="0" w:line="240" w:lineRule="auto"/>
              <w:ind w:firstLineChars="100" w:firstLine="241"/>
              <w:rPr>
                <w:rFonts w:ascii="Times New Roman" w:eastAsia="Times New Roman" w:hAnsi="Times New Roman" w:cs="Times New Roman"/>
                <w:b/>
                <w:bCs/>
                <w:color w:val="000000"/>
                <w:kern w:val="0"/>
                <w14:ligatures w14:val="none"/>
              </w:rPr>
            </w:pPr>
          </w:p>
        </w:tc>
      </w:tr>
      <w:tr w:rsidR="00027D0E" w:rsidRPr="00AF0CC3" w14:paraId="65306DE1" w14:textId="77777777" w:rsidTr="00095007">
        <w:trPr>
          <w:trHeight w:val="290"/>
        </w:trPr>
        <w:tc>
          <w:tcPr>
            <w:tcW w:w="10259" w:type="dxa"/>
            <w:tcBorders>
              <w:top w:val="nil"/>
              <w:left w:val="nil"/>
              <w:bottom w:val="nil"/>
              <w:right w:val="nil"/>
            </w:tcBorders>
            <w:noWrap/>
            <w:vAlign w:val="bottom"/>
            <w:hideMark/>
          </w:tcPr>
          <w:p w14:paraId="25A27A09" w14:textId="77777777" w:rsidR="00027D0E" w:rsidRPr="00AF0CC3" w:rsidRDefault="00027D0E" w:rsidP="00027D0E">
            <w:pPr>
              <w:spacing w:after="0" w:line="240" w:lineRule="auto"/>
              <w:rPr>
                <w:rFonts w:ascii="Times New Roman" w:eastAsia="Times New Roman" w:hAnsi="Times New Roman" w:cs="Times New Roman"/>
                <w:kern w:val="0"/>
                <w14:ligatures w14:val="none"/>
              </w:rPr>
            </w:pPr>
          </w:p>
        </w:tc>
      </w:tr>
      <w:tr w:rsidR="00027D0E" w:rsidRPr="00AF0CC3" w14:paraId="6DD281C0" w14:textId="77777777" w:rsidTr="00095007">
        <w:trPr>
          <w:trHeight w:val="290"/>
        </w:trPr>
        <w:tc>
          <w:tcPr>
            <w:tcW w:w="10259" w:type="dxa"/>
            <w:tcBorders>
              <w:top w:val="nil"/>
              <w:left w:val="nil"/>
              <w:bottom w:val="nil"/>
              <w:right w:val="nil"/>
            </w:tcBorders>
            <w:noWrap/>
            <w:vAlign w:val="bottom"/>
            <w:hideMark/>
          </w:tcPr>
          <w:p w14:paraId="0DF43CF0" w14:textId="77777777" w:rsidR="00027D0E" w:rsidRPr="00AF0CC3" w:rsidRDefault="00027D0E" w:rsidP="00027D0E">
            <w:pPr>
              <w:spacing w:after="0" w:line="240" w:lineRule="auto"/>
              <w:rPr>
                <w:rFonts w:ascii="Times New Roman" w:eastAsia="Times New Roman" w:hAnsi="Times New Roman" w:cs="Times New Roman"/>
                <w:kern w:val="0"/>
                <w14:ligatures w14:val="none"/>
              </w:rPr>
            </w:pPr>
          </w:p>
        </w:tc>
      </w:tr>
      <w:tr w:rsidR="00027D0E" w:rsidRPr="00AF0CC3" w14:paraId="0D3A7252" w14:textId="77777777" w:rsidTr="00095007">
        <w:trPr>
          <w:trHeight w:val="470"/>
        </w:trPr>
        <w:tc>
          <w:tcPr>
            <w:tcW w:w="10259" w:type="dxa"/>
            <w:tcBorders>
              <w:top w:val="nil"/>
              <w:left w:val="nil"/>
              <w:bottom w:val="nil"/>
              <w:right w:val="nil"/>
            </w:tcBorders>
            <w:noWrap/>
            <w:vAlign w:val="center"/>
            <w:hideMark/>
          </w:tcPr>
          <w:p w14:paraId="3FC8964A" w14:textId="77777777" w:rsidR="00027D0E" w:rsidRPr="00AF0CC3" w:rsidRDefault="00027D0E" w:rsidP="00027D0E">
            <w:pPr>
              <w:spacing w:after="0" w:line="240" w:lineRule="auto"/>
              <w:rPr>
                <w:rFonts w:ascii="Times New Roman" w:eastAsia="Times New Roman" w:hAnsi="Times New Roman" w:cs="Times New Roman"/>
                <w:b/>
                <w:bCs/>
                <w:color w:val="000000"/>
                <w:kern w:val="0"/>
                <w14:ligatures w14:val="none"/>
              </w:rPr>
            </w:pPr>
            <w:r w:rsidRPr="00AF0CC3">
              <w:rPr>
                <w:rFonts w:ascii="Times New Roman" w:eastAsia="Times New Roman" w:hAnsi="Times New Roman" w:cs="Times New Roman"/>
                <w:b/>
                <w:bCs/>
                <w:color w:val="000000"/>
                <w:kern w:val="0"/>
                <w14:ligatures w14:val="none"/>
              </w:rPr>
              <w:t>1.3 Implementation</w:t>
            </w:r>
          </w:p>
        </w:tc>
      </w:tr>
      <w:tr w:rsidR="00027D0E" w:rsidRPr="00AF0CC3" w14:paraId="42AEEBE1" w14:textId="77777777" w:rsidTr="00095007">
        <w:trPr>
          <w:trHeight w:val="290"/>
        </w:trPr>
        <w:tc>
          <w:tcPr>
            <w:tcW w:w="10259" w:type="dxa"/>
            <w:tcBorders>
              <w:top w:val="nil"/>
              <w:left w:val="nil"/>
              <w:bottom w:val="nil"/>
              <w:right w:val="nil"/>
            </w:tcBorders>
            <w:noWrap/>
            <w:vAlign w:val="bottom"/>
            <w:hideMark/>
          </w:tcPr>
          <w:p w14:paraId="16407AAD" w14:textId="77777777" w:rsidR="00027D0E" w:rsidRPr="00AF0CC3" w:rsidRDefault="00027D0E" w:rsidP="00027D0E">
            <w:pPr>
              <w:spacing w:after="0" w:line="240" w:lineRule="auto"/>
              <w:rPr>
                <w:rFonts w:ascii="Times New Roman" w:eastAsia="Times New Roman" w:hAnsi="Times New Roman" w:cs="Times New Roman"/>
                <w:b/>
                <w:bCs/>
                <w:color w:val="000000"/>
                <w:kern w:val="0"/>
                <w14:ligatures w14:val="none"/>
              </w:rPr>
            </w:pPr>
          </w:p>
        </w:tc>
      </w:tr>
      <w:tr w:rsidR="00027D0E" w:rsidRPr="00AF0CC3" w14:paraId="395D8472" w14:textId="77777777" w:rsidTr="00095007">
        <w:trPr>
          <w:trHeight w:val="350"/>
        </w:trPr>
        <w:tc>
          <w:tcPr>
            <w:tcW w:w="10259" w:type="dxa"/>
            <w:tcBorders>
              <w:top w:val="nil"/>
              <w:left w:val="nil"/>
              <w:bottom w:val="nil"/>
              <w:right w:val="nil"/>
            </w:tcBorders>
            <w:noWrap/>
            <w:vAlign w:val="center"/>
            <w:hideMark/>
          </w:tcPr>
          <w:p w14:paraId="4B9BF6F2" w14:textId="77777777" w:rsidR="00027D0E" w:rsidRPr="00AF0CC3" w:rsidRDefault="00027D0E" w:rsidP="00027D0E">
            <w:pPr>
              <w:spacing w:after="0" w:line="240" w:lineRule="auto"/>
              <w:rPr>
                <w:rFonts w:ascii="Times New Roman" w:eastAsia="Times New Roman" w:hAnsi="Times New Roman" w:cs="Times New Roman"/>
                <w:b/>
                <w:bCs/>
                <w:color w:val="000000"/>
                <w:kern w:val="0"/>
                <w14:ligatures w14:val="none"/>
              </w:rPr>
            </w:pPr>
            <w:r w:rsidRPr="00AF0CC3">
              <w:rPr>
                <w:rFonts w:ascii="Times New Roman" w:eastAsia="Times New Roman" w:hAnsi="Times New Roman" w:cs="Times New Roman"/>
                <w:b/>
                <w:bCs/>
                <w:color w:val="000000"/>
                <w:kern w:val="0"/>
                <w14:ligatures w14:val="none"/>
              </w:rPr>
              <w:t>Implementation Planning</w:t>
            </w:r>
          </w:p>
        </w:tc>
      </w:tr>
      <w:tr w:rsidR="00027D0E" w:rsidRPr="00AF0CC3" w14:paraId="767F2FB9" w14:textId="77777777" w:rsidTr="00095007">
        <w:trPr>
          <w:trHeight w:val="290"/>
        </w:trPr>
        <w:tc>
          <w:tcPr>
            <w:tcW w:w="10259" w:type="dxa"/>
            <w:tcBorders>
              <w:top w:val="nil"/>
              <w:left w:val="nil"/>
              <w:bottom w:val="nil"/>
              <w:right w:val="nil"/>
            </w:tcBorders>
            <w:noWrap/>
            <w:vAlign w:val="center"/>
            <w:hideMark/>
          </w:tcPr>
          <w:p w14:paraId="53AEDDC8" w14:textId="77777777" w:rsidR="00027D0E" w:rsidRPr="00AF0CC3" w:rsidRDefault="00027D0E" w:rsidP="00027D0E">
            <w:pPr>
              <w:spacing w:after="0" w:line="240" w:lineRule="auto"/>
              <w:rPr>
                <w:rFonts w:ascii="Times New Roman" w:eastAsia="Times New Roman" w:hAnsi="Times New Roman" w:cs="Times New Roman"/>
                <w:b/>
                <w:bCs/>
                <w:color w:val="000000"/>
                <w:kern w:val="0"/>
                <w14:ligatures w14:val="none"/>
              </w:rPr>
            </w:pPr>
          </w:p>
        </w:tc>
      </w:tr>
      <w:tr w:rsidR="00027D0E" w:rsidRPr="00AF0CC3" w14:paraId="03F29512" w14:textId="77777777" w:rsidTr="00095007">
        <w:trPr>
          <w:trHeight w:val="290"/>
        </w:trPr>
        <w:tc>
          <w:tcPr>
            <w:tcW w:w="10259" w:type="dxa"/>
            <w:tcBorders>
              <w:top w:val="nil"/>
              <w:left w:val="nil"/>
              <w:bottom w:val="nil"/>
              <w:right w:val="nil"/>
            </w:tcBorders>
            <w:noWrap/>
            <w:vAlign w:val="center"/>
            <w:hideMark/>
          </w:tcPr>
          <w:p w14:paraId="0856C5E5" w14:textId="77777777" w:rsidR="00027D0E" w:rsidRPr="00AF0CC3" w:rsidRDefault="00027D0E" w:rsidP="00027D0E">
            <w:pPr>
              <w:spacing w:after="0" w:line="240" w:lineRule="auto"/>
              <w:ind w:firstLineChars="100" w:firstLine="241"/>
              <w:rPr>
                <w:rFonts w:ascii="Times New Roman" w:eastAsia="Times New Roman" w:hAnsi="Times New Roman" w:cs="Times New Roman"/>
                <w:b/>
                <w:bCs/>
                <w:color w:val="000000"/>
                <w:kern w:val="0"/>
                <w14:ligatures w14:val="none"/>
              </w:rPr>
            </w:pPr>
            <w:r w:rsidRPr="00AF0CC3">
              <w:rPr>
                <w:rFonts w:ascii="Times New Roman" w:eastAsia="Times New Roman" w:hAnsi="Times New Roman" w:cs="Times New Roman"/>
                <w:b/>
                <w:bCs/>
                <w:color w:val="000000"/>
                <w:kern w:val="0"/>
                <w14:ligatures w14:val="none"/>
              </w:rPr>
              <w:t>1</w:t>
            </w:r>
            <w:r w:rsidRPr="00AF0CC3">
              <w:rPr>
                <w:rFonts w:ascii="Times New Roman" w:eastAsia="Times New Roman" w:hAnsi="Times New Roman" w:cs="Times New Roman"/>
                <w:color w:val="000000"/>
                <w:kern w:val="0"/>
                <w14:ligatures w14:val="none"/>
              </w:rPr>
              <w:t xml:space="preserve"> = Detailed implementation plan with milestones and timelines</w:t>
            </w:r>
          </w:p>
        </w:tc>
      </w:tr>
      <w:tr w:rsidR="00027D0E" w:rsidRPr="00AF0CC3" w14:paraId="172D0003" w14:textId="77777777" w:rsidTr="00095007">
        <w:trPr>
          <w:trHeight w:val="290"/>
        </w:trPr>
        <w:tc>
          <w:tcPr>
            <w:tcW w:w="10259" w:type="dxa"/>
            <w:tcBorders>
              <w:top w:val="nil"/>
              <w:left w:val="nil"/>
              <w:bottom w:val="nil"/>
              <w:right w:val="nil"/>
            </w:tcBorders>
            <w:noWrap/>
            <w:vAlign w:val="center"/>
            <w:hideMark/>
          </w:tcPr>
          <w:p w14:paraId="0C4D93D5" w14:textId="77777777" w:rsidR="00027D0E" w:rsidRPr="00AF0CC3" w:rsidRDefault="00027D0E" w:rsidP="00027D0E">
            <w:pPr>
              <w:spacing w:after="0" w:line="240" w:lineRule="auto"/>
              <w:ind w:firstLineChars="100" w:firstLine="241"/>
              <w:rPr>
                <w:rFonts w:ascii="Times New Roman" w:eastAsia="Times New Roman" w:hAnsi="Times New Roman" w:cs="Times New Roman"/>
                <w:b/>
                <w:bCs/>
                <w:color w:val="000000"/>
                <w:kern w:val="0"/>
                <w14:ligatures w14:val="none"/>
              </w:rPr>
            </w:pPr>
            <w:r w:rsidRPr="00AF0CC3">
              <w:rPr>
                <w:rFonts w:ascii="Times New Roman" w:eastAsia="Times New Roman" w:hAnsi="Times New Roman" w:cs="Times New Roman"/>
                <w:b/>
                <w:bCs/>
                <w:color w:val="000000"/>
                <w:kern w:val="0"/>
                <w14:ligatures w14:val="none"/>
              </w:rPr>
              <w:t>0.5</w:t>
            </w:r>
            <w:r w:rsidRPr="00AF0CC3">
              <w:rPr>
                <w:rFonts w:ascii="Times New Roman" w:eastAsia="Times New Roman" w:hAnsi="Times New Roman" w:cs="Times New Roman"/>
                <w:color w:val="000000"/>
                <w:kern w:val="0"/>
                <w14:ligatures w14:val="none"/>
              </w:rPr>
              <w:t xml:space="preserve"> = General plan without detailed scheduling</w:t>
            </w:r>
          </w:p>
        </w:tc>
      </w:tr>
      <w:tr w:rsidR="00027D0E" w:rsidRPr="00AF0CC3" w14:paraId="5171915A" w14:textId="77777777" w:rsidTr="00095007">
        <w:trPr>
          <w:trHeight w:val="290"/>
        </w:trPr>
        <w:tc>
          <w:tcPr>
            <w:tcW w:w="10259" w:type="dxa"/>
            <w:tcBorders>
              <w:top w:val="nil"/>
              <w:left w:val="nil"/>
              <w:bottom w:val="nil"/>
              <w:right w:val="nil"/>
            </w:tcBorders>
            <w:noWrap/>
            <w:vAlign w:val="center"/>
            <w:hideMark/>
          </w:tcPr>
          <w:p w14:paraId="34663E52" w14:textId="77777777" w:rsidR="00027D0E" w:rsidRPr="00AF0CC3" w:rsidRDefault="00027D0E" w:rsidP="00027D0E">
            <w:pPr>
              <w:spacing w:after="0" w:line="240" w:lineRule="auto"/>
              <w:ind w:firstLineChars="100" w:firstLine="241"/>
              <w:rPr>
                <w:rFonts w:ascii="Times New Roman" w:eastAsia="Times New Roman" w:hAnsi="Times New Roman" w:cs="Times New Roman"/>
                <w:b/>
                <w:bCs/>
                <w:color w:val="000000"/>
                <w:kern w:val="0"/>
                <w14:ligatures w14:val="none"/>
              </w:rPr>
            </w:pPr>
            <w:r w:rsidRPr="00AF0CC3">
              <w:rPr>
                <w:rFonts w:ascii="Times New Roman" w:eastAsia="Times New Roman" w:hAnsi="Times New Roman" w:cs="Times New Roman"/>
                <w:b/>
                <w:bCs/>
                <w:color w:val="000000"/>
                <w:kern w:val="0"/>
                <w14:ligatures w14:val="none"/>
              </w:rPr>
              <w:t>0</w:t>
            </w:r>
            <w:r w:rsidRPr="00AF0CC3">
              <w:rPr>
                <w:rFonts w:ascii="Times New Roman" w:eastAsia="Times New Roman" w:hAnsi="Times New Roman" w:cs="Times New Roman"/>
                <w:color w:val="000000"/>
                <w:kern w:val="0"/>
                <w14:ligatures w14:val="none"/>
              </w:rPr>
              <w:t xml:space="preserve"> = No structured implementation plan</w:t>
            </w:r>
          </w:p>
        </w:tc>
      </w:tr>
      <w:tr w:rsidR="00027D0E" w:rsidRPr="00AF0CC3" w14:paraId="554F94B5" w14:textId="77777777" w:rsidTr="00095007">
        <w:trPr>
          <w:trHeight w:val="290"/>
        </w:trPr>
        <w:tc>
          <w:tcPr>
            <w:tcW w:w="10259" w:type="dxa"/>
            <w:tcBorders>
              <w:top w:val="nil"/>
              <w:left w:val="nil"/>
              <w:bottom w:val="nil"/>
              <w:right w:val="nil"/>
            </w:tcBorders>
            <w:noWrap/>
            <w:vAlign w:val="bottom"/>
            <w:hideMark/>
          </w:tcPr>
          <w:p w14:paraId="0CE20111" w14:textId="77777777" w:rsidR="00027D0E" w:rsidRPr="00AF0CC3" w:rsidRDefault="00027D0E" w:rsidP="00027D0E">
            <w:pPr>
              <w:spacing w:after="0" w:line="240" w:lineRule="auto"/>
              <w:ind w:firstLineChars="100" w:firstLine="241"/>
              <w:rPr>
                <w:rFonts w:ascii="Times New Roman" w:eastAsia="Times New Roman" w:hAnsi="Times New Roman" w:cs="Times New Roman"/>
                <w:b/>
                <w:bCs/>
                <w:color w:val="000000"/>
                <w:kern w:val="0"/>
                <w14:ligatures w14:val="none"/>
              </w:rPr>
            </w:pPr>
          </w:p>
        </w:tc>
      </w:tr>
      <w:tr w:rsidR="00027D0E" w:rsidRPr="00AF0CC3" w14:paraId="126EFE96" w14:textId="77777777" w:rsidTr="00095007">
        <w:trPr>
          <w:trHeight w:val="290"/>
        </w:trPr>
        <w:tc>
          <w:tcPr>
            <w:tcW w:w="10259" w:type="dxa"/>
            <w:tcBorders>
              <w:top w:val="nil"/>
              <w:left w:val="nil"/>
              <w:bottom w:val="nil"/>
              <w:right w:val="nil"/>
            </w:tcBorders>
            <w:noWrap/>
            <w:vAlign w:val="bottom"/>
            <w:hideMark/>
          </w:tcPr>
          <w:p w14:paraId="6908D20C" w14:textId="77777777" w:rsidR="00027D0E" w:rsidRPr="00AF0CC3" w:rsidRDefault="00027D0E" w:rsidP="00027D0E">
            <w:pPr>
              <w:spacing w:after="0" w:line="240" w:lineRule="auto"/>
              <w:rPr>
                <w:rFonts w:ascii="Times New Roman" w:eastAsia="Times New Roman" w:hAnsi="Times New Roman" w:cs="Times New Roman"/>
                <w:kern w:val="0"/>
                <w14:ligatures w14:val="none"/>
              </w:rPr>
            </w:pPr>
          </w:p>
        </w:tc>
      </w:tr>
      <w:tr w:rsidR="00027D0E" w:rsidRPr="00AF0CC3" w14:paraId="202136ED" w14:textId="77777777" w:rsidTr="00095007">
        <w:trPr>
          <w:trHeight w:val="290"/>
        </w:trPr>
        <w:tc>
          <w:tcPr>
            <w:tcW w:w="10259" w:type="dxa"/>
            <w:tcBorders>
              <w:top w:val="nil"/>
              <w:left w:val="nil"/>
              <w:bottom w:val="nil"/>
              <w:right w:val="nil"/>
            </w:tcBorders>
            <w:noWrap/>
            <w:vAlign w:val="bottom"/>
            <w:hideMark/>
          </w:tcPr>
          <w:p w14:paraId="47298D5E" w14:textId="77777777" w:rsidR="00027D0E" w:rsidRPr="00AF0CC3" w:rsidRDefault="00027D0E" w:rsidP="00027D0E">
            <w:pPr>
              <w:spacing w:after="0" w:line="240" w:lineRule="auto"/>
              <w:rPr>
                <w:rFonts w:ascii="Times New Roman" w:eastAsia="Times New Roman" w:hAnsi="Times New Roman" w:cs="Times New Roman"/>
                <w:kern w:val="0"/>
                <w14:ligatures w14:val="none"/>
              </w:rPr>
            </w:pPr>
          </w:p>
        </w:tc>
      </w:tr>
      <w:tr w:rsidR="00027D0E" w:rsidRPr="00AF0CC3" w14:paraId="300C742F" w14:textId="77777777" w:rsidTr="00095007">
        <w:trPr>
          <w:trHeight w:val="350"/>
        </w:trPr>
        <w:tc>
          <w:tcPr>
            <w:tcW w:w="10259" w:type="dxa"/>
            <w:tcBorders>
              <w:top w:val="nil"/>
              <w:left w:val="nil"/>
              <w:bottom w:val="nil"/>
              <w:right w:val="nil"/>
            </w:tcBorders>
            <w:noWrap/>
            <w:vAlign w:val="center"/>
            <w:hideMark/>
          </w:tcPr>
          <w:p w14:paraId="3544EB87" w14:textId="77777777" w:rsidR="00027D0E" w:rsidRPr="00AF0CC3" w:rsidRDefault="00027D0E" w:rsidP="00027D0E">
            <w:pPr>
              <w:spacing w:after="0" w:line="240" w:lineRule="auto"/>
              <w:rPr>
                <w:rFonts w:ascii="Times New Roman" w:eastAsia="Times New Roman" w:hAnsi="Times New Roman" w:cs="Times New Roman"/>
                <w:b/>
                <w:bCs/>
                <w:color w:val="000000"/>
                <w:kern w:val="0"/>
                <w14:ligatures w14:val="none"/>
              </w:rPr>
            </w:pPr>
            <w:r w:rsidRPr="00AF0CC3">
              <w:rPr>
                <w:rFonts w:ascii="Times New Roman" w:eastAsia="Times New Roman" w:hAnsi="Times New Roman" w:cs="Times New Roman"/>
                <w:b/>
                <w:bCs/>
                <w:color w:val="000000"/>
                <w:kern w:val="0"/>
                <w14:ligatures w14:val="none"/>
              </w:rPr>
              <w:t>Financial Management and Control</w:t>
            </w:r>
          </w:p>
        </w:tc>
      </w:tr>
      <w:tr w:rsidR="00027D0E" w:rsidRPr="00AF0CC3" w14:paraId="59E10AE1" w14:textId="77777777" w:rsidTr="00095007">
        <w:trPr>
          <w:trHeight w:val="290"/>
        </w:trPr>
        <w:tc>
          <w:tcPr>
            <w:tcW w:w="10259" w:type="dxa"/>
            <w:tcBorders>
              <w:top w:val="nil"/>
              <w:left w:val="nil"/>
              <w:bottom w:val="nil"/>
              <w:right w:val="nil"/>
            </w:tcBorders>
            <w:noWrap/>
            <w:vAlign w:val="center"/>
            <w:hideMark/>
          </w:tcPr>
          <w:p w14:paraId="68D1F641" w14:textId="77777777" w:rsidR="00027D0E" w:rsidRPr="00AF0CC3" w:rsidRDefault="00027D0E" w:rsidP="00027D0E">
            <w:pPr>
              <w:spacing w:after="0" w:line="240" w:lineRule="auto"/>
              <w:rPr>
                <w:rFonts w:ascii="Times New Roman" w:eastAsia="Times New Roman" w:hAnsi="Times New Roman" w:cs="Times New Roman"/>
                <w:b/>
                <w:bCs/>
                <w:color w:val="000000"/>
                <w:kern w:val="0"/>
                <w14:ligatures w14:val="none"/>
              </w:rPr>
            </w:pPr>
          </w:p>
        </w:tc>
      </w:tr>
      <w:tr w:rsidR="00027D0E" w:rsidRPr="00AF0CC3" w14:paraId="14E235AF" w14:textId="77777777" w:rsidTr="00095007">
        <w:trPr>
          <w:trHeight w:val="290"/>
        </w:trPr>
        <w:tc>
          <w:tcPr>
            <w:tcW w:w="10259" w:type="dxa"/>
            <w:tcBorders>
              <w:top w:val="nil"/>
              <w:left w:val="nil"/>
              <w:bottom w:val="nil"/>
              <w:right w:val="nil"/>
            </w:tcBorders>
            <w:noWrap/>
            <w:vAlign w:val="center"/>
            <w:hideMark/>
          </w:tcPr>
          <w:p w14:paraId="296B4FD4" w14:textId="77777777" w:rsidR="00027D0E" w:rsidRPr="00AF0CC3" w:rsidRDefault="00027D0E" w:rsidP="00027D0E">
            <w:pPr>
              <w:spacing w:after="0" w:line="240" w:lineRule="auto"/>
              <w:ind w:firstLineChars="100" w:firstLine="241"/>
              <w:rPr>
                <w:rFonts w:ascii="Times New Roman" w:eastAsia="Times New Roman" w:hAnsi="Times New Roman" w:cs="Times New Roman"/>
                <w:b/>
                <w:bCs/>
                <w:color w:val="000000"/>
                <w:kern w:val="0"/>
                <w14:ligatures w14:val="none"/>
              </w:rPr>
            </w:pPr>
            <w:r w:rsidRPr="00AF0CC3">
              <w:rPr>
                <w:rFonts w:ascii="Times New Roman" w:eastAsia="Times New Roman" w:hAnsi="Times New Roman" w:cs="Times New Roman"/>
                <w:b/>
                <w:bCs/>
                <w:color w:val="000000"/>
                <w:kern w:val="0"/>
                <w14:ligatures w14:val="none"/>
              </w:rPr>
              <w:t>1</w:t>
            </w:r>
            <w:r w:rsidRPr="00AF0CC3">
              <w:rPr>
                <w:rFonts w:ascii="Times New Roman" w:eastAsia="Times New Roman" w:hAnsi="Times New Roman" w:cs="Times New Roman"/>
                <w:color w:val="000000"/>
                <w:kern w:val="0"/>
                <w14:ligatures w14:val="none"/>
              </w:rPr>
              <w:t xml:space="preserve"> = Strong financial controls (budget tracking, reporting, disbursement monitoring)</w:t>
            </w:r>
          </w:p>
        </w:tc>
      </w:tr>
      <w:tr w:rsidR="00027D0E" w:rsidRPr="00AF0CC3" w14:paraId="33EEF9EF" w14:textId="77777777" w:rsidTr="00095007">
        <w:trPr>
          <w:trHeight w:val="290"/>
        </w:trPr>
        <w:tc>
          <w:tcPr>
            <w:tcW w:w="10259" w:type="dxa"/>
            <w:tcBorders>
              <w:top w:val="nil"/>
              <w:left w:val="nil"/>
              <w:bottom w:val="nil"/>
              <w:right w:val="nil"/>
            </w:tcBorders>
            <w:noWrap/>
            <w:vAlign w:val="center"/>
            <w:hideMark/>
          </w:tcPr>
          <w:p w14:paraId="453240DB" w14:textId="77777777" w:rsidR="00027D0E" w:rsidRPr="00AF0CC3" w:rsidRDefault="00027D0E" w:rsidP="00027D0E">
            <w:pPr>
              <w:spacing w:after="0" w:line="240" w:lineRule="auto"/>
              <w:ind w:firstLineChars="100" w:firstLine="241"/>
              <w:rPr>
                <w:rFonts w:ascii="Times New Roman" w:eastAsia="Times New Roman" w:hAnsi="Times New Roman" w:cs="Times New Roman"/>
                <w:b/>
                <w:bCs/>
                <w:color w:val="000000"/>
                <w:kern w:val="0"/>
                <w14:ligatures w14:val="none"/>
              </w:rPr>
            </w:pPr>
            <w:r w:rsidRPr="00AF0CC3">
              <w:rPr>
                <w:rFonts w:ascii="Times New Roman" w:eastAsia="Times New Roman" w:hAnsi="Times New Roman" w:cs="Times New Roman"/>
                <w:b/>
                <w:bCs/>
                <w:color w:val="000000"/>
                <w:kern w:val="0"/>
                <w14:ligatures w14:val="none"/>
              </w:rPr>
              <w:t>0.5</w:t>
            </w:r>
            <w:r w:rsidRPr="00AF0CC3">
              <w:rPr>
                <w:rFonts w:ascii="Times New Roman" w:eastAsia="Times New Roman" w:hAnsi="Times New Roman" w:cs="Times New Roman"/>
                <w:color w:val="000000"/>
                <w:kern w:val="0"/>
                <w14:ligatures w14:val="none"/>
              </w:rPr>
              <w:t xml:space="preserve"> = Partial financial oversight</w:t>
            </w:r>
          </w:p>
        </w:tc>
      </w:tr>
      <w:tr w:rsidR="00027D0E" w:rsidRPr="00AF0CC3" w14:paraId="30ABECC0" w14:textId="77777777" w:rsidTr="00095007">
        <w:trPr>
          <w:trHeight w:val="290"/>
        </w:trPr>
        <w:tc>
          <w:tcPr>
            <w:tcW w:w="10259" w:type="dxa"/>
            <w:tcBorders>
              <w:top w:val="nil"/>
              <w:left w:val="nil"/>
              <w:bottom w:val="nil"/>
              <w:right w:val="nil"/>
            </w:tcBorders>
            <w:noWrap/>
            <w:vAlign w:val="center"/>
            <w:hideMark/>
          </w:tcPr>
          <w:p w14:paraId="71F720A2" w14:textId="77777777" w:rsidR="00027D0E" w:rsidRPr="00AF0CC3" w:rsidRDefault="00027D0E" w:rsidP="00027D0E">
            <w:pPr>
              <w:spacing w:after="0" w:line="240" w:lineRule="auto"/>
              <w:ind w:firstLineChars="100" w:firstLine="241"/>
              <w:rPr>
                <w:rFonts w:ascii="Times New Roman" w:eastAsia="Times New Roman" w:hAnsi="Times New Roman" w:cs="Times New Roman"/>
                <w:b/>
                <w:bCs/>
                <w:color w:val="000000"/>
                <w:kern w:val="0"/>
                <w14:ligatures w14:val="none"/>
              </w:rPr>
            </w:pPr>
            <w:r w:rsidRPr="00AF0CC3">
              <w:rPr>
                <w:rFonts w:ascii="Times New Roman" w:eastAsia="Times New Roman" w:hAnsi="Times New Roman" w:cs="Times New Roman"/>
                <w:b/>
                <w:bCs/>
                <w:color w:val="000000"/>
                <w:kern w:val="0"/>
                <w14:ligatures w14:val="none"/>
              </w:rPr>
              <w:t>0</w:t>
            </w:r>
            <w:r w:rsidRPr="00AF0CC3">
              <w:rPr>
                <w:rFonts w:ascii="Times New Roman" w:eastAsia="Times New Roman" w:hAnsi="Times New Roman" w:cs="Times New Roman"/>
                <w:color w:val="000000"/>
                <w:kern w:val="0"/>
                <w14:ligatures w14:val="none"/>
              </w:rPr>
              <w:t xml:space="preserve"> = Weak or undocumented financial management</w:t>
            </w:r>
          </w:p>
        </w:tc>
      </w:tr>
      <w:tr w:rsidR="00027D0E" w:rsidRPr="00AF0CC3" w14:paraId="5CBE9C6D" w14:textId="77777777" w:rsidTr="00095007">
        <w:trPr>
          <w:trHeight w:val="290"/>
        </w:trPr>
        <w:tc>
          <w:tcPr>
            <w:tcW w:w="10259" w:type="dxa"/>
            <w:tcBorders>
              <w:top w:val="nil"/>
              <w:left w:val="nil"/>
              <w:bottom w:val="nil"/>
              <w:right w:val="nil"/>
            </w:tcBorders>
            <w:noWrap/>
            <w:vAlign w:val="bottom"/>
            <w:hideMark/>
          </w:tcPr>
          <w:p w14:paraId="4EA64C01" w14:textId="77777777" w:rsidR="00027D0E" w:rsidRPr="00AF0CC3" w:rsidRDefault="00027D0E" w:rsidP="00027D0E">
            <w:pPr>
              <w:spacing w:after="0" w:line="240" w:lineRule="auto"/>
              <w:ind w:firstLineChars="100" w:firstLine="241"/>
              <w:rPr>
                <w:rFonts w:ascii="Times New Roman" w:eastAsia="Times New Roman" w:hAnsi="Times New Roman" w:cs="Times New Roman"/>
                <w:b/>
                <w:bCs/>
                <w:color w:val="000000"/>
                <w:kern w:val="0"/>
                <w14:ligatures w14:val="none"/>
              </w:rPr>
            </w:pPr>
          </w:p>
        </w:tc>
      </w:tr>
      <w:tr w:rsidR="00027D0E" w:rsidRPr="00AF0CC3" w14:paraId="3A6ED360" w14:textId="77777777" w:rsidTr="00095007">
        <w:trPr>
          <w:trHeight w:val="290"/>
        </w:trPr>
        <w:tc>
          <w:tcPr>
            <w:tcW w:w="10259" w:type="dxa"/>
            <w:tcBorders>
              <w:top w:val="nil"/>
              <w:left w:val="nil"/>
              <w:bottom w:val="nil"/>
              <w:right w:val="nil"/>
            </w:tcBorders>
            <w:noWrap/>
            <w:vAlign w:val="bottom"/>
            <w:hideMark/>
          </w:tcPr>
          <w:p w14:paraId="1783E82D" w14:textId="77777777" w:rsidR="00027D0E" w:rsidRPr="00AF0CC3" w:rsidRDefault="00027D0E" w:rsidP="00027D0E">
            <w:pPr>
              <w:spacing w:after="0" w:line="240" w:lineRule="auto"/>
              <w:rPr>
                <w:rFonts w:ascii="Times New Roman" w:eastAsia="Times New Roman" w:hAnsi="Times New Roman" w:cs="Times New Roman"/>
                <w:kern w:val="0"/>
                <w14:ligatures w14:val="none"/>
              </w:rPr>
            </w:pPr>
          </w:p>
        </w:tc>
      </w:tr>
      <w:tr w:rsidR="00027D0E" w:rsidRPr="00AF0CC3" w14:paraId="1D2D4743" w14:textId="77777777" w:rsidTr="00095007">
        <w:trPr>
          <w:trHeight w:val="290"/>
        </w:trPr>
        <w:tc>
          <w:tcPr>
            <w:tcW w:w="10259" w:type="dxa"/>
            <w:tcBorders>
              <w:top w:val="nil"/>
              <w:left w:val="nil"/>
              <w:bottom w:val="nil"/>
              <w:right w:val="nil"/>
            </w:tcBorders>
            <w:noWrap/>
            <w:vAlign w:val="bottom"/>
            <w:hideMark/>
          </w:tcPr>
          <w:p w14:paraId="48AFD939" w14:textId="77777777" w:rsidR="00027D0E" w:rsidRPr="00AF0CC3" w:rsidRDefault="00027D0E" w:rsidP="00027D0E">
            <w:pPr>
              <w:spacing w:after="0" w:line="240" w:lineRule="auto"/>
              <w:rPr>
                <w:rFonts w:ascii="Times New Roman" w:eastAsia="Times New Roman" w:hAnsi="Times New Roman" w:cs="Times New Roman"/>
                <w:kern w:val="0"/>
                <w14:ligatures w14:val="none"/>
              </w:rPr>
            </w:pPr>
          </w:p>
        </w:tc>
      </w:tr>
      <w:tr w:rsidR="00027D0E" w:rsidRPr="00AF0CC3" w14:paraId="219CC9CA" w14:textId="77777777" w:rsidTr="00095007">
        <w:trPr>
          <w:trHeight w:val="470"/>
        </w:trPr>
        <w:tc>
          <w:tcPr>
            <w:tcW w:w="10259" w:type="dxa"/>
            <w:tcBorders>
              <w:top w:val="nil"/>
              <w:left w:val="nil"/>
              <w:bottom w:val="nil"/>
              <w:right w:val="nil"/>
            </w:tcBorders>
            <w:noWrap/>
            <w:vAlign w:val="center"/>
            <w:hideMark/>
          </w:tcPr>
          <w:p w14:paraId="6D1389DD" w14:textId="77777777" w:rsidR="00027D0E" w:rsidRPr="00AF0CC3" w:rsidRDefault="00027D0E" w:rsidP="00027D0E">
            <w:pPr>
              <w:spacing w:after="0" w:line="240" w:lineRule="auto"/>
              <w:rPr>
                <w:rFonts w:ascii="Times New Roman" w:eastAsia="Times New Roman" w:hAnsi="Times New Roman" w:cs="Times New Roman"/>
                <w:b/>
                <w:bCs/>
                <w:color w:val="000000"/>
                <w:kern w:val="0"/>
                <w14:ligatures w14:val="none"/>
              </w:rPr>
            </w:pPr>
            <w:r w:rsidRPr="00AF0CC3">
              <w:rPr>
                <w:rFonts w:ascii="Times New Roman" w:eastAsia="Times New Roman" w:hAnsi="Times New Roman" w:cs="Times New Roman"/>
                <w:b/>
                <w:bCs/>
                <w:color w:val="000000"/>
                <w:kern w:val="0"/>
                <w14:ligatures w14:val="none"/>
              </w:rPr>
              <w:t>1.4 Oversight and Accountability</w:t>
            </w:r>
          </w:p>
        </w:tc>
      </w:tr>
      <w:tr w:rsidR="00027D0E" w:rsidRPr="00AF0CC3" w14:paraId="78E19285" w14:textId="77777777" w:rsidTr="00095007">
        <w:trPr>
          <w:trHeight w:val="290"/>
        </w:trPr>
        <w:tc>
          <w:tcPr>
            <w:tcW w:w="10259" w:type="dxa"/>
            <w:tcBorders>
              <w:top w:val="nil"/>
              <w:left w:val="nil"/>
              <w:bottom w:val="nil"/>
              <w:right w:val="nil"/>
            </w:tcBorders>
            <w:noWrap/>
            <w:vAlign w:val="bottom"/>
            <w:hideMark/>
          </w:tcPr>
          <w:p w14:paraId="16F61072" w14:textId="77777777" w:rsidR="00027D0E" w:rsidRPr="00AF0CC3" w:rsidRDefault="00027D0E" w:rsidP="00027D0E">
            <w:pPr>
              <w:spacing w:after="0" w:line="240" w:lineRule="auto"/>
              <w:rPr>
                <w:rFonts w:ascii="Times New Roman" w:eastAsia="Times New Roman" w:hAnsi="Times New Roman" w:cs="Times New Roman"/>
                <w:b/>
                <w:bCs/>
                <w:color w:val="000000"/>
                <w:kern w:val="0"/>
                <w14:ligatures w14:val="none"/>
              </w:rPr>
            </w:pPr>
          </w:p>
        </w:tc>
      </w:tr>
      <w:tr w:rsidR="00027D0E" w:rsidRPr="00AF0CC3" w14:paraId="3590C342" w14:textId="77777777" w:rsidTr="00095007">
        <w:trPr>
          <w:trHeight w:val="350"/>
        </w:trPr>
        <w:tc>
          <w:tcPr>
            <w:tcW w:w="10259" w:type="dxa"/>
            <w:tcBorders>
              <w:top w:val="nil"/>
              <w:left w:val="nil"/>
              <w:bottom w:val="nil"/>
              <w:right w:val="nil"/>
            </w:tcBorders>
            <w:noWrap/>
            <w:vAlign w:val="center"/>
            <w:hideMark/>
          </w:tcPr>
          <w:p w14:paraId="00BEDF7F" w14:textId="77777777" w:rsidR="00027D0E" w:rsidRPr="00AF0CC3" w:rsidRDefault="00027D0E" w:rsidP="00027D0E">
            <w:pPr>
              <w:spacing w:after="0" w:line="240" w:lineRule="auto"/>
              <w:rPr>
                <w:rFonts w:ascii="Times New Roman" w:eastAsia="Times New Roman" w:hAnsi="Times New Roman" w:cs="Times New Roman"/>
                <w:b/>
                <w:bCs/>
                <w:color w:val="000000"/>
                <w:kern w:val="0"/>
                <w14:ligatures w14:val="none"/>
              </w:rPr>
            </w:pPr>
            <w:r w:rsidRPr="00AF0CC3">
              <w:rPr>
                <w:rFonts w:ascii="Times New Roman" w:eastAsia="Times New Roman" w:hAnsi="Times New Roman" w:cs="Times New Roman"/>
                <w:b/>
                <w:bCs/>
                <w:color w:val="000000"/>
                <w:kern w:val="0"/>
                <w14:ligatures w14:val="none"/>
              </w:rPr>
              <w:t>Monitoring and Evaluation (M&amp;E)</w:t>
            </w:r>
          </w:p>
        </w:tc>
      </w:tr>
      <w:tr w:rsidR="00027D0E" w:rsidRPr="00AF0CC3" w14:paraId="3E64CFD4" w14:textId="77777777" w:rsidTr="00095007">
        <w:trPr>
          <w:trHeight w:val="290"/>
        </w:trPr>
        <w:tc>
          <w:tcPr>
            <w:tcW w:w="10259" w:type="dxa"/>
            <w:tcBorders>
              <w:top w:val="nil"/>
              <w:left w:val="nil"/>
              <w:bottom w:val="nil"/>
              <w:right w:val="nil"/>
            </w:tcBorders>
            <w:noWrap/>
            <w:vAlign w:val="center"/>
            <w:hideMark/>
          </w:tcPr>
          <w:p w14:paraId="0D9F96B2" w14:textId="77777777" w:rsidR="00027D0E" w:rsidRPr="00AF0CC3" w:rsidRDefault="00027D0E" w:rsidP="00027D0E">
            <w:pPr>
              <w:spacing w:after="0" w:line="240" w:lineRule="auto"/>
              <w:rPr>
                <w:rFonts w:ascii="Times New Roman" w:eastAsia="Times New Roman" w:hAnsi="Times New Roman" w:cs="Times New Roman"/>
                <w:b/>
                <w:bCs/>
                <w:color w:val="000000"/>
                <w:kern w:val="0"/>
                <w14:ligatures w14:val="none"/>
              </w:rPr>
            </w:pPr>
          </w:p>
        </w:tc>
      </w:tr>
      <w:tr w:rsidR="00027D0E" w:rsidRPr="00AF0CC3" w14:paraId="755A8A05" w14:textId="77777777" w:rsidTr="00095007">
        <w:trPr>
          <w:trHeight w:val="290"/>
        </w:trPr>
        <w:tc>
          <w:tcPr>
            <w:tcW w:w="10259" w:type="dxa"/>
            <w:tcBorders>
              <w:top w:val="nil"/>
              <w:left w:val="nil"/>
              <w:bottom w:val="nil"/>
              <w:right w:val="nil"/>
            </w:tcBorders>
            <w:noWrap/>
            <w:vAlign w:val="center"/>
            <w:hideMark/>
          </w:tcPr>
          <w:p w14:paraId="3C85D574" w14:textId="77777777" w:rsidR="00027D0E" w:rsidRPr="00AF0CC3" w:rsidRDefault="00027D0E" w:rsidP="00027D0E">
            <w:pPr>
              <w:spacing w:after="0" w:line="240" w:lineRule="auto"/>
              <w:ind w:firstLineChars="100" w:firstLine="241"/>
              <w:rPr>
                <w:rFonts w:ascii="Times New Roman" w:eastAsia="Times New Roman" w:hAnsi="Times New Roman" w:cs="Times New Roman"/>
                <w:b/>
                <w:bCs/>
                <w:color w:val="000000"/>
                <w:kern w:val="0"/>
                <w14:ligatures w14:val="none"/>
              </w:rPr>
            </w:pPr>
            <w:r w:rsidRPr="00AF0CC3">
              <w:rPr>
                <w:rFonts w:ascii="Times New Roman" w:eastAsia="Times New Roman" w:hAnsi="Times New Roman" w:cs="Times New Roman"/>
                <w:b/>
                <w:bCs/>
                <w:color w:val="000000"/>
                <w:kern w:val="0"/>
                <w14:ligatures w14:val="none"/>
              </w:rPr>
              <w:t>1</w:t>
            </w:r>
            <w:r w:rsidRPr="00AF0CC3">
              <w:rPr>
                <w:rFonts w:ascii="Times New Roman" w:eastAsia="Times New Roman" w:hAnsi="Times New Roman" w:cs="Times New Roman"/>
                <w:color w:val="000000"/>
                <w:kern w:val="0"/>
                <w14:ligatures w14:val="none"/>
              </w:rPr>
              <w:t xml:space="preserve"> = Regular monitoring reports with performance tracking</w:t>
            </w:r>
          </w:p>
        </w:tc>
      </w:tr>
      <w:tr w:rsidR="00027D0E" w:rsidRPr="00AF0CC3" w14:paraId="6A8D76AF" w14:textId="77777777" w:rsidTr="00095007">
        <w:trPr>
          <w:trHeight w:val="290"/>
        </w:trPr>
        <w:tc>
          <w:tcPr>
            <w:tcW w:w="10259" w:type="dxa"/>
            <w:tcBorders>
              <w:top w:val="nil"/>
              <w:left w:val="nil"/>
              <w:bottom w:val="nil"/>
              <w:right w:val="nil"/>
            </w:tcBorders>
            <w:noWrap/>
            <w:vAlign w:val="center"/>
            <w:hideMark/>
          </w:tcPr>
          <w:p w14:paraId="2D6DDB94" w14:textId="77777777" w:rsidR="00027D0E" w:rsidRPr="00AF0CC3" w:rsidRDefault="00027D0E" w:rsidP="00027D0E">
            <w:pPr>
              <w:spacing w:after="0" w:line="240" w:lineRule="auto"/>
              <w:ind w:firstLineChars="100" w:firstLine="241"/>
              <w:rPr>
                <w:rFonts w:ascii="Times New Roman" w:eastAsia="Times New Roman" w:hAnsi="Times New Roman" w:cs="Times New Roman"/>
                <w:b/>
                <w:bCs/>
                <w:color w:val="000000"/>
                <w:kern w:val="0"/>
                <w14:ligatures w14:val="none"/>
              </w:rPr>
            </w:pPr>
            <w:r w:rsidRPr="00AF0CC3">
              <w:rPr>
                <w:rFonts w:ascii="Times New Roman" w:eastAsia="Times New Roman" w:hAnsi="Times New Roman" w:cs="Times New Roman"/>
                <w:b/>
                <w:bCs/>
                <w:color w:val="000000"/>
                <w:kern w:val="0"/>
                <w14:ligatures w14:val="none"/>
              </w:rPr>
              <w:t>0.5</w:t>
            </w:r>
            <w:r w:rsidRPr="00AF0CC3">
              <w:rPr>
                <w:rFonts w:ascii="Times New Roman" w:eastAsia="Times New Roman" w:hAnsi="Times New Roman" w:cs="Times New Roman"/>
                <w:color w:val="000000"/>
                <w:kern w:val="0"/>
                <w14:ligatures w14:val="none"/>
              </w:rPr>
              <w:t xml:space="preserve"> = Irregular or incomplete monitoring</w:t>
            </w:r>
          </w:p>
        </w:tc>
      </w:tr>
      <w:tr w:rsidR="00027D0E" w:rsidRPr="00AF0CC3" w14:paraId="6AA90626" w14:textId="77777777" w:rsidTr="00095007">
        <w:trPr>
          <w:trHeight w:val="290"/>
        </w:trPr>
        <w:tc>
          <w:tcPr>
            <w:tcW w:w="10259" w:type="dxa"/>
            <w:tcBorders>
              <w:top w:val="nil"/>
              <w:left w:val="nil"/>
              <w:bottom w:val="nil"/>
              <w:right w:val="nil"/>
            </w:tcBorders>
            <w:noWrap/>
            <w:vAlign w:val="center"/>
            <w:hideMark/>
          </w:tcPr>
          <w:p w14:paraId="500F0113" w14:textId="77777777" w:rsidR="00027D0E" w:rsidRPr="00AF0CC3" w:rsidRDefault="00027D0E" w:rsidP="00027D0E">
            <w:pPr>
              <w:spacing w:after="0" w:line="240" w:lineRule="auto"/>
              <w:ind w:firstLineChars="100" w:firstLine="241"/>
              <w:rPr>
                <w:rFonts w:ascii="Times New Roman" w:eastAsia="Times New Roman" w:hAnsi="Times New Roman" w:cs="Times New Roman"/>
                <w:b/>
                <w:bCs/>
                <w:color w:val="000000"/>
                <w:kern w:val="0"/>
                <w14:ligatures w14:val="none"/>
              </w:rPr>
            </w:pPr>
            <w:r w:rsidRPr="00AF0CC3">
              <w:rPr>
                <w:rFonts w:ascii="Times New Roman" w:eastAsia="Times New Roman" w:hAnsi="Times New Roman" w:cs="Times New Roman"/>
                <w:b/>
                <w:bCs/>
                <w:color w:val="000000"/>
                <w:kern w:val="0"/>
                <w14:ligatures w14:val="none"/>
              </w:rPr>
              <w:t>0</w:t>
            </w:r>
            <w:r w:rsidRPr="00AF0CC3">
              <w:rPr>
                <w:rFonts w:ascii="Times New Roman" w:eastAsia="Times New Roman" w:hAnsi="Times New Roman" w:cs="Times New Roman"/>
                <w:color w:val="000000"/>
                <w:kern w:val="0"/>
                <w14:ligatures w14:val="none"/>
              </w:rPr>
              <w:t xml:space="preserve"> = No formal monitoring system</w:t>
            </w:r>
          </w:p>
        </w:tc>
      </w:tr>
      <w:tr w:rsidR="00027D0E" w:rsidRPr="00AF0CC3" w14:paraId="36BE3D0D" w14:textId="77777777" w:rsidTr="00095007">
        <w:trPr>
          <w:trHeight w:val="290"/>
        </w:trPr>
        <w:tc>
          <w:tcPr>
            <w:tcW w:w="10259" w:type="dxa"/>
            <w:tcBorders>
              <w:top w:val="nil"/>
              <w:left w:val="nil"/>
              <w:bottom w:val="nil"/>
              <w:right w:val="nil"/>
            </w:tcBorders>
            <w:noWrap/>
            <w:vAlign w:val="bottom"/>
            <w:hideMark/>
          </w:tcPr>
          <w:p w14:paraId="715DCE3F" w14:textId="77777777" w:rsidR="00027D0E" w:rsidRPr="00AF0CC3" w:rsidRDefault="00027D0E" w:rsidP="00027D0E">
            <w:pPr>
              <w:spacing w:after="0" w:line="240" w:lineRule="auto"/>
              <w:ind w:firstLineChars="100" w:firstLine="241"/>
              <w:rPr>
                <w:rFonts w:ascii="Times New Roman" w:eastAsia="Times New Roman" w:hAnsi="Times New Roman" w:cs="Times New Roman"/>
                <w:b/>
                <w:bCs/>
                <w:color w:val="000000"/>
                <w:kern w:val="0"/>
                <w14:ligatures w14:val="none"/>
              </w:rPr>
            </w:pPr>
          </w:p>
        </w:tc>
      </w:tr>
      <w:tr w:rsidR="00027D0E" w:rsidRPr="00AF0CC3" w14:paraId="1006CB75" w14:textId="77777777" w:rsidTr="00095007">
        <w:trPr>
          <w:trHeight w:val="290"/>
        </w:trPr>
        <w:tc>
          <w:tcPr>
            <w:tcW w:w="10259" w:type="dxa"/>
            <w:tcBorders>
              <w:top w:val="nil"/>
              <w:left w:val="nil"/>
              <w:bottom w:val="nil"/>
              <w:right w:val="nil"/>
            </w:tcBorders>
            <w:noWrap/>
            <w:vAlign w:val="bottom"/>
            <w:hideMark/>
          </w:tcPr>
          <w:p w14:paraId="3B38E06F" w14:textId="77777777" w:rsidR="00027D0E" w:rsidRPr="00AF0CC3" w:rsidRDefault="00027D0E" w:rsidP="00027D0E">
            <w:pPr>
              <w:spacing w:after="0" w:line="240" w:lineRule="auto"/>
              <w:rPr>
                <w:rFonts w:ascii="Times New Roman" w:eastAsia="Times New Roman" w:hAnsi="Times New Roman" w:cs="Times New Roman"/>
                <w:kern w:val="0"/>
                <w14:ligatures w14:val="none"/>
              </w:rPr>
            </w:pPr>
          </w:p>
        </w:tc>
      </w:tr>
      <w:tr w:rsidR="00027D0E" w:rsidRPr="00AF0CC3" w14:paraId="01C22E3D" w14:textId="77777777" w:rsidTr="00095007">
        <w:trPr>
          <w:trHeight w:val="290"/>
        </w:trPr>
        <w:tc>
          <w:tcPr>
            <w:tcW w:w="10259" w:type="dxa"/>
            <w:tcBorders>
              <w:top w:val="nil"/>
              <w:left w:val="nil"/>
              <w:bottom w:val="nil"/>
              <w:right w:val="nil"/>
            </w:tcBorders>
            <w:noWrap/>
            <w:vAlign w:val="bottom"/>
            <w:hideMark/>
          </w:tcPr>
          <w:p w14:paraId="6FB805C4" w14:textId="77777777" w:rsidR="00027D0E" w:rsidRPr="00AF0CC3" w:rsidRDefault="00027D0E" w:rsidP="00027D0E">
            <w:pPr>
              <w:spacing w:after="0" w:line="240" w:lineRule="auto"/>
              <w:rPr>
                <w:rFonts w:ascii="Times New Roman" w:eastAsia="Times New Roman" w:hAnsi="Times New Roman" w:cs="Times New Roman"/>
                <w:kern w:val="0"/>
                <w14:ligatures w14:val="none"/>
              </w:rPr>
            </w:pPr>
          </w:p>
        </w:tc>
      </w:tr>
      <w:tr w:rsidR="00027D0E" w:rsidRPr="00AF0CC3" w14:paraId="3CAD1772" w14:textId="77777777" w:rsidTr="00095007">
        <w:trPr>
          <w:trHeight w:val="350"/>
        </w:trPr>
        <w:tc>
          <w:tcPr>
            <w:tcW w:w="10259" w:type="dxa"/>
            <w:tcBorders>
              <w:top w:val="nil"/>
              <w:left w:val="nil"/>
              <w:bottom w:val="nil"/>
              <w:right w:val="nil"/>
            </w:tcBorders>
            <w:noWrap/>
            <w:vAlign w:val="center"/>
            <w:hideMark/>
          </w:tcPr>
          <w:p w14:paraId="11747B5B" w14:textId="77777777" w:rsidR="00027D0E" w:rsidRPr="00AF0CC3" w:rsidRDefault="00027D0E" w:rsidP="00027D0E">
            <w:pPr>
              <w:spacing w:after="0" w:line="240" w:lineRule="auto"/>
              <w:rPr>
                <w:rFonts w:ascii="Times New Roman" w:eastAsia="Times New Roman" w:hAnsi="Times New Roman" w:cs="Times New Roman"/>
                <w:b/>
                <w:bCs/>
                <w:color w:val="000000"/>
                <w:kern w:val="0"/>
                <w14:ligatures w14:val="none"/>
              </w:rPr>
            </w:pPr>
            <w:r w:rsidRPr="00AF0CC3">
              <w:rPr>
                <w:rFonts w:ascii="Times New Roman" w:eastAsia="Times New Roman" w:hAnsi="Times New Roman" w:cs="Times New Roman"/>
                <w:b/>
                <w:bCs/>
                <w:color w:val="000000"/>
                <w:kern w:val="0"/>
                <w14:ligatures w14:val="none"/>
              </w:rPr>
              <w:t>Audit and Oversight Mechanisms</w:t>
            </w:r>
          </w:p>
        </w:tc>
      </w:tr>
      <w:tr w:rsidR="00027D0E" w:rsidRPr="00AF0CC3" w14:paraId="7C2A5E9A" w14:textId="77777777" w:rsidTr="00095007">
        <w:trPr>
          <w:trHeight w:val="290"/>
        </w:trPr>
        <w:tc>
          <w:tcPr>
            <w:tcW w:w="10259" w:type="dxa"/>
            <w:tcBorders>
              <w:top w:val="nil"/>
              <w:left w:val="nil"/>
              <w:bottom w:val="nil"/>
              <w:right w:val="nil"/>
            </w:tcBorders>
            <w:noWrap/>
            <w:vAlign w:val="center"/>
            <w:hideMark/>
          </w:tcPr>
          <w:p w14:paraId="57694289" w14:textId="77777777" w:rsidR="00027D0E" w:rsidRPr="00AF0CC3" w:rsidRDefault="00027D0E" w:rsidP="00027D0E">
            <w:pPr>
              <w:spacing w:after="0" w:line="240" w:lineRule="auto"/>
              <w:rPr>
                <w:rFonts w:ascii="Times New Roman" w:eastAsia="Times New Roman" w:hAnsi="Times New Roman" w:cs="Times New Roman"/>
                <w:b/>
                <w:bCs/>
                <w:color w:val="000000"/>
                <w:kern w:val="0"/>
                <w14:ligatures w14:val="none"/>
              </w:rPr>
            </w:pPr>
          </w:p>
        </w:tc>
      </w:tr>
      <w:tr w:rsidR="00027D0E" w:rsidRPr="00AF0CC3" w14:paraId="391D3223" w14:textId="77777777" w:rsidTr="00095007">
        <w:trPr>
          <w:trHeight w:val="290"/>
        </w:trPr>
        <w:tc>
          <w:tcPr>
            <w:tcW w:w="10259" w:type="dxa"/>
            <w:tcBorders>
              <w:top w:val="nil"/>
              <w:left w:val="nil"/>
              <w:bottom w:val="nil"/>
              <w:right w:val="nil"/>
            </w:tcBorders>
            <w:noWrap/>
            <w:vAlign w:val="center"/>
            <w:hideMark/>
          </w:tcPr>
          <w:p w14:paraId="007C3C2D" w14:textId="77777777" w:rsidR="00027D0E" w:rsidRPr="00AF0CC3" w:rsidRDefault="00027D0E" w:rsidP="00027D0E">
            <w:pPr>
              <w:spacing w:after="0" w:line="240" w:lineRule="auto"/>
              <w:ind w:firstLineChars="100" w:firstLine="241"/>
              <w:rPr>
                <w:rFonts w:ascii="Times New Roman" w:eastAsia="Times New Roman" w:hAnsi="Times New Roman" w:cs="Times New Roman"/>
                <w:b/>
                <w:bCs/>
                <w:color w:val="000000"/>
                <w:kern w:val="0"/>
                <w14:ligatures w14:val="none"/>
              </w:rPr>
            </w:pPr>
            <w:r w:rsidRPr="00AF0CC3">
              <w:rPr>
                <w:rFonts w:ascii="Times New Roman" w:eastAsia="Times New Roman" w:hAnsi="Times New Roman" w:cs="Times New Roman"/>
                <w:b/>
                <w:bCs/>
                <w:color w:val="000000"/>
                <w:kern w:val="0"/>
                <w14:ligatures w14:val="none"/>
              </w:rPr>
              <w:t>1</w:t>
            </w:r>
            <w:r w:rsidRPr="00AF0CC3">
              <w:rPr>
                <w:rFonts w:ascii="Times New Roman" w:eastAsia="Times New Roman" w:hAnsi="Times New Roman" w:cs="Times New Roman"/>
                <w:color w:val="000000"/>
                <w:kern w:val="0"/>
                <w14:ligatures w14:val="none"/>
              </w:rPr>
              <w:t xml:space="preserve"> = Independent audit or oversight evidence</w:t>
            </w:r>
          </w:p>
        </w:tc>
      </w:tr>
      <w:tr w:rsidR="00027D0E" w:rsidRPr="00AF0CC3" w14:paraId="50F36310" w14:textId="77777777" w:rsidTr="00095007">
        <w:trPr>
          <w:trHeight w:val="290"/>
        </w:trPr>
        <w:tc>
          <w:tcPr>
            <w:tcW w:w="10259" w:type="dxa"/>
            <w:tcBorders>
              <w:top w:val="nil"/>
              <w:left w:val="nil"/>
              <w:bottom w:val="nil"/>
              <w:right w:val="nil"/>
            </w:tcBorders>
            <w:noWrap/>
            <w:vAlign w:val="center"/>
            <w:hideMark/>
          </w:tcPr>
          <w:p w14:paraId="30192D80" w14:textId="77777777" w:rsidR="00027D0E" w:rsidRPr="00AF0CC3" w:rsidRDefault="00027D0E" w:rsidP="00027D0E">
            <w:pPr>
              <w:spacing w:after="0" w:line="240" w:lineRule="auto"/>
              <w:ind w:firstLineChars="100" w:firstLine="241"/>
              <w:rPr>
                <w:rFonts w:ascii="Times New Roman" w:eastAsia="Times New Roman" w:hAnsi="Times New Roman" w:cs="Times New Roman"/>
                <w:b/>
                <w:bCs/>
                <w:color w:val="000000"/>
                <w:kern w:val="0"/>
                <w14:ligatures w14:val="none"/>
              </w:rPr>
            </w:pPr>
            <w:r w:rsidRPr="00AF0CC3">
              <w:rPr>
                <w:rFonts w:ascii="Times New Roman" w:eastAsia="Times New Roman" w:hAnsi="Times New Roman" w:cs="Times New Roman"/>
                <w:b/>
                <w:bCs/>
                <w:color w:val="000000"/>
                <w:kern w:val="0"/>
                <w14:ligatures w14:val="none"/>
              </w:rPr>
              <w:t>0.5</w:t>
            </w:r>
            <w:r w:rsidRPr="00AF0CC3">
              <w:rPr>
                <w:rFonts w:ascii="Times New Roman" w:eastAsia="Times New Roman" w:hAnsi="Times New Roman" w:cs="Times New Roman"/>
                <w:color w:val="000000"/>
                <w:kern w:val="0"/>
                <w14:ligatures w14:val="none"/>
              </w:rPr>
              <w:t xml:space="preserve"> = Limited or internal oversight only</w:t>
            </w:r>
          </w:p>
        </w:tc>
      </w:tr>
      <w:tr w:rsidR="00027D0E" w:rsidRPr="00AF0CC3" w14:paraId="4F05B8AB" w14:textId="77777777" w:rsidTr="00095007">
        <w:trPr>
          <w:trHeight w:val="290"/>
        </w:trPr>
        <w:tc>
          <w:tcPr>
            <w:tcW w:w="10259" w:type="dxa"/>
            <w:tcBorders>
              <w:top w:val="nil"/>
              <w:left w:val="nil"/>
              <w:bottom w:val="nil"/>
              <w:right w:val="nil"/>
            </w:tcBorders>
            <w:noWrap/>
            <w:vAlign w:val="center"/>
            <w:hideMark/>
          </w:tcPr>
          <w:p w14:paraId="242C354E" w14:textId="77777777" w:rsidR="00027D0E" w:rsidRPr="00AF0CC3" w:rsidRDefault="00027D0E" w:rsidP="00027D0E">
            <w:pPr>
              <w:spacing w:after="0" w:line="240" w:lineRule="auto"/>
              <w:ind w:firstLineChars="100" w:firstLine="241"/>
              <w:rPr>
                <w:rFonts w:ascii="Times New Roman" w:eastAsia="Times New Roman" w:hAnsi="Times New Roman" w:cs="Times New Roman"/>
                <w:b/>
                <w:bCs/>
                <w:color w:val="000000"/>
                <w:kern w:val="0"/>
                <w14:ligatures w14:val="none"/>
              </w:rPr>
            </w:pPr>
            <w:r w:rsidRPr="00AF0CC3">
              <w:rPr>
                <w:rFonts w:ascii="Times New Roman" w:eastAsia="Times New Roman" w:hAnsi="Times New Roman" w:cs="Times New Roman"/>
                <w:b/>
                <w:bCs/>
                <w:color w:val="000000"/>
                <w:kern w:val="0"/>
                <w14:ligatures w14:val="none"/>
              </w:rPr>
              <w:t>0</w:t>
            </w:r>
            <w:r w:rsidRPr="00AF0CC3">
              <w:rPr>
                <w:rFonts w:ascii="Times New Roman" w:eastAsia="Times New Roman" w:hAnsi="Times New Roman" w:cs="Times New Roman"/>
                <w:color w:val="000000"/>
                <w:kern w:val="0"/>
                <w14:ligatures w14:val="none"/>
              </w:rPr>
              <w:t xml:space="preserve"> = No evidence of audit or oversight</w:t>
            </w:r>
          </w:p>
        </w:tc>
      </w:tr>
      <w:tr w:rsidR="00027D0E" w:rsidRPr="00AF0CC3" w14:paraId="3A042136" w14:textId="77777777" w:rsidTr="00095007">
        <w:trPr>
          <w:trHeight w:val="290"/>
        </w:trPr>
        <w:tc>
          <w:tcPr>
            <w:tcW w:w="10259" w:type="dxa"/>
            <w:tcBorders>
              <w:top w:val="nil"/>
              <w:left w:val="nil"/>
              <w:bottom w:val="nil"/>
              <w:right w:val="nil"/>
            </w:tcBorders>
            <w:noWrap/>
            <w:vAlign w:val="bottom"/>
            <w:hideMark/>
          </w:tcPr>
          <w:p w14:paraId="298A4EF7" w14:textId="77777777" w:rsidR="00027D0E" w:rsidRPr="00AF0CC3" w:rsidRDefault="00027D0E" w:rsidP="00027D0E">
            <w:pPr>
              <w:spacing w:after="0" w:line="240" w:lineRule="auto"/>
              <w:ind w:firstLineChars="100" w:firstLine="241"/>
              <w:rPr>
                <w:rFonts w:ascii="Times New Roman" w:eastAsia="Times New Roman" w:hAnsi="Times New Roman" w:cs="Times New Roman"/>
                <w:b/>
                <w:bCs/>
                <w:color w:val="000000"/>
                <w:kern w:val="0"/>
                <w14:ligatures w14:val="none"/>
              </w:rPr>
            </w:pPr>
          </w:p>
        </w:tc>
      </w:tr>
      <w:tr w:rsidR="00027D0E" w:rsidRPr="00AF0CC3" w14:paraId="47BE7D4B" w14:textId="77777777" w:rsidTr="00095007">
        <w:trPr>
          <w:trHeight w:val="290"/>
        </w:trPr>
        <w:tc>
          <w:tcPr>
            <w:tcW w:w="10259" w:type="dxa"/>
            <w:tcBorders>
              <w:top w:val="nil"/>
              <w:left w:val="nil"/>
              <w:bottom w:val="nil"/>
              <w:right w:val="nil"/>
            </w:tcBorders>
            <w:noWrap/>
            <w:vAlign w:val="bottom"/>
            <w:hideMark/>
          </w:tcPr>
          <w:p w14:paraId="4B7AF965" w14:textId="77777777" w:rsidR="00027D0E" w:rsidRPr="00AF0CC3" w:rsidRDefault="00027D0E" w:rsidP="00027D0E">
            <w:pPr>
              <w:spacing w:after="0" w:line="240" w:lineRule="auto"/>
              <w:rPr>
                <w:rFonts w:ascii="Times New Roman" w:eastAsia="Times New Roman" w:hAnsi="Times New Roman" w:cs="Times New Roman"/>
                <w:kern w:val="0"/>
                <w14:ligatures w14:val="none"/>
              </w:rPr>
            </w:pPr>
          </w:p>
        </w:tc>
      </w:tr>
      <w:tr w:rsidR="00027D0E" w:rsidRPr="00AF0CC3" w14:paraId="41D4097D" w14:textId="77777777" w:rsidTr="00095007">
        <w:trPr>
          <w:trHeight w:val="290"/>
        </w:trPr>
        <w:tc>
          <w:tcPr>
            <w:tcW w:w="10259" w:type="dxa"/>
            <w:tcBorders>
              <w:top w:val="nil"/>
              <w:left w:val="nil"/>
              <w:bottom w:val="nil"/>
              <w:right w:val="nil"/>
            </w:tcBorders>
            <w:noWrap/>
            <w:vAlign w:val="bottom"/>
            <w:hideMark/>
          </w:tcPr>
          <w:p w14:paraId="71D98BC5" w14:textId="77777777" w:rsidR="00027D0E" w:rsidRPr="00AF0CC3" w:rsidRDefault="00027D0E" w:rsidP="00027D0E">
            <w:pPr>
              <w:spacing w:after="0" w:line="240" w:lineRule="auto"/>
              <w:rPr>
                <w:rFonts w:ascii="Times New Roman" w:eastAsia="Times New Roman" w:hAnsi="Times New Roman" w:cs="Times New Roman"/>
                <w:kern w:val="0"/>
                <w14:ligatures w14:val="none"/>
              </w:rPr>
            </w:pPr>
          </w:p>
        </w:tc>
      </w:tr>
      <w:tr w:rsidR="00027D0E" w:rsidRPr="00AF0CC3" w14:paraId="18268B68" w14:textId="77777777" w:rsidTr="00095007">
        <w:trPr>
          <w:trHeight w:val="470"/>
        </w:trPr>
        <w:tc>
          <w:tcPr>
            <w:tcW w:w="10259" w:type="dxa"/>
            <w:tcBorders>
              <w:top w:val="nil"/>
              <w:left w:val="nil"/>
              <w:bottom w:val="nil"/>
              <w:right w:val="nil"/>
            </w:tcBorders>
            <w:noWrap/>
            <w:vAlign w:val="center"/>
            <w:hideMark/>
          </w:tcPr>
          <w:p w14:paraId="7E7CE33D" w14:textId="77777777" w:rsidR="00027D0E" w:rsidRPr="00AF0CC3" w:rsidRDefault="00027D0E" w:rsidP="00027D0E">
            <w:pPr>
              <w:spacing w:after="0" w:line="240" w:lineRule="auto"/>
              <w:rPr>
                <w:rFonts w:ascii="Times New Roman" w:eastAsia="Times New Roman" w:hAnsi="Times New Roman" w:cs="Times New Roman"/>
                <w:b/>
                <w:bCs/>
                <w:color w:val="000000"/>
                <w:kern w:val="0"/>
                <w14:ligatures w14:val="none"/>
              </w:rPr>
            </w:pPr>
            <w:r w:rsidRPr="00AF0CC3">
              <w:rPr>
                <w:rFonts w:ascii="Times New Roman" w:eastAsia="Times New Roman" w:hAnsi="Times New Roman" w:cs="Times New Roman"/>
                <w:b/>
                <w:bCs/>
                <w:color w:val="000000"/>
                <w:kern w:val="0"/>
                <w14:ligatures w14:val="none"/>
              </w:rPr>
              <w:t>2. Project Stalling Classification</w:t>
            </w:r>
          </w:p>
        </w:tc>
      </w:tr>
      <w:tr w:rsidR="00027D0E" w:rsidRPr="00AF0CC3" w14:paraId="47AAD6EC" w14:textId="77777777" w:rsidTr="00095007">
        <w:trPr>
          <w:trHeight w:val="290"/>
        </w:trPr>
        <w:tc>
          <w:tcPr>
            <w:tcW w:w="10259" w:type="dxa"/>
            <w:tcBorders>
              <w:top w:val="nil"/>
              <w:left w:val="nil"/>
              <w:bottom w:val="nil"/>
              <w:right w:val="nil"/>
            </w:tcBorders>
            <w:noWrap/>
            <w:vAlign w:val="bottom"/>
            <w:hideMark/>
          </w:tcPr>
          <w:p w14:paraId="19BECC28" w14:textId="77777777" w:rsidR="00027D0E" w:rsidRPr="00AF0CC3" w:rsidRDefault="00027D0E" w:rsidP="00027D0E">
            <w:pPr>
              <w:spacing w:after="0" w:line="240" w:lineRule="auto"/>
              <w:rPr>
                <w:rFonts w:ascii="Times New Roman" w:eastAsia="Times New Roman" w:hAnsi="Times New Roman" w:cs="Times New Roman"/>
                <w:b/>
                <w:bCs/>
                <w:color w:val="000000"/>
                <w:kern w:val="0"/>
                <w14:ligatures w14:val="none"/>
              </w:rPr>
            </w:pPr>
          </w:p>
        </w:tc>
      </w:tr>
      <w:tr w:rsidR="00027D0E" w:rsidRPr="00AF0CC3" w14:paraId="3540FF6F" w14:textId="77777777" w:rsidTr="00095007">
        <w:trPr>
          <w:trHeight w:val="290"/>
        </w:trPr>
        <w:tc>
          <w:tcPr>
            <w:tcW w:w="10259" w:type="dxa"/>
            <w:tcBorders>
              <w:top w:val="nil"/>
              <w:left w:val="nil"/>
              <w:bottom w:val="nil"/>
              <w:right w:val="nil"/>
            </w:tcBorders>
            <w:noWrap/>
            <w:vAlign w:val="bottom"/>
            <w:hideMark/>
          </w:tcPr>
          <w:p w14:paraId="00040503" w14:textId="77777777" w:rsidR="00027D0E" w:rsidRPr="00AF0CC3" w:rsidRDefault="00027D0E" w:rsidP="00027D0E">
            <w:pPr>
              <w:spacing w:after="0" w:line="240" w:lineRule="auto"/>
              <w:rPr>
                <w:rFonts w:ascii="Times New Roman" w:eastAsia="Times New Roman" w:hAnsi="Times New Roman" w:cs="Times New Roman"/>
                <w:color w:val="000000"/>
                <w:kern w:val="0"/>
                <w14:ligatures w14:val="none"/>
              </w:rPr>
            </w:pPr>
            <w:r w:rsidRPr="00AF0CC3">
              <w:rPr>
                <w:rFonts w:ascii="Times New Roman" w:eastAsia="Times New Roman" w:hAnsi="Times New Roman" w:cs="Times New Roman"/>
                <w:color w:val="000000"/>
                <w:kern w:val="0"/>
                <w14:ligatures w14:val="none"/>
              </w:rPr>
              <w:t xml:space="preserve">Project stalling is coded as a </w:t>
            </w:r>
            <w:r w:rsidRPr="00AF0CC3">
              <w:rPr>
                <w:rFonts w:ascii="Times New Roman" w:eastAsia="Times New Roman" w:hAnsi="Times New Roman" w:cs="Times New Roman"/>
                <w:b/>
                <w:bCs/>
                <w:color w:val="000000"/>
                <w:kern w:val="0"/>
                <w14:ligatures w14:val="none"/>
              </w:rPr>
              <w:t>binary variable</w:t>
            </w:r>
            <w:r w:rsidRPr="00AF0CC3">
              <w:rPr>
                <w:rFonts w:ascii="Times New Roman" w:eastAsia="Times New Roman" w:hAnsi="Times New Roman" w:cs="Times New Roman"/>
                <w:color w:val="000000"/>
                <w:kern w:val="0"/>
                <w14:ligatures w14:val="none"/>
              </w:rPr>
              <w:t>:</w:t>
            </w:r>
          </w:p>
        </w:tc>
      </w:tr>
      <w:tr w:rsidR="00027D0E" w:rsidRPr="00AF0CC3" w14:paraId="61AD7710" w14:textId="77777777" w:rsidTr="00095007">
        <w:trPr>
          <w:trHeight w:val="290"/>
        </w:trPr>
        <w:tc>
          <w:tcPr>
            <w:tcW w:w="10259" w:type="dxa"/>
            <w:tcBorders>
              <w:top w:val="nil"/>
              <w:left w:val="nil"/>
              <w:bottom w:val="nil"/>
              <w:right w:val="nil"/>
            </w:tcBorders>
            <w:noWrap/>
            <w:vAlign w:val="center"/>
            <w:hideMark/>
          </w:tcPr>
          <w:p w14:paraId="199419C6" w14:textId="77777777" w:rsidR="00027D0E" w:rsidRPr="00AF0CC3" w:rsidRDefault="00027D0E" w:rsidP="00027D0E">
            <w:pPr>
              <w:spacing w:after="0" w:line="240" w:lineRule="auto"/>
              <w:rPr>
                <w:rFonts w:ascii="Times New Roman" w:eastAsia="Times New Roman" w:hAnsi="Times New Roman" w:cs="Times New Roman"/>
                <w:color w:val="000000"/>
                <w:kern w:val="0"/>
                <w14:ligatures w14:val="none"/>
              </w:rPr>
            </w:pPr>
          </w:p>
        </w:tc>
      </w:tr>
      <w:tr w:rsidR="00027D0E" w:rsidRPr="00AF0CC3" w14:paraId="4251699D" w14:textId="77777777" w:rsidTr="00095007">
        <w:trPr>
          <w:trHeight w:val="290"/>
        </w:trPr>
        <w:tc>
          <w:tcPr>
            <w:tcW w:w="10259" w:type="dxa"/>
            <w:tcBorders>
              <w:top w:val="nil"/>
              <w:left w:val="nil"/>
              <w:bottom w:val="nil"/>
              <w:right w:val="nil"/>
            </w:tcBorders>
            <w:noWrap/>
            <w:vAlign w:val="center"/>
            <w:hideMark/>
          </w:tcPr>
          <w:p w14:paraId="56BD96DC" w14:textId="77777777" w:rsidR="00027D0E" w:rsidRPr="00AF0CC3" w:rsidRDefault="00027D0E" w:rsidP="00027D0E">
            <w:pPr>
              <w:spacing w:after="0" w:line="240" w:lineRule="auto"/>
              <w:ind w:firstLineChars="100" w:firstLine="241"/>
              <w:rPr>
                <w:rFonts w:ascii="Times New Roman" w:eastAsia="Times New Roman" w:hAnsi="Times New Roman" w:cs="Times New Roman"/>
                <w:b/>
                <w:bCs/>
                <w:color w:val="000000"/>
                <w:kern w:val="0"/>
                <w14:ligatures w14:val="none"/>
              </w:rPr>
            </w:pPr>
            <w:r w:rsidRPr="00AF0CC3">
              <w:rPr>
                <w:rFonts w:ascii="Times New Roman" w:eastAsia="Times New Roman" w:hAnsi="Times New Roman" w:cs="Times New Roman"/>
                <w:b/>
                <w:bCs/>
                <w:color w:val="000000"/>
                <w:kern w:val="0"/>
                <w14:ligatures w14:val="none"/>
              </w:rPr>
              <w:t>1 (Stalled)</w:t>
            </w:r>
            <w:r w:rsidRPr="00AF0CC3">
              <w:rPr>
                <w:rFonts w:ascii="Times New Roman" w:eastAsia="Times New Roman" w:hAnsi="Times New Roman" w:cs="Times New Roman"/>
                <w:color w:val="000000"/>
                <w:kern w:val="0"/>
                <w14:ligatures w14:val="none"/>
              </w:rPr>
              <w:t xml:space="preserve"> = No substantive implementation activity for </w:t>
            </w:r>
            <w:r w:rsidRPr="00AF0CC3">
              <w:rPr>
                <w:rFonts w:ascii="Times New Roman" w:eastAsia="Times New Roman" w:hAnsi="Times New Roman" w:cs="Times New Roman"/>
                <w:b/>
                <w:bCs/>
                <w:color w:val="000000"/>
                <w:kern w:val="0"/>
                <w14:ligatures w14:val="none"/>
              </w:rPr>
              <w:t>≥24 consecutive months</w:t>
            </w:r>
            <w:r w:rsidRPr="00AF0CC3">
              <w:rPr>
                <w:rFonts w:ascii="Times New Roman" w:eastAsia="Times New Roman" w:hAnsi="Times New Roman" w:cs="Times New Roman"/>
                <w:color w:val="000000"/>
                <w:kern w:val="0"/>
                <w14:ligatures w14:val="none"/>
              </w:rPr>
              <w:t>, with no delivery of functional infrastructure services</w:t>
            </w:r>
          </w:p>
        </w:tc>
      </w:tr>
      <w:tr w:rsidR="00027D0E" w:rsidRPr="00AF0CC3" w14:paraId="5DF0D842" w14:textId="77777777" w:rsidTr="00095007">
        <w:trPr>
          <w:trHeight w:val="290"/>
        </w:trPr>
        <w:tc>
          <w:tcPr>
            <w:tcW w:w="10259" w:type="dxa"/>
            <w:tcBorders>
              <w:top w:val="nil"/>
              <w:left w:val="nil"/>
              <w:bottom w:val="nil"/>
              <w:right w:val="nil"/>
            </w:tcBorders>
            <w:noWrap/>
            <w:vAlign w:val="center"/>
            <w:hideMark/>
          </w:tcPr>
          <w:p w14:paraId="484D70E5" w14:textId="77777777" w:rsidR="00027D0E" w:rsidRPr="00AF0CC3" w:rsidRDefault="00027D0E" w:rsidP="00027D0E">
            <w:pPr>
              <w:spacing w:after="0" w:line="240" w:lineRule="auto"/>
              <w:ind w:firstLineChars="100" w:firstLine="241"/>
              <w:rPr>
                <w:rFonts w:ascii="Times New Roman" w:eastAsia="Times New Roman" w:hAnsi="Times New Roman" w:cs="Times New Roman"/>
                <w:b/>
                <w:bCs/>
                <w:color w:val="000000"/>
                <w:kern w:val="0"/>
                <w14:ligatures w14:val="none"/>
              </w:rPr>
            </w:pPr>
            <w:r w:rsidRPr="00AF0CC3">
              <w:rPr>
                <w:rFonts w:ascii="Times New Roman" w:eastAsia="Times New Roman" w:hAnsi="Times New Roman" w:cs="Times New Roman"/>
                <w:b/>
                <w:bCs/>
                <w:color w:val="000000"/>
                <w:kern w:val="0"/>
                <w14:ligatures w14:val="none"/>
              </w:rPr>
              <w:t>0 (Not Stalled)</w:t>
            </w:r>
            <w:r w:rsidRPr="00AF0CC3">
              <w:rPr>
                <w:rFonts w:ascii="Times New Roman" w:eastAsia="Times New Roman" w:hAnsi="Times New Roman" w:cs="Times New Roman"/>
                <w:color w:val="000000"/>
                <w:kern w:val="0"/>
                <w14:ligatures w14:val="none"/>
              </w:rPr>
              <w:t xml:space="preserve"> = Continuous or resumed implementation within 24 months</w:t>
            </w:r>
          </w:p>
        </w:tc>
      </w:tr>
      <w:tr w:rsidR="00027D0E" w:rsidRPr="00AF0CC3" w14:paraId="0C702034" w14:textId="77777777" w:rsidTr="00095007">
        <w:trPr>
          <w:trHeight w:val="290"/>
        </w:trPr>
        <w:tc>
          <w:tcPr>
            <w:tcW w:w="10259" w:type="dxa"/>
            <w:tcBorders>
              <w:top w:val="nil"/>
              <w:left w:val="nil"/>
              <w:bottom w:val="nil"/>
              <w:right w:val="nil"/>
            </w:tcBorders>
            <w:noWrap/>
            <w:vAlign w:val="bottom"/>
            <w:hideMark/>
          </w:tcPr>
          <w:p w14:paraId="7BA5385C" w14:textId="77777777" w:rsidR="00027D0E" w:rsidRPr="00AF0CC3" w:rsidRDefault="00027D0E" w:rsidP="00027D0E">
            <w:pPr>
              <w:spacing w:after="0" w:line="240" w:lineRule="auto"/>
              <w:ind w:firstLineChars="100" w:firstLine="241"/>
              <w:rPr>
                <w:rFonts w:ascii="Times New Roman" w:eastAsia="Times New Roman" w:hAnsi="Times New Roman" w:cs="Times New Roman"/>
                <w:b/>
                <w:bCs/>
                <w:color w:val="000000"/>
                <w:kern w:val="0"/>
                <w14:ligatures w14:val="none"/>
              </w:rPr>
            </w:pPr>
          </w:p>
        </w:tc>
      </w:tr>
      <w:tr w:rsidR="00027D0E" w:rsidRPr="00AF0CC3" w14:paraId="69D83793" w14:textId="77777777" w:rsidTr="00095007">
        <w:trPr>
          <w:trHeight w:val="350"/>
        </w:trPr>
        <w:tc>
          <w:tcPr>
            <w:tcW w:w="10259" w:type="dxa"/>
            <w:tcBorders>
              <w:top w:val="nil"/>
              <w:left w:val="nil"/>
              <w:bottom w:val="nil"/>
              <w:right w:val="nil"/>
            </w:tcBorders>
            <w:noWrap/>
            <w:vAlign w:val="center"/>
            <w:hideMark/>
          </w:tcPr>
          <w:p w14:paraId="44902B41" w14:textId="77777777" w:rsidR="00027D0E" w:rsidRPr="00AF0CC3" w:rsidRDefault="00027D0E" w:rsidP="00027D0E">
            <w:pPr>
              <w:spacing w:after="0" w:line="240" w:lineRule="auto"/>
              <w:rPr>
                <w:rFonts w:ascii="Times New Roman" w:eastAsia="Times New Roman" w:hAnsi="Times New Roman" w:cs="Times New Roman"/>
                <w:b/>
                <w:bCs/>
                <w:color w:val="000000"/>
                <w:kern w:val="0"/>
                <w14:ligatures w14:val="none"/>
              </w:rPr>
            </w:pPr>
            <w:r w:rsidRPr="00AF0CC3">
              <w:rPr>
                <w:rFonts w:ascii="Times New Roman" w:eastAsia="Times New Roman" w:hAnsi="Times New Roman" w:cs="Times New Roman"/>
                <w:b/>
                <w:bCs/>
                <w:color w:val="000000"/>
                <w:kern w:val="0"/>
                <w14:ligatures w14:val="none"/>
              </w:rPr>
              <w:t>Important Rules:</w:t>
            </w:r>
          </w:p>
        </w:tc>
      </w:tr>
      <w:tr w:rsidR="00027D0E" w:rsidRPr="00AF0CC3" w14:paraId="6B77264F" w14:textId="77777777" w:rsidTr="00095007">
        <w:trPr>
          <w:trHeight w:val="290"/>
        </w:trPr>
        <w:tc>
          <w:tcPr>
            <w:tcW w:w="10259" w:type="dxa"/>
            <w:tcBorders>
              <w:top w:val="nil"/>
              <w:left w:val="nil"/>
              <w:bottom w:val="nil"/>
              <w:right w:val="nil"/>
            </w:tcBorders>
            <w:noWrap/>
            <w:vAlign w:val="center"/>
            <w:hideMark/>
          </w:tcPr>
          <w:p w14:paraId="26D8EFE0" w14:textId="77777777" w:rsidR="00027D0E" w:rsidRPr="00AF0CC3" w:rsidRDefault="00027D0E" w:rsidP="00027D0E">
            <w:pPr>
              <w:spacing w:after="0" w:line="240" w:lineRule="auto"/>
              <w:rPr>
                <w:rFonts w:ascii="Times New Roman" w:eastAsia="Times New Roman" w:hAnsi="Times New Roman" w:cs="Times New Roman"/>
                <w:b/>
                <w:bCs/>
                <w:color w:val="000000"/>
                <w:kern w:val="0"/>
                <w14:ligatures w14:val="none"/>
              </w:rPr>
            </w:pPr>
          </w:p>
        </w:tc>
      </w:tr>
      <w:tr w:rsidR="00027D0E" w:rsidRPr="00AF0CC3" w14:paraId="53AE0E03" w14:textId="77777777" w:rsidTr="00095007">
        <w:trPr>
          <w:trHeight w:val="290"/>
        </w:trPr>
        <w:tc>
          <w:tcPr>
            <w:tcW w:w="10259" w:type="dxa"/>
            <w:tcBorders>
              <w:top w:val="nil"/>
              <w:left w:val="nil"/>
              <w:bottom w:val="nil"/>
              <w:right w:val="nil"/>
            </w:tcBorders>
            <w:noWrap/>
            <w:vAlign w:val="center"/>
            <w:hideMark/>
          </w:tcPr>
          <w:p w14:paraId="55059EE8" w14:textId="77777777" w:rsidR="00027D0E" w:rsidRPr="00AF0CC3" w:rsidRDefault="00027D0E" w:rsidP="00027D0E">
            <w:pPr>
              <w:spacing w:after="0" w:line="240" w:lineRule="auto"/>
              <w:ind w:firstLineChars="100" w:firstLine="240"/>
              <w:rPr>
                <w:rFonts w:ascii="Times New Roman" w:eastAsia="Times New Roman" w:hAnsi="Times New Roman" w:cs="Times New Roman"/>
                <w:color w:val="000000"/>
                <w:kern w:val="0"/>
                <w14:ligatures w14:val="none"/>
              </w:rPr>
            </w:pPr>
            <w:r w:rsidRPr="00AF0CC3">
              <w:rPr>
                <w:rFonts w:ascii="Times New Roman" w:eastAsia="Times New Roman" w:hAnsi="Times New Roman" w:cs="Times New Roman"/>
                <w:color w:val="000000"/>
                <w:kern w:val="0"/>
                <w14:ligatures w14:val="none"/>
              </w:rPr>
              <w:t xml:space="preserve">Planned pauses (e.g., phased projects) </w:t>
            </w:r>
            <w:r w:rsidRPr="00AF0CC3">
              <w:rPr>
                <w:rFonts w:ascii="Times New Roman" w:eastAsia="Times New Roman" w:hAnsi="Times New Roman" w:cs="Times New Roman"/>
                <w:b/>
                <w:bCs/>
                <w:color w:val="000000"/>
                <w:kern w:val="0"/>
                <w14:ligatures w14:val="none"/>
              </w:rPr>
              <w:t>are NOT stalling</w:t>
            </w:r>
            <w:r w:rsidRPr="00AF0CC3">
              <w:rPr>
                <w:rFonts w:ascii="Times New Roman" w:eastAsia="Times New Roman" w:hAnsi="Times New Roman" w:cs="Times New Roman"/>
                <w:color w:val="000000"/>
                <w:kern w:val="0"/>
                <w14:ligatures w14:val="none"/>
              </w:rPr>
              <w:t xml:space="preserve"> if documented</w:t>
            </w:r>
          </w:p>
        </w:tc>
      </w:tr>
      <w:tr w:rsidR="00027D0E" w:rsidRPr="00AF0CC3" w14:paraId="0CF045C9" w14:textId="77777777" w:rsidTr="00095007">
        <w:trPr>
          <w:trHeight w:val="290"/>
        </w:trPr>
        <w:tc>
          <w:tcPr>
            <w:tcW w:w="10259" w:type="dxa"/>
            <w:tcBorders>
              <w:top w:val="nil"/>
              <w:left w:val="nil"/>
              <w:bottom w:val="nil"/>
              <w:right w:val="nil"/>
            </w:tcBorders>
            <w:noWrap/>
            <w:vAlign w:val="center"/>
            <w:hideMark/>
          </w:tcPr>
          <w:p w14:paraId="575C59DD" w14:textId="77777777" w:rsidR="00027D0E" w:rsidRPr="00AF0CC3" w:rsidRDefault="00027D0E" w:rsidP="00027D0E">
            <w:pPr>
              <w:spacing w:after="0" w:line="240" w:lineRule="auto"/>
              <w:ind w:firstLineChars="100" w:firstLine="240"/>
              <w:rPr>
                <w:rFonts w:ascii="Times New Roman" w:eastAsia="Times New Roman" w:hAnsi="Times New Roman" w:cs="Times New Roman"/>
                <w:color w:val="000000"/>
                <w:kern w:val="0"/>
                <w14:ligatures w14:val="none"/>
              </w:rPr>
            </w:pPr>
            <w:r w:rsidRPr="00AF0CC3">
              <w:rPr>
                <w:rFonts w:ascii="Times New Roman" w:eastAsia="Times New Roman" w:hAnsi="Times New Roman" w:cs="Times New Roman"/>
                <w:color w:val="000000"/>
                <w:kern w:val="0"/>
                <w14:ligatures w14:val="none"/>
              </w:rPr>
              <w:t xml:space="preserve">Administrative delays &lt;24 months </w:t>
            </w:r>
            <w:r w:rsidRPr="00AF0CC3">
              <w:rPr>
                <w:rFonts w:ascii="Times New Roman" w:eastAsia="Times New Roman" w:hAnsi="Times New Roman" w:cs="Times New Roman"/>
                <w:b/>
                <w:bCs/>
                <w:color w:val="000000"/>
                <w:kern w:val="0"/>
                <w14:ligatures w14:val="none"/>
              </w:rPr>
              <w:t>are NOT stalling</w:t>
            </w:r>
          </w:p>
        </w:tc>
      </w:tr>
      <w:tr w:rsidR="00027D0E" w:rsidRPr="00AF0CC3" w14:paraId="5B5D31B6" w14:textId="77777777" w:rsidTr="00095007">
        <w:trPr>
          <w:trHeight w:val="290"/>
        </w:trPr>
        <w:tc>
          <w:tcPr>
            <w:tcW w:w="10259" w:type="dxa"/>
            <w:tcBorders>
              <w:top w:val="nil"/>
              <w:left w:val="nil"/>
              <w:bottom w:val="nil"/>
              <w:right w:val="nil"/>
            </w:tcBorders>
            <w:noWrap/>
            <w:vAlign w:val="center"/>
            <w:hideMark/>
          </w:tcPr>
          <w:p w14:paraId="78B1E2F8" w14:textId="77777777" w:rsidR="00027D0E" w:rsidRPr="00AF0CC3" w:rsidRDefault="00027D0E" w:rsidP="00027D0E">
            <w:pPr>
              <w:spacing w:after="0" w:line="240" w:lineRule="auto"/>
              <w:ind w:firstLineChars="100" w:firstLine="240"/>
              <w:rPr>
                <w:rFonts w:ascii="Times New Roman" w:eastAsia="Times New Roman" w:hAnsi="Times New Roman" w:cs="Times New Roman"/>
                <w:color w:val="000000"/>
                <w:kern w:val="0"/>
                <w14:ligatures w14:val="none"/>
              </w:rPr>
            </w:pPr>
            <w:r w:rsidRPr="00AF0CC3">
              <w:rPr>
                <w:rFonts w:ascii="Times New Roman" w:eastAsia="Times New Roman" w:hAnsi="Times New Roman" w:cs="Times New Roman"/>
                <w:color w:val="000000"/>
                <w:kern w:val="0"/>
                <w14:ligatures w14:val="none"/>
              </w:rPr>
              <w:t xml:space="preserve">Use </w:t>
            </w:r>
            <w:r w:rsidRPr="00AF0CC3">
              <w:rPr>
                <w:rFonts w:ascii="Times New Roman" w:eastAsia="Times New Roman" w:hAnsi="Times New Roman" w:cs="Times New Roman"/>
                <w:b/>
                <w:bCs/>
                <w:color w:val="000000"/>
                <w:kern w:val="0"/>
                <w14:ligatures w14:val="none"/>
              </w:rPr>
              <w:t>multiple sources</w:t>
            </w:r>
            <w:r w:rsidRPr="00AF0CC3">
              <w:rPr>
                <w:rFonts w:ascii="Times New Roman" w:eastAsia="Times New Roman" w:hAnsi="Times New Roman" w:cs="Times New Roman"/>
                <w:color w:val="000000"/>
                <w:kern w:val="0"/>
                <w14:ligatures w14:val="none"/>
              </w:rPr>
              <w:t xml:space="preserve"> (reports, audits, field updates) where possible</w:t>
            </w:r>
          </w:p>
        </w:tc>
      </w:tr>
      <w:tr w:rsidR="00027D0E" w:rsidRPr="00AF0CC3" w14:paraId="09FB9389" w14:textId="77777777" w:rsidTr="00095007">
        <w:trPr>
          <w:trHeight w:val="290"/>
        </w:trPr>
        <w:tc>
          <w:tcPr>
            <w:tcW w:w="10259" w:type="dxa"/>
            <w:tcBorders>
              <w:top w:val="nil"/>
              <w:left w:val="nil"/>
              <w:bottom w:val="nil"/>
              <w:right w:val="nil"/>
            </w:tcBorders>
            <w:noWrap/>
            <w:vAlign w:val="bottom"/>
            <w:hideMark/>
          </w:tcPr>
          <w:p w14:paraId="2149096E" w14:textId="77777777" w:rsidR="00027D0E" w:rsidRPr="00AF0CC3" w:rsidRDefault="00027D0E" w:rsidP="00027D0E">
            <w:pPr>
              <w:spacing w:after="0" w:line="240" w:lineRule="auto"/>
              <w:ind w:firstLineChars="100" w:firstLine="240"/>
              <w:rPr>
                <w:rFonts w:ascii="Times New Roman" w:eastAsia="Times New Roman" w:hAnsi="Times New Roman" w:cs="Times New Roman"/>
                <w:color w:val="000000"/>
                <w:kern w:val="0"/>
                <w14:ligatures w14:val="none"/>
              </w:rPr>
            </w:pPr>
          </w:p>
        </w:tc>
      </w:tr>
      <w:tr w:rsidR="00027D0E" w:rsidRPr="00AF0CC3" w14:paraId="24EF5170" w14:textId="77777777" w:rsidTr="00095007">
        <w:trPr>
          <w:trHeight w:val="290"/>
        </w:trPr>
        <w:tc>
          <w:tcPr>
            <w:tcW w:w="10259" w:type="dxa"/>
            <w:tcBorders>
              <w:top w:val="nil"/>
              <w:left w:val="nil"/>
              <w:bottom w:val="nil"/>
              <w:right w:val="nil"/>
            </w:tcBorders>
            <w:noWrap/>
            <w:vAlign w:val="bottom"/>
            <w:hideMark/>
          </w:tcPr>
          <w:p w14:paraId="1357A8B1" w14:textId="77777777" w:rsidR="00027D0E" w:rsidRPr="00AF0CC3" w:rsidRDefault="00027D0E" w:rsidP="00027D0E">
            <w:pPr>
              <w:spacing w:after="0" w:line="240" w:lineRule="auto"/>
              <w:rPr>
                <w:rFonts w:ascii="Times New Roman" w:eastAsia="Times New Roman" w:hAnsi="Times New Roman" w:cs="Times New Roman"/>
                <w:kern w:val="0"/>
                <w14:ligatures w14:val="none"/>
              </w:rPr>
            </w:pPr>
          </w:p>
        </w:tc>
      </w:tr>
      <w:tr w:rsidR="00027D0E" w:rsidRPr="00AF0CC3" w14:paraId="77349044" w14:textId="77777777" w:rsidTr="00095007">
        <w:trPr>
          <w:trHeight w:val="290"/>
        </w:trPr>
        <w:tc>
          <w:tcPr>
            <w:tcW w:w="10259" w:type="dxa"/>
            <w:tcBorders>
              <w:top w:val="nil"/>
              <w:left w:val="nil"/>
              <w:bottom w:val="nil"/>
              <w:right w:val="nil"/>
            </w:tcBorders>
            <w:noWrap/>
            <w:vAlign w:val="bottom"/>
            <w:hideMark/>
          </w:tcPr>
          <w:p w14:paraId="0C1405F0" w14:textId="77777777" w:rsidR="00027D0E" w:rsidRPr="00AF0CC3" w:rsidRDefault="00027D0E" w:rsidP="00027D0E">
            <w:pPr>
              <w:spacing w:after="0" w:line="240" w:lineRule="auto"/>
              <w:rPr>
                <w:rFonts w:ascii="Times New Roman" w:eastAsia="Times New Roman" w:hAnsi="Times New Roman" w:cs="Times New Roman"/>
                <w:kern w:val="0"/>
                <w14:ligatures w14:val="none"/>
              </w:rPr>
            </w:pPr>
          </w:p>
        </w:tc>
      </w:tr>
      <w:tr w:rsidR="00027D0E" w:rsidRPr="00AF0CC3" w14:paraId="38CFE75C" w14:textId="77777777" w:rsidTr="00095007">
        <w:trPr>
          <w:trHeight w:val="470"/>
        </w:trPr>
        <w:tc>
          <w:tcPr>
            <w:tcW w:w="10259" w:type="dxa"/>
            <w:tcBorders>
              <w:top w:val="nil"/>
              <w:left w:val="nil"/>
              <w:bottom w:val="nil"/>
              <w:right w:val="nil"/>
            </w:tcBorders>
            <w:noWrap/>
            <w:vAlign w:val="center"/>
            <w:hideMark/>
          </w:tcPr>
          <w:p w14:paraId="368F76DE" w14:textId="77777777" w:rsidR="00027D0E" w:rsidRPr="00AF0CC3" w:rsidRDefault="00027D0E" w:rsidP="00027D0E">
            <w:pPr>
              <w:spacing w:after="0" w:line="240" w:lineRule="auto"/>
              <w:rPr>
                <w:rFonts w:ascii="Times New Roman" w:eastAsia="Times New Roman" w:hAnsi="Times New Roman" w:cs="Times New Roman"/>
                <w:b/>
                <w:bCs/>
                <w:color w:val="000000"/>
                <w:kern w:val="0"/>
                <w14:ligatures w14:val="none"/>
              </w:rPr>
            </w:pPr>
            <w:r w:rsidRPr="00AF0CC3">
              <w:rPr>
                <w:rFonts w:ascii="Times New Roman" w:eastAsia="Times New Roman" w:hAnsi="Times New Roman" w:cs="Times New Roman"/>
                <w:b/>
                <w:bCs/>
                <w:color w:val="000000"/>
                <w:kern w:val="0"/>
                <w14:ligatures w14:val="none"/>
              </w:rPr>
              <w:t>3. Climate Exposure Classification</w:t>
            </w:r>
          </w:p>
        </w:tc>
      </w:tr>
      <w:tr w:rsidR="00027D0E" w:rsidRPr="00AF0CC3" w14:paraId="573C6EDA" w14:textId="77777777" w:rsidTr="00095007">
        <w:trPr>
          <w:trHeight w:val="290"/>
        </w:trPr>
        <w:tc>
          <w:tcPr>
            <w:tcW w:w="10259" w:type="dxa"/>
            <w:tcBorders>
              <w:top w:val="nil"/>
              <w:left w:val="nil"/>
              <w:bottom w:val="nil"/>
              <w:right w:val="nil"/>
            </w:tcBorders>
            <w:noWrap/>
            <w:vAlign w:val="bottom"/>
            <w:hideMark/>
          </w:tcPr>
          <w:p w14:paraId="1AEB7D8E" w14:textId="77777777" w:rsidR="00027D0E" w:rsidRPr="00AF0CC3" w:rsidRDefault="00027D0E" w:rsidP="00027D0E">
            <w:pPr>
              <w:spacing w:after="0" w:line="240" w:lineRule="auto"/>
              <w:rPr>
                <w:rFonts w:ascii="Times New Roman" w:eastAsia="Times New Roman" w:hAnsi="Times New Roman" w:cs="Times New Roman"/>
                <w:b/>
                <w:bCs/>
                <w:color w:val="000000"/>
                <w:kern w:val="0"/>
                <w14:ligatures w14:val="none"/>
              </w:rPr>
            </w:pPr>
          </w:p>
        </w:tc>
      </w:tr>
      <w:tr w:rsidR="00027D0E" w:rsidRPr="00AF0CC3" w14:paraId="69AA7DB1" w14:textId="77777777" w:rsidTr="00095007">
        <w:trPr>
          <w:trHeight w:val="290"/>
        </w:trPr>
        <w:tc>
          <w:tcPr>
            <w:tcW w:w="10259" w:type="dxa"/>
            <w:tcBorders>
              <w:top w:val="nil"/>
              <w:left w:val="nil"/>
              <w:bottom w:val="nil"/>
              <w:right w:val="nil"/>
            </w:tcBorders>
            <w:noWrap/>
            <w:vAlign w:val="bottom"/>
            <w:hideMark/>
          </w:tcPr>
          <w:p w14:paraId="447578DD" w14:textId="77777777" w:rsidR="00027D0E" w:rsidRPr="00AF0CC3" w:rsidRDefault="00027D0E" w:rsidP="00027D0E">
            <w:pPr>
              <w:spacing w:after="0" w:line="240" w:lineRule="auto"/>
              <w:rPr>
                <w:rFonts w:ascii="Times New Roman" w:eastAsia="Times New Roman" w:hAnsi="Times New Roman" w:cs="Times New Roman"/>
                <w:color w:val="000000"/>
                <w:kern w:val="0"/>
                <w14:ligatures w14:val="none"/>
              </w:rPr>
            </w:pPr>
            <w:r w:rsidRPr="00AF0CC3">
              <w:rPr>
                <w:rFonts w:ascii="Times New Roman" w:eastAsia="Times New Roman" w:hAnsi="Times New Roman" w:cs="Times New Roman"/>
                <w:color w:val="000000"/>
                <w:kern w:val="0"/>
                <w14:ligatures w14:val="none"/>
              </w:rPr>
              <w:t>Climate exposure reflects the extent to which environmental conditions may affect project implementation.</w:t>
            </w:r>
          </w:p>
        </w:tc>
      </w:tr>
      <w:tr w:rsidR="00027D0E" w:rsidRPr="00AF0CC3" w14:paraId="695D94E5" w14:textId="77777777" w:rsidTr="00095007">
        <w:trPr>
          <w:trHeight w:val="290"/>
        </w:trPr>
        <w:tc>
          <w:tcPr>
            <w:tcW w:w="10259" w:type="dxa"/>
            <w:tcBorders>
              <w:top w:val="nil"/>
              <w:left w:val="nil"/>
              <w:bottom w:val="nil"/>
              <w:right w:val="nil"/>
            </w:tcBorders>
            <w:noWrap/>
            <w:vAlign w:val="bottom"/>
            <w:hideMark/>
          </w:tcPr>
          <w:p w14:paraId="4CA4CD1C" w14:textId="77777777" w:rsidR="00027D0E" w:rsidRPr="00AF0CC3" w:rsidRDefault="00027D0E" w:rsidP="00027D0E">
            <w:pPr>
              <w:spacing w:after="0" w:line="240" w:lineRule="auto"/>
              <w:rPr>
                <w:rFonts w:ascii="Times New Roman" w:eastAsia="Times New Roman" w:hAnsi="Times New Roman" w:cs="Times New Roman"/>
                <w:color w:val="000000"/>
                <w:kern w:val="0"/>
                <w14:ligatures w14:val="none"/>
              </w:rPr>
            </w:pPr>
          </w:p>
        </w:tc>
      </w:tr>
      <w:tr w:rsidR="00027D0E" w:rsidRPr="00AF0CC3" w14:paraId="3A01E40D" w14:textId="77777777" w:rsidTr="00095007">
        <w:trPr>
          <w:trHeight w:val="350"/>
        </w:trPr>
        <w:tc>
          <w:tcPr>
            <w:tcW w:w="10259" w:type="dxa"/>
            <w:tcBorders>
              <w:top w:val="nil"/>
              <w:left w:val="nil"/>
              <w:bottom w:val="nil"/>
              <w:right w:val="nil"/>
            </w:tcBorders>
            <w:noWrap/>
            <w:vAlign w:val="center"/>
            <w:hideMark/>
          </w:tcPr>
          <w:p w14:paraId="4625FA58" w14:textId="77777777" w:rsidR="00027D0E" w:rsidRPr="00AF0CC3" w:rsidRDefault="00027D0E" w:rsidP="00027D0E">
            <w:pPr>
              <w:spacing w:after="0" w:line="240" w:lineRule="auto"/>
              <w:rPr>
                <w:rFonts w:ascii="Times New Roman" w:eastAsia="Times New Roman" w:hAnsi="Times New Roman" w:cs="Times New Roman"/>
                <w:b/>
                <w:bCs/>
                <w:color w:val="000000"/>
                <w:kern w:val="0"/>
                <w14:ligatures w14:val="none"/>
              </w:rPr>
            </w:pPr>
            <w:r w:rsidRPr="00AF0CC3">
              <w:rPr>
                <w:rFonts w:ascii="Times New Roman" w:eastAsia="Times New Roman" w:hAnsi="Times New Roman" w:cs="Times New Roman"/>
                <w:b/>
                <w:bCs/>
                <w:color w:val="000000"/>
                <w:kern w:val="0"/>
                <w14:ligatures w14:val="none"/>
              </w:rPr>
              <w:t>Coding:</w:t>
            </w:r>
          </w:p>
        </w:tc>
      </w:tr>
      <w:tr w:rsidR="00027D0E" w:rsidRPr="00AF0CC3" w14:paraId="2D447560" w14:textId="77777777" w:rsidTr="00095007">
        <w:trPr>
          <w:trHeight w:val="290"/>
        </w:trPr>
        <w:tc>
          <w:tcPr>
            <w:tcW w:w="10259" w:type="dxa"/>
            <w:tcBorders>
              <w:top w:val="nil"/>
              <w:left w:val="nil"/>
              <w:bottom w:val="nil"/>
              <w:right w:val="nil"/>
            </w:tcBorders>
            <w:noWrap/>
            <w:vAlign w:val="center"/>
            <w:hideMark/>
          </w:tcPr>
          <w:p w14:paraId="759697A4" w14:textId="77777777" w:rsidR="00027D0E" w:rsidRPr="00AF0CC3" w:rsidRDefault="00027D0E" w:rsidP="00027D0E">
            <w:pPr>
              <w:spacing w:after="0" w:line="240" w:lineRule="auto"/>
              <w:rPr>
                <w:rFonts w:ascii="Times New Roman" w:eastAsia="Times New Roman" w:hAnsi="Times New Roman" w:cs="Times New Roman"/>
                <w:b/>
                <w:bCs/>
                <w:color w:val="000000"/>
                <w:kern w:val="0"/>
                <w14:ligatures w14:val="none"/>
              </w:rPr>
            </w:pPr>
          </w:p>
        </w:tc>
      </w:tr>
      <w:tr w:rsidR="00027D0E" w:rsidRPr="00AF0CC3" w14:paraId="5DC87627" w14:textId="77777777" w:rsidTr="00095007">
        <w:trPr>
          <w:trHeight w:val="290"/>
        </w:trPr>
        <w:tc>
          <w:tcPr>
            <w:tcW w:w="10259" w:type="dxa"/>
            <w:tcBorders>
              <w:top w:val="nil"/>
              <w:left w:val="nil"/>
              <w:bottom w:val="nil"/>
              <w:right w:val="nil"/>
            </w:tcBorders>
            <w:noWrap/>
            <w:vAlign w:val="center"/>
            <w:hideMark/>
          </w:tcPr>
          <w:p w14:paraId="3657B506" w14:textId="77777777" w:rsidR="00027D0E" w:rsidRPr="00AF0CC3" w:rsidRDefault="00027D0E" w:rsidP="00027D0E">
            <w:pPr>
              <w:spacing w:after="0" w:line="240" w:lineRule="auto"/>
              <w:ind w:firstLineChars="100" w:firstLine="241"/>
              <w:rPr>
                <w:rFonts w:ascii="Times New Roman" w:eastAsia="Times New Roman" w:hAnsi="Times New Roman" w:cs="Times New Roman"/>
                <w:b/>
                <w:bCs/>
                <w:color w:val="000000"/>
                <w:kern w:val="0"/>
                <w14:ligatures w14:val="none"/>
              </w:rPr>
            </w:pPr>
            <w:r w:rsidRPr="00AF0CC3">
              <w:rPr>
                <w:rFonts w:ascii="Times New Roman" w:eastAsia="Times New Roman" w:hAnsi="Times New Roman" w:cs="Times New Roman"/>
                <w:b/>
                <w:bCs/>
                <w:color w:val="000000"/>
                <w:kern w:val="0"/>
                <w14:ligatures w14:val="none"/>
              </w:rPr>
              <w:t>1 = Low Exposure</w:t>
            </w:r>
          </w:p>
        </w:tc>
      </w:tr>
      <w:tr w:rsidR="00027D0E" w:rsidRPr="00AF0CC3" w14:paraId="655B90A7" w14:textId="77777777" w:rsidTr="00095007">
        <w:trPr>
          <w:trHeight w:val="290"/>
        </w:trPr>
        <w:tc>
          <w:tcPr>
            <w:tcW w:w="10259" w:type="dxa"/>
            <w:tcBorders>
              <w:top w:val="nil"/>
              <w:left w:val="nil"/>
              <w:bottom w:val="nil"/>
              <w:right w:val="nil"/>
            </w:tcBorders>
            <w:noWrap/>
            <w:vAlign w:val="center"/>
            <w:hideMark/>
          </w:tcPr>
          <w:p w14:paraId="6E69A13D" w14:textId="77777777" w:rsidR="00027D0E" w:rsidRPr="00AF0CC3" w:rsidRDefault="00027D0E" w:rsidP="00027D0E">
            <w:pPr>
              <w:spacing w:after="0" w:line="240" w:lineRule="auto"/>
              <w:ind w:firstLineChars="200" w:firstLine="480"/>
              <w:rPr>
                <w:rFonts w:ascii="Times New Roman" w:eastAsia="Times New Roman" w:hAnsi="Times New Roman" w:cs="Times New Roman"/>
                <w:color w:val="000000"/>
                <w:kern w:val="0"/>
                <w14:ligatures w14:val="none"/>
              </w:rPr>
            </w:pPr>
            <w:r w:rsidRPr="00AF0CC3">
              <w:rPr>
                <w:rFonts w:ascii="Times New Roman" w:eastAsia="Times New Roman" w:hAnsi="Times New Roman" w:cs="Times New Roman"/>
                <w:color w:val="000000"/>
                <w:kern w:val="0"/>
                <w14:ligatures w14:val="none"/>
              </w:rPr>
              <w:t>Minimal or no recorded climate disruptions</w:t>
            </w:r>
          </w:p>
        </w:tc>
      </w:tr>
      <w:tr w:rsidR="00027D0E" w:rsidRPr="00AF0CC3" w14:paraId="36F4AA47" w14:textId="77777777" w:rsidTr="00095007">
        <w:trPr>
          <w:trHeight w:val="290"/>
        </w:trPr>
        <w:tc>
          <w:tcPr>
            <w:tcW w:w="10259" w:type="dxa"/>
            <w:tcBorders>
              <w:top w:val="nil"/>
              <w:left w:val="nil"/>
              <w:bottom w:val="nil"/>
              <w:right w:val="nil"/>
            </w:tcBorders>
            <w:noWrap/>
            <w:vAlign w:val="center"/>
            <w:hideMark/>
          </w:tcPr>
          <w:p w14:paraId="04C93B4D" w14:textId="77777777" w:rsidR="00027D0E" w:rsidRPr="00AF0CC3" w:rsidRDefault="00027D0E" w:rsidP="00027D0E">
            <w:pPr>
              <w:spacing w:after="0" w:line="240" w:lineRule="auto"/>
              <w:ind w:firstLineChars="200" w:firstLine="480"/>
              <w:rPr>
                <w:rFonts w:ascii="Times New Roman" w:eastAsia="Times New Roman" w:hAnsi="Times New Roman" w:cs="Times New Roman"/>
                <w:color w:val="000000"/>
                <w:kern w:val="0"/>
                <w14:ligatures w14:val="none"/>
              </w:rPr>
            </w:pPr>
            <w:r w:rsidRPr="00AF0CC3">
              <w:rPr>
                <w:rFonts w:ascii="Times New Roman" w:eastAsia="Times New Roman" w:hAnsi="Times New Roman" w:cs="Times New Roman"/>
                <w:color w:val="000000"/>
                <w:kern w:val="0"/>
                <w14:ligatures w14:val="none"/>
              </w:rPr>
              <w:t>Stable rainfall patterns</w:t>
            </w:r>
          </w:p>
        </w:tc>
      </w:tr>
      <w:tr w:rsidR="00027D0E" w:rsidRPr="00AF0CC3" w14:paraId="0A13DB57" w14:textId="77777777" w:rsidTr="00095007">
        <w:trPr>
          <w:trHeight w:val="290"/>
        </w:trPr>
        <w:tc>
          <w:tcPr>
            <w:tcW w:w="10259" w:type="dxa"/>
            <w:tcBorders>
              <w:top w:val="nil"/>
              <w:left w:val="nil"/>
              <w:bottom w:val="nil"/>
              <w:right w:val="nil"/>
            </w:tcBorders>
            <w:noWrap/>
            <w:vAlign w:val="center"/>
            <w:hideMark/>
          </w:tcPr>
          <w:p w14:paraId="63352D33" w14:textId="77777777" w:rsidR="00027D0E" w:rsidRPr="00AF0CC3" w:rsidRDefault="00027D0E" w:rsidP="00027D0E">
            <w:pPr>
              <w:spacing w:after="0" w:line="240" w:lineRule="auto"/>
              <w:ind w:firstLineChars="100" w:firstLine="241"/>
              <w:rPr>
                <w:rFonts w:ascii="Times New Roman" w:eastAsia="Times New Roman" w:hAnsi="Times New Roman" w:cs="Times New Roman"/>
                <w:b/>
                <w:bCs/>
                <w:color w:val="000000"/>
                <w:kern w:val="0"/>
                <w14:ligatures w14:val="none"/>
              </w:rPr>
            </w:pPr>
            <w:r w:rsidRPr="00AF0CC3">
              <w:rPr>
                <w:rFonts w:ascii="Times New Roman" w:eastAsia="Times New Roman" w:hAnsi="Times New Roman" w:cs="Times New Roman"/>
                <w:b/>
                <w:bCs/>
                <w:color w:val="000000"/>
                <w:kern w:val="0"/>
                <w14:ligatures w14:val="none"/>
              </w:rPr>
              <w:t>2 = Medium Exposure</w:t>
            </w:r>
          </w:p>
        </w:tc>
      </w:tr>
      <w:tr w:rsidR="00027D0E" w:rsidRPr="00AF0CC3" w14:paraId="3F1EF7E2" w14:textId="77777777" w:rsidTr="00095007">
        <w:trPr>
          <w:trHeight w:val="290"/>
        </w:trPr>
        <w:tc>
          <w:tcPr>
            <w:tcW w:w="10259" w:type="dxa"/>
            <w:tcBorders>
              <w:top w:val="nil"/>
              <w:left w:val="nil"/>
              <w:bottom w:val="nil"/>
              <w:right w:val="nil"/>
            </w:tcBorders>
            <w:noWrap/>
            <w:vAlign w:val="center"/>
            <w:hideMark/>
          </w:tcPr>
          <w:p w14:paraId="36D25BF8" w14:textId="77777777" w:rsidR="00027D0E" w:rsidRPr="00AF0CC3" w:rsidRDefault="00027D0E" w:rsidP="00027D0E">
            <w:pPr>
              <w:spacing w:after="0" w:line="240" w:lineRule="auto"/>
              <w:ind w:firstLineChars="200" w:firstLine="480"/>
              <w:rPr>
                <w:rFonts w:ascii="Times New Roman" w:eastAsia="Times New Roman" w:hAnsi="Times New Roman" w:cs="Times New Roman"/>
                <w:color w:val="000000"/>
                <w:kern w:val="0"/>
                <w14:ligatures w14:val="none"/>
              </w:rPr>
            </w:pPr>
            <w:r w:rsidRPr="00AF0CC3">
              <w:rPr>
                <w:rFonts w:ascii="Times New Roman" w:eastAsia="Times New Roman" w:hAnsi="Times New Roman" w:cs="Times New Roman"/>
                <w:color w:val="000000"/>
                <w:kern w:val="0"/>
                <w14:ligatures w14:val="none"/>
              </w:rPr>
              <w:t>Occasional droughts, floods, or moderate variability</w:t>
            </w:r>
          </w:p>
        </w:tc>
      </w:tr>
      <w:tr w:rsidR="00027D0E" w:rsidRPr="00AF0CC3" w14:paraId="203A8B00" w14:textId="77777777" w:rsidTr="00095007">
        <w:trPr>
          <w:trHeight w:val="290"/>
        </w:trPr>
        <w:tc>
          <w:tcPr>
            <w:tcW w:w="10259" w:type="dxa"/>
            <w:tcBorders>
              <w:top w:val="nil"/>
              <w:left w:val="nil"/>
              <w:bottom w:val="nil"/>
              <w:right w:val="nil"/>
            </w:tcBorders>
            <w:noWrap/>
            <w:vAlign w:val="center"/>
            <w:hideMark/>
          </w:tcPr>
          <w:p w14:paraId="22187B2F" w14:textId="77777777" w:rsidR="00027D0E" w:rsidRPr="00AF0CC3" w:rsidRDefault="00027D0E" w:rsidP="00027D0E">
            <w:pPr>
              <w:spacing w:after="0" w:line="240" w:lineRule="auto"/>
              <w:ind w:firstLineChars="200" w:firstLine="480"/>
              <w:rPr>
                <w:rFonts w:ascii="Times New Roman" w:eastAsia="Times New Roman" w:hAnsi="Times New Roman" w:cs="Times New Roman"/>
                <w:color w:val="000000"/>
                <w:kern w:val="0"/>
                <w14:ligatures w14:val="none"/>
              </w:rPr>
            </w:pPr>
            <w:r w:rsidRPr="00AF0CC3">
              <w:rPr>
                <w:rFonts w:ascii="Times New Roman" w:eastAsia="Times New Roman" w:hAnsi="Times New Roman" w:cs="Times New Roman"/>
                <w:color w:val="000000"/>
                <w:kern w:val="0"/>
                <w14:ligatures w14:val="none"/>
              </w:rPr>
              <w:t>Some disruption to implementation</w:t>
            </w:r>
          </w:p>
        </w:tc>
      </w:tr>
      <w:tr w:rsidR="00027D0E" w:rsidRPr="00AF0CC3" w14:paraId="0DE1389D" w14:textId="77777777" w:rsidTr="00095007">
        <w:trPr>
          <w:trHeight w:val="290"/>
        </w:trPr>
        <w:tc>
          <w:tcPr>
            <w:tcW w:w="10259" w:type="dxa"/>
            <w:tcBorders>
              <w:top w:val="nil"/>
              <w:left w:val="nil"/>
              <w:bottom w:val="nil"/>
              <w:right w:val="nil"/>
            </w:tcBorders>
            <w:noWrap/>
            <w:vAlign w:val="center"/>
            <w:hideMark/>
          </w:tcPr>
          <w:p w14:paraId="00F33913" w14:textId="77777777" w:rsidR="00027D0E" w:rsidRPr="00AF0CC3" w:rsidRDefault="00027D0E" w:rsidP="00027D0E">
            <w:pPr>
              <w:spacing w:after="0" w:line="240" w:lineRule="auto"/>
              <w:ind w:firstLineChars="100" w:firstLine="241"/>
              <w:rPr>
                <w:rFonts w:ascii="Times New Roman" w:eastAsia="Times New Roman" w:hAnsi="Times New Roman" w:cs="Times New Roman"/>
                <w:b/>
                <w:bCs/>
                <w:color w:val="000000"/>
                <w:kern w:val="0"/>
                <w14:ligatures w14:val="none"/>
              </w:rPr>
            </w:pPr>
            <w:r w:rsidRPr="00AF0CC3">
              <w:rPr>
                <w:rFonts w:ascii="Times New Roman" w:eastAsia="Times New Roman" w:hAnsi="Times New Roman" w:cs="Times New Roman"/>
                <w:b/>
                <w:bCs/>
                <w:color w:val="000000"/>
                <w:kern w:val="0"/>
                <w14:ligatures w14:val="none"/>
              </w:rPr>
              <w:t>3 = High Exposure</w:t>
            </w:r>
          </w:p>
        </w:tc>
      </w:tr>
      <w:tr w:rsidR="00027D0E" w:rsidRPr="00AF0CC3" w14:paraId="4F262554" w14:textId="77777777" w:rsidTr="00095007">
        <w:trPr>
          <w:trHeight w:val="290"/>
        </w:trPr>
        <w:tc>
          <w:tcPr>
            <w:tcW w:w="10259" w:type="dxa"/>
            <w:tcBorders>
              <w:top w:val="nil"/>
              <w:left w:val="nil"/>
              <w:bottom w:val="nil"/>
              <w:right w:val="nil"/>
            </w:tcBorders>
            <w:noWrap/>
            <w:vAlign w:val="center"/>
            <w:hideMark/>
          </w:tcPr>
          <w:p w14:paraId="1445A70C" w14:textId="77777777" w:rsidR="00027D0E" w:rsidRPr="00AF0CC3" w:rsidRDefault="00027D0E" w:rsidP="00027D0E">
            <w:pPr>
              <w:spacing w:after="0" w:line="240" w:lineRule="auto"/>
              <w:ind w:firstLineChars="200" w:firstLine="480"/>
              <w:rPr>
                <w:rFonts w:ascii="Times New Roman" w:eastAsia="Times New Roman" w:hAnsi="Times New Roman" w:cs="Times New Roman"/>
                <w:color w:val="000000"/>
                <w:kern w:val="0"/>
                <w14:ligatures w14:val="none"/>
              </w:rPr>
            </w:pPr>
            <w:r w:rsidRPr="00AF0CC3">
              <w:rPr>
                <w:rFonts w:ascii="Times New Roman" w:eastAsia="Times New Roman" w:hAnsi="Times New Roman" w:cs="Times New Roman"/>
                <w:color w:val="000000"/>
                <w:kern w:val="0"/>
                <w14:ligatures w14:val="none"/>
              </w:rPr>
              <w:t>Frequent or severe droughts/floods</w:t>
            </w:r>
          </w:p>
        </w:tc>
      </w:tr>
      <w:tr w:rsidR="00027D0E" w:rsidRPr="00AF0CC3" w14:paraId="22DEC5F9" w14:textId="77777777" w:rsidTr="00095007">
        <w:trPr>
          <w:trHeight w:val="290"/>
        </w:trPr>
        <w:tc>
          <w:tcPr>
            <w:tcW w:w="10259" w:type="dxa"/>
            <w:tcBorders>
              <w:top w:val="nil"/>
              <w:left w:val="nil"/>
              <w:bottom w:val="nil"/>
              <w:right w:val="nil"/>
            </w:tcBorders>
            <w:noWrap/>
            <w:vAlign w:val="center"/>
            <w:hideMark/>
          </w:tcPr>
          <w:p w14:paraId="0572DEEC" w14:textId="77777777" w:rsidR="00027D0E" w:rsidRPr="00AF0CC3" w:rsidRDefault="00027D0E" w:rsidP="00027D0E">
            <w:pPr>
              <w:spacing w:after="0" w:line="240" w:lineRule="auto"/>
              <w:ind w:firstLineChars="200" w:firstLine="480"/>
              <w:rPr>
                <w:rFonts w:ascii="Times New Roman" w:eastAsia="Times New Roman" w:hAnsi="Times New Roman" w:cs="Times New Roman"/>
                <w:color w:val="000000"/>
                <w:kern w:val="0"/>
                <w14:ligatures w14:val="none"/>
              </w:rPr>
            </w:pPr>
            <w:r w:rsidRPr="00AF0CC3">
              <w:rPr>
                <w:rFonts w:ascii="Times New Roman" w:eastAsia="Times New Roman" w:hAnsi="Times New Roman" w:cs="Times New Roman"/>
                <w:color w:val="000000"/>
                <w:kern w:val="0"/>
                <w14:ligatures w14:val="none"/>
              </w:rPr>
              <w:t>Significant impact on construction or operations</w:t>
            </w:r>
          </w:p>
        </w:tc>
      </w:tr>
      <w:tr w:rsidR="00027D0E" w:rsidRPr="00AF0CC3" w14:paraId="3F6EC0BC" w14:textId="77777777" w:rsidTr="00095007">
        <w:trPr>
          <w:trHeight w:val="290"/>
        </w:trPr>
        <w:tc>
          <w:tcPr>
            <w:tcW w:w="10259" w:type="dxa"/>
            <w:tcBorders>
              <w:top w:val="nil"/>
              <w:left w:val="nil"/>
              <w:bottom w:val="nil"/>
              <w:right w:val="nil"/>
            </w:tcBorders>
            <w:noWrap/>
            <w:vAlign w:val="bottom"/>
            <w:hideMark/>
          </w:tcPr>
          <w:p w14:paraId="575DAAD0" w14:textId="77777777" w:rsidR="00027D0E" w:rsidRPr="00AF0CC3" w:rsidRDefault="00027D0E" w:rsidP="00027D0E">
            <w:pPr>
              <w:spacing w:after="0" w:line="240" w:lineRule="auto"/>
              <w:ind w:firstLineChars="200" w:firstLine="480"/>
              <w:rPr>
                <w:rFonts w:ascii="Times New Roman" w:eastAsia="Times New Roman" w:hAnsi="Times New Roman" w:cs="Times New Roman"/>
                <w:color w:val="000000"/>
                <w:kern w:val="0"/>
                <w14:ligatures w14:val="none"/>
              </w:rPr>
            </w:pPr>
          </w:p>
        </w:tc>
      </w:tr>
      <w:tr w:rsidR="00027D0E" w:rsidRPr="00AF0CC3" w14:paraId="5F645779" w14:textId="77777777" w:rsidTr="00095007">
        <w:trPr>
          <w:trHeight w:val="350"/>
        </w:trPr>
        <w:tc>
          <w:tcPr>
            <w:tcW w:w="10259" w:type="dxa"/>
            <w:tcBorders>
              <w:top w:val="nil"/>
              <w:left w:val="nil"/>
              <w:bottom w:val="nil"/>
              <w:right w:val="nil"/>
            </w:tcBorders>
            <w:noWrap/>
            <w:vAlign w:val="center"/>
            <w:hideMark/>
          </w:tcPr>
          <w:p w14:paraId="16E4B79A" w14:textId="77777777" w:rsidR="00027D0E" w:rsidRPr="00AF0CC3" w:rsidRDefault="00027D0E" w:rsidP="00027D0E">
            <w:pPr>
              <w:spacing w:after="0" w:line="240" w:lineRule="auto"/>
              <w:rPr>
                <w:rFonts w:ascii="Times New Roman" w:eastAsia="Times New Roman" w:hAnsi="Times New Roman" w:cs="Times New Roman"/>
                <w:b/>
                <w:bCs/>
                <w:color w:val="000000"/>
                <w:kern w:val="0"/>
                <w14:ligatures w14:val="none"/>
              </w:rPr>
            </w:pPr>
            <w:r w:rsidRPr="00AF0CC3">
              <w:rPr>
                <w:rFonts w:ascii="Times New Roman" w:eastAsia="Times New Roman" w:hAnsi="Times New Roman" w:cs="Times New Roman"/>
                <w:b/>
                <w:bCs/>
                <w:color w:val="000000"/>
                <w:kern w:val="0"/>
                <w14:ligatures w14:val="none"/>
              </w:rPr>
              <w:t>Sources:</w:t>
            </w:r>
          </w:p>
        </w:tc>
      </w:tr>
      <w:tr w:rsidR="00027D0E" w:rsidRPr="00AF0CC3" w14:paraId="7674AAF2" w14:textId="77777777" w:rsidTr="00095007">
        <w:trPr>
          <w:trHeight w:val="290"/>
        </w:trPr>
        <w:tc>
          <w:tcPr>
            <w:tcW w:w="10259" w:type="dxa"/>
            <w:tcBorders>
              <w:top w:val="nil"/>
              <w:left w:val="nil"/>
              <w:bottom w:val="nil"/>
              <w:right w:val="nil"/>
            </w:tcBorders>
            <w:noWrap/>
            <w:vAlign w:val="center"/>
            <w:hideMark/>
          </w:tcPr>
          <w:p w14:paraId="277CB691" w14:textId="77777777" w:rsidR="00027D0E" w:rsidRPr="00AF0CC3" w:rsidRDefault="00027D0E" w:rsidP="00027D0E">
            <w:pPr>
              <w:spacing w:after="0" w:line="240" w:lineRule="auto"/>
              <w:rPr>
                <w:rFonts w:ascii="Times New Roman" w:eastAsia="Times New Roman" w:hAnsi="Times New Roman" w:cs="Times New Roman"/>
                <w:b/>
                <w:bCs/>
                <w:color w:val="000000"/>
                <w:kern w:val="0"/>
                <w14:ligatures w14:val="none"/>
              </w:rPr>
            </w:pPr>
          </w:p>
        </w:tc>
      </w:tr>
      <w:tr w:rsidR="00027D0E" w:rsidRPr="00AF0CC3" w14:paraId="41F463A2" w14:textId="77777777" w:rsidTr="00095007">
        <w:trPr>
          <w:trHeight w:val="290"/>
        </w:trPr>
        <w:tc>
          <w:tcPr>
            <w:tcW w:w="10259" w:type="dxa"/>
            <w:tcBorders>
              <w:top w:val="nil"/>
              <w:left w:val="nil"/>
              <w:bottom w:val="nil"/>
              <w:right w:val="nil"/>
            </w:tcBorders>
            <w:noWrap/>
            <w:vAlign w:val="center"/>
            <w:hideMark/>
          </w:tcPr>
          <w:p w14:paraId="74CEF0AF" w14:textId="77777777" w:rsidR="00027D0E" w:rsidRPr="00AF0CC3" w:rsidRDefault="00027D0E" w:rsidP="00027D0E">
            <w:pPr>
              <w:spacing w:after="0" w:line="240" w:lineRule="auto"/>
              <w:ind w:firstLineChars="100" w:firstLine="240"/>
              <w:rPr>
                <w:rFonts w:ascii="Times New Roman" w:eastAsia="Times New Roman" w:hAnsi="Times New Roman" w:cs="Times New Roman"/>
                <w:color w:val="000000"/>
                <w:kern w:val="0"/>
                <w14:ligatures w14:val="none"/>
              </w:rPr>
            </w:pPr>
            <w:r w:rsidRPr="00AF0CC3">
              <w:rPr>
                <w:rFonts w:ascii="Times New Roman" w:eastAsia="Times New Roman" w:hAnsi="Times New Roman" w:cs="Times New Roman"/>
                <w:color w:val="000000"/>
                <w:kern w:val="0"/>
                <w14:ligatures w14:val="none"/>
              </w:rPr>
              <w:t>Kenya Meteorological Department</w:t>
            </w:r>
          </w:p>
        </w:tc>
      </w:tr>
      <w:tr w:rsidR="00027D0E" w:rsidRPr="00AF0CC3" w14:paraId="0CC179F6" w14:textId="77777777" w:rsidTr="00095007">
        <w:trPr>
          <w:trHeight w:val="290"/>
        </w:trPr>
        <w:tc>
          <w:tcPr>
            <w:tcW w:w="10259" w:type="dxa"/>
            <w:tcBorders>
              <w:top w:val="nil"/>
              <w:left w:val="nil"/>
              <w:bottom w:val="nil"/>
              <w:right w:val="nil"/>
            </w:tcBorders>
            <w:noWrap/>
            <w:vAlign w:val="center"/>
            <w:hideMark/>
          </w:tcPr>
          <w:p w14:paraId="579F13A5" w14:textId="77777777" w:rsidR="00027D0E" w:rsidRPr="00AF0CC3" w:rsidRDefault="00027D0E" w:rsidP="00027D0E">
            <w:pPr>
              <w:spacing w:after="0" w:line="240" w:lineRule="auto"/>
              <w:ind w:firstLineChars="100" w:firstLine="240"/>
              <w:rPr>
                <w:rFonts w:ascii="Times New Roman" w:eastAsia="Times New Roman" w:hAnsi="Times New Roman" w:cs="Times New Roman"/>
                <w:color w:val="000000"/>
                <w:kern w:val="0"/>
                <w14:ligatures w14:val="none"/>
              </w:rPr>
            </w:pPr>
            <w:r w:rsidRPr="00AF0CC3">
              <w:rPr>
                <w:rFonts w:ascii="Times New Roman" w:eastAsia="Times New Roman" w:hAnsi="Times New Roman" w:cs="Times New Roman"/>
                <w:color w:val="000000"/>
                <w:kern w:val="0"/>
                <w14:ligatures w14:val="none"/>
              </w:rPr>
              <w:lastRenderedPageBreak/>
              <w:t>Project reports</w:t>
            </w:r>
          </w:p>
        </w:tc>
      </w:tr>
      <w:tr w:rsidR="00027D0E" w:rsidRPr="00AF0CC3" w14:paraId="77950F1B" w14:textId="77777777" w:rsidTr="00095007">
        <w:trPr>
          <w:trHeight w:val="290"/>
        </w:trPr>
        <w:tc>
          <w:tcPr>
            <w:tcW w:w="10259" w:type="dxa"/>
            <w:tcBorders>
              <w:top w:val="nil"/>
              <w:left w:val="nil"/>
              <w:bottom w:val="nil"/>
              <w:right w:val="nil"/>
            </w:tcBorders>
            <w:noWrap/>
            <w:vAlign w:val="center"/>
            <w:hideMark/>
          </w:tcPr>
          <w:p w14:paraId="75707DBF" w14:textId="77777777" w:rsidR="00027D0E" w:rsidRPr="00AF0CC3" w:rsidRDefault="00027D0E" w:rsidP="00027D0E">
            <w:pPr>
              <w:spacing w:after="0" w:line="240" w:lineRule="auto"/>
              <w:ind w:firstLineChars="100" w:firstLine="240"/>
              <w:rPr>
                <w:rFonts w:ascii="Times New Roman" w:eastAsia="Times New Roman" w:hAnsi="Times New Roman" w:cs="Times New Roman"/>
                <w:color w:val="000000"/>
                <w:kern w:val="0"/>
                <w14:ligatures w14:val="none"/>
              </w:rPr>
            </w:pPr>
            <w:r w:rsidRPr="00AF0CC3">
              <w:rPr>
                <w:rFonts w:ascii="Times New Roman" w:eastAsia="Times New Roman" w:hAnsi="Times New Roman" w:cs="Times New Roman"/>
                <w:color w:val="000000"/>
                <w:kern w:val="0"/>
                <w14:ligatures w14:val="none"/>
              </w:rPr>
              <w:t>Environmental assessments</w:t>
            </w:r>
          </w:p>
        </w:tc>
      </w:tr>
      <w:tr w:rsidR="00027D0E" w:rsidRPr="00AF0CC3" w14:paraId="16CC82BD" w14:textId="77777777" w:rsidTr="00095007">
        <w:trPr>
          <w:trHeight w:val="290"/>
        </w:trPr>
        <w:tc>
          <w:tcPr>
            <w:tcW w:w="10259" w:type="dxa"/>
            <w:tcBorders>
              <w:top w:val="nil"/>
              <w:left w:val="nil"/>
              <w:bottom w:val="nil"/>
              <w:right w:val="nil"/>
            </w:tcBorders>
            <w:noWrap/>
            <w:vAlign w:val="bottom"/>
            <w:hideMark/>
          </w:tcPr>
          <w:p w14:paraId="2C716F6D" w14:textId="77777777" w:rsidR="00027D0E" w:rsidRPr="00AF0CC3" w:rsidRDefault="00027D0E" w:rsidP="00027D0E">
            <w:pPr>
              <w:spacing w:after="0" w:line="240" w:lineRule="auto"/>
              <w:ind w:firstLineChars="100" w:firstLine="240"/>
              <w:rPr>
                <w:rFonts w:ascii="Times New Roman" w:eastAsia="Times New Roman" w:hAnsi="Times New Roman" w:cs="Times New Roman"/>
                <w:color w:val="000000"/>
                <w:kern w:val="0"/>
                <w14:ligatures w14:val="none"/>
              </w:rPr>
            </w:pPr>
          </w:p>
        </w:tc>
      </w:tr>
      <w:tr w:rsidR="00027D0E" w:rsidRPr="00AF0CC3" w14:paraId="735D4E5F" w14:textId="77777777" w:rsidTr="00095007">
        <w:trPr>
          <w:trHeight w:val="290"/>
        </w:trPr>
        <w:tc>
          <w:tcPr>
            <w:tcW w:w="10259" w:type="dxa"/>
            <w:tcBorders>
              <w:top w:val="nil"/>
              <w:left w:val="nil"/>
              <w:bottom w:val="nil"/>
              <w:right w:val="nil"/>
            </w:tcBorders>
            <w:noWrap/>
            <w:vAlign w:val="bottom"/>
            <w:hideMark/>
          </w:tcPr>
          <w:p w14:paraId="3EC053D8" w14:textId="77777777" w:rsidR="00027D0E" w:rsidRPr="00AF0CC3" w:rsidRDefault="00027D0E" w:rsidP="00027D0E">
            <w:pPr>
              <w:spacing w:after="0" w:line="240" w:lineRule="auto"/>
              <w:rPr>
                <w:rFonts w:ascii="Times New Roman" w:eastAsia="Times New Roman" w:hAnsi="Times New Roman" w:cs="Times New Roman"/>
                <w:kern w:val="0"/>
                <w14:ligatures w14:val="none"/>
              </w:rPr>
            </w:pPr>
          </w:p>
        </w:tc>
      </w:tr>
      <w:tr w:rsidR="00027D0E" w:rsidRPr="00AF0CC3" w14:paraId="2649399D" w14:textId="77777777" w:rsidTr="00095007">
        <w:trPr>
          <w:trHeight w:val="290"/>
        </w:trPr>
        <w:tc>
          <w:tcPr>
            <w:tcW w:w="10259" w:type="dxa"/>
            <w:tcBorders>
              <w:top w:val="nil"/>
              <w:left w:val="nil"/>
              <w:bottom w:val="nil"/>
              <w:right w:val="nil"/>
            </w:tcBorders>
            <w:noWrap/>
            <w:vAlign w:val="bottom"/>
            <w:hideMark/>
          </w:tcPr>
          <w:p w14:paraId="5D948899" w14:textId="77777777" w:rsidR="00027D0E" w:rsidRPr="00AF0CC3" w:rsidRDefault="00027D0E" w:rsidP="00027D0E">
            <w:pPr>
              <w:spacing w:after="0" w:line="240" w:lineRule="auto"/>
              <w:rPr>
                <w:rFonts w:ascii="Times New Roman" w:eastAsia="Times New Roman" w:hAnsi="Times New Roman" w:cs="Times New Roman"/>
                <w:kern w:val="0"/>
                <w14:ligatures w14:val="none"/>
              </w:rPr>
            </w:pPr>
          </w:p>
        </w:tc>
      </w:tr>
      <w:tr w:rsidR="00027D0E" w:rsidRPr="00AF0CC3" w14:paraId="0049C5CE" w14:textId="77777777" w:rsidTr="00095007">
        <w:trPr>
          <w:trHeight w:val="470"/>
        </w:trPr>
        <w:tc>
          <w:tcPr>
            <w:tcW w:w="10259" w:type="dxa"/>
            <w:tcBorders>
              <w:top w:val="nil"/>
              <w:left w:val="nil"/>
              <w:bottom w:val="nil"/>
              <w:right w:val="nil"/>
            </w:tcBorders>
            <w:noWrap/>
            <w:vAlign w:val="center"/>
            <w:hideMark/>
          </w:tcPr>
          <w:p w14:paraId="62340251" w14:textId="77777777" w:rsidR="00027D0E" w:rsidRPr="00AF0CC3" w:rsidRDefault="00027D0E" w:rsidP="00027D0E">
            <w:pPr>
              <w:spacing w:after="0" w:line="240" w:lineRule="auto"/>
              <w:rPr>
                <w:rFonts w:ascii="Times New Roman" w:eastAsia="Times New Roman" w:hAnsi="Times New Roman" w:cs="Times New Roman"/>
                <w:b/>
                <w:bCs/>
                <w:color w:val="000000"/>
                <w:kern w:val="0"/>
                <w14:ligatures w14:val="none"/>
              </w:rPr>
            </w:pPr>
            <w:r w:rsidRPr="00AF0CC3">
              <w:rPr>
                <w:rFonts w:ascii="Times New Roman" w:eastAsia="Times New Roman" w:hAnsi="Times New Roman" w:cs="Times New Roman"/>
                <w:b/>
                <w:bCs/>
                <w:color w:val="000000"/>
                <w:kern w:val="0"/>
                <w14:ligatures w14:val="none"/>
              </w:rPr>
              <w:t>4. General Coding Principles</w:t>
            </w:r>
          </w:p>
        </w:tc>
      </w:tr>
      <w:tr w:rsidR="00027D0E" w:rsidRPr="00AF0CC3" w14:paraId="1D1AE40F" w14:textId="77777777" w:rsidTr="00095007">
        <w:trPr>
          <w:trHeight w:val="290"/>
        </w:trPr>
        <w:tc>
          <w:tcPr>
            <w:tcW w:w="10259" w:type="dxa"/>
            <w:tcBorders>
              <w:top w:val="nil"/>
              <w:left w:val="nil"/>
              <w:bottom w:val="nil"/>
              <w:right w:val="nil"/>
            </w:tcBorders>
            <w:noWrap/>
            <w:vAlign w:val="center"/>
            <w:hideMark/>
          </w:tcPr>
          <w:p w14:paraId="2936244A" w14:textId="77777777" w:rsidR="00027D0E" w:rsidRPr="00AF0CC3" w:rsidRDefault="00027D0E" w:rsidP="00027D0E">
            <w:pPr>
              <w:spacing w:after="0" w:line="240" w:lineRule="auto"/>
              <w:rPr>
                <w:rFonts w:ascii="Times New Roman" w:eastAsia="Times New Roman" w:hAnsi="Times New Roman" w:cs="Times New Roman"/>
                <w:b/>
                <w:bCs/>
                <w:color w:val="000000"/>
                <w:kern w:val="0"/>
                <w14:ligatures w14:val="none"/>
              </w:rPr>
            </w:pPr>
          </w:p>
        </w:tc>
      </w:tr>
      <w:tr w:rsidR="00027D0E" w:rsidRPr="00AF0CC3" w14:paraId="77CA65F7" w14:textId="77777777" w:rsidTr="00095007">
        <w:trPr>
          <w:trHeight w:val="290"/>
        </w:trPr>
        <w:tc>
          <w:tcPr>
            <w:tcW w:w="10259" w:type="dxa"/>
            <w:tcBorders>
              <w:top w:val="nil"/>
              <w:left w:val="nil"/>
              <w:bottom w:val="nil"/>
              <w:right w:val="nil"/>
            </w:tcBorders>
            <w:noWrap/>
            <w:vAlign w:val="center"/>
            <w:hideMark/>
          </w:tcPr>
          <w:p w14:paraId="2BABC5A7" w14:textId="77777777" w:rsidR="00027D0E" w:rsidRPr="00AF0CC3" w:rsidRDefault="00027D0E" w:rsidP="00027D0E">
            <w:pPr>
              <w:spacing w:after="0" w:line="240" w:lineRule="auto"/>
              <w:ind w:firstLineChars="100" w:firstLine="240"/>
              <w:rPr>
                <w:rFonts w:ascii="Times New Roman" w:eastAsia="Times New Roman" w:hAnsi="Times New Roman" w:cs="Times New Roman"/>
                <w:color w:val="000000"/>
                <w:kern w:val="0"/>
                <w14:ligatures w14:val="none"/>
              </w:rPr>
            </w:pPr>
            <w:r w:rsidRPr="00AF0CC3">
              <w:rPr>
                <w:rFonts w:ascii="Times New Roman" w:eastAsia="Times New Roman" w:hAnsi="Times New Roman" w:cs="Times New Roman"/>
                <w:color w:val="000000"/>
                <w:kern w:val="0"/>
                <w14:ligatures w14:val="none"/>
              </w:rPr>
              <w:t xml:space="preserve">Use </w:t>
            </w:r>
            <w:r w:rsidRPr="00AF0CC3">
              <w:rPr>
                <w:rFonts w:ascii="Times New Roman" w:eastAsia="Times New Roman" w:hAnsi="Times New Roman" w:cs="Times New Roman"/>
                <w:b/>
                <w:bCs/>
                <w:color w:val="000000"/>
                <w:kern w:val="0"/>
                <w14:ligatures w14:val="none"/>
              </w:rPr>
              <w:t>documented evidence only</w:t>
            </w:r>
            <w:r w:rsidRPr="00AF0CC3">
              <w:rPr>
                <w:rFonts w:ascii="Times New Roman" w:eastAsia="Times New Roman" w:hAnsi="Times New Roman" w:cs="Times New Roman"/>
                <w:color w:val="000000"/>
                <w:kern w:val="0"/>
                <w14:ligatures w14:val="none"/>
              </w:rPr>
              <w:t xml:space="preserve"> (no assumptions)</w:t>
            </w:r>
          </w:p>
        </w:tc>
      </w:tr>
      <w:tr w:rsidR="00027D0E" w:rsidRPr="00AF0CC3" w14:paraId="3D36F2C8" w14:textId="77777777" w:rsidTr="00095007">
        <w:trPr>
          <w:trHeight w:val="290"/>
        </w:trPr>
        <w:tc>
          <w:tcPr>
            <w:tcW w:w="10259" w:type="dxa"/>
            <w:tcBorders>
              <w:top w:val="nil"/>
              <w:left w:val="nil"/>
              <w:bottom w:val="nil"/>
              <w:right w:val="nil"/>
            </w:tcBorders>
            <w:noWrap/>
            <w:vAlign w:val="center"/>
            <w:hideMark/>
          </w:tcPr>
          <w:p w14:paraId="2AB6ADD1" w14:textId="77777777" w:rsidR="00027D0E" w:rsidRPr="00AF0CC3" w:rsidRDefault="00027D0E" w:rsidP="00027D0E">
            <w:pPr>
              <w:spacing w:after="0" w:line="240" w:lineRule="auto"/>
              <w:ind w:firstLineChars="100" w:firstLine="240"/>
              <w:rPr>
                <w:rFonts w:ascii="Times New Roman" w:eastAsia="Times New Roman" w:hAnsi="Times New Roman" w:cs="Times New Roman"/>
                <w:color w:val="000000"/>
                <w:kern w:val="0"/>
                <w14:ligatures w14:val="none"/>
              </w:rPr>
            </w:pPr>
            <w:r w:rsidRPr="00AF0CC3">
              <w:rPr>
                <w:rFonts w:ascii="Times New Roman" w:eastAsia="Times New Roman" w:hAnsi="Times New Roman" w:cs="Times New Roman"/>
                <w:color w:val="000000"/>
                <w:kern w:val="0"/>
                <w14:ligatures w14:val="none"/>
              </w:rPr>
              <w:t xml:space="preserve">Apply </w:t>
            </w:r>
            <w:r w:rsidRPr="00AF0CC3">
              <w:rPr>
                <w:rFonts w:ascii="Times New Roman" w:eastAsia="Times New Roman" w:hAnsi="Times New Roman" w:cs="Times New Roman"/>
                <w:b/>
                <w:bCs/>
                <w:color w:val="000000"/>
                <w:kern w:val="0"/>
                <w14:ligatures w14:val="none"/>
              </w:rPr>
              <w:t>consistent rules across all projects</w:t>
            </w:r>
          </w:p>
        </w:tc>
      </w:tr>
      <w:tr w:rsidR="00027D0E" w:rsidRPr="00AF0CC3" w14:paraId="04C4B902" w14:textId="77777777" w:rsidTr="00095007">
        <w:trPr>
          <w:trHeight w:val="290"/>
        </w:trPr>
        <w:tc>
          <w:tcPr>
            <w:tcW w:w="10259" w:type="dxa"/>
            <w:tcBorders>
              <w:top w:val="nil"/>
              <w:left w:val="nil"/>
              <w:bottom w:val="nil"/>
              <w:right w:val="nil"/>
            </w:tcBorders>
            <w:noWrap/>
            <w:vAlign w:val="center"/>
            <w:hideMark/>
          </w:tcPr>
          <w:p w14:paraId="000CC3EB" w14:textId="77777777" w:rsidR="00027D0E" w:rsidRPr="00AF0CC3" w:rsidRDefault="00027D0E" w:rsidP="00027D0E">
            <w:pPr>
              <w:spacing w:after="0" w:line="240" w:lineRule="auto"/>
              <w:ind w:firstLineChars="100" w:firstLine="240"/>
              <w:rPr>
                <w:rFonts w:ascii="Times New Roman" w:eastAsia="Times New Roman" w:hAnsi="Times New Roman" w:cs="Times New Roman"/>
                <w:color w:val="000000"/>
                <w:kern w:val="0"/>
                <w14:ligatures w14:val="none"/>
              </w:rPr>
            </w:pPr>
            <w:r w:rsidRPr="00AF0CC3">
              <w:rPr>
                <w:rFonts w:ascii="Times New Roman" w:eastAsia="Times New Roman" w:hAnsi="Times New Roman" w:cs="Times New Roman"/>
                <w:color w:val="000000"/>
                <w:kern w:val="0"/>
                <w14:ligatures w14:val="none"/>
              </w:rPr>
              <w:t xml:space="preserve">In case of ambiguity → assign </w:t>
            </w:r>
            <w:r w:rsidRPr="00AF0CC3">
              <w:rPr>
                <w:rFonts w:ascii="Times New Roman" w:eastAsia="Times New Roman" w:hAnsi="Times New Roman" w:cs="Times New Roman"/>
                <w:b/>
                <w:bCs/>
                <w:color w:val="000000"/>
                <w:kern w:val="0"/>
                <w14:ligatures w14:val="none"/>
              </w:rPr>
              <w:t>lower score (conservative coding)</w:t>
            </w:r>
          </w:p>
        </w:tc>
      </w:tr>
      <w:tr w:rsidR="00027D0E" w:rsidRPr="00AF0CC3" w14:paraId="60E033CF" w14:textId="77777777" w:rsidTr="00095007">
        <w:trPr>
          <w:trHeight w:val="290"/>
        </w:trPr>
        <w:tc>
          <w:tcPr>
            <w:tcW w:w="10259" w:type="dxa"/>
            <w:tcBorders>
              <w:top w:val="nil"/>
              <w:left w:val="nil"/>
              <w:bottom w:val="nil"/>
              <w:right w:val="nil"/>
            </w:tcBorders>
            <w:noWrap/>
            <w:vAlign w:val="center"/>
            <w:hideMark/>
          </w:tcPr>
          <w:p w14:paraId="09FA42C5" w14:textId="77777777" w:rsidR="00027D0E" w:rsidRPr="00AF0CC3" w:rsidRDefault="00027D0E" w:rsidP="00027D0E">
            <w:pPr>
              <w:spacing w:after="0" w:line="240" w:lineRule="auto"/>
              <w:ind w:firstLineChars="100" w:firstLine="240"/>
              <w:rPr>
                <w:rFonts w:ascii="Times New Roman" w:eastAsia="Times New Roman" w:hAnsi="Times New Roman" w:cs="Times New Roman"/>
                <w:color w:val="000000"/>
                <w:kern w:val="0"/>
                <w14:ligatures w14:val="none"/>
              </w:rPr>
            </w:pPr>
            <w:r w:rsidRPr="00AF0CC3">
              <w:rPr>
                <w:rFonts w:ascii="Times New Roman" w:eastAsia="Times New Roman" w:hAnsi="Times New Roman" w:cs="Times New Roman"/>
                <w:color w:val="000000"/>
                <w:kern w:val="0"/>
                <w14:ligatures w14:val="none"/>
              </w:rPr>
              <w:t xml:space="preserve">Record </w:t>
            </w:r>
            <w:r w:rsidRPr="00AF0CC3">
              <w:rPr>
                <w:rFonts w:ascii="Times New Roman" w:eastAsia="Times New Roman" w:hAnsi="Times New Roman" w:cs="Times New Roman"/>
                <w:b/>
                <w:bCs/>
                <w:color w:val="000000"/>
                <w:kern w:val="0"/>
                <w14:ligatures w14:val="none"/>
              </w:rPr>
              <w:t>data source for each coded variable</w:t>
            </w:r>
            <w:r w:rsidRPr="00AF0CC3">
              <w:rPr>
                <w:rFonts w:ascii="Times New Roman" w:eastAsia="Times New Roman" w:hAnsi="Times New Roman" w:cs="Times New Roman"/>
                <w:color w:val="000000"/>
                <w:kern w:val="0"/>
                <w14:ligatures w14:val="none"/>
              </w:rPr>
              <w:t xml:space="preserve"> (recommended)</w:t>
            </w:r>
          </w:p>
        </w:tc>
      </w:tr>
      <w:tr w:rsidR="00027D0E" w:rsidRPr="00AF0CC3" w14:paraId="22127CE0" w14:textId="77777777" w:rsidTr="00095007">
        <w:trPr>
          <w:trHeight w:val="290"/>
        </w:trPr>
        <w:tc>
          <w:tcPr>
            <w:tcW w:w="10259" w:type="dxa"/>
            <w:tcBorders>
              <w:top w:val="nil"/>
              <w:left w:val="nil"/>
              <w:bottom w:val="nil"/>
              <w:right w:val="nil"/>
            </w:tcBorders>
            <w:noWrap/>
            <w:vAlign w:val="center"/>
            <w:hideMark/>
          </w:tcPr>
          <w:p w14:paraId="14307558" w14:textId="77777777" w:rsidR="00027D0E" w:rsidRPr="00AF0CC3" w:rsidRDefault="00027D0E" w:rsidP="00027D0E">
            <w:pPr>
              <w:spacing w:after="0" w:line="240" w:lineRule="auto"/>
              <w:ind w:firstLineChars="100" w:firstLine="240"/>
              <w:rPr>
                <w:rFonts w:ascii="Times New Roman" w:eastAsia="Times New Roman" w:hAnsi="Times New Roman" w:cs="Times New Roman"/>
                <w:color w:val="000000"/>
                <w:kern w:val="0"/>
                <w14:ligatures w14:val="none"/>
              </w:rPr>
            </w:pPr>
            <w:r w:rsidRPr="00AF0CC3">
              <w:rPr>
                <w:rFonts w:ascii="Times New Roman" w:eastAsia="Times New Roman" w:hAnsi="Times New Roman" w:cs="Times New Roman"/>
                <w:color w:val="000000"/>
                <w:kern w:val="0"/>
                <w14:ligatures w14:val="none"/>
              </w:rPr>
              <w:t xml:space="preserve">Maintain a </w:t>
            </w:r>
            <w:r w:rsidRPr="00AF0CC3">
              <w:rPr>
                <w:rFonts w:ascii="Times New Roman" w:eastAsia="Times New Roman" w:hAnsi="Times New Roman" w:cs="Times New Roman"/>
                <w:b/>
                <w:bCs/>
                <w:color w:val="000000"/>
                <w:kern w:val="0"/>
                <w14:ligatures w14:val="none"/>
              </w:rPr>
              <w:t>coding log for difficult cases</w:t>
            </w:r>
          </w:p>
        </w:tc>
      </w:tr>
    </w:tbl>
    <w:p w14:paraId="5E328DE3" w14:textId="77777777" w:rsidR="0077024C" w:rsidRPr="00AF0CC3" w:rsidRDefault="0077024C" w:rsidP="0077024C">
      <w:pPr>
        <w:spacing w:after="240" w:line="480" w:lineRule="auto"/>
        <w:ind w:left="720" w:hanging="720"/>
        <w:rPr>
          <w:rFonts w:ascii="Times New Roman" w:hAnsi="Times New Roman" w:cs="Times New Roman"/>
          <w:color w:val="000000" w:themeColor="text1"/>
        </w:rPr>
      </w:pPr>
    </w:p>
    <w:p w14:paraId="2F4A1AC7" w14:textId="77777777" w:rsidR="005C3500" w:rsidRPr="00AF0CC3" w:rsidRDefault="005C3500" w:rsidP="0077024C">
      <w:pPr>
        <w:spacing w:after="240" w:line="480" w:lineRule="auto"/>
        <w:ind w:left="720" w:hanging="720"/>
        <w:rPr>
          <w:rFonts w:ascii="Times New Roman" w:hAnsi="Times New Roman" w:cs="Times New Roman"/>
          <w:color w:val="000000" w:themeColor="text1"/>
        </w:rPr>
      </w:pPr>
    </w:p>
    <w:p w14:paraId="0AFC55B8" w14:textId="77777777" w:rsidR="005C3500" w:rsidRPr="00AF0CC3" w:rsidRDefault="005C3500" w:rsidP="0077024C">
      <w:pPr>
        <w:spacing w:after="240" w:line="480" w:lineRule="auto"/>
        <w:ind w:left="720" w:hanging="720"/>
        <w:rPr>
          <w:rFonts w:ascii="Times New Roman" w:hAnsi="Times New Roman" w:cs="Times New Roman"/>
          <w:color w:val="000000" w:themeColor="text1"/>
        </w:rPr>
      </w:pPr>
    </w:p>
    <w:p w14:paraId="4E93A231" w14:textId="77777777" w:rsidR="00095007" w:rsidRPr="00AF0CC3" w:rsidRDefault="00095007" w:rsidP="0077024C">
      <w:pPr>
        <w:spacing w:after="240" w:line="480" w:lineRule="auto"/>
        <w:ind w:left="720" w:hanging="720"/>
        <w:rPr>
          <w:rFonts w:ascii="Times New Roman" w:hAnsi="Times New Roman" w:cs="Times New Roman"/>
          <w:color w:val="000000" w:themeColor="text1"/>
        </w:rPr>
      </w:pPr>
    </w:p>
    <w:p w14:paraId="7DBB95F7" w14:textId="77777777" w:rsidR="00095007" w:rsidRPr="00AF0CC3" w:rsidRDefault="00095007" w:rsidP="0077024C">
      <w:pPr>
        <w:spacing w:after="240" w:line="480" w:lineRule="auto"/>
        <w:ind w:left="720" w:hanging="720"/>
        <w:rPr>
          <w:rFonts w:ascii="Times New Roman" w:hAnsi="Times New Roman" w:cs="Times New Roman"/>
          <w:color w:val="000000" w:themeColor="text1"/>
        </w:rPr>
      </w:pPr>
    </w:p>
    <w:p w14:paraId="4764AA06" w14:textId="77777777" w:rsidR="00095007" w:rsidRPr="00AF0CC3" w:rsidRDefault="00095007" w:rsidP="0077024C">
      <w:pPr>
        <w:spacing w:after="240" w:line="480" w:lineRule="auto"/>
        <w:ind w:left="720" w:hanging="720"/>
        <w:rPr>
          <w:rFonts w:ascii="Times New Roman" w:hAnsi="Times New Roman" w:cs="Times New Roman"/>
          <w:color w:val="000000" w:themeColor="text1"/>
        </w:rPr>
      </w:pPr>
    </w:p>
    <w:p w14:paraId="304B5DA7" w14:textId="77777777" w:rsidR="00095007" w:rsidRPr="00AF0CC3" w:rsidRDefault="00095007" w:rsidP="0077024C">
      <w:pPr>
        <w:spacing w:after="240" w:line="480" w:lineRule="auto"/>
        <w:ind w:left="720" w:hanging="720"/>
        <w:rPr>
          <w:rFonts w:ascii="Times New Roman" w:hAnsi="Times New Roman" w:cs="Times New Roman"/>
          <w:color w:val="000000" w:themeColor="text1"/>
        </w:rPr>
      </w:pPr>
    </w:p>
    <w:p w14:paraId="06121345" w14:textId="77777777" w:rsidR="00095007" w:rsidRPr="00AF0CC3" w:rsidRDefault="00095007" w:rsidP="0077024C">
      <w:pPr>
        <w:spacing w:after="240" w:line="480" w:lineRule="auto"/>
        <w:ind w:left="720" w:hanging="720"/>
        <w:rPr>
          <w:rFonts w:ascii="Times New Roman" w:hAnsi="Times New Roman" w:cs="Times New Roman"/>
          <w:color w:val="000000" w:themeColor="text1"/>
        </w:rPr>
      </w:pPr>
    </w:p>
    <w:p w14:paraId="257F46D4" w14:textId="77777777" w:rsidR="00095007" w:rsidRPr="00AF0CC3" w:rsidRDefault="00095007" w:rsidP="0077024C">
      <w:pPr>
        <w:spacing w:after="240" w:line="480" w:lineRule="auto"/>
        <w:ind w:left="720" w:hanging="720"/>
        <w:rPr>
          <w:rFonts w:ascii="Times New Roman" w:hAnsi="Times New Roman" w:cs="Times New Roman"/>
          <w:color w:val="000000" w:themeColor="text1"/>
        </w:rPr>
      </w:pPr>
    </w:p>
    <w:p w14:paraId="378AAC3D" w14:textId="77777777" w:rsidR="00095007" w:rsidRPr="00AF0CC3" w:rsidRDefault="00095007" w:rsidP="0077024C">
      <w:pPr>
        <w:spacing w:after="240" w:line="480" w:lineRule="auto"/>
        <w:ind w:left="720" w:hanging="720"/>
        <w:rPr>
          <w:rFonts w:ascii="Times New Roman" w:hAnsi="Times New Roman" w:cs="Times New Roman"/>
          <w:color w:val="000000" w:themeColor="text1"/>
        </w:rPr>
      </w:pPr>
    </w:p>
    <w:p w14:paraId="02FD8D52" w14:textId="77777777" w:rsidR="00095007" w:rsidRPr="00AF0CC3" w:rsidRDefault="00095007" w:rsidP="0077024C">
      <w:pPr>
        <w:spacing w:after="240" w:line="480" w:lineRule="auto"/>
        <w:ind w:left="720" w:hanging="720"/>
        <w:rPr>
          <w:rFonts w:ascii="Times New Roman" w:hAnsi="Times New Roman" w:cs="Times New Roman"/>
          <w:color w:val="000000" w:themeColor="text1"/>
        </w:rPr>
      </w:pPr>
    </w:p>
    <w:p w14:paraId="3DE13F12" w14:textId="77777777" w:rsidR="00095007" w:rsidRPr="00AF0CC3" w:rsidRDefault="00095007" w:rsidP="0054173D">
      <w:pPr>
        <w:spacing w:after="240" w:line="480" w:lineRule="auto"/>
        <w:rPr>
          <w:rFonts w:ascii="Times New Roman" w:hAnsi="Times New Roman" w:cs="Times New Roman"/>
          <w:color w:val="000000" w:themeColor="text1"/>
        </w:rPr>
      </w:pPr>
    </w:p>
    <w:p w14:paraId="1FF818A5" w14:textId="77777777" w:rsidR="00095007" w:rsidRPr="00AF0CC3" w:rsidRDefault="00095007" w:rsidP="0077024C">
      <w:pPr>
        <w:spacing w:after="240" w:line="480" w:lineRule="auto"/>
        <w:ind w:left="720" w:hanging="720"/>
        <w:rPr>
          <w:rFonts w:ascii="Times New Roman" w:hAnsi="Times New Roman" w:cs="Times New Roman"/>
          <w:color w:val="000000" w:themeColor="text1"/>
        </w:rPr>
      </w:pPr>
    </w:p>
    <w:p w14:paraId="39F5FF41" w14:textId="3975443D" w:rsidR="0077024C" w:rsidRPr="00AF0CC3" w:rsidRDefault="0077024C" w:rsidP="000F3927">
      <w:pPr>
        <w:pStyle w:val="FrontMatterheading2"/>
        <w:rPr>
          <w:szCs w:val="24"/>
        </w:rPr>
      </w:pPr>
      <w:bookmarkStart w:id="612" w:name="_Toc234489162"/>
      <w:r w:rsidRPr="00AF0CC3">
        <w:rPr>
          <w:szCs w:val="24"/>
        </w:rPr>
        <w:t xml:space="preserve">APPENDIX </w:t>
      </w:r>
      <w:r w:rsidR="0054173D" w:rsidRPr="00AF0CC3">
        <w:rPr>
          <w:szCs w:val="24"/>
        </w:rPr>
        <w:t>C</w:t>
      </w:r>
      <w:bookmarkEnd w:id="612"/>
    </w:p>
    <w:sectPr w:rsidR="0077024C" w:rsidRPr="00AF0CC3" w:rsidSect="00F0682D">
      <w:footerReference w:type="first" r:id="rId35"/>
      <w:pgSz w:w="12240" w:h="15840"/>
      <w:pgMar w:top="1440" w:right="1440" w:bottom="1440" w:left="1440" w:header="720" w:footer="720" w:gutter="0"/>
      <w:pgNumType w:start="1"/>
      <w:cols w:space="720"/>
      <w:titlePg/>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0" w:author="James Punch" w:date="2026-07-10T12:12:00Z" w:initials="JP">
    <w:p w14:paraId="71B491FD" w14:textId="77777777" w:rsidR="00CC1C26" w:rsidRDefault="00CC1C26" w:rsidP="00CC1C26">
      <w:pPr>
        <w:pStyle w:val="CommentText"/>
      </w:pPr>
      <w:r>
        <w:rPr>
          <w:rStyle w:val="CommentReference"/>
        </w:rPr>
        <w:annotationRef/>
      </w:r>
      <w:r>
        <w:t xml:space="preserve">Hi Erick. </w:t>
      </w:r>
    </w:p>
    <w:p w14:paraId="37517971" w14:textId="77777777" w:rsidR="00CC1C26" w:rsidRDefault="00CC1C26" w:rsidP="00CC1C26">
      <w:pPr>
        <w:pStyle w:val="CommentText"/>
      </w:pPr>
      <w:r>
        <w:t xml:space="preserve">You are pretty much there. I have just spotted a couple of very quick little things. If you could do these, I am happy for you to upload your final dissertation. </w:t>
      </w:r>
    </w:p>
    <w:p w14:paraId="4BACB87F" w14:textId="77777777" w:rsidR="00CC1C26" w:rsidRDefault="00CC1C26" w:rsidP="00CC1C26">
      <w:pPr>
        <w:pStyle w:val="CommentText"/>
      </w:pPr>
    </w:p>
    <w:p w14:paraId="3C2EAED0" w14:textId="77777777" w:rsidR="00CC1C26" w:rsidRDefault="00CC1C26" w:rsidP="00CC1C26">
      <w:pPr>
        <w:pStyle w:val="CommentText"/>
      </w:pPr>
      <w:r>
        <w:rPr>
          <w:b/>
          <w:bCs/>
        </w:rPr>
        <w:t xml:space="preserve">Two citations appear in-text but not in the reference list (or with a mismatched year): </w:t>
      </w:r>
    </w:p>
    <w:p w14:paraId="65F530C2" w14:textId="77777777" w:rsidR="00CC1C26" w:rsidRDefault="00CC1C26" w:rsidP="00CC1C26">
      <w:pPr>
        <w:pStyle w:val="CommentText"/>
      </w:pPr>
      <w:r>
        <w:t>"Ansar et al., 2018" is cited six times (e.g. pp.941, 1043, 1270, 1921, 2227) but the reference list only contains Ansar, Flyvbjerg, Budzier and Lunn, 2016. Either the in-text year is wrong throughout, or a 2018 Ansar et al. source was used but never added to the reference list.</w:t>
      </w:r>
    </w:p>
    <w:p w14:paraId="0A5C8275" w14:textId="77777777" w:rsidR="00CC1C26" w:rsidRDefault="00CC1C26" w:rsidP="00CC1C26">
      <w:pPr>
        <w:pStyle w:val="CommentText"/>
      </w:pPr>
      <w:r>
        <w:t>"Flyvbjerg et al., 2021" is cited twice (pp.931, 2493 including a direct paraphrase about "front-end planning") but there is no 2021 entry in the reference list, only Flyvbjerg 2014 (solo) and Flyvbjerg, Gardner, Bester &amp; Turner 2023.</w:t>
      </w:r>
    </w:p>
    <w:p w14:paraId="1A057F46" w14:textId="77777777" w:rsidR="00CC1C26" w:rsidRDefault="00CC1C26" w:rsidP="00CC1C26">
      <w:pPr>
        <w:pStyle w:val="CommentText"/>
      </w:pPr>
    </w:p>
    <w:p w14:paraId="5FF05FD1" w14:textId="77777777" w:rsidR="00CC1C26" w:rsidRDefault="00CC1C26" w:rsidP="00CC1C26">
      <w:pPr>
        <w:pStyle w:val="CommentText"/>
      </w:pPr>
      <w:r>
        <w:rPr>
          <w:b/>
          <w:bCs/>
        </w:rPr>
        <w:t xml:space="preserve">Sample framing could be tightened in one place: </w:t>
      </w:r>
      <w:r>
        <w:t>The methodology is careful and consistent everywhere else, but the study population section describes the population as projects from 2005–2023, while the abstract and elsewhere describe the analysis period as 2012–2025. This is a minor but noticeable date-range inconsistency a reader may flag. Confirm which date range is correct and make it consistent across the abstract, study population section, and any tables citing the study period.</w:t>
      </w:r>
    </w:p>
    <w:p w14:paraId="228E6887" w14:textId="77777777" w:rsidR="00CC1C26" w:rsidRDefault="00CC1C26" w:rsidP="00CC1C26">
      <w:pPr>
        <w:pStyle w:val="CommentText"/>
      </w:pPr>
    </w:p>
  </w:comment>
  <w:comment w:id="223" w:author="James Punch" w:date="2026-03-24T19:26:00Z" w:initials="JP">
    <w:p w14:paraId="70D9ADA9" w14:textId="77777777" w:rsidR="000B6A05" w:rsidRDefault="000B6A05" w:rsidP="000B6A05">
      <w:pPr>
        <w:pStyle w:val="CommentText"/>
      </w:pPr>
      <w:r>
        <w:rPr>
          <w:rStyle w:val="CommentReference"/>
        </w:rPr>
        <w:annotationRef/>
      </w:r>
      <w:r>
        <w:t>Hi Erick,</w:t>
      </w:r>
    </w:p>
    <w:p w14:paraId="69E812F8" w14:textId="77777777" w:rsidR="000B6A05" w:rsidRDefault="000B6A05" w:rsidP="000B6A05">
      <w:pPr>
        <w:pStyle w:val="CommentText"/>
      </w:pPr>
      <w:r>
        <w:t>Thanks for sending this over. Great work as always. This is a strong and mature methodology chapter, demonstrating excellent structure, clarity of thought, and methodological rigour. You successfully link the methodology to the conceptual and theoretical foundations established in Chapter Two, and the chapter reads as a coherent blueprint for your empirical analysis. The writing is clear, analytical, and demonstrates strong scholarly grounding.</w:t>
      </w:r>
    </w:p>
    <w:p w14:paraId="072CA790" w14:textId="77777777" w:rsidR="000B6A05" w:rsidRDefault="000B6A05" w:rsidP="000B6A05">
      <w:pPr>
        <w:pStyle w:val="CommentText"/>
      </w:pPr>
      <w:r>
        <w:t>There are a couple refinements needed to strengthen the logic, tighten the methodological defensibility, and clarify certain assumptions. None of the issues below undermine the chapter, but addressing them would enhance transparency and ensure all is covered.</w:t>
      </w:r>
    </w:p>
    <w:p w14:paraId="5724EF44" w14:textId="77777777" w:rsidR="000B6A05" w:rsidRDefault="000B6A05" w:rsidP="000B6A05">
      <w:pPr>
        <w:pStyle w:val="CommentText"/>
      </w:pPr>
    </w:p>
    <w:p w14:paraId="3EFBE722" w14:textId="77777777" w:rsidR="000B6A05" w:rsidRDefault="000B6A05" w:rsidP="000B6A05">
      <w:pPr>
        <w:pStyle w:val="CommentText"/>
      </w:pPr>
    </w:p>
    <w:p w14:paraId="60DEDE9D" w14:textId="77777777" w:rsidR="000B6A05" w:rsidRDefault="000B6A05" w:rsidP="000B6A05">
      <w:pPr>
        <w:pStyle w:val="CommentText"/>
      </w:pPr>
      <w:r>
        <w:rPr>
          <w:b/>
          <w:bCs/>
        </w:rPr>
        <w:t>Strengths.</w:t>
      </w:r>
    </w:p>
    <w:p w14:paraId="610F1004" w14:textId="77777777" w:rsidR="000B6A05" w:rsidRDefault="000B6A05" w:rsidP="000B6A05">
      <w:pPr>
        <w:pStyle w:val="CommentText"/>
      </w:pPr>
    </w:p>
    <w:p w14:paraId="19E64146" w14:textId="77777777" w:rsidR="000B6A05" w:rsidRDefault="000B6A05" w:rsidP="000B6A05">
      <w:pPr>
        <w:pStyle w:val="CommentText"/>
      </w:pPr>
      <w:r>
        <w:rPr>
          <w:b/>
          <w:bCs/>
        </w:rPr>
        <w:t xml:space="preserve">Clear, logical structure and strong signposting: </w:t>
      </w:r>
      <w:r>
        <w:t>The structure is exemplary. Sections transition logically from philosophy to design to variable construction to econometric strategy to robustness to ethics to identification strategy and to strengths.</w:t>
      </w:r>
      <w:r>
        <w:br/>
        <w:t>This mirrors best practice in quantitative methodology chapters.</w:t>
      </w:r>
    </w:p>
    <w:p w14:paraId="3162C969" w14:textId="77777777" w:rsidR="000B6A05" w:rsidRDefault="000B6A05" w:rsidP="000B6A05">
      <w:pPr>
        <w:pStyle w:val="CommentText"/>
      </w:pPr>
    </w:p>
    <w:p w14:paraId="35D596B7" w14:textId="77777777" w:rsidR="000B6A05" w:rsidRDefault="000B6A05" w:rsidP="000B6A05">
      <w:pPr>
        <w:pStyle w:val="CommentText"/>
      </w:pPr>
      <w:r>
        <w:rPr>
          <w:b/>
          <w:bCs/>
        </w:rPr>
        <w:t xml:space="preserve">Strong justification for a positivist, quantitative design: </w:t>
      </w:r>
      <w:r>
        <w:t>Your argument for using a positivist, cross‑sectional, project‑level design is convincing and well-grounded in literature (Greene, Wooldridge, and Creswell etc.). You clearly demonstrate why qualitative or macro‑level studies are insufficient for your aims.</w:t>
      </w:r>
    </w:p>
    <w:p w14:paraId="5E03AE97" w14:textId="77777777" w:rsidR="000B6A05" w:rsidRDefault="000B6A05" w:rsidP="000B6A05">
      <w:pPr>
        <w:pStyle w:val="CommentText"/>
      </w:pPr>
    </w:p>
    <w:p w14:paraId="4E4DB4F7" w14:textId="77777777" w:rsidR="000B6A05" w:rsidRDefault="000B6A05" w:rsidP="000B6A05">
      <w:pPr>
        <w:pStyle w:val="CommentText"/>
      </w:pPr>
      <w:r>
        <w:rPr>
          <w:b/>
          <w:bCs/>
        </w:rPr>
        <w:t xml:space="preserve">Excellent development of the Governance Quality Index (GQI): </w:t>
      </w:r>
      <w:r>
        <w:t>The GQI is a significant methodological contribution. You provide clear indicators, create a replicable scoring rubric, give a coding guide, show theoretical alignment, and demonstrate content and construct validity.</w:t>
      </w:r>
    </w:p>
    <w:p w14:paraId="162446F8" w14:textId="77777777" w:rsidR="000B6A05" w:rsidRDefault="000B6A05" w:rsidP="000B6A05">
      <w:pPr>
        <w:pStyle w:val="CommentText"/>
      </w:pPr>
    </w:p>
    <w:p w14:paraId="08C34667" w14:textId="77777777" w:rsidR="000B6A05" w:rsidRDefault="000B6A05" w:rsidP="000B6A05">
      <w:pPr>
        <w:pStyle w:val="CommentText"/>
      </w:pPr>
      <w:r>
        <w:rPr>
          <w:b/>
          <w:bCs/>
        </w:rPr>
        <w:t xml:space="preserve">Demonstrates deep subject matter knowledge of water governance in Kenya: </w:t>
      </w:r>
      <w:r>
        <w:t>You show clear familiarity with sector realities (fragmented mandates, climate variability, decentralised governance, and institutional stressors). This enhances credibility.</w:t>
      </w:r>
    </w:p>
    <w:p w14:paraId="46709AA2" w14:textId="77777777" w:rsidR="000B6A05" w:rsidRDefault="000B6A05" w:rsidP="000B6A05">
      <w:pPr>
        <w:pStyle w:val="CommentText"/>
      </w:pPr>
    </w:p>
    <w:p w14:paraId="68E9220C" w14:textId="77777777" w:rsidR="000B6A05" w:rsidRDefault="000B6A05" w:rsidP="000B6A05">
      <w:pPr>
        <w:pStyle w:val="CommentText"/>
      </w:pPr>
      <w:r>
        <w:rPr>
          <w:b/>
          <w:bCs/>
        </w:rPr>
        <w:t xml:space="preserve">Rigorous description of econometric approach: </w:t>
      </w:r>
      <w:r>
        <w:t>You define model specifications, assumptions, estimation methods, control variables, interaction effects, and diagnostic procedures. This level of transparency meets high expectations.</w:t>
      </w:r>
    </w:p>
    <w:p w14:paraId="52CC2776" w14:textId="77777777" w:rsidR="000B6A05" w:rsidRDefault="000B6A05" w:rsidP="000B6A05">
      <w:pPr>
        <w:pStyle w:val="CommentText"/>
      </w:pPr>
    </w:p>
    <w:p w14:paraId="7D12B26E" w14:textId="77777777" w:rsidR="000B6A05" w:rsidRDefault="000B6A05" w:rsidP="000B6A05">
      <w:pPr>
        <w:pStyle w:val="CommentText"/>
      </w:pPr>
      <w:r>
        <w:rPr>
          <w:b/>
          <w:bCs/>
        </w:rPr>
        <w:t xml:space="preserve">Strong integration of contextual moderators (climate &amp; political transitions): </w:t>
      </w:r>
      <w:r>
        <w:t>The resilience modelling approach is conceptually rich and effectively connects micro‑governance structures to macro-level shocks. This helps differentiate your study from standard project governance research.</w:t>
      </w:r>
    </w:p>
    <w:p w14:paraId="51541AA0" w14:textId="77777777" w:rsidR="000B6A05" w:rsidRDefault="000B6A05" w:rsidP="000B6A05">
      <w:pPr>
        <w:pStyle w:val="CommentText"/>
      </w:pPr>
    </w:p>
    <w:p w14:paraId="228E3EEC" w14:textId="77777777" w:rsidR="000B6A05" w:rsidRDefault="000B6A05" w:rsidP="000B6A05">
      <w:pPr>
        <w:pStyle w:val="CommentText"/>
      </w:pPr>
    </w:p>
    <w:p w14:paraId="4610B28F" w14:textId="77777777" w:rsidR="000B6A05" w:rsidRDefault="000B6A05" w:rsidP="000B6A05">
      <w:pPr>
        <w:pStyle w:val="CommentText"/>
      </w:pPr>
      <w:r>
        <w:rPr>
          <w:b/>
          <w:bCs/>
        </w:rPr>
        <w:t>Areas for Consideration.</w:t>
      </w:r>
    </w:p>
    <w:p w14:paraId="099EF517" w14:textId="77777777" w:rsidR="000B6A05" w:rsidRDefault="000B6A05" w:rsidP="000B6A05">
      <w:pPr>
        <w:pStyle w:val="CommentText"/>
      </w:pPr>
    </w:p>
    <w:p w14:paraId="322D1E5E" w14:textId="77777777" w:rsidR="000B6A05" w:rsidRDefault="000B6A05" w:rsidP="000B6A05">
      <w:pPr>
        <w:pStyle w:val="CommentText"/>
      </w:pPr>
      <w:r>
        <w:rPr>
          <w:b/>
          <w:bCs/>
        </w:rPr>
        <w:t xml:space="preserve">Clarify the sampling strategy limitations more explicitly: </w:t>
      </w:r>
      <w:r>
        <w:t>You state that purposive sampling was used because of documentation requirements. Does purposive sampling threaten external validity?, can results be generalized to all water projects in Kenya? And does availability of documentation correlate with governance quality (risk of sample bias)?</w:t>
      </w:r>
      <w:r>
        <w:br/>
        <w:t>Add a short justification explaining why purposive sampling remains acceptable for causal inference in observational datasets (e.g., drawing on King, Keohane &amp; Verba; Shadish, and Cook &amp; Campbell).</w:t>
      </w:r>
    </w:p>
    <w:p w14:paraId="07F2B9AB" w14:textId="77777777" w:rsidR="000B6A05" w:rsidRDefault="000B6A05" w:rsidP="000B6A05">
      <w:pPr>
        <w:pStyle w:val="CommentText"/>
      </w:pPr>
    </w:p>
    <w:p w14:paraId="05C98D79" w14:textId="77777777" w:rsidR="000B6A05" w:rsidRDefault="000B6A05" w:rsidP="000B6A05">
      <w:pPr>
        <w:pStyle w:val="CommentText"/>
      </w:pPr>
      <w:r>
        <w:rPr>
          <w:b/>
          <w:bCs/>
        </w:rPr>
        <w:t xml:space="preserve">Clarify whether the GQI indicators were weighted equally for theoretical or practical reasons: </w:t>
      </w:r>
      <w:r>
        <w:t>You use equal weighting for the composite governance index. You mention robustness checks using alternative specifications (excellent), but explicitly state why equal weighting is theoretically justified (e.g., lifecycle stages equally important to governance integrity). Why equal weighting Did you consider PCA/Factor Analysis to derive weights empirically? Could weighting alter results?</w:t>
      </w:r>
    </w:p>
    <w:p w14:paraId="2044FEDA" w14:textId="77777777" w:rsidR="000B6A05" w:rsidRDefault="000B6A05" w:rsidP="000B6A05">
      <w:pPr>
        <w:pStyle w:val="CommentText"/>
      </w:pPr>
    </w:p>
    <w:p w14:paraId="11F1A4E6" w14:textId="77777777" w:rsidR="000B6A05" w:rsidRDefault="000B6A05" w:rsidP="000B6A05">
      <w:pPr>
        <w:pStyle w:val="CommentText"/>
      </w:pPr>
      <w:r>
        <w:rPr>
          <w:b/>
          <w:bCs/>
        </w:rPr>
        <w:t xml:space="preserve">Need clearer justification for cross-sectional design over panel data: </w:t>
      </w:r>
      <w:r>
        <w:t>You note that the dataset is cross-sectional because projects are observed once.</w:t>
      </w:r>
      <w:r>
        <w:br/>
        <w:t xml:space="preserve">However, many infrastructure datasets allow for timeline reconstruction from documents. </w:t>
      </w:r>
    </w:p>
    <w:p w14:paraId="7E4FCBC4" w14:textId="77777777" w:rsidR="000B6A05" w:rsidRDefault="000B6A05" w:rsidP="000B6A05">
      <w:pPr>
        <w:pStyle w:val="CommentText"/>
      </w:pPr>
      <w:r>
        <w:t>A short justification covering why were time‑series elements not reconstructed and could panel or pseudo‑panel methods improve causal inference?</w:t>
      </w:r>
    </w:p>
    <w:p w14:paraId="56491197" w14:textId="77777777" w:rsidR="000B6A05" w:rsidRDefault="000B6A05" w:rsidP="000B6A05">
      <w:pPr>
        <w:pStyle w:val="CommentText"/>
      </w:pPr>
    </w:p>
    <w:p w14:paraId="4C34C391" w14:textId="77777777" w:rsidR="000B6A05" w:rsidRDefault="000B6A05" w:rsidP="000B6A05">
      <w:pPr>
        <w:pStyle w:val="CommentText"/>
      </w:pPr>
      <w:r>
        <w:rPr>
          <w:b/>
          <w:bCs/>
        </w:rPr>
        <w:t xml:space="preserve">Expand on missing data management and coding reliability: </w:t>
      </w:r>
      <w:r>
        <w:t>The chapter implies extensive coding from documents but does not explain whether multiple coders were used, whether inter-coder reliability was checked, how ambiguous cases were handled, and how missing values were treated? This is important for transparency.</w:t>
      </w:r>
    </w:p>
    <w:p w14:paraId="1F3F793B" w14:textId="77777777" w:rsidR="000B6A05" w:rsidRDefault="000B6A05" w:rsidP="000B6A05">
      <w:pPr>
        <w:pStyle w:val="CommentText"/>
      </w:pPr>
    </w:p>
    <w:p w14:paraId="611A80F5" w14:textId="77777777" w:rsidR="000B6A05" w:rsidRDefault="000B6A05" w:rsidP="000B6A05">
      <w:pPr>
        <w:pStyle w:val="CommentText"/>
      </w:pPr>
      <w:r>
        <w:rPr>
          <w:b/>
          <w:bCs/>
        </w:rPr>
        <w:t xml:space="preserve">Clarify the identification strategy more explicitly: </w:t>
      </w:r>
    </w:p>
    <w:p w14:paraId="50D21D81" w14:textId="77777777" w:rsidR="000B6A05" w:rsidRDefault="000B6A05" w:rsidP="000B6A05">
      <w:pPr>
        <w:pStyle w:val="CommentText"/>
      </w:pPr>
      <w:r>
        <w:t>You outline early-lifecycle governance as a way to minimise reverse causality (excellent), but you could strengthen the theoretical assumption that governance practices are predetermined, how overlapping implementation decisions might still create simultaneity, why fixed effects or IVs were not feasible, and what unobserved confounders may remain. This strengthens causal credibility.</w:t>
      </w:r>
    </w:p>
    <w:p w14:paraId="27C2CA49" w14:textId="77777777" w:rsidR="000B6A05" w:rsidRDefault="000B6A05" w:rsidP="000B6A05">
      <w:pPr>
        <w:pStyle w:val="CommentText"/>
      </w:pPr>
    </w:p>
    <w:p w14:paraId="76D725FD" w14:textId="77777777" w:rsidR="000B6A05" w:rsidRDefault="000B6A05" w:rsidP="000B6A05">
      <w:pPr>
        <w:pStyle w:val="CommentText"/>
      </w:pPr>
      <w:r>
        <w:rPr>
          <w:b/>
          <w:bCs/>
        </w:rPr>
        <w:t xml:space="preserve">Improve clarity around certain definitions: </w:t>
      </w:r>
      <w:r>
        <w:t xml:space="preserve">E.g. for project stalling, it is </w:t>
      </w:r>
    </w:p>
    <w:p w14:paraId="36D94216" w14:textId="77777777" w:rsidR="000B6A05" w:rsidRDefault="000B6A05" w:rsidP="000B6A05">
      <w:pPr>
        <w:pStyle w:val="CommentText"/>
      </w:pPr>
      <w:r>
        <w:t>defined as inactivity of less than 24 months.</w:t>
      </w:r>
      <w:r>
        <w:br/>
        <w:t>Why exactly 24 months, is this consistent with global literature, and how were long pauses in phased projects handled?</w:t>
      </w:r>
    </w:p>
    <w:p w14:paraId="47C9247A" w14:textId="77777777" w:rsidR="000B6A05" w:rsidRDefault="000B6A05" w:rsidP="000B6A05">
      <w:pPr>
        <w:pStyle w:val="CommentText"/>
      </w:pPr>
      <w:r>
        <w:t>For climate exposure categories, you use low, medium, and high. Please define thresholds or measurement criteria.</w:t>
      </w:r>
    </w:p>
    <w:p w14:paraId="0A893809" w14:textId="77777777" w:rsidR="000B6A05" w:rsidRDefault="000B6A05" w:rsidP="000B6A05">
      <w:pPr>
        <w:pStyle w:val="CommentText"/>
      </w:pPr>
    </w:p>
    <w:p w14:paraId="4D377155" w14:textId="77777777" w:rsidR="000B6A05" w:rsidRDefault="000B6A05" w:rsidP="000B6A05">
      <w:pPr>
        <w:pStyle w:val="CommentText"/>
      </w:pPr>
      <w:r>
        <w:rPr>
          <w:b/>
          <w:bCs/>
        </w:rPr>
        <w:t xml:space="preserve">Expand the ethical section with data governance considerations: </w:t>
      </w:r>
      <w:r>
        <w:t>Since you rely heavily on government records, add 2 to 3 lines on public data governance, archival integrity, and responsible interpretation of politically sensitive material. This strengthens research ethics compliance.</w:t>
      </w:r>
    </w:p>
    <w:p w14:paraId="6303AF54" w14:textId="77777777" w:rsidR="000B6A05" w:rsidRDefault="000B6A05" w:rsidP="000B6A05">
      <w:pPr>
        <w:pStyle w:val="CommentText"/>
      </w:pPr>
    </w:p>
    <w:p w14:paraId="1F6A2779" w14:textId="77777777" w:rsidR="000B6A05" w:rsidRDefault="000B6A05" w:rsidP="000B6A05">
      <w:pPr>
        <w:pStyle w:val="CommentText"/>
      </w:pPr>
      <w:r>
        <w:rPr>
          <w:b/>
          <w:bCs/>
        </w:rPr>
        <w:t xml:space="preserve">Briefly explain why Kenya is an analytically useful case beyond availability of data: </w:t>
      </w:r>
      <w:r>
        <w:t>Currently the justification is good but could be strengthened by framing Kenya as a critical case (Gerring) where decentralisation plus climate variability plus high investment create ideal conditions for institutional comparison.</w:t>
      </w:r>
    </w:p>
  </w:comment>
  <w:comment w:id="224" w:author="Erick Gesure" w:date="2026-05-13T22:01:00Z" w:initials="EG">
    <w:p w14:paraId="46790D65" w14:textId="77777777" w:rsidR="000B6A05" w:rsidRDefault="000B6A05" w:rsidP="00281663">
      <w:pPr>
        <w:pStyle w:val="CommentText"/>
      </w:pPr>
      <w:r>
        <w:rPr>
          <w:rStyle w:val="CommentReference"/>
        </w:rPr>
        <w:annotationRef/>
      </w:r>
      <w:r>
        <w:t>Responded on blue</w:t>
      </w:r>
    </w:p>
  </w:comment>
  <w:comment w:id="225" w:author="James Punch" w:date="2026-05-16T18:01:00Z" w:initials="JP">
    <w:p w14:paraId="2D03BDA0" w14:textId="77777777" w:rsidR="000B6A05" w:rsidRDefault="000B6A05" w:rsidP="000B6A05">
      <w:pPr>
        <w:pStyle w:val="CommentText"/>
      </w:pPr>
      <w:r>
        <w:rPr>
          <w:rStyle w:val="CommentReference"/>
        </w:rPr>
        <w:annotationRef/>
      </w:r>
      <w:r>
        <w:t>Hi Erick.</w:t>
      </w:r>
    </w:p>
    <w:p w14:paraId="038E661D" w14:textId="77777777" w:rsidR="000B6A05" w:rsidRDefault="000B6A05" w:rsidP="000B6A05">
      <w:pPr>
        <w:pStyle w:val="CommentText"/>
      </w:pPr>
      <w:r>
        <w:t>Thanks for sending this back over. Truly fantastic work. I am incredibly impressed. This revised chapter has addressed the previous considerations particularly around justification of sampling, index construction, cross-sectional design, coding transparency, and ethical considerations. The chapter now demonstrates strong internal coherence, high methodological literacy, clear awareness of limitations and assumptions, and credible attempts at addressing causal inference constraints. At this stage, the chapter would likely be viewed as methodologically sound. The remaining considerations are refinements rather than structural.</w:t>
      </w:r>
    </w:p>
    <w:p w14:paraId="08F028DA" w14:textId="77777777" w:rsidR="000B6A05" w:rsidRDefault="000B6A05" w:rsidP="000B6A05">
      <w:pPr>
        <w:pStyle w:val="CommentText"/>
      </w:pPr>
    </w:p>
    <w:p w14:paraId="005BDD29" w14:textId="77777777" w:rsidR="000B6A05" w:rsidRDefault="000B6A05" w:rsidP="000B6A05">
      <w:pPr>
        <w:pStyle w:val="CommentText"/>
      </w:pPr>
    </w:p>
    <w:p w14:paraId="5F401694" w14:textId="77777777" w:rsidR="000B6A05" w:rsidRDefault="000B6A05" w:rsidP="000B6A05">
      <w:pPr>
        <w:pStyle w:val="CommentText"/>
      </w:pPr>
      <w:r>
        <w:rPr>
          <w:b/>
          <w:bCs/>
        </w:rPr>
        <w:t>Strengths.</w:t>
      </w:r>
    </w:p>
    <w:p w14:paraId="38AF1DCF" w14:textId="77777777" w:rsidR="000B6A05" w:rsidRDefault="000B6A05" w:rsidP="000B6A05">
      <w:pPr>
        <w:pStyle w:val="CommentText"/>
      </w:pPr>
    </w:p>
    <w:p w14:paraId="31176198" w14:textId="77777777" w:rsidR="000B6A05" w:rsidRDefault="000B6A05" w:rsidP="000B6A05">
      <w:pPr>
        <w:pStyle w:val="CommentText"/>
      </w:pPr>
      <w:r>
        <w:rPr>
          <w:b/>
          <w:bCs/>
        </w:rPr>
        <w:t xml:space="preserve">Sampling strategy justification: </w:t>
      </w:r>
      <w:r>
        <w:t>You now explicitly acknowledge external validity limitations, recognize selection bias risk due to documentation availability, frame findings as analytically (not statistically) generalized, and justify approach using King et al. and Shadish et al.</w:t>
      </w:r>
    </w:p>
    <w:p w14:paraId="6907E46D" w14:textId="77777777" w:rsidR="000B6A05" w:rsidRDefault="000B6A05" w:rsidP="000B6A05">
      <w:pPr>
        <w:pStyle w:val="CommentText"/>
      </w:pPr>
    </w:p>
    <w:p w14:paraId="6ED30C20" w14:textId="77777777" w:rsidR="000B6A05" w:rsidRDefault="000B6A05" w:rsidP="000B6A05">
      <w:pPr>
        <w:pStyle w:val="CommentText"/>
      </w:pPr>
      <w:r>
        <w:rPr>
          <w:b/>
          <w:bCs/>
        </w:rPr>
        <w:t xml:space="preserve">GQI weighting: </w:t>
      </w:r>
      <w:r>
        <w:t>You now explicitly state equal weighting is theoretically justified (lifecycle integrity), no stage is a priori more important, PCA/factor analysis considered but rejected, and have emphasis on transparency and replicability.</w:t>
      </w:r>
    </w:p>
    <w:p w14:paraId="3185225C" w14:textId="77777777" w:rsidR="000B6A05" w:rsidRDefault="000B6A05" w:rsidP="000B6A05">
      <w:pPr>
        <w:pStyle w:val="CommentText"/>
      </w:pPr>
    </w:p>
    <w:p w14:paraId="5B83EB47" w14:textId="77777777" w:rsidR="000B6A05" w:rsidRDefault="000B6A05" w:rsidP="000B6A05">
      <w:pPr>
        <w:pStyle w:val="CommentText"/>
      </w:pPr>
      <w:r>
        <w:rPr>
          <w:b/>
          <w:bCs/>
        </w:rPr>
        <w:t xml:space="preserve">Cross-sectional design justification: </w:t>
      </w:r>
      <w:r>
        <w:t>You now explain why panel reconstruction is unreliable, highlight irregular documentation timing, acknowledge panel methods could improve inference but are infeasible, and justify cross-section as more transparent.</w:t>
      </w:r>
    </w:p>
    <w:p w14:paraId="6EE5E40C" w14:textId="77777777" w:rsidR="000B6A05" w:rsidRDefault="000B6A05" w:rsidP="000B6A05">
      <w:pPr>
        <w:pStyle w:val="CommentText"/>
      </w:pPr>
    </w:p>
    <w:p w14:paraId="046A97B9" w14:textId="77777777" w:rsidR="000B6A05" w:rsidRDefault="000B6A05" w:rsidP="000B6A05">
      <w:pPr>
        <w:pStyle w:val="CommentText"/>
      </w:pPr>
      <w:r>
        <w:rPr>
          <w:b/>
          <w:bCs/>
        </w:rPr>
        <w:t xml:space="preserve">Coding reliability and missing data: </w:t>
      </w:r>
      <w:r>
        <w:t>You added coding protocol and decision rules, triangulation strategy, treatment of ambiguous cases, conservative coding approach, explicit handling of missing data (no imputation by default), and sensitivity checks.</w:t>
      </w:r>
    </w:p>
    <w:p w14:paraId="084B5553" w14:textId="77777777" w:rsidR="000B6A05" w:rsidRDefault="000B6A05" w:rsidP="000B6A05">
      <w:pPr>
        <w:pStyle w:val="CommentText"/>
      </w:pPr>
    </w:p>
    <w:p w14:paraId="4D14FEB5" w14:textId="77777777" w:rsidR="000B6A05" w:rsidRDefault="000B6A05" w:rsidP="000B6A05">
      <w:pPr>
        <w:pStyle w:val="CommentText"/>
      </w:pPr>
      <w:r>
        <w:rPr>
          <w:b/>
          <w:bCs/>
        </w:rPr>
        <w:t xml:space="preserve">Definition clarity - Project stalling: </w:t>
      </w:r>
      <w:r>
        <w:t>Clear 24‑month threshold, justified using World Bank practice, distinction between delays vs. failure, and treatment of phased projects clarified. Climate exposure: Now has clear qualitative criteria (low/medium/high + supporting data sources).</w:t>
      </w:r>
    </w:p>
    <w:p w14:paraId="397C5061" w14:textId="77777777" w:rsidR="000B6A05" w:rsidRDefault="000B6A05" w:rsidP="000B6A05">
      <w:pPr>
        <w:pStyle w:val="CommentText"/>
      </w:pPr>
    </w:p>
    <w:p w14:paraId="71245EEB" w14:textId="77777777" w:rsidR="000B6A05" w:rsidRDefault="000B6A05" w:rsidP="000B6A05">
      <w:pPr>
        <w:pStyle w:val="CommentText"/>
      </w:pPr>
      <w:r>
        <w:rPr>
          <w:b/>
          <w:bCs/>
        </w:rPr>
        <w:t xml:space="preserve">Ethical considerations: </w:t>
      </w:r>
      <w:r>
        <w:t>You added public data governance, archival integrity, treatment of politically sensitive information, and explicit statement of no human subjects.</w:t>
      </w:r>
    </w:p>
    <w:p w14:paraId="1B5A5ABB" w14:textId="77777777" w:rsidR="000B6A05" w:rsidRDefault="000B6A05" w:rsidP="000B6A05">
      <w:pPr>
        <w:pStyle w:val="CommentText"/>
      </w:pPr>
    </w:p>
    <w:p w14:paraId="74576710" w14:textId="77777777" w:rsidR="000B6A05" w:rsidRDefault="000B6A05" w:rsidP="000B6A05">
      <w:pPr>
        <w:pStyle w:val="CommentText"/>
      </w:pPr>
      <w:r>
        <w:rPr>
          <w:b/>
          <w:bCs/>
        </w:rPr>
        <w:t xml:space="preserve">Case justification (Kenya): </w:t>
      </w:r>
      <w:r>
        <w:t>This is one of the most improved sections as you have positioned Kenya as an analytically useful / “critical” case, linked to decentralisation, climate risk, and investment, and this is all supported with World Bank and project-level evidence.</w:t>
      </w:r>
    </w:p>
    <w:p w14:paraId="5819B451" w14:textId="77777777" w:rsidR="000B6A05" w:rsidRDefault="000B6A05" w:rsidP="000B6A05">
      <w:pPr>
        <w:pStyle w:val="CommentText"/>
      </w:pPr>
    </w:p>
    <w:p w14:paraId="6D2769A8" w14:textId="77777777" w:rsidR="000B6A05" w:rsidRDefault="000B6A05" w:rsidP="000B6A05">
      <w:pPr>
        <w:pStyle w:val="CommentText"/>
      </w:pPr>
      <w:r>
        <w:rPr>
          <w:b/>
          <w:bCs/>
        </w:rPr>
        <w:t xml:space="preserve">Identification strategy: </w:t>
      </w:r>
      <w:r>
        <w:t>You now explicitly discuss temporal ordering, acknowledge simultaneity risks, admit no perfect identification, explain lack of Iv`s, and clearly state limits to causal claims.</w:t>
      </w:r>
    </w:p>
    <w:p w14:paraId="1C0D30E5" w14:textId="77777777" w:rsidR="000B6A05" w:rsidRDefault="000B6A05" w:rsidP="000B6A05">
      <w:pPr>
        <w:pStyle w:val="CommentText"/>
      </w:pPr>
    </w:p>
    <w:p w14:paraId="4119732B" w14:textId="77777777" w:rsidR="000B6A05" w:rsidRDefault="000B6A05" w:rsidP="000B6A05">
      <w:pPr>
        <w:pStyle w:val="CommentText"/>
      </w:pPr>
      <w:r>
        <w:rPr>
          <w:b/>
          <w:bCs/>
        </w:rPr>
        <w:t xml:space="preserve">Conceptual-authoritative coherence: </w:t>
      </w:r>
      <w:r>
        <w:t>The chapter aligns perfectly across theory, variables, measurement, and models.</w:t>
      </w:r>
    </w:p>
    <w:p w14:paraId="08641862" w14:textId="77777777" w:rsidR="000B6A05" w:rsidRDefault="000B6A05" w:rsidP="000B6A05">
      <w:pPr>
        <w:pStyle w:val="CommentText"/>
      </w:pPr>
    </w:p>
    <w:p w14:paraId="03082054" w14:textId="77777777" w:rsidR="000B6A05" w:rsidRDefault="000B6A05" w:rsidP="000B6A05">
      <w:pPr>
        <w:pStyle w:val="CommentText"/>
      </w:pPr>
      <w:r>
        <w:rPr>
          <w:b/>
          <w:bCs/>
        </w:rPr>
        <w:t xml:space="preserve">Strong methodological transparency: </w:t>
      </w:r>
      <w:r>
        <w:t>You clearly explain what was done, why it was done, and what its limitations are.</w:t>
      </w:r>
    </w:p>
    <w:p w14:paraId="69CCD6E2" w14:textId="77777777" w:rsidR="000B6A05" w:rsidRDefault="000B6A05" w:rsidP="000B6A05">
      <w:pPr>
        <w:pStyle w:val="CommentText"/>
      </w:pPr>
    </w:p>
    <w:p w14:paraId="725C87EC" w14:textId="77777777" w:rsidR="000B6A05" w:rsidRDefault="000B6A05" w:rsidP="000B6A05">
      <w:pPr>
        <w:pStyle w:val="CommentText"/>
      </w:pPr>
      <w:r>
        <w:rPr>
          <w:b/>
          <w:bCs/>
        </w:rPr>
        <w:t xml:space="preserve">Mature treatment of causality: </w:t>
      </w:r>
      <w:r>
        <w:t>The balance between making claims and acknowledging limits is appropriate for a PhD using observational data.</w:t>
      </w:r>
    </w:p>
    <w:p w14:paraId="62D76830" w14:textId="77777777" w:rsidR="000B6A05" w:rsidRDefault="000B6A05" w:rsidP="000B6A05">
      <w:pPr>
        <w:pStyle w:val="CommentText"/>
      </w:pPr>
    </w:p>
    <w:p w14:paraId="7CC4D239" w14:textId="77777777" w:rsidR="000B6A05" w:rsidRDefault="000B6A05" w:rsidP="000B6A05">
      <w:pPr>
        <w:pStyle w:val="CommentText"/>
      </w:pPr>
      <w:r>
        <w:rPr>
          <w:b/>
          <w:bCs/>
        </w:rPr>
        <w:t xml:space="preserve">Real-world grounding: </w:t>
      </w:r>
      <w:r>
        <w:t>Use of World Bank projects and Kenyan audit evidence adds empirical credibility and policy relevance.</w:t>
      </w:r>
    </w:p>
    <w:p w14:paraId="25C1DE47" w14:textId="77777777" w:rsidR="000B6A05" w:rsidRDefault="000B6A05" w:rsidP="000B6A05">
      <w:pPr>
        <w:pStyle w:val="CommentText"/>
      </w:pPr>
    </w:p>
    <w:p w14:paraId="19791027" w14:textId="77777777" w:rsidR="000B6A05" w:rsidRDefault="000B6A05" w:rsidP="000B6A05">
      <w:pPr>
        <w:pStyle w:val="CommentText"/>
      </w:pPr>
    </w:p>
    <w:p w14:paraId="546D7126" w14:textId="77777777" w:rsidR="000B6A05" w:rsidRDefault="000B6A05" w:rsidP="000B6A05">
      <w:pPr>
        <w:pStyle w:val="CommentText"/>
      </w:pPr>
      <w:r>
        <w:rPr>
          <w:b/>
          <w:bCs/>
        </w:rPr>
        <w:t>Areas for Consideration.</w:t>
      </w:r>
    </w:p>
    <w:p w14:paraId="059A9580" w14:textId="77777777" w:rsidR="000B6A05" w:rsidRDefault="000B6A05" w:rsidP="000B6A05">
      <w:pPr>
        <w:pStyle w:val="CommentText"/>
      </w:pPr>
    </w:p>
    <w:p w14:paraId="1666090C" w14:textId="77777777" w:rsidR="000B6A05" w:rsidRDefault="000B6A05" w:rsidP="000B6A05">
      <w:pPr>
        <w:pStyle w:val="CommentText"/>
      </w:pPr>
      <w:r>
        <w:rPr>
          <w:b/>
          <w:bCs/>
        </w:rPr>
        <w:t xml:space="preserve">Internal inconsistency in number of GQI indicators: </w:t>
      </w:r>
      <w:r>
        <w:t>You state nine indicators but also eight indicators and the formula references different totals.</w:t>
      </w:r>
    </w:p>
    <w:p w14:paraId="6375D804" w14:textId="77777777" w:rsidR="000B6A05" w:rsidRDefault="000B6A05" w:rsidP="000B6A05">
      <w:pPr>
        <w:pStyle w:val="CommentText"/>
      </w:pPr>
    </w:p>
    <w:p w14:paraId="3AECF64F" w14:textId="77777777" w:rsidR="000B6A05" w:rsidRDefault="000B6A05" w:rsidP="000B6A05">
      <w:pPr>
        <w:pStyle w:val="CommentText"/>
      </w:pPr>
      <w:r>
        <w:rPr>
          <w:b/>
          <w:bCs/>
        </w:rPr>
        <w:t xml:space="preserve">Logistic vs probit not explicitly justified: </w:t>
      </w:r>
      <w:r>
        <w:t>You specify logistic regression but don`t justify why. Add 1 sentence, something like this “Logistic regression is used due to ease of interpretation; results are robust to alternative link functions (e.g., probit)”.</w:t>
      </w:r>
    </w:p>
    <w:p w14:paraId="2FB1FAE9" w14:textId="77777777" w:rsidR="000B6A05" w:rsidRDefault="000B6A05" w:rsidP="000B6A05">
      <w:pPr>
        <w:pStyle w:val="CommentText"/>
      </w:pPr>
    </w:p>
    <w:p w14:paraId="59F377B0" w14:textId="77777777" w:rsidR="000B6A05" w:rsidRDefault="000B6A05" w:rsidP="000B6A05">
      <w:pPr>
        <w:pStyle w:val="CommentText"/>
      </w:pPr>
      <w:r>
        <w:rPr>
          <w:b/>
          <w:bCs/>
        </w:rPr>
        <w:t xml:space="preserve">Need for inter-coder reliability clarity: </w:t>
      </w:r>
      <w:r>
        <w:t>You mention that the subset was reviewed and discrepancies resolved. Could you quantify the agreement rate or formal reliability metric (e.g., Cohen’s kappa). Even a brief statement like “Inter-coder agreement exceeded X%” would strengthen credibility.</w:t>
      </w:r>
    </w:p>
    <w:p w14:paraId="6C4379DF" w14:textId="77777777" w:rsidR="000B6A05" w:rsidRDefault="000B6A05" w:rsidP="000B6A05">
      <w:pPr>
        <w:pStyle w:val="CommentText"/>
      </w:pPr>
    </w:p>
    <w:p w14:paraId="73A73F2B" w14:textId="77777777" w:rsidR="000B6A05" w:rsidRDefault="000B6A05" w:rsidP="000B6A05">
      <w:pPr>
        <w:pStyle w:val="CommentText"/>
      </w:pPr>
      <w:r>
        <w:rPr>
          <w:b/>
          <w:bCs/>
        </w:rPr>
        <w:t xml:space="preserve">External validity could be sharpened further: </w:t>
      </w:r>
      <w:r>
        <w:t xml:space="preserve">You correctly frame “analytical generalisation,” but you could add relevance to other LMICs and conditions under which findings generalise. </w:t>
      </w:r>
    </w:p>
    <w:p w14:paraId="722F48D5" w14:textId="77777777" w:rsidR="000B6A05" w:rsidRDefault="000B6A05" w:rsidP="000B6A05">
      <w:pPr>
        <w:pStyle w:val="CommentText"/>
      </w:pPr>
    </w:p>
    <w:p w14:paraId="1B0A0918" w14:textId="77777777" w:rsidR="000B6A05" w:rsidRDefault="000B6A05" w:rsidP="000B6A05">
      <w:pPr>
        <w:pStyle w:val="CommentText"/>
      </w:pPr>
      <w:r>
        <w:rPr>
          <w:b/>
          <w:bCs/>
        </w:rPr>
        <w:t xml:space="preserve">Conceptual framework lacks a visual figure: </w:t>
      </w:r>
      <w:r>
        <w:t>You describe relationships clearly but do not visualize them. Adding a diagram would improve clarity and help readers synthesize relationships.</w:t>
      </w:r>
    </w:p>
  </w:comment>
  <w:comment w:id="317" w:author="James Punch" w:date="2026-06-11T11:33:00Z" w:initials="JP">
    <w:p w14:paraId="789962AB" w14:textId="77777777" w:rsidR="00844B88" w:rsidRDefault="00844B88" w:rsidP="00844B88">
      <w:pPr>
        <w:pStyle w:val="CommentText"/>
      </w:pPr>
      <w:r>
        <w:rPr>
          <w:rStyle w:val="CommentReference"/>
        </w:rPr>
        <w:annotationRef/>
      </w:r>
      <w:r>
        <w:t>Hi Erick,</w:t>
      </w:r>
    </w:p>
    <w:p w14:paraId="2F6B2678" w14:textId="77777777" w:rsidR="00844B88" w:rsidRDefault="00844B88" w:rsidP="00844B88">
      <w:pPr>
        <w:pStyle w:val="CommentText"/>
      </w:pPr>
      <w:r>
        <w:t>You have done a fantastic job and should be proud of the work you have done. Chapter four is a well-structured, substantive empirical chapter that presents the findings of a study in a clear and professional manner. The chapter covers five hypotheses, uses a range of analytical methods (descriptive statistics, logistic regression, correlation, documentary analysis), and draws on real project cases to ground the findings. The writing is largely easy to follow and detailed, and the chapter follows a logical progression from descriptive results through to hypothesis testing, integrated discussion, and summary. At PhD level, this is a solid piece of work. The core argument that governance quality is closely associated with better infrastructure delivery is well supported across multiple lines of evidence. The chapter is also long and detailed, which is appropriate given what it needs to cover. There are a couple of considerations prior to finishing this chapter including a need for more critical depth in the discussion sections, minor statistical and data presentation requirements, and some gaps in how limitations are handled.</w:t>
      </w:r>
    </w:p>
    <w:p w14:paraId="3CAF963F" w14:textId="77777777" w:rsidR="00844B88" w:rsidRDefault="00844B88" w:rsidP="00844B88">
      <w:pPr>
        <w:pStyle w:val="CommentText"/>
      </w:pPr>
    </w:p>
    <w:p w14:paraId="3723C1C2" w14:textId="77777777" w:rsidR="00844B88" w:rsidRDefault="00844B88" w:rsidP="00844B88">
      <w:pPr>
        <w:pStyle w:val="CommentText"/>
      </w:pPr>
    </w:p>
    <w:p w14:paraId="71CD0544" w14:textId="77777777" w:rsidR="00844B88" w:rsidRDefault="00844B88" w:rsidP="00844B88">
      <w:pPr>
        <w:pStyle w:val="CommentText"/>
      </w:pPr>
      <w:r>
        <w:rPr>
          <w:b/>
          <w:bCs/>
        </w:rPr>
        <w:t>Strengths.</w:t>
      </w:r>
    </w:p>
    <w:p w14:paraId="61500114" w14:textId="77777777" w:rsidR="00844B88" w:rsidRDefault="00844B88" w:rsidP="00844B88">
      <w:pPr>
        <w:pStyle w:val="CommentText"/>
      </w:pPr>
    </w:p>
    <w:p w14:paraId="55465460" w14:textId="77777777" w:rsidR="00844B88" w:rsidRDefault="00844B88" w:rsidP="00844B88">
      <w:pPr>
        <w:pStyle w:val="CommentText"/>
      </w:pPr>
      <w:r>
        <w:rPr>
          <w:b/>
          <w:bCs/>
        </w:rPr>
        <w:t>Clear structure and logical flow:</w:t>
      </w:r>
      <w:r>
        <w:t xml:space="preserve"> The chapter is very well organised. Each research question follows the same clear pattern: introduce the question, state the hypothesis, present the evidence, reach a conclusion. This consistency makes the chapter easy to follow and demonstrates methodological discipline. The Table of Contents is detailed and navigable.</w:t>
      </w:r>
    </w:p>
    <w:p w14:paraId="061FC73D" w14:textId="77777777" w:rsidR="00844B88" w:rsidRDefault="00844B88" w:rsidP="00844B88">
      <w:pPr>
        <w:pStyle w:val="CommentText"/>
      </w:pPr>
    </w:p>
    <w:p w14:paraId="0C2B12E8" w14:textId="77777777" w:rsidR="00844B88" w:rsidRDefault="00844B88" w:rsidP="00844B88">
      <w:pPr>
        <w:pStyle w:val="CommentText"/>
      </w:pPr>
      <w:r>
        <w:rPr>
          <w:b/>
          <w:bCs/>
        </w:rPr>
        <w:t>Multiple methods, used appropriately:</w:t>
      </w:r>
      <w:r>
        <w:t xml:space="preserve"> Using descriptive statistics, correlation analysis, logistic regression, and documentary review together is a strength. The triangulation of evidence across methods particularly using documentary case examples to support quantitative findings is good research practice and adds credibility to the conclusions.</w:t>
      </w:r>
    </w:p>
    <w:p w14:paraId="6B80F40B" w14:textId="77777777" w:rsidR="00844B88" w:rsidRDefault="00844B88" w:rsidP="00844B88">
      <w:pPr>
        <w:pStyle w:val="CommentText"/>
      </w:pPr>
    </w:p>
    <w:p w14:paraId="4D1F38D1" w14:textId="77777777" w:rsidR="00844B88" w:rsidRDefault="00844B88" w:rsidP="00844B88">
      <w:pPr>
        <w:pStyle w:val="CommentText"/>
      </w:pPr>
      <w:r>
        <w:rPr>
          <w:b/>
          <w:bCs/>
        </w:rPr>
        <w:t>Real project cases bring the data to life:</w:t>
      </w:r>
      <w:r>
        <w:t xml:space="preserve"> Section 4.3.7 (Illustrative Low-Governance Cases) is a highlight. The specific examples of High Grand Falls Dam, Arror Dam, Kimwarer Dam, and others make the findings tangible. The reference to a combined public investment of KES 101 billion gives the work real-world weight. More of this kind of contextual grounding throughout the chapter would strengthen it further.</w:t>
      </w:r>
    </w:p>
    <w:p w14:paraId="41D37647" w14:textId="77777777" w:rsidR="00844B88" w:rsidRDefault="00844B88" w:rsidP="00844B88">
      <w:pPr>
        <w:pStyle w:val="CommentText"/>
      </w:pPr>
    </w:p>
    <w:p w14:paraId="686D5F27" w14:textId="77777777" w:rsidR="00844B88" w:rsidRDefault="00844B88" w:rsidP="00844B88">
      <w:pPr>
        <w:pStyle w:val="CommentText"/>
      </w:pPr>
      <w:r>
        <w:rPr>
          <w:b/>
          <w:bCs/>
        </w:rPr>
        <w:t>Hypothesis outcomes are clearly signposted:</w:t>
      </w:r>
      <w:r>
        <w:t xml:space="preserve"> Each hypothesis is clearly stated, tested, and concluded. The summary table (Table 4.10) is a useful tool for the reader and works well as a reference point. The distinction between "Supported," "Partially Supported," and the reasons for partial support (H3) is handled professionally.</w:t>
      </w:r>
    </w:p>
    <w:p w14:paraId="46E84172" w14:textId="77777777" w:rsidR="00844B88" w:rsidRDefault="00844B88" w:rsidP="00844B88">
      <w:pPr>
        <w:pStyle w:val="CommentText"/>
      </w:pPr>
    </w:p>
    <w:p w14:paraId="572389EE" w14:textId="77777777" w:rsidR="00844B88" w:rsidRDefault="00844B88" w:rsidP="00844B88">
      <w:pPr>
        <w:pStyle w:val="CommentText"/>
      </w:pPr>
      <w:r>
        <w:rPr>
          <w:b/>
          <w:bCs/>
        </w:rPr>
        <w:t>Documentation accessibility finding is original and notable:</w:t>
      </w:r>
      <w:r>
        <w:t xml:space="preserve"> Section 4.7 on county government documentation gaps is an original and important finding. It adds institutional depth beyond the core hypothesis testing and has practical policy relevance. This section stands out as a genuine contribution to the field.</w:t>
      </w:r>
    </w:p>
    <w:p w14:paraId="096F4F4C" w14:textId="77777777" w:rsidR="00844B88" w:rsidRDefault="00844B88" w:rsidP="00844B88">
      <w:pPr>
        <w:pStyle w:val="CommentText"/>
      </w:pPr>
    </w:p>
    <w:p w14:paraId="0E41D64D" w14:textId="77777777" w:rsidR="00844B88" w:rsidRDefault="00844B88" w:rsidP="00844B88">
      <w:pPr>
        <w:pStyle w:val="CommentText"/>
      </w:pPr>
      <w:r>
        <w:rPr>
          <w:b/>
          <w:bCs/>
        </w:rPr>
        <w:t>Governance Quality Index (GQI) is clearly explained:</w:t>
      </w:r>
      <w:r>
        <w:t xml:space="preserve"> The GQI construction is explained clearly and consistently throughout. The nine component scores (Table 4.3) are well presented, and the commentary on why audit responsiveness scored highest (with reference to the Constitution of Kenya, 2010) shows good contextual awareness.</w:t>
      </w:r>
    </w:p>
    <w:p w14:paraId="0EC70A96" w14:textId="77777777" w:rsidR="00844B88" w:rsidRDefault="00844B88" w:rsidP="00844B88">
      <w:pPr>
        <w:pStyle w:val="CommentText"/>
      </w:pPr>
    </w:p>
    <w:p w14:paraId="04EDE254" w14:textId="77777777" w:rsidR="00844B88" w:rsidRDefault="00844B88" w:rsidP="00844B88">
      <w:pPr>
        <w:pStyle w:val="CommentText"/>
      </w:pPr>
      <w:r>
        <w:rPr>
          <w:b/>
          <w:bCs/>
        </w:rPr>
        <w:t>The integrated discussion (Section 4.9) is the strongest part of the chapter:</w:t>
      </w:r>
      <w:r>
        <w:t xml:space="preserve"> The integrated discussion adds genuine analytical value. It moves beyond restating results and begins to synthesise the evidence into a coherent governance narrative. The framing of governance as an "integrated institutional system" rather than a set of isolated practices is a strong conclusion and sets up Chapter Five well.</w:t>
      </w:r>
    </w:p>
    <w:p w14:paraId="35106F15" w14:textId="77777777" w:rsidR="00844B88" w:rsidRDefault="00844B88" w:rsidP="00844B88">
      <w:pPr>
        <w:pStyle w:val="CommentText"/>
      </w:pPr>
    </w:p>
    <w:p w14:paraId="528245CE" w14:textId="77777777" w:rsidR="00844B88" w:rsidRDefault="00844B88" w:rsidP="00844B88">
      <w:pPr>
        <w:pStyle w:val="CommentText"/>
      </w:pPr>
    </w:p>
    <w:p w14:paraId="6ABCCD1F" w14:textId="77777777" w:rsidR="00844B88" w:rsidRDefault="00844B88" w:rsidP="00844B88">
      <w:pPr>
        <w:pStyle w:val="CommentText"/>
      </w:pPr>
      <w:r>
        <w:rPr>
          <w:b/>
          <w:bCs/>
        </w:rPr>
        <w:t>Areas for Consideration.</w:t>
      </w:r>
    </w:p>
    <w:p w14:paraId="6815FD92" w14:textId="77777777" w:rsidR="00844B88" w:rsidRDefault="00844B88" w:rsidP="00844B88">
      <w:pPr>
        <w:pStyle w:val="CommentText"/>
      </w:pPr>
    </w:p>
    <w:p w14:paraId="2EADA5AE" w14:textId="77777777" w:rsidR="00844B88" w:rsidRDefault="00844B88" w:rsidP="00844B88">
      <w:pPr>
        <w:pStyle w:val="CommentText"/>
      </w:pPr>
      <w:r>
        <w:rPr>
          <w:b/>
          <w:bCs/>
        </w:rPr>
        <w:t>Significant Repetition Throughout the Chapter:</w:t>
      </w:r>
    </w:p>
    <w:p w14:paraId="56B9BD4E" w14:textId="77777777" w:rsidR="00844B88" w:rsidRDefault="00844B88" w:rsidP="00844B88">
      <w:pPr>
        <w:pStyle w:val="CommentText"/>
      </w:pPr>
      <w:r>
        <w:t xml:space="preserve">This is the most important issue to address. Several key points are stated multiple times (sometimes three or four times) across different sections. For example the finding that a one-unit increase in GQI reduces project stalling probability appears word-for-word in at least three separate sections (4.3.5, 4.8, and 4.3.6), the description of the logistic regression result (β = -7.173, p = 0.005) is repeated almost identically in sections 4.3.5 and 4.3.8, the point about governance functioning as an "integrated institutional system rather than a collection of discrete administrative practices" appears verbatim in both 4.9 and 4.10, and the implication that governance influences financial outcomes indirectly through procurement, oversight, and disbursement is repeated in sections 4.5.3, 4.5.5, and 4.9.3. Each section should add something new. Results sections should report findings. Discussion sections should interpret and theorise. Summary sections should synthesise not repeat. Audit every paragraph in sections 4.3.8, 4.4.7, 4.5.7, 4.6.8, 4.8, 4.9, and 4.10 and remove duplicated sentences unless they are required. </w:t>
      </w:r>
    </w:p>
    <w:p w14:paraId="2EA042E9" w14:textId="77777777" w:rsidR="00844B88" w:rsidRDefault="00844B88" w:rsidP="00844B88">
      <w:pPr>
        <w:pStyle w:val="CommentText"/>
      </w:pPr>
    </w:p>
    <w:p w14:paraId="5533BBDC" w14:textId="77777777" w:rsidR="00844B88" w:rsidRDefault="00844B88" w:rsidP="00844B88">
      <w:pPr>
        <w:pStyle w:val="CommentText"/>
      </w:pPr>
      <w:r>
        <w:rPr>
          <w:b/>
          <w:bCs/>
        </w:rPr>
        <w:t xml:space="preserve">The Discussion Sections Need More Critical Depth: </w:t>
      </w:r>
      <w:r>
        <w:t>The integrated discussion (4.9) is largely descriptive. It restates what was found and links it to cited literature, but it does not always go far enough in critically analysing the findings. Specifically why does governance quality have such a strong effect? The chapter confirms that higher GQI is associated with lower stalling, but does not deeply explore the causal mechanisms. Is it the procurement transparency component that drives most of the effect? Is it payment reliability? The component scores (Table 4.3) suggest payment reliability is the weakest area — but this is not picked up in the discussion as a priority area for investigation. Are there alternative explanations? The chapter rarely entertains the possibility that the relationship between GQI and project outcomes could be driven by a confounding variable for example, project complexity, donor funding type, or project scale. A brief acknowledgement and counter-argument would demonstrate critical thinking. The partial support for H3 deserves more analysis. The explanation given for why H3 was only partially supported (i.e., incomplete data) is reasonable, but the chapter could go further. For example: is there a theoretical reason why governance might have less direct influence on costs than on time? Could sunk costs, inflation, or exchange rate volatility play a larger role in cost overruns than governance? In each of the 4.9 subsections, add one paragraph that goes beyond reporting and asks "so what does this actually mean?" and "what else could explain this?"</w:t>
      </w:r>
    </w:p>
    <w:p w14:paraId="3CBAD13F" w14:textId="77777777" w:rsidR="00844B88" w:rsidRDefault="00844B88" w:rsidP="00844B88">
      <w:pPr>
        <w:pStyle w:val="CommentText"/>
      </w:pPr>
    </w:p>
    <w:p w14:paraId="65FA2E0F" w14:textId="77777777" w:rsidR="00844B88" w:rsidRDefault="00844B88" w:rsidP="00844B88">
      <w:pPr>
        <w:pStyle w:val="CommentText"/>
      </w:pPr>
      <w:r>
        <w:rPr>
          <w:b/>
          <w:bCs/>
        </w:rPr>
        <w:t xml:space="preserve">Statistical Points That Need Addressing: </w:t>
      </w:r>
    </w:p>
    <w:p w14:paraId="49C5DCED" w14:textId="77777777" w:rsidR="00844B88" w:rsidRDefault="00844B88" w:rsidP="00844B88">
      <w:pPr>
        <w:pStyle w:val="CommentText"/>
      </w:pPr>
      <w:r>
        <w:t>The odds ratio of 0.001 needs more careful handling. An odds ratio this extreme (OR = 0.001 from a GQI coefficient of -7.173) is unusual and likely reflects the bounded nature of the 0–1 GQI scale and a small sample. The chapter does note this with the phrase "should be interpreted with caution" — but this needs to be more explicitly discussed. An examiner will probe this directly. Consider adding a footnote or paragraph explaining that this is a scale-artefact rather than a substantive claim about the true effect size.</w:t>
      </w:r>
    </w:p>
    <w:p w14:paraId="46B94404" w14:textId="77777777" w:rsidR="00844B88" w:rsidRDefault="00844B88" w:rsidP="00844B88">
      <w:pPr>
        <w:pStyle w:val="CommentText"/>
      </w:pPr>
      <w:r>
        <w:t>Pseudo R² of 0.42 is not discussed critically. A McFadden pseudo R² of 0.42 is actually quite high. The chapter mentions it "explains a meaningful proportion of variance" — but it would be stronger to contextualise this against typical values in comparable studies. Is 0.42 expected for this type of outcome variable in infrastructure governance research?</w:t>
      </w:r>
    </w:p>
    <w:p w14:paraId="4C733813" w14:textId="77777777" w:rsidR="00844B88" w:rsidRDefault="00844B88" w:rsidP="00844B88">
      <w:pPr>
        <w:pStyle w:val="CommentText"/>
      </w:pPr>
      <w:r>
        <w:t>n = 32 is acknowledged but not robustly addressed. The small sample is mentioned in several places but its implications are not fully worked through. With n = 32 and a binary dependent variable with only 11 stalled cases, the logistic regression model has very limited degrees of freedom. The risk of overfitting and the limitations of the pseudo R² are worth a more frank discussion.</w:t>
      </w:r>
    </w:p>
    <w:p w14:paraId="7B3B1CF2" w14:textId="77777777" w:rsidR="00844B88" w:rsidRDefault="00844B88" w:rsidP="00844B88">
      <w:pPr>
        <w:pStyle w:val="CommentText"/>
      </w:pPr>
      <w:r>
        <w:t>Figure 4.3 contains inconsistency. The figure caption states mean GQI of 0.70 for non-stalled and 0.38 for stalled, but Table 4.4 reports 0.827 and 0.554 respectively. These figures do not match. This needs to be corrected / explained.</w:t>
      </w:r>
    </w:p>
    <w:p w14:paraId="25D26D45" w14:textId="77777777" w:rsidR="00844B88" w:rsidRDefault="00844B88" w:rsidP="00844B88">
      <w:pPr>
        <w:pStyle w:val="CommentText"/>
      </w:pPr>
      <w:r>
        <w:t>Correct the discrepancy in Figure 4.3. Add a dedicated limitations paragraph within section 4.3.5 addressing the interpretation of the odds ratio and the model's constraints given n = 32.</w:t>
      </w:r>
    </w:p>
    <w:p w14:paraId="14B6C590" w14:textId="77777777" w:rsidR="00844B88" w:rsidRDefault="00844B88" w:rsidP="00844B88">
      <w:pPr>
        <w:pStyle w:val="CommentText"/>
      </w:pPr>
    </w:p>
    <w:p w14:paraId="42C5E274" w14:textId="77777777" w:rsidR="00844B88" w:rsidRDefault="00844B88" w:rsidP="00844B88">
      <w:pPr>
        <w:pStyle w:val="CommentText"/>
      </w:pPr>
      <w:r>
        <w:rPr>
          <w:b/>
          <w:bCs/>
        </w:rPr>
        <w:t xml:space="preserve">The "Figures" Are Described But Not Visible: </w:t>
      </w:r>
      <w:r>
        <w:t>Several figures are referred to throughout the chapter (Figures 4.1 through 4.7) but no actual charts or graphs appear in the extracted content. The text descriptions provided as captions (e.g., "Figure 4.3 illustrates...") are detailed enough to work as standalone commentary, but this only works if the figures themselves are present and correct. The mismatch in Figure 4.3 noted above suggests the text captions and figure content may not have been cross-checked.</w:t>
      </w:r>
    </w:p>
    <w:p w14:paraId="3C8D5E5F" w14:textId="77777777" w:rsidR="00844B88" w:rsidRDefault="00844B88" w:rsidP="00844B88">
      <w:pPr>
        <w:pStyle w:val="CommentText"/>
      </w:pPr>
    </w:p>
    <w:p w14:paraId="166A4160" w14:textId="77777777" w:rsidR="00844B88" w:rsidRDefault="00844B88" w:rsidP="00844B88">
      <w:pPr>
        <w:pStyle w:val="CommentText"/>
      </w:pPr>
      <w:r>
        <w:rPr>
          <w:b/>
          <w:bCs/>
        </w:rPr>
        <w:t xml:space="preserve">The Cost Overrun Section (4.5): </w:t>
      </w:r>
      <w:r>
        <w:t>Section 4.5 is noticeably thinner than the other research question sections. The core issue is that the data appears incomplete  but rather than being direct about this limitation upfront, the chapter circles around it across multiple paragraphs before reaching the same conclusion each time. The section also relies heavily on Table 4.9, which describes governance categories in qualitative terms ("lower expenditure variability; stronger financial stability") rather than actual data. This reads more like opinion than evidence. Restructure section 4.5 to: (1) acknowledge the data limitation clearly and early; (2) present what can be said from the available data; (3) use the documentary evidence more specifically (name projects and link to documented cost patterns). Cut the circular repetition.</w:t>
      </w:r>
    </w:p>
    <w:p w14:paraId="055AB1B5" w14:textId="77777777" w:rsidR="00844B88" w:rsidRDefault="00844B88" w:rsidP="00844B88">
      <w:pPr>
        <w:pStyle w:val="CommentText"/>
      </w:pPr>
    </w:p>
    <w:p w14:paraId="03601837" w14:textId="77777777" w:rsidR="00844B88" w:rsidRDefault="00844B88" w:rsidP="00844B88">
      <w:pPr>
        <w:pStyle w:val="CommentText"/>
      </w:pPr>
      <w:r>
        <w:rPr>
          <w:b/>
          <w:bCs/>
        </w:rPr>
        <w:t>The Introduction Has a Typo</w:t>
      </w:r>
      <w:r>
        <w:t>: Section 4.1 contains "20012" (should read "2012"). This should be corrected before submission.</w:t>
      </w:r>
    </w:p>
    <w:p w14:paraId="188DB6F2" w14:textId="77777777" w:rsidR="00844B88" w:rsidRDefault="00844B88" w:rsidP="00844B88">
      <w:pPr>
        <w:pStyle w:val="CommentText"/>
      </w:pPr>
    </w:p>
    <w:p w14:paraId="0FB027E6" w14:textId="77777777" w:rsidR="00844B88" w:rsidRDefault="00844B88" w:rsidP="00844B88">
      <w:pPr>
        <w:pStyle w:val="CommentText"/>
      </w:pPr>
      <w:r>
        <w:rPr>
          <w:b/>
          <w:bCs/>
        </w:rPr>
        <w:t xml:space="preserve">Transition Between Sections 4.6 and 4.7 Is Abrupt: </w:t>
      </w:r>
      <w:r>
        <w:t>Section 4.7 on documentation accessibility is important but sits oddly as a standalone section between the hypothesis testing and the summary of hypothesis testing. It reads as an afterthought. Consider either integrating it more clearly into the hypothesis framework (treating documentation accessibility as a finding in its own right from the outset) or restructuring it as the first subsection of 4.9 (Integrated Discussion).</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228E6887" w15:done="0"/>
  <w15:commentEx w15:paraId="1F6A2779" w15:done="0"/>
  <w15:commentEx w15:paraId="46790D65" w15:paraIdParent="1F6A2779" w15:done="0"/>
  <w15:commentEx w15:paraId="1B0A0918" w15:paraIdParent="1F6A2779" w15:done="0"/>
  <w15:commentEx w15:paraId="0FB027E6"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1243FBB6" w16cex:dateUtc="2026-07-10T11:12:00Z"/>
  <w16cex:commentExtensible w16cex:durableId="3586BCBC" w16cex:dateUtc="2026-03-24T19:26:00Z"/>
  <w16cex:commentExtensible w16cex:durableId="44A98032" w16cex:dateUtc="2026-05-14T02:01:00Z"/>
  <w16cex:commentExtensible w16cex:durableId="314F2128" w16cex:dateUtc="2026-05-16T17:01:00Z"/>
  <w16cex:commentExtensible w16cex:durableId="12AA712E" w16cex:dateUtc="2026-06-11T10:33: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228E6887" w16cid:durableId="1243FBB6"/>
  <w16cid:commentId w16cid:paraId="1F6A2779" w16cid:durableId="3586BCBC"/>
  <w16cid:commentId w16cid:paraId="46790D65" w16cid:durableId="44A98032"/>
  <w16cid:commentId w16cid:paraId="1B0A0918" w16cid:durableId="314F2128"/>
  <w16cid:commentId w16cid:paraId="0FB027E6" w16cid:durableId="12AA712E"/>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D1BA136" w14:textId="77777777" w:rsidR="00681E22" w:rsidRDefault="00681E22" w:rsidP="00FF6943">
      <w:pPr>
        <w:spacing w:after="0" w:line="240" w:lineRule="auto"/>
      </w:pPr>
      <w:r>
        <w:separator/>
      </w:r>
    </w:p>
  </w:endnote>
  <w:endnote w:type="continuationSeparator" w:id="0">
    <w:p w14:paraId="57E9D6E8" w14:textId="77777777" w:rsidR="00681E22" w:rsidRDefault="00681E22" w:rsidP="00FF694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10189226"/>
      <w:docPartObj>
        <w:docPartGallery w:val="Page Numbers (Bottom of Page)"/>
        <w:docPartUnique/>
      </w:docPartObj>
    </w:sdtPr>
    <w:sdtEndPr>
      <w:rPr>
        <w:noProof/>
      </w:rPr>
    </w:sdtEndPr>
    <w:sdtContent>
      <w:p w14:paraId="1E119AE1" w14:textId="4A593911" w:rsidR="00BD4AAC" w:rsidRDefault="00BD4AAC">
        <w:pPr>
          <w:pStyle w:val="Footer"/>
          <w:jc w:val="center"/>
        </w:pPr>
        <w:r w:rsidRPr="00EC34E4">
          <w:rPr>
            <w:color w:val="000000" w:themeColor="text1"/>
          </w:rPr>
          <w:fldChar w:fldCharType="begin"/>
        </w:r>
        <w:r w:rsidRPr="00EC34E4">
          <w:rPr>
            <w:color w:val="000000" w:themeColor="text1"/>
          </w:rPr>
          <w:instrText xml:space="preserve"> PAGE   \* MERGEFORMAT </w:instrText>
        </w:r>
        <w:r w:rsidRPr="00EC34E4">
          <w:rPr>
            <w:color w:val="000000" w:themeColor="text1"/>
          </w:rPr>
          <w:fldChar w:fldCharType="separate"/>
        </w:r>
        <w:r w:rsidRPr="00EC34E4">
          <w:rPr>
            <w:noProof/>
            <w:color w:val="000000" w:themeColor="text1"/>
          </w:rPr>
          <w:t>2</w:t>
        </w:r>
        <w:r w:rsidRPr="00EC34E4">
          <w:rPr>
            <w:noProof/>
            <w:color w:val="000000" w:themeColor="text1"/>
          </w:rPr>
          <w:fldChar w:fldCharType="end"/>
        </w:r>
      </w:p>
    </w:sdtContent>
  </w:sdt>
  <w:p w14:paraId="1D9F8CD2" w14:textId="77777777" w:rsidR="00BD4AAC" w:rsidRDefault="00BD4AA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0BE6C1" w14:textId="77777777" w:rsidR="00AC4AAE" w:rsidRDefault="00AC4AAE">
    <w:pPr>
      <w:pStyle w:val="Footer"/>
      <w:tabs>
        <w:tab w:val="clear" w:pos="4680"/>
        <w:tab w:val="clear" w:pos="9360"/>
      </w:tabs>
      <w:jc w:val="center"/>
      <w:rPr>
        <w:caps/>
        <w:noProof/>
        <w:color w:val="156082" w:themeColor="accent1"/>
      </w:rPr>
    </w:pPr>
    <w:r>
      <w:rPr>
        <w:caps/>
        <w:color w:val="156082" w:themeColor="accent1"/>
      </w:rPr>
      <w:fldChar w:fldCharType="begin"/>
    </w:r>
    <w:r>
      <w:rPr>
        <w:caps/>
        <w:color w:val="156082" w:themeColor="accent1"/>
      </w:rPr>
      <w:instrText xml:space="preserve"> PAGE   \* MERGEFORMAT </w:instrText>
    </w:r>
    <w:r>
      <w:rPr>
        <w:caps/>
        <w:color w:val="156082" w:themeColor="accent1"/>
      </w:rPr>
      <w:fldChar w:fldCharType="separate"/>
    </w:r>
    <w:r>
      <w:rPr>
        <w:caps/>
        <w:noProof/>
        <w:color w:val="156082" w:themeColor="accent1"/>
      </w:rPr>
      <w:t>2</w:t>
    </w:r>
    <w:r>
      <w:rPr>
        <w:caps/>
        <w:noProof/>
        <w:color w:val="156082" w:themeColor="accent1"/>
      </w:rPr>
      <w:fldChar w:fldCharType="end"/>
    </w:r>
  </w:p>
  <w:p w14:paraId="30BD9A02" w14:textId="77777777" w:rsidR="00834F12" w:rsidRDefault="00834F12">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991250016"/>
      <w:docPartObj>
        <w:docPartGallery w:val="Page Numbers (Bottom of Page)"/>
        <w:docPartUnique/>
      </w:docPartObj>
    </w:sdtPr>
    <w:sdtEndPr>
      <w:rPr>
        <w:noProof/>
      </w:rPr>
    </w:sdtEndPr>
    <w:sdtContent>
      <w:p w14:paraId="2A49300B" w14:textId="4E80F79B" w:rsidR="00F0682D" w:rsidRDefault="00F0682D">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7AC70B13" w14:textId="77777777" w:rsidR="00A65A7C" w:rsidRDefault="00A65A7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8C0F949" w14:textId="77777777" w:rsidR="00681E22" w:rsidRDefault="00681E22" w:rsidP="00FF6943">
      <w:pPr>
        <w:spacing w:after="0" w:line="240" w:lineRule="auto"/>
      </w:pPr>
      <w:r>
        <w:separator/>
      </w:r>
    </w:p>
  </w:footnote>
  <w:footnote w:type="continuationSeparator" w:id="0">
    <w:p w14:paraId="343F75B4" w14:textId="77777777" w:rsidR="00681E22" w:rsidRDefault="00681E22" w:rsidP="00FF6943">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16567A"/>
    <w:multiLevelType w:val="multilevel"/>
    <w:tmpl w:val="509E1422"/>
    <w:lvl w:ilvl="0">
      <w:start w:val="1"/>
      <w:numFmt w:val="none"/>
      <w:lvlText w:val="2.0"/>
      <w:lvlJc w:val="left"/>
      <w:pPr>
        <w:ind w:left="360" w:hanging="360"/>
      </w:pPr>
      <w:rPr>
        <w:rFonts w:hint="default"/>
      </w:rPr>
    </w:lvl>
    <w:lvl w:ilvl="1">
      <w:start w:val="1"/>
      <w:numFmt w:val="decimal"/>
      <w:lvlText w:val="%12.0"/>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 w15:restartNumberingAfterBreak="0">
    <w:nsid w:val="02830E63"/>
    <w:multiLevelType w:val="multilevel"/>
    <w:tmpl w:val="FE8E18D0"/>
    <w:lvl w:ilvl="0">
      <w:start w:val="1"/>
      <w:numFmt w:val="decimal"/>
      <w:pStyle w:val="Heading1"/>
      <w:lvlText w:val="CHAPTER %1 : "/>
      <w:lvlJc w:val="left"/>
      <w:pPr>
        <w:ind w:left="432" w:hanging="432"/>
      </w:pPr>
      <w:rPr>
        <w:rFonts w:hint="default"/>
      </w:rPr>
    </w:lvl>
    <w:lvl w:ilvl="1">
      <w:start w:val="1"/>
      <w:numFmt w:val="decimal"/>
      <w:pStyle w:val="Heading2"/>
      <w:lvlText w:val="%1.%2"/>
      <w:lvlJc w:val="left"/>
      <w:pPr>
        <w:ind w:left="576" w:hanging="576"/>
      </w:pPr>
      <w:rPr>
        <w:rFonts w:hint="default"/>
      </w:rPr>
    </w:lvl>
    <w:lvl w:ilvl="2">
      <w:start w:val="1"/>
      <w:numFmt w:val="decimal"/>
      <w:pStyle w:val="Heading3"/>
      <w:lvlText w:val="%1.%2.%3"/>
      <w:lvlJc w:val="left"/>
      <w:pPr>
        <w:ind w:left="720" w:hanging="720"/>
      </w:pPr>
      <w:rPr>
        <w:rFonts w:hint="default"/>
      </w:rPr>
    </w:lvl>
    <w:lvl w:ilvl="3">
      <w:start w:val="1"/>
      <w:numFmt w:val="decimal"/>
      <w:pStyle w:val="Heading4"/>
      <w:lvlText w:val="%1.%2.%3.%4"/>
      <w:lvlJc w:val="left"/>
      <w:pPr>
        <w:ind w:left="864" w:hanging="864"/>
      </w:pPr>
      <w:rPr>
        <w:rFonts w:hint="default"/>
      </w:rPr>
    </w:lvl>
    <w:lvl w:ilvl="4">
      <w:start w:val="1"/>
      <w:numFmt w:val="decimal"/>
      <w:pStyle w:val="Heading5"/>
      <w:lvlText w:val="%1.%2.%3.%4.%5"/>
      <w:lvlJc w:val="left"/>
      <w:pPr>
        <w:ind w:left="1008" w:hanging="1008"/>
      </w:pPr>
      <w:rPr>
        <w:rFonts w:hint="default"/>
      </w:rPr>
    </w:lvl>
    <w:lvl w:ilvl="5">
      <w:start w:val="1"/>
      <w:numFmt w:val="decimal"/>
      <w:pStyle w:val="Heading6"/>
      <w:lvlText w:val="%1.%2.%3.%4.%5.%6"/>
      <w:lvlJc w:val="left"/>
      <w:pPr>
        <w:ind w:left="1152" w:hanging="1152"/>
      </w:pPr>
      <w:rPr>
        <w:rFonts w:hint="default"/>
      </w:rPr>
    </w:lvl>
    <w:lvl w:ilvl="6">
      <w:start w:val="1"/>
      <w:numFmt w:val="decimal"/>
      <w:pStyle w:val="Heading7"/>
      <w:lvlText w:val="%1.%2.%3.%4.%5.%6.%7"/>
      <w:lvlJc w:val="left"/>
      <w:pPr>
        <w:ind w:left="1296" w:hanging="1296"/>
      </w:pPr>
      <w:rPr>
        <w:rFonts w:hint="default"/>
      </w:rPr>
    </w:lvl>
    <w:lvl w:ilvl="7">
      <w:start w:val="1"/>
      <w:numFmt w:val="decimal"/>
      <w:pStyle w:val="Heading8"/>
      <w:lvlText w:val="%1.%2.%3.%4.%5.%6.%7.%8"/>
      <w:lvlJc w:val="left"/>
      <w:pPr>
        <w:ind w:left="1440" w:hanging="1440"/>
      </w:pPr>
      <w:rPr>
        <w:rFonts w:hint="default"/>
      </w:rPr>
    </w:lvl>
    <w:lvl w:ilvl="8">
      <w:start w:val="1"/>
      <w:numFmt w:val="decimal"/>
      <w:pStyle w:val="Heading9"/>
      <w:lvlText w:val="%1.%2.%3.%4.%5.%6.%7.%8.%9"/>
      <w:lvlJc w:val="left"/>
      <w:pPr>
        <w:ind w:left="1584" w:hanging="1584"/>
      </w:pPr>
      <w:rPr>
        <w:rFonts w:hint="default"/>
      </w:rPr>
    </w:lvl>
  </w:abstractNum>
  <w:abstractNum w:abstractNumId="2" w15:restartNumberingAfterBreak="0">
    <w:nsid w:val="02885A37"/>
    <w:multiLevelType w:val="multilevel"/>
    <w:tmpl w:val="64928E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32F5E37"/>
    <w:multiLevelType w:val="hybridMultilevel"/>
    <w:tmpl w:val="5E7880F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7351E68"/>
    <w:multiLevelType w:val="hybridMultilevel"/>
    <w:tmpl w:val="87FC4596"/>
    <w:lvl w:ilvl="0" w:tplc="1B5C1AE4">
      <w:start w:val="1"/>
      <w:numFmt w:val="bullet"/>
      <w:lvlText w:val=""/>
      <w:lvlJc w:val="left"/>
      <w:pPr>
        <w:ind w:left="1080" w:hanging="360"/>
      </w:pPr>
      <w:rPr>
        <w:rFonts w:ascii="Symbol" w:hAnsi="Symbol"/>
      </w:rPr>
    </w:lvl>
    <w:lvl w:ilvl="1" w:tplc="E2F0A8FA">
      <w:start w:val="1"/>
      <w:numFmt w:val="bullet"/>
      <w:lvlText w:val=""/>
      <w:lvlJc w:val="left"/>
      <w:pPr>
        <w:ind w:left="1080" w:hanging="360"/>
      </w:pPr>
      <w:rPr>
        <w:rFonts w:ascii="Symbol" w:hAnsi="Symbol"/>
      </w:rPr>
    </w:lvl>
    <w:lvl w:ilvl="2" w:tplc="2FBC9286">
      <w:start w:val="1"/>
      <w:numFmt w:val="bullet"/>
      <w:lvlText w:val=""/>
      <w:lvlJc w:val="left"/>
      <w:pPr>
        <w:ind w:left="1080" w:hanging="360"/>
      </w:pPr>
      <w:rPr>
        <w:rFonts w:ascii="Symbol" w:hAnsi="Symbol"/>
      </w:rPr>
    </w:lvl>
    <w:lvl w:ilvl="3" w:tplc="93047604">
      <w:start w:val="1"/>
      <w:numFmt w:val="bullet"/>
      <w:lvlText w:val=""/>
      <w:lvlJc w:val="left"/>
      <w:pPr>
        <w:ind w:left="1080" w:hanging="360"/>
      </w:pPr>
      <w:rPr>
        <w:rFonts w:ascii="Symbol" w:hAnsi="Symbol"/>
      </w:rPr>
    </w:lvl>
    <w:lvl w:ilvl="4" w:tplc="0648400C">
      <w:start w:val="1"/>
      <w:numFmt w:val="bullet"/>
      <w:lvlText w:val=""/>
      <w:lvlJc w:val="left"/>
      <w:pPr>
        <w:ind w:left="1080" w:hanging="360"/>
      </w:pPr>
      <w:rPr>
        <w:rFonts w:ascii="Symbol" w:hAnsi="Symbol"/>
      </w:rPr>
    </w:lvl>
    <w:lvl w:ilvl="5" w:tplc="959ACCF2">
      <w:start w:val="1"/>
      <w:numFmt w:val="bullet"/>
      <w:lvlText w:val=""/>
      <w:lvlJc w:val="left"/>
      <w:pPr>
        <w:ind w:left="1080" w:hanging="360"/>
      </w:pPr>
      <w:rPr>
        <w:rFonts w:ascii="Symbol" w:hAnsi="Symbol"/>
      </w:rPr>
    </w:lvl>
    <w:lvl w:ilvl="6" w:tplc="F2B46C60">
      <w:start w:val="1"/>
      <w:numFmt w:val="bullet"/>
      <w:lvlText w:val=""/>
      <w:lvlJc w:val="left"/>
      <w:pPr>
        <w:ind w:left="1080" w:hanging="360"/>
      </w:pPr>
      <w:rPr>
        <w:rFonts w:ascii="Symbol" w:hAnsi="Symbol"/>
      </w:rPr>
    </w:lvl>
    <w:lvl w:ilvl="7" w:tplc="2E5830AA">
      <w:start w:val="1"/>
      <w:numFmt w:val="bullet"/>
      <w:lvlText w:val=""/>
      <w:lvlJc w:val="left"/>
      <w:pPr>
        <w:ind w:left="1080" w:hanging="360"/>
      </w:pPr>
      <w:rPr>
        <w:rFonts w:ascii="Symbol" w:hAnsi="Symbol"/>
      </w:rPr>
    </w:lvl>
    <w:lvl w:ilvl="8" w:tplc="5890E7E4">
      <w:start w:val="1"/>
      <w:numFmt w:val="bullet"/>
      <w:lvlText w:val=""/>
      <w:lvlJc w:val="left"/>
      <w:pPr>
        <w:ind w:left="1080" w:hanging="360"/>
      </w:pPr>
      <w:rPr>
        <w:rFonts w:ascii="Symbol" w:hAnsi="Symbol"/>
      </w:rPr>
    </w:lvl>
  </w:abstractNum>
  <w:abstractNum w:abstractNumId="5" w15:restartNumberingAfterBreak="0">
    <w:nsid w:val="080F50A2"/>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 w15:restartNumberingAfterBreak="0">
    <w:nsid w:val="0A767D3D"/>
    <w:multiLevelType w:val="hybridMultilevel"/>
    <w:tmpl w:val="BEFC5AB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0D76233E"/>
    <w:multiLevelType w:val="hybridMultilevel"/>
    <w:tmpl w:val="92B22EE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0DAA6008"/>
    <w:multiLevelType w:val="hybridMultilevel"/>
    <w:tmpl w:val="C1F4210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0F030670"/>
    <w:multiLevelType w:val="hybridMultilevel"/>
    <w:tmpl w:val="44CA58D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13224520"/>
    <w:multiLevelType w:val="hybridMultilevel"/>
    <w:tmpl w:val="5C18975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145547A1"/>
    <w:multiLevelType w:val="hybridMultilevel"/>
    <w:tmpl w:val="4E9E5A6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1D212BF8"/>
    <w:multiLevelType w:val="hybridMultilevel"/>
    <w:tmpl w:val="2024802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1D2974BD"/>
    <w:multiLevelType w:val="multilevel"/>
    <w:tmpl w:val="A9EAEBB0"/>
    <w:lvl w:ilvl="0">
      <w:start w:val="1"/>
      <w:numFmt w:val="decimal"/>
      <w:lvlText w:val="%1.0"/>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560" w:hanging="1800"/>
      </w:pPr>
      <w:rPr>
        <w:rFonts w:hint="default"/>
      </w:rPr>
    </w:lvl>
  </w:abstractNum>
  <w:abstractNum w:abstractNumId="14" w15:restartNumberingAfterBreak="0">
    <w:nsid w:val="27FB103D"/>
    <w:multiLevelType w:val="hybridMultilevel"/>
    <w:tmpl w:val="69B22C6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29CE706A"/>
    <w:multiLevelType w:val="hybridMultilevel"/>
    <w:tmpl w:val="D73474A2"/>
    <w:lvl w:ilvl="0" w:tplc="D1B45F82">
      <w:start w:val="1"/>
      <w:numFmt w:val="bullet"/>
      <w:lvlText w:val=""/>
      <w:lvlJc w:val="left"/>
      <w:pPr>
        <w:ind w:left="1080" w:hanging="360"/>
      </w:pPr>
      <w:rPr>
        <w:rFonts w:ascii="Symbol" w:hAnsi="Symbol"/>
      </w:rPr>
    </w:lvl>
    <w:lvl w:ilvl="1" w:tplc="78F266E4">
      <w:start w:val="1"/>
      <w:numFmt w:val="bullet"/>
      <w:lvlText w:val=""/>
      <w:lvlJc w:val="left"/>
      <w:pPr>
        <w:ind w:left="1080" w:hanging="360"/>
      </w:pPr>
      <w:rPr>
        <w:rFonts w:ascii="Symbol" w:hAnsi="Symbol"/>
      </w:rPr>
    </w:lvl>
    <w:lvl w:ilvl="2" w:tplc="BE74E9DC">
      <w:start w:val="1"/>
      <w:numFmt w:val="bullet"/>
      <w:lvlText w:val=""/>
      <w:lvlJc w:val="left"/>
      <w:pPr>
        <w:ind w:left="1080" w:hanging="360"/>
      </w:pPr>
      <w:rPr>
        <w:rFonts w:ascii="Symbol" w:hAnsi="Symbol"/>
      </w:rPr>
    </w:lvl>
    <w:lvl w:ilvl="3" w:tplc="46827DC8">
      <w:start w:val="1"/>
      <w:numFmt w:val="bullet"/>
      <w:lvlText w:val=""/>
      <w:lvlJc w:val="left"/>
      <w:pPr>
        <w:ind w:left="1080" w:hanging="360"/>
      </w:pPr>
      <w:rPr>
        <w:rFonts w:ascii="Symbol" w:hAnsi="Symbol"/>
      </w:rPr>
    </w:lvl>
    <w:lvl w:ilvl="4" w:tplc="EA44C6A6">
      <w:start w:val="1"/>
      <w:numFmt w:val="bullet"/>
      <w:lvlText w:val=""/>
      <w:lvlJc w:val="left"/>
      <w:pPr>
        <w:ind w:left="1080" w:hanging="360"/>
      </w:pPr>
      <w:rPr>
        <w:rFonts w:ascii="Symbol" w:hAnsi="Symbol"/>
      </w:rPr>
    </w:lvl>
    <w:lvl w:ilvl="5" w:tplc="823C9DFC">
      <w:start w:val="1"/>
      <w:numFmt w:val="bullet"/>
      <w:lvlText w:val=""/>
      <w:lvlJc w:val="left"/>
      <w:pPr>
        <w:ind w:left="1080" w:hanging="360"/>
      </w:pPr>
      <w:rPr>
        <w:rFonts w:ascii="Symbol" w:hAnsi="Symbol"/>
      </w:rPr>
    </w:lvl>
    <w:lvl w:ilvl="6" w:tplc="348E90CA">
      <w:start w:val="1"/>
      <w:numFmt w:val="bullet"/>
      <w:lvlText w:val=""/>
      <w:lvlJc w:val="left"/>
      <w:pPr>
        <w:ind w:left="1080" w:hanging="360"/>
      </w:pPr>
      <w:rPr>
        <w:rFonts w:ascii="Symbol" w:hAnsi="Symbol"/>
      </w:rPr>
    </w:lvl>
    <w:lvl w:ilvl="7" w:tplc="FCF87A06">
      <w:start w:val="1"/>
      <w:numFmt w:val="bullet"/>
      <w:lvlText w:val=""/>
      <w:lvlJc w:val="left"/>
      <w:pPr>
        <w:ind w:left="1080" w:hanging="360"/>
      </w:pPr>
      <w:rPr>
        <w:rFonts w:ascii="Symbol" w:hAnsi="Symbol"/>
      </w:rPr>
    </w:lvl>
    <w:lvl w:ilvl="8" w:tplc="DEE478F2">
      <w:start w:val="1"/>
      <w:numFmt w:val="bullet"/>
      <w:lvlText w:val=""/>
      <w:lvlJc w:val="left"/>
      <w:pPr>
        <w:ind w:left="1080" w:hanging="360"/>
      </w:pPr>
      <w:rPr>
        <w:rFonts w:ascii="Symbol" w:hAnsi="Symbol"/>
      </w:rPr>
    </w:lvl>
  </w:abstractNum>
  <w:abstractNum w:abstractNumId="16" w15:restartNumberingAfterBreak="0">
    <w:nsid w:val="2A640256"/>
    <w:multiLevelType w:val="hybridMultilevel"/>
    <w:tmpl w:val="A7387AF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2ADB52C6"/>
    <w:multiLevelType w:val="hybridMultilevel"/>
    <w:tmpl w:val="8E58551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2C2F3A22"/>
    <w:multiLevelType w:val="multilevel"/>
    <w:tmpl w:val="E53A809E"/>
    <w:lvl w:ilvl="0">
      <w:start w:val="3"/>
      <w:numFmt w:val="decimal"/>
      <w:lvlText w:val="%1"/>
      <w:lvlJc w:val="left"/>
      <w:pPr>
        <w:ind w:left="520" w:hanging="520"/>
      </w:pPr>
      <w:rPr>
        <w:rFonts w:hint="default"/>
      </w:rPr>
    </w:lvl>
    <w:lvl w:ilvl="1">
      <w:start w:val="7"/>
      <w:numFmt w:val="decimal"/>
      <w:lvlText w:val="%1.%2"/>
      <w:lvlJc w:val="left"/>
      <w:pPr>
        <w:ind w:left="1670" w:hanging="720"/>
      </w:pPr>
      <w:rPr>
        <w:rFonts w:hint="default"/>
      </w:rPr>
    </w:lvl>
    <w:lvl w:ilvl="2">
      <w:start w:val="1"/>
      <w:numFmt w:val="decimal"/>
      <w:lvlText w:val="%1.%2.%3"/>
      <w:lvlJc w:val="left"/>
      <w:pPr>
        <w:ind w:left="2980" w:hanging="1080"/>
      </w:pPr>
      <w:rPr>
        <w:rFonts w:hint="default"/>
      </w:rPr>
    </w:lvl>
    <w:lvl w:ilvl="3">
      <w:start w:val="1"/>
      <w:numFmt w:val="decimal"/>
      <w:lvlText w:val="%1.%2.%3.%4"/>
      <w:lvlJc w:val="left"/>
      <w:pPr>
        <w:ind w:left="4290" w:hanging="1440"/>
      </w:pPr>
      <w:rPr>
        <w:rFonts w:hint="default"/>
      </w:rPr>
    </w:lvl>
    <w:lvl w:ilvl="4">
      <w:start w:val="1"/>
      <w:numFmt w:val="decimal"/>
      <w:lvlText w:val="%1.%2.%3.%4.%5"/>
      <w:lvlJc w:val="left"/>
      <w:pPr>
        <w:ind w:left="5600" w:hanging="1800"/>
      </w:pPr>
      <w:rPr>
        <w:rFonts w:hint="default"/>
      </w:rPr>
    </w:lvl>
    <w:lvl w:ilvl="5">
      <w:start w:val="1"/>
      <w:numFmt w:val="decimal"/>
      <w:lvlText w:val="%1.%2.%3.%4.%5.%6"/>
      <w:lvlJc w:val="left"/>
      <w:pPr>
        <w:ind w:left="6550" w:hanging="1800"/>
      </w:pPr>
      <w:rPr>
        <w:rFonts w:hint="default"/>
      </w:rPr>
    </w:lvl>
    <w:lvl w:ilvl="6">
      <w:start w:val="1"/>
      <w:numFmt w:val="decimal"/>
      <w:lvlText w:val="%1.%2.%3.%4.%5.%6.%7"/>
      <w:lvlJc w:val="left"/>
      <w:pPr>
        <w:ind w:left="7860" w:hanging="2160"/>
      </w:pPr>
      <w:rPr>
        <w:rFonts w:hint="default"/>
      </w:rPr>
    </w:lvl>
    <w:lvl w:ilvl="7">
      <w:start w:val="1"/>
      <w:numFmt w:val="decimal"/>
      <w:lvlText w:val="%1.%2.%3.%4.%5.%6.%7.%8"/>
      <w:lvlJc w:val="left"/>
      <w:pPr>
        <w:ind w:left="9170" w:hanging="2520"/>
      </w:pPr>
      <w:rPr>
        <w:rFonts w:hint="default"/>
      </w:rPr>
    </w:lvl>
    <w:lvl w:ilvl="8">
      <w:start w:val="1"/>
      <w:numFmt w:val="decimal"/>
      <w:lvlText w:val="%1.%2.%3.%4.%5.%6.%7.%8.%9"/>
      <w:lvlJc w:val="left"/>
      <w:pPr>
        <w:ind w:left="10480" w:hanging="2880"/>
      </w:pPr>
      <w:rPr>
        <w:rFonts w:hint="default"/>
      </w:rPr>
    </w:lvl>
  </w:abstractNum>
  <w:abstractNum w:abstractNumId="19" w15:restartNumberingAfterBreak="0">
    <w:nsid w:val="2DA662A0"/>
    <w:multiLevelType w:val="hybridMultilevel"/>
    <w:tmpl w:val="9B70B1B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2DEE402C"/>
    <w:multiLevelType w:val="hybridMultilevel"/>
    <w:tmpl w:val="43BE47A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2F3668F1"/>
    <w:multiLevelType w:val="hybridMultilevel"/>
    <w:tmpl w:val="67EE6D4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30736FB9"/>
    <w:multiLevelType w:val="hybridMultilevel"/>
    <w:tmpl w:val="B3AA2B4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3267667B"/>
    <w:multiLevelType w:val="hybridMultilevel"/>
    <w:tmpl w:val="9EF23B14"/>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358909D3"/>
    <w:multiLevelType w:val="hybridMultilevel"/>
    <w:tmpl w:val="12826F7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37AA22DE"/>
    <w:multiLevelType w:val="hybridMultilevel"/>
    <w:tmpl w:val="AA6C7D2C"/>
    <w:lvl w:ilvl="0" w:tplc="5D7A766C">
      <w:start w:val="1"/>
      <w:numFmt w:val="lowerRoman"/>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38097920"/>
    <w:multiLevelType w:val="multilevel"/>
    <w:tmpl w:val="41D4EB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3A946E95"/>
    <w:multiLevelType w:val="hybridMultilevel"/>
    <w:tmpl w:val="182A78B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40802EA8"/>
    <w:multiLevelType w:val="hybridMultilevel"/>
    <w:tmpl w:val="39200DF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43710ED1"/>
    <w:multiLevelType w:val="hybridMultilevel"/>
    <w:tmpl w:val="35C67690"/>
    <w:lvl w:ilvl="0" w:tplc="EEB65710">
      <w:start w:val="1"/>
      <w:numFmt w:val="decimal"/>
      <w:lvlText w:val="%1."/>
      <w:lvlJc w:val="left"/>
      <w:pPr>
        <w:ind w:left="1020" w:hanging="360"/>
      </w:pPr>
    </w:lvl>
    <w:lvl w:ilvl="1" w:tplc="640EE276">
      <w:start w:val="1"/>
      <w:numFmt w:val="decimal"/>
      <w:lvlText w:val="%2."/>
      <w:lvlJc w:val="left"/>
      <w:pPr>
        <w:ind w:left="1020" w:hanging="360"/>
      </w:pPr>
    </w:lvl>
    <w:lvl w:ilvl="2" w:tplc="4322C1B6">
      <w:start w:val="1"/>
      <w:numFmt w:val="decimal"/>
      <w:lvlText w:val="%3."/>
      <w:lvlJc w:val="left"/>
      <w:pPr>
        <w:ind w:left="1020" w:hanging="360"/>
      </w:pPr>
    </w:lvl>
    <w:lvl w:ilvl="3" w:tplc="DFA8F44C">
      <w:start w:val="1"/>
      <w:numFmt w:val="decimal"/>
      <w:lvlText w:val="%4."/>
      <w:lvlJc w:val="left"/>
      <w:pPr>
        <w:ind w:left="1020" w:hanging="360"/>
      </w:pPr>
    </w:lvl>
    <w:lvl w:ilvl="4" w:tplc="9AFE8B10">
      <w:start w:val="1"/>
      <w:numFmt w:val="decimal"/>
      <w:lvlText w:val="%5."/>
      <w:lvlJc w:val="left"/>
      <w:pPr>
        <w:ind w:left="1020" w:hanging="360"/>
      </w:pPr>
    </w:lvl>
    <w:lvl w:ilvl="5" w:tplc="83EEB628">
      <w:start w:val="1"/>
      <w:numFmt w:val="decimal"/>
      <w:lvlText w:val="%6."/>
      <w:lvlJc w:val="left"/>
      <w:pPr>
        <w:ind w:left="1020" w:hanging="360"/>
      </w:pPr>
    </w:lvl>
    <w:lvl w:ilvl="6" w:tplc="C5C00780">
      <w:start w:val="1"/>
      <w:numFmt w:val="decimal"/>
      <w:lvlText w:val="%7."/>
      <w:lvlJc w:val="left"/>
      <w:pPr>
        <w:ind w:left="1020" w:hanging="360"/>
      </w:pPr>
    </w:lvl>
    <w:lvl w:ilvl="7" w:tplc="FE000CF8">
      <w:start w:val="1"/>
      <w:numFmt w:val="decimal"/>
      <w:lvlText w:val="%8."/>
      <w:lvlJc w:val="left"/>
      <w:pPr>
        <w:ind w:left="1020" w:hanging="360"/>
      </w:pPr>
    </w:lvl>
    <w:lvl w:ilvl="8" w:tplc="0694BCB8">
      <w:start w:val="1"/>
      <w:numFmt w:val="decimal"/>
      <w:lvlText w:val="%9."/>
      <w:lvlJc w:val="left"/>
      <w:pPr>
        <w:ind w:left="1020" w:hanging="360"/>
      </w:pPr>
    </w:lvl>
  </w:abstractNum>
  <w:abstractNum w:abstractNumId="30" w15:restartNumberingAfterBreak="0">
    <w:nsid w:val="449E3695"/>
    <w:multiLevelType w:val="hybridMultilevel"/>
    <w:tmpl w:val="7DE4F8D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4A317B34"/>
    <w:multiLevelType w:val="hybridMultilevel"/>
    <w:tmpl w:val="25B6419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4BA7141A"/>
    <w:multiLevelType w:val="hybridMultilevel"/>
    <w:tmpl w:val="E0C8F9D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4C7F6A89"/>
    <w:multiLevelType w:val="hybridMultilevel"/>
    <w:tmpl w:val="B23415A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4D050237"/>
    <w:multiLevelType w:val="hybridMultilevel"/>
    <w:tmpl w:val="5A02957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4E3879A0"/>
    <w:multiLevelType w:val="hybridMultilevel"/>
    <w:tmpl w:val="679A026A"/>
    <w:lvl w:ilvl="0" w:tplc="05C0EDE4">
      <w:start w:val="1"/>
      <w:numFmt w:val="bullet"/>
      <w:lvlText w:val=""/>
      <w:lvlJc w:val="left"/>
      <w:pPr>
        <w:ind w:left="1080" w:hanging="360"/>
      </w:pPr>
      <w:rPr>
        <w:rFonts w:ascii="Symbol" w:hAnsi="Symbol"/>
      </w:rPr>
    </w:lvl>
    <w:lvl w:ilvl="1" w:tplc="F6E8E73A">
      <w:start w:val="1"/>
      <w:numFmt w:val="bullet"/>
      <w:lvlText w:val=""/>
      <w:lvlJc w:val="left"/>
      <w:pPr>
        <w:ind w:left="1080" w:hanging="360"/>
      </w:pPr>
      <w:rPr>
        <w:rFonts w:ascii="Symbol" w:hAnsi="Symbol"/>
      </w:rPr>
    </w:lvl>
    <w:lvl w:ilvl="2" w:tplc="5874EFAC">
      <w:start w:val="1"/>
      <w:numFmt w:val="bullet"/>
      <w:lvlText w:val=""/>
      <w:lvlJc w:val="left"/>
      <w:pPr>
        <w:ind w:left="1080" w:hanging="360"/>
      </w:pPr>
      <w:rPr>
        <w:rFonts w:ascii="Symbol" w:hAnsi="Symbol"/>
      </w:rPr>
    </w:lvl>
    <w:lvl w:ilvl="3" w:tplc="33FE1F90">
      <w:start w:val="1"/>
      <w:numFmt w:val="bullet"/>
      <w:lvlText w:val=""/>
      <w:lvlJc w:val="left"/>
      <w:pPr>
        <w:ind w:left="1080" w:hanging="360"/>
      </w:pPr>
      <w:rPr>
        <w:rFonts w:ascii="Symbol" w:hAnsi="Symbol"/>
      </w:rPr>
    </w:lvl>
    <w:lvl w:ilvl="4" w:tplc="3F10A734">
      <w:start w:val="1"/>
      <w:numFmt w:val="bullet"/>
      <w:lvlText w:val=""/>
      <w:lvlJc w:val="left"/>
      <w:pPr>
        <w:ind w:left="1080" w:hanging="360"/>
      </w:pPr>
      <w:rPr>
        <w:rFonts w:ascii="Symbol" w:hAnsi="Symbol"/>
      </w:rPr>
    </w:lvl>
    <w:lvl w:ilvl="5" w:tplc="02C6E51E">
      <w:start w:val="1"/>
      <w:numFmt w:val="bullet"/>
      <w:lvlText w:val=""/>
      <w:lvlJc w:val="left"/>
      <w:pPr>
        <w:ind w:left="1080" w:hanging="360"/>
      </w:pPr>
      <w:rPr>
        <w:rFonts w:ascii="Symbol" w:hAnsi="Symbol"/>
      </w:rPr>
    </w:lvl>
    <w:lvl w:ilvl="6" w:tplc="58226202">
      <w:start w:val="1"/>
      <w:numFmt w:val="bullet"/>
      <w:lvlText w:val=""/>
      <w:lvlJc w:val="left"/>
      <w:pPr>
        <w:ind w:left="1080" w:hanging="360"/>
      </w:pPr>
      <w:rPr>
        <w:rFonts w:ascii="Symbol" w:hAnsi="Symbol"/>
      </w:rPr>
    </w:lvl>
    <w:lvl w:ilvl="7" w:tplc="4AAAB7EC">
      <w:start w:val="1"/>
      <w:numFmt w:val="bullet"/>
      <w:lvlText w:val=""/>
      <w:lvlJc w:val="left"/>
      <w:pPr>
        <w:ind w:left="1080" w:hanging="360"/>
      </w:pPr>
      <w:rPr>
        <w:rFonts w:ascii="Symbol" w:hAnsi="Symbol"/>
      </w:rPr>
    </w:lvl>
    <w:lvl w:ilvl="8" w:tplc="7F601E54">
      <w:start w:val="1"/>
      <w:numFmt w:val="bullet"/>
      <w:lvlText w:val=""/>
      <w:lvlJc w:val="left"/>
      <w:pPr>
        <w:ind w:left="1080" w:hanging="360"/>
      </w:pPr>
      <w:rPr>
        <w:rFonts w:ascii="Symbol" w:hAnsi="Symbol"/>
      </w:rPr>
    </w:lvl>
  </w:abstractNum>
  <w:abstractNum w:abstractNumId="36" w15:restartNumberingAfterBreak="0">
    <w:nsid w:val="51D75F93"/>
    <w:multiLevelType w:val="hybridMultilevel"/>
    <w:tmpl w:val="175EB9F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15:restartNumberingAfterBreak="0">
    <w:nsid w:val="524A1B13"/>
    <w:multiLevelType w:val="hybridMultilevel"/>
    <w:tmpl w:val="2400838E"/>
    <w:lvl w:ilvl="0" w:tplc="16C4B6A4">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15:restartNumberingAfterBreak="0">
    <w:nsid w:val="534E26BF"/>
    <w:multiLevelType w:val="hybridMultilevel"/>
    <w:tmpl w:val="3E84BB4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15:restartNumberingAfterBreak="0">
    <w:nsid w:val="541A3647"/>
    <w:multiLevelType w:val="hybridMultilevel"/>
    <w:tmpl w:val="06E86EB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0" w15:restartNumberingAfterBreak="0">
    <w:nsid w:val="57D01219"/>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1" w15:restartNumberingAfterBreak="0">
    <w:nsid w:val="62D020C4"/>
    <w:multiLevelType w:val="hybridMultilevel"/>
    <w:tmpl w:val="61AA3F6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2" w15:restartNumberingAfterBreak="0">
    <w:nsid w:val="62F22A7C"/>
    <w:multiLevelType w:val="hybridMultilevel"/>
    <w:tmpl w:val="FF2E228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3" w15:restartNumberingAfterBreak="0">
    <w:nsid w:val="63254005"/>
    <w:multiLevelType w:val="hybridMultilevel"/>
    <w:tmpl w:val="6836817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4" w15:restartNumberingAfterBreak="0">
    <w:nsid w:val="704131F0"/>
    <w:multiLevelType w:val="hybridMultilevel"/>
    <w:tmpl w:val="FE4C4DE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5" w15:restartNumberingAfterBreak="0">
    <w:nsid w:val="736668B9"/>
    <w:multiLevelType w:val="multilevel"/>
    <w:tmpl w:val="886297D6"/>
    <w:lvl w:ilvl="0">
      <w:start w:val="3"/>
      <w:numFmt w:val="decimal"/>
      <w:lvlText w:val="%1"/>
      <w:lvlJc w:val="left"/>
      <w:pPr>
        <w:ind w:left="520" w:hanging="520"/>
      </w:pPr>
      <w:rPr>
        <w:rFonts w:hint="default"/>
      </w:rPr>
    </w:lvl>
    <w:lvl w:ilvl="1">
      <w:start w:val="7"/>
      <w:numFmt w:val="decimal"/>
      <w:lvlText w:val="%1.%2"/>
      <w:lvlJc w:val="left"/>
      <w:pPr>
        <w:ind w:left="720" w:hanging="720"/>
      </w:pPr>
      <w:rPr>
        <w:rFonts w:hint="default"/>
      </w:rPr>
    </w:lvl>
    <w:lvl w:ilvl="2">
      <w:start w:val="1"/>
      <w:numFmt w:val="decimal"/>
      <w:lvlText w:val="%1.%2.%3"/>
      <w:lvlJc w:val="left"/>
      <w:pPr>
        <w:ind w:left="1080" w:hanging="1080"/>
      </w:pPr>
      <w:rPr>
        <w:rFonts w:hint="default"/>
      </w:rPr>
    </w:lvl>
    <w:lvl w:ilvl="3">
      <w:start w:val="1"/>
      <w:numFmt w:val="decimal"/>
      <w:lvlText w:val="%1.%2.%3.%4"/>
      <w:lvlJc w:val="left"/>
      <w:pPr>
        <w:ind w:left="1440" w:hanging="1440"/>
      </w:pPr>
      <w:rPr>
        <w:rFonts w:hint="default"/>
      </w:rPr>
    </w:lvl>
    <w:lvl w:ilvl="4">
      <w:start w:val="1"/>
      <w:numFmt w:val="decimal"/>
      <w:lvlText w:val="%1.%2.%3.%4.%5"/>
      <w:lvlJc w:val="left"/>
      <w:pPr>
        <w:ind w:left="1800" w:hanging="1800"/>
      </w:pPr>
      <w:rPr>
        <w:rFonts w:hint="default"/>
      </w:rPr>
    </w:lvl>
    <w:lvl w:ilvl="5">
      <w:start w:val="1"/>
      <w:numFmt w:val="decimal"/>
      <w:lvlText w:val="%1.%2.%3.%4.%5.%6"/>
      <w:lvlJc w:val="left"/>
      <w:pPr>
        <w:ind w:left="1800" w:hanging="1800"/>
      </w:pPr>
      <w:rPr>
        <w:rFonts w:hint="default"/>
      </w:rPr>
    </w:lvl>
    <w:lvl w:ilvl="6">
      <w:start w:val="1"/>
      <w:numFmt w:val="decimal"/>
      <w:lvlText w:val="%1.%2.%3.%4.%5.%6.%7"/>
      <w:lvlJc w:val="left"/>
      <w:pPr>
        <w:ind w:left="2160" w:hanging="2160"/>
      </w:pPr>
      <w:rPr>
        <w:rFonts w:hint="default"/>
      </w:rPr>
    </w:lvl>
    <w:lvl w:ilvl="7">
      <w:start w:val="1"/>
      <w:numFmt w:val="decimal"/>
      <w:lvlText w:val="%1.%2.%3.%4.%5.%6.%7.%8"/>
      <w:lvlJc w:val="left"/>
      <w:pPr>
        <w:ind w:left="2520" w:hanging="2520"/>
      </w:pPr>
      <w:rPr>
        <w:rFonts w:hint="default"/>
      </w:rPr>
    </w:lvl>
    <w:lvl w:ilvl="8">
      <w:start w:val="1"/>
      <w:numFmt w:val="decimal"/>
      <w:lvlText w:val="%1.%2.%3.%4.%5.%6.%7.%8.%9"/>
      <w:lvlJc w:val="left"/>
      <w:pPr>
        <w:ind w:left="2880" w:hanging="2880"/>
      </w:pPr>
      <w:rPr>
        <w:rFonts w:hint="default"/>
      </w:rPr>
    </w:lvl>
  </w:abstractNum>
  <w:abstractNum w:abstractNumId="46" w15:restartNumberingAfterBreak="0">
    <w:nsid w:val="74EE2B41"/>
    <w:multiLevelType w:val="hybridMultilevel"/>
    <w:tmpl w:val="24F2C9E2"/>
    <w:lvl w:ilvl="0" w:tplc="A03C98CC">
      <w:start w:val="1"/>
      <w:numFmt w:val="bullet"/>
      <w:lvlText w:val=""/>
      <w:lvlJc w:val="left"/>
      <w:pPr>
        <w:ind w:left="1080" w:hanging="360"/>
      </w:pPr>
      <w:rPr>
        <w:rFonts w:ascii="Symbol" w:hAnsi="Symbol"/>
      </w:rPr>
    </w:lvl>
    <w:lvl w:ilvl="1" w:tplc="36AAAAB2">
      <w:start w:val="1"/>
      <w:numFmt w:val="bullet"/>
      <w:lvlText w:val=""/>
      <w:lvlJc w:val="left"/>
      <w:pPr>
        <w:ind w:left="1080" w:hanging="360"/>
      </w:pPr>
      <w:rPr>
        <w:rFonts w:ascii="Symbol" w:hAnsi="Symbol"/>
      </w:rPr>
    </w:lvl>
    <w:lvl w:ilvl="2" w:tplc="E4FAE3F4">
      <w:start w:val="1"/>
      <w:numFmt w:val="bullet"/>
      <w:lvlText w:val=""/>
      <w:lvlJc w:val="left"/>
      <w:pPr>
        <w:ind w:left="1080" w:hanging="360"/>
      </w:pPr>
      <w:rPr>
        <w:rFonts w:ascii="Symbol" w:hAnsi="Symbol"/>
      </w:rPr>
    </w:lvl>
    <w:lvl w:ilvl="3" w:tplc="BE96F98C">
      <w:start w:val="1"/>
      <w:numFmt w:val="bullet"/>
      <w:lvlText w:val=""/>
      <w:lvlJc w:val="left"/>
      <w:pPr>
        <w:ind w:left="1080" w:hanging="360"/>
      </w:pPr>
      <w:rPr>
        <w:rFonts w:ascii="Symbol" w:hAnsi="Symbol"/>
      </w:rPr>
    </w:lvl>
    <w:lvl w:ilvl="4" w:tplc="F2124EFA">
      <w:start w:val="1"/>
      <w:numFmt w:val="bullet"/>
      <w:lvlText w:val=""/>
      <w:lvlJc w:val="left"/>
      <w:pPr>
        <w:ind w:left="1080" w:hanging="360"/>
      </w:pPr>
      <w:rPr>
        <w:rFonts w:ascii="Symbol" w:hAnsi="Symbol"/>
      </w:rPr>
    </w:lvl>
    <w:lvl w:ilvl="5" w:tplc="6644CE02">
      <w:start w:val="1"/>
      <w:numFmt w:val="bullet"/>
      <w:lvlText w:val=""/>
      <w:lvlJc w:val="left"/>
      <w:pPr>
        <w:ind w:left="1080" w:hanging="360"/>
      </w:pPr>
      <w:rPr>
        <w:rFonts w:ascii="Symbol" w:hAnsi="Symbol"/>
      </w:rPr>
    </w:lvl>
    <w:lvl w:ilvl="6" w:tplc="C05E5884">
      <w:start w:val="1"/>
      <w:numFmt w:val="bullet"/>
      <w:lvlText w:val=""/>
      <w:lvlJc w:val="left"/>
      <w:pPr>
        <w:ind w:left="1080" w:hanging="360"/>
      </w:pPr>
      <w:rPr>
        <w:rFonts w:ascii="Symbol" w:hAnsi="Symbol"/>
      </w:rPr>
    </w:lvl>
    <w:lvl w:ilvl="7" w:tplc="1ED066B4">
      <w:start w:val="1"/>
      <w:numFmt w:val="bullet"/>
      <w:lvlText w:val=""/>
      <w:lvlJc w:val="left"/>
      <w:pPr>
        <w:ind w:left="1080" w:hanging="360"/>
      </w:pPr>
      <w:rPr>
        <w:rFonts w:ascii="Symbol" w:hAnsi="Symbol"/>
      </w:rPr>
    </w:lvl>
    <w:lvl w:ilvl="8" w:tplc="A8A8DA30">
      <w:start w:val="1"/>
      <w:numFmt w:val="bullet"/>
      <w:lvlText w:val=""/>
      <w:lvlJc w:val="left"/>
      <w:pPr>
        <w:ind w:left="1080" w:hanging="360"/>
      </w:pPr>
      <w:rPr>
        <w:rFonts w:ascii="Symbol" w:hAnsi="Symbol"/>
      </w:rPr>
    </w:lvl>
  </w:abstractNum>
  <w:abstractNum w:abstractNumId="47" w15:restartNumberingAfterBreak="0">
    <w:nsid w:val="7E26437C"/>
    <w:multiLevelType w:val="multilevel"/>
    <w:tmpl w:val="1ECA8192"/>
    <w:lvl w:ilvl="0">
      <w:start w:val="1"/>
      <w:numFmt w:val="decimal"/>
      <w:lvlText w:val="%1."/>
      <w:lvlJc w:val="left"/>
      <w:pPr>
        <w:ind w:left="720" w:hanging="360"/>
      </w:pPr>
      <w:rPr>
        <w:rFonts w:hint="default"/>
      </w:rPr>
    </w:lvl>
    <w:lvl w:ilvl="1">
      <w:start w:val="6"/>
      <w:numFmt w:val="decimal"/>
      <w:isLgl/>
      <w:lvlText w:val="%1.%2"/>
      <w:lvlJc w:val="left"/>
      <w:pPr>
        <w:ind w:left="950" w:hanging="59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num w:numId="1" w16cid:durableId="1532109429">
    <w:abstractNumId w:val="10"/>
  </w:num>
  <w:num w:numId="2" w16cid:durableId="156194625">
    <w:abstractNumId w:val="19"/>
  </w:num>
  <w:num w:numId="3" w16cid:durableId="716663038">
    <w:abstractNumId w:val="25"/>
  </w:num>
  <w:num w:numId="4" w16cid:durableId="985008440">
    <w:abstractNumId w:val="13"/>
  </w:num>
  <w:num w:numId="5" w16cid:durableId="1268007006">
    <w:abstractNumId w:val="29"/>
  </w:num>
  <w:num w:numId="6" w16cid:durableId="2113668088">
    <w:abstractNumId w:val="44"/>
  </w:num>
  <w:num w:numId="7" w16cid:durableId="961302264">
    <w:abstractNumId w:val="27"/>
  </w:num>
  <w:num w:numId="8" w16cid:durableId="1819302488">
    <w:abstractNumId w:val="22"/>
  </w:num>
  <w:num w:numId="9" w16cid:durableId="738139497">
    <w:abstractNumId w:val="2"/>
  </w:num>
  <w:num w:numId="10" w16cid:durableId="1794518028">
    <w:abstractNumId w:val="26"/>
  </w:num>
  <w:num w:numId="11" w16cid:durableId="1699504365">
    <w:abstractNumId w:val="23"/>
  </w:num>
  <w:num w:numId="12" w16cid:durableId="787046612">
    <w:abstractNumId w:val="47"/>
  </w:num>
  <w:num w:numId="13" w16cid:durableId="622854533">
    <w:abstractNumId w:val="37"/>
  </w:num>
  <w:num w:numId="14" w16cid:durableId="1509444030">
    <w:abstractNumId w:val="38"/>
  </w:num>
  <w:num w:numId="15" w16cid:durableId="1457874948">
    <w:abstractNumId w:val="18"/>
  </w:num>
  <w:num w:numId="16" w16cid:durableId="675229792">
    <w:abstractNumId w:val="45"/>
  </w:num>
  <w:num w:numId="17" w16cid:durableId="1095052285">
    <w:abstractNumId w:val="24"/>
  </w:num>
  <w:num w:numId="18" w16cid:durableId="868449195">
    <w:abstractNumId w:val="11"/>
  </w:num>
  <w:num w:numId="19" w16cid:durableId="2082872936">
    <w:abstractNumId w:val="21"/>
  </w:num>
  <w:num w:numId="20" w16cid:durableId="174926545">
    <w:abstractNumId w:val="32"/>
  </w:num>
  <w:num w:numId="21" w16cid:durableId="347559079">
    <w:abstractNumId w:val="43"/>
  </w:num>
  <w:num w:numId="22" w16cid:durableId="1023748991">
    <w:abstractNumId w:val="41"/>
  </w:num>
  <w:num w:numId="23" w16cid:durableId="2132549794">
    <w:abstractNumId w:val="9"/>
  </w:num>
  <w:num w:numId="24" w16cid:durableId="238754397">
    <w:abstractNumId w:val="8"/>
  </w:num>
  <w:num w:numId="25" w16cid:durableId="1918244321">
    <w:abstractNumId w:val="7"/>
  </w:num>
  <w:num w:numId="26" w16cid:durableId="553279592">
    <w:abstractNumId w:val="31"/>
  </w:num>
  <w:num w:numId="27" w16cid:durableId="58409470">
    <w:abstractNumId w:val="42"/>
  </w:num>
  <w:num w:numId="28" w16cid:durableId="101847763">
    <w:abstractNumId w:val="36"/>
  </w:num>
  <w:num w:numId="29" w16cid:durableId="566766350">
    <w:abstractNumId w:val="3"/>
  </w:num>
  <w:num w:numId="30" w16cid:durableId="1341544858">
    <w:abstractNumId w:val="16"/>
  </w:num>
  <w:num w:numId="31" w16cid:durableId="1163204797">
    <w:abstractNumId w:val="30"/>
  </w:num>
  <w:num w:numId="32" w16cid:durableId="318458171">
    <w:abstractNumId w:val="14"/>
  </w:num>
  <w:num w:numId="33" w16cid:durableId="461389969">
    <w:abstractNumId w:val="28"/>
  </w:num>
  <w:num w:numId="34" w16cid:durableId="1906797059">
    <w:abstractNumId w:val="39"/>
  </w:num>
  <w:num w:numId="35" w16cid:durableId="1474323390">
    <w:abstractNumId w:val="17"/>
  </w:num>
  <w:num w:numId="36" w16cid:durableId="1644969232">
    <w:abstractNumId w:val="33"/>
  </w:num>
  <w:num w:numId="37" w16cid:durableId="1206913151">
    <w:abstractNumId w:val="20"/>
  </w:num>
  <w:num w:numId="38" w16cid:durableId="1502047232">
    <w:abstractNumId w:val="12"/>
  </w:num>
  <w:num w:numId="39" w16cid:durableId="506024080">
    <w:abstractNumId w:val="15"/>
  </w:num>
  <w:num w:numId="40" w16cid:durableId="1699624605">
    <w:abstractNumId w:val="35"/>
  </w:num>
  <w:num w:numId="41" w16cid:durableId="1599482327">
    <w:abstractNumId w:val="4"/>
  </w:num>
  <w:num w:numId="42" w16cid:durableId="32969136">
    <w:abstractNumId w:val="46"/>
  </w:num>
  <w:num w:numId="43" w16cid:durableId="342515159">
    <w:abstractNumId w:val="34"/>
  </w:num>
  <w:num w:numId="44" w16cid:durableId="122777263">
    <w:abstractNumId w:val="5"/>
  </w:num>
  <w:num w:numId="45" w16cid:durableId="2142308462">
    <w:abstractNumId w:val="6"/>
  </w:num>
  <w:num w:numId="46" w16cid:durableId="1766462177">
    <w:abstractNumId w:val="0"/>
  </w:num>
  <w:num w:numId="47" w16cid:durableId="168523425">
    <w:abstractNumId w:val="40"/>
  </w:num>
  <w:num w:numId="48" w16cid:durableId="546841845">
    <w:abstractNumId w:val="1"/>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James Punch">
    <w15:presenceInfo w15:providerId="AD" w15:userId="S::James.Punch@ibchealthcare.co.uk::9b76cb92-a19a-45b4-8afe-c05c595e7b0d"/>
  </w15:person>
  <w15:person w15:author="Erick Gesure">
    <w15:presenceInfo w15:providerId="AD" w15:userId="S::egesure@worldvision.org::b9d37501-0f87-4aab-bebc-067222b5bbae"/>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256F5"/>
    <w:rsid w:val="0001151B"/>
    <w:rsid w:val="000117FE"/>
    <w:rsid w:val="0002431E"/>
    <w:rsid w:val="00024A8F"/>
    <w:rsid w:val="000265BA"/>
    <w:rsid w:val="00027BFD"/>
    <w:rsid w:val="00027D0E"/>
    <w:rsid w:val="0003069A"/>
    <w:rsid w:val="0003278F"/>
    <w:rsid w:val="00034460"/>
    <w:rsid w:val="00037121"/>
    <w:rsid w:val="00052921"/>
    <w:rsid w:val="0005294F"/>
    <w:rsid w:val="0005790B"/>
    <w:rsid w:val="00071994"/>
    <w:rsid w:val="000723B2"/>
    <w:rsid w:val="000737BD"/>
    <w:rsid w:val="0007454D"/>
    <w:rsid w:val="00080997"/>
    <w:rsid w:val="00087511"/>
    <w:rsid w:val="00087C6B"/>
    <w:rsid w:val="00090D16"/>
    <w:rsid w:val="00095007"/>
    <w:rsid w:val="000A7472"/>
    <w:rsid w:val="000B497C"/>
    <w:rsid w:val="000B6A05"/>
    <w:rsid w:val="000B7DA7"/>
    <w:rsid w:val="000C5DD6"/>
    <w:rsid w:val="000D0770"/>
    <w:rsid w:val="000D3DDE"/>
    <w:rsid w:val="000E2A97"/>
    <w:rsid w:val="000E4438"/>
    <w:rsid w:val="000E545E"/>
    <w:rsid w:val="000F3927"/>
    <w:rsid w:val="000F46BB"/>
    <w:rsid w:val="00100CD6"/>
    <w:rsid w:val="0012301B"/>
    <w:rsid w:val="00124A17"/>
    <w:rsid w:val="00146725"/>
    <w:rsid w:val="001522CD"/>
    <w:rsid w:val="00153E00"/>
    <w:rsid w:val="00163866"/>
    <w:rsid w:val="00163AC3"/>
    <w:rsid w:val="0017321E"/>
    <w:rsid w:val="001762A4"/>
    <w:rsid w:val="00177C96"/>
    <w:rsid w:val="00186131"/>
    <w:rsid w:val="00186B92"/>
    <w:rsid w:val="00194F53"/>
    <w:rsid w:val="001A400F"/>
    <w:rsid w:val="001A6556"/>
    <w:rsid w:val="001B0311"/>
    <w:rsid w:val="001B0668"/>
    <w:rsid w:val="001B4237"/>
    <w:rsid w:val="001B7F5D"/>
    <w:rsid w:val="001C4BFE"/>
    <w:rsid w:val="001C568B"/>
    <w:rsid w:val="001D23FD"/>
    <w:rsid w:val="001D7D09"/>
    <w:rsid w:val="001F7A5B"/>
    <w:rsid w:val="001F7BFE"/>
    <w:rsid w:val="00201495"/>
    <w:rsid w:val="00205D7B"/>
    <w:rsid w:val="0022176C"/>
    <w:rsid w:val="00235F68"/>
    <w:rsid w:val="00240FD0"/>
    <w:rsid w:val="002473BD"/>
    <w:rsid w:val="00251D5D"/>
    <w:rsid w:val="00254816"/>
    <w:rsid w:val="00272D53"/>
    <w:rsid w:val="00274A22"/>
    <w:rsid w:val="0027665D"/>
    <w:rsid w:val="00280EE8"/>
    <w:rsid w:val="00283A33"/>
    <w:rsid w:val="00292C85"/>
    <w:rsid w:val="002949CE"/>
    <w:rsid w:val="00294E93"/>
    <w:rsid w:val="00294F68"/>
    <w:rsid w:val="0029777F"/>
    <w:rsid w:val="002978DA"/>
    <w:rsid w:val="002A0FFB"/>
    <w:rsid w:val="002A1E56"/>
    <w:rsid w:val="002B25DB"/>
    <w:rsid w:val="002C15FF"/>
    <w:rsid w:val="002C68CF"/>
    <w:rsid w:val="002C7F17"/>
    <w:rsid w:val="002D1492"/>
    <w:rsid w:val="002E0E45"/>
    <w:rsid w:val="002E0E6F"/>
    <w:rsid w:val="002E3B6D"/>
    <w:rsid w:val="002E4FB3"/>
    <w:rsid w:val="002F5ED3"/>
    <w:rsid w:val="00306FCB"/>
    <w:rsid w:val="00314E66"/>
    <w:rsid w:val="00323755"/>
    <w:rsid w:val="0032401B"/>
    <w:rsid w:val="00326F66"/>
    <w:rsid w:val="00327809"/>
    <w:rsid w:val="0034177C"/>
    <w:rsid w:val="00343029"/>
    <w:rsid w:val="00351B47"/>
    <w:rsid w:val="00367565"/>
    <w:rsid w:val="00371225"/>
    <w:rsid w:val="00376B38"/>
    <w:rsid w:val="0038241E"/>
    <w:rsid w:val="0038490B"/>
    <w:rsid w:val="003A19C6"/>
    <w:rsid w:val="003B3DDE"/>
    <w:rsid w:val="003C6369"/>
    <w:rsid w:val="003C661D"/>
    <w:rsid w:val="003D79EE"/>
    <w:rsid w:val="003D7AD0"/>
    <w:rsid w:val="003E379E"/>
    <w:rsid w:val="003E60BB"/>
    <w:rsid w:val="003E7CD2"/>
    <w:rsid w:val="003F6C75"/>
    <w:rsid w:val="003F7F75"/>
    <w:rsid w:val="0040113E"/>
    <w:rsid w:val="00401E0A"/>
    <w:rsid w:val="004126E6"/>
    <w:rsid w:val="00412836"/>
    <w:rsid w:val="0041420F"/>
    <w:rsid w:val="004155E3"/>
    <w:rsid w:val="00423ECB"/>
    <w:rsid w:val="00426EEE"/>
    <w:rsid w:val="00427E03"/>
    <w:rsid w:val="00432E54"/>
    <w:rsid w:val="00447C9E"/>
    <w:rsid w:val="00453701"/>
    <w:rsid w:val="0045476E"/>
    <w:rsid w:val="0045522E"/>
    <w:rsid w:val="00456EA8"/>
    <w:rsid w:val="00460351"/>
    <w:rsid w:val="0047047C"/>
    <w:rsid w:val="00470635"/>
    <w:rsid w:val="004732B9"/>
    <w:rsid w:val="004754BC"/>
    <w:rsid w:val="00480948"/>
    <w:rsid w:val="00486D60"/>
    <w:rsid w:val="004A0E96"/>
    <w:rsid w:val="004A2D6B"/>
    <w:rsid w:val="004B4BA8"/>
    <w:rsid w:val="004B5571"/>
    <w:rsid w:val="004B5EDF"/>
    <w:rsid w:val="004C36BF"/>
    <w:rsid w:val="004C74C9"/>
    <w:rsid w:val="004D007E"/>
    <w:rsid w:val="004D430A"/>
    <w:rsid w:val="004D6B06"/>
    <w:rsid w:val="004D775F"/>
    <w:rsid w:val="004E01D5"/>
    <w:rsid w:val="004E3DB5"/>
    <w:rsid w:val="004E40E3"/>
    <w:rsid w:val="004F532A"/>
    <w:rsid w:val="004F797E"/>
    <w:rsid w:val="005113E4"/>
    <w:rsid w:val="005124FB"/>
    <w:rsid w:val="00520EC4"/>
    <w:rsid w:val="0052299B"/>
    <w:rsid w:val="00526681"/>
    <w:rsid w:val="00532A12"/>
    <w:rsid w:val="00533E6E"/>
    <w:rsid w:val="00534940"/>
    <w:rsid w:val="005356B7"/>
    <w:rsid w:val="0054173D"/>
    <w:rsid w:val="00545817"/>
    <w:rsid w:val="005503F9"/>
    <w:rsid w:val="00552F0E"/>
    <w:rsid w:val="005530E8"/>
    <w:rsid w:val="00553C0E"/>
    <w:rsid w:val="00557F3E"/>
    <w:rsid w:val="00580BB8"/>
    <w:rsid w:val="00583637"/>
    <w:rsid w:val="00583ACD"/>
    <w:rsid w:val="00583D9A"/>
    <w:rsid w:val="005941E9"/>
    <w:rsid w:val="005A62F0"/>
    <w:rsid w:val="005B6242"/>
    <w:rsid w:val="005C3500"/>
    <w:rsid w:val="005C60E7"/>
    <w:rsid w:val="005C6CFA"/>
    <w:rsid w:val="005D444B"/>
    <w:rsid w:val="005E5B7D"/>
    <w:rsid w:val="005F5A95"/>
    <w:rsid w:val="005F704D"/>
    <w:rsid w:val="005F7CF1"/>
    <w:rsid w:val="006042E0"/>
    <w:rsid w:val="00633B9E"/>
    <w:rsid w:val="00637222"/>
    <w:rsid w:val="00643A24"/>
    <w:rsid w:val="006442A6"/>
    <w:rsid w:val="006459F6"/>
    <w:rsid w:val="00646A2C"/>
    <w:rsid w:val="00652ACB"/>
    <w:rsid w:val="00656516"/>
    <w:rsid w:val="006644F7"/>
    <w:rsid w:val="00671EF2"/>
    <w:rsid w:val="00681E22"/>
    <w:rsid w:val="006830F7"/>
    <w:rsid w:val="00683ACC"/>
    <w:rsid w:val="00684A88"/>
    <w:rsid w:val="00685EC3"/>
    <w:rsid w:val="00691390"/>
    <w:rsid w:val="006A2E18"/>
    <w:rsid w:val="006A3B13"/>
    <w:rsid w:val="006A7618"/>
    <w:rsid w:val="006B773D"/>
    <w:rsid w:val="006C7DDE"/>
    <w:rsid w:val="006D0FC6"/>
    <w:rsid w:val="006D234D"/>
    <w:rsid w:val="006D2D82"/>
    <w:rsid w:val="006D3017"/>
    <w:rsid w:val="006D3629"/>
    <w:rsid w:val="006D44E7"/>
    <w:rsid w:val="006D4676"/>
    <w:rsid w:val="006D548D"/>
    <w:rsid w:val="006E42E9"/>
    <w:rsid w:val="006E76C0"/>
    <w:rsid w:val="006F2399"/>
    <w:rsid w:val="006F425E"/>
    <w:rsid w:val="006F7195"/>
    <w:rsid w:val="00704CE2"/>
    <w:rsid w:val="0071103B"/>
    <w:rsid w:val="00711AD0"/>
    <w:rsid w:val="007135D0"/>
    <w:rsid w:val="00714578"/>
    <w:rsid w:val="007203BA"/>
    <w:rsid w:val="007233AC"/>
    <w:rsid w:val="00723FEC"/>
    <w:rsid w:val="00731798"/>
    <w:rsid w:val="007354D5"/>
    <w:rsid w:val="00737F1C"/>
    <w:rsid w:val="007443B0"/>
    <w:rsid w:val="00745C61"/>
    <w:rsid w:val="007525AD"/>
    <w:rsid w:val="00752928"/>
    <w:rsid w:val="00753B38"/>
    <w:rsid w:val="00757CA8"/>
    <w:rsid w:val="007608B5"/>
    <w:rsid w:val="00766836"/>
    <w:rsid w:val="0077024C"/>
    <w:rsid w:val="007707C5"/>
    <w:rsid w:val="007709B6"/>
    <w:rsid w:val="007710F6"/>
    <w:rsid w:val="00777E00"/>
    <w:rsid w:val="0078061D"/>
    <w:rsid w:val="00782B24"/>
    <w:rsid w:val="00786D67"/>
    <w:rsid w:val="00796DD6"/>
    <w:rsid w:val="007B187D"/>
    <w:rsid w:val="007B4F6C"/>
    <w:rsid w:val="007B7006"/>
    <w:rsid w:val="007C0170"/>
    <w:rsid w:val="007D3372"/>
    <w:rsid w:val="007D3B60"/>
    <w:rsid w:val="007D4788"/>
    <w:rsid w:val="007D66D9"/>
    <w:rsid w:val="007D6AD7"/>
    <w:rsid w:val="007D6CC1"/>
    <w:rsid w:val="007D7FD2"/>
    <w:rsid w:val="007E319C"/>
    <w:rsid w:val="007E333F"/>
    <w:rsid w:val="007E5C0D"/>
    <w:rsid w:val="007F4206"/>
    <w:rsid w:val="007F6013"/>
    <w:rsid w:val="007F74C8"/>
    <w:rsid w:val="007F7523"/>
    <w:rsid w:val="00806BB2"/>
    <w:rsid w:val="008237C2"/>
    <w:rsid w:val="00824DBF"/>
    <w:rsid w:val="00830068"/>
    <w:rsid w:val="00831678"/>
    <w:rsid w:val="00833AED"/>
    <w:rsid w:val="00834F12"/>
    <w:rsid w:val="00835AF0"/>
    <w:rsid w:val="00835F96"/>
    <w:rsid w:val="00835FB9"/>
    <w:rsid w:val="00837439"/>
    <w:rsid w:val="0084237A"/>
    <w:rsid w:val="00844B88"/>
    <w:rsid w:val="0085038B"/>
    <w:rsid w:val="00854BDF"/>
    <w:rsid w:val="00867D63"/>
    <w:rsid w:val="008712D7"/>
    <w:rsid w:val="00894F0D"/>
    <w:rsid w:val="008A2ACA"/>
    <w:rsid w:val="008A3D9A"/>
    <w:rsid w:val="008A5815"/>
    <w:rsid w:val="008C001F"/>
    <w:rsid w:val="008C18C2"/>
    <w:rsid w:val="008E2E53"/>
    <w:rsid w:val="008E7707"/>
    <w:rsid w:val="008E7DBB"/>
    <w:rsid w:val="008F0015"/>
    <w:rsid w:val="008F3420"/>
    <w:rsid w:val="008F5A65"/>
    <w:rsid w:val="00907C9C"/>
    <w:rsid w:val="00925A36"/>
    <w:rsid w:val="00930FD9"/>
    <w:rsid w:val="00931A28"/>
    <w:rsid w:val="0093762A"/>
    <w:rsid w:val="009543FD"/>
    <w:rsid w:val="00955D9B"/>
    <w:rsid w:val="00961168"/>
    <w:rsid w:val="00961B2F"/>
    <w:rsid w:val="00965570"/>
    <w:rsid w:val="009729B4"/>
    <w:rsid w:val="00973A93"/>
    <w:rsid w:val="00977E08"/>
    <w:rsid w:val="00982292"/>
    <w:rsid w:val="0098554C"/>
    <w:rsid w:val="009914A7"/>
    <w:rsid w:val="00992B4B"/>
    <w:rsid w:val="0099333E"/>
    <w:rsid w:val="0099416E"/>
    <w:rsid w:val="009B1109"/>
    <w:rsid w:val="009B5AEC"/>
    <w:rsid w:val="009B5C28"/>
    <w:rsid w:val="009B63B2"/>
    <w:rsid w:val="009B7AB3"/>
    <w:rsid w:val="009D2118"/>
    <w:rsid w:val="009D48CD"/>
    <w:rsid w:val="009D7030"/>
    <w:rsid w:val="009E3379"/>
    <w:rsid w:val="009F2BD0"/>
    <w:rsid w:val="009F37C4"/>
    <w:rsid w:val="009F5498"/>
    <w:rsid w:val="009F54DC"/>
    <w:rsid w:val="009F5E04"/>
    <w:rsid w:val="009F6EBD"/>
    <w:rsid w:val="009F7822"/>
    <w:rsid w:val="00A00587"/>
    <w:rsid w:val="00A0588C"/>
    <w:rsid w:val="00A10A8B"/>
    <w:rsid w:val="00A13A05"/>
    <w:rsid w:val="00A14091"/>
    <w:rsid w:val="00A1414D"/>
    <w:rsid w:val="00A177E8"/>
    <w:rsid w:val="00A24247"/>
    <w:rsid w:val="00A256F5"/>
    <w:rsid w:val="00A25E6A"/>
    <w:rsid w:val="00A34964"/>
    <w:rsid w:val="00A3749A"/>
    <w:rsid w:val="00A37F6C"/>
    <w:rsid w:val="00A50FF9"/>
    <w:rsid w:val="00A53C9C"/>
    <w:rsid w:val="00A55953"/>
    <w:rsid w:val="00A56614"/>
    <w:rsid w:val="00A63EB8"/>
    <w:rsid w:val="00A65075"/>
    <w:rsid w:val="00A65A7C"/>
    <w:rsid w:val="00A66349"/>
    <w:rsid w:val="00A67067"/>
    <w:rsid w:val="00A733A2"/>
    <w:rsid w:val="00A810A1"/>
    <w:rsid w:val="00A81687"/>
    <w:rsid w:val="00A901B8"/>
    <w:rsid w:val="00A9245D"/>
    <w:rsid w:val="00A94902"/>
    <w:rsid w:val="00AA126B"/>
    <w:rsid w:val="00AA1F95"/>
    <w:rsid w:val="00AB48E8"/>
    <w:rsid w:val="00AC022A"/>
    <w:rsid w:val="00AC4AAE"/>
    <w:rsid w:val="00AD0D45"/>
    <w:rsid w:val="00AD427A"/>
    <w:rsid w:val="00AD4AB8"/>
    <w:rsid w:val="00AE3506"/>
    <w:rsid w:val="00AE43D4"/>
    <w:rsid w:val="00AF0CC3"/>
    <w:rsid w:val="00B00855"/>
    <w:rsid w:val="00B010CE"/>
    <w:rsid w:val="00B01EC4"/>
    <w:rsid w:val="00B030A6"/>
    <w:rsid w:val="00B070A0"/>
    <w:rsid w:val="00B2574E"/>
    <w:rsid w:val="00B33C08"/>
    <w:rsid w:val="00B4209D"/>
    <w:rsid w:val="00B448E6"/>
    <w:rsid w:val="00B512B7"/>
    <w:rsid w:val="00B542B2"/>
    <w:rsid w:val="00B576FA"/>
    <w:rsid w:val="00B65436"/>
    <w:rsid w:val="00B709BF"/>
    <w:rsid w:val="00B75953"/>
    <w:rsid w:val="00B77B7F"/>
    <w:rsid w:val="00B82286"/>
    <w:rsid w:val="00B848AB"/>
    <w:rsid w:val="00B94F6F"/>
    <w:rsid w:val="00BB1AE6"/>
    <w:rsid w:val="00BB7F98"/>
    <w:rsid w:val="00BC67C2"/>
    <w:rsid w:val="00BD1945"/>
    <w:rsid w:val="00BD4AAC"/>
    <w:rsid w:val="00BD66CE"/>
    <w:rsid w:val="00BD66D1"/>
    <w:rsid w:val="00BD793C"/>
    <w:rsid w:val="00BE074C"/>
    <w:rsid w:val="00BE29F5"/>
    <w:rsid w:val="00BE2EBF"/>
    <w:rsid w:val="00BF2261"/>
    <w:rsid w:val="00BF60D5"/>
    <w:rsid w:val="00C025A0"/>
    <w:rsid w:val="00C103EE"/>
    <w:rsid w:val="00C132E0"/>
    <w:rsid w:val="00C161CB"/>
    <w:rsid w:val="00C2308B"/>
    <w:rsid w:val="00C302FD"/>
    <w:rsid w:val="00C316F2"/>
    <w:rsid w:val="00C31FC3"/>
    <w:rsid w:val="00C42F72"/>
    <w:rsid w:val="00C47A40"/>
    <w:rsid w:val="00C52606"/>
    <w:rsid w:val="00C53AE0"/>
    <w:rsid w:val="00C55D93"/>
    <w:rsid w:val="00C67413"/>
    <w:rsid w:val="00C7100C"/>
    <w:rsid w:val="00C75A02"/>
    <w:rsid w:val="00C76496"/>
    <w:rsid w:val="00C85F0C"/>
    <w:rsid w:val="00C9150A"/>
    <w:rsid w:val="00C937A9"/>
    <w:rsid w:val="00C951ED"/>
    <w:rsid w:val="00CA45CD"/>
    <w:rsid w:val="00CB3C1D"/>
    <w:rsid w:val="00CB79D9"/>
    <w:rsid w:val="00CC1C26"/>
    <w:rsid w:val="00CC40D2"/>
    <w:rsid w:val="00CD19ED"/>
    <w:rsid w:val="00CE615A"/>
    <w:rsid w:val="00CF008D"/>
    <w:rsid w:val="00CF0149"/>
    <w:rsid w:val="00CF2FB7"/>
    <w:rsid w:val="00D01969"/>
    <w:rsid w:val="00D032D3"/>
    <w:rsid w:val="00D0373A"/>
    <w:rsid w:val="00D10E6C"/>
    <w:rsid w:val="00D11936"/>
    <w:rsid w:val="00D12AEF"/>
    <w:rsid w:val="00D15D9C"/>
    <w:rsid w:val="00D20451"/>
    <w:rsid w:val="00D21B5B"/>
    <w:rsid w:val="00D21E27"/>
    <w:rsid w:val="00D242C9"/>
    <w:rsid w:val="00D40148"/>
    <w:rsid w:val="00D4362E"/>
    <w:rsid w:val="00D43B59"/>
    <w:rsid w:val="00D44F7F"/>
    <w:rsid w:val="00D51653"/>
    <w:rsid w:val="00D53734"/>
    <w:rsid w:val="00D53905"/>
    <w:rsid w:val="00D56147"/>
    <w:rsid w:val="00D57E5E"/>
    <w:rsid w:val="00D63C6D"/>
    <w:rsid w:val="00D650DE"/>
    <w:rsid w:val="00D74B68"/>
    <w:rsid w:val="00D757DE"/>
    <w:rsid w:val="00D86CA6"/>
    <w:rsid w:val="00D87A98"/>
    <w:rsid w:val="00D90EC4"/>
    <w:rsid w:val="00D91533"/>
    <w:rsid w:val="00D93353"/>
    <w:rsid w:val="00D96308"/>
    <w:rsid w:val="00DA33CB"/>
    <w:rsid w:val="00DA6B40"/>
    <w:rsid w:val="00DB3A10"/>
    <w:rsid w:val="00DB7086"/>
    <w:rsid w:val="00DC04AB"/>
    <w:rsid w:val="00DD4989"/>
    <w:rsid w:val="00DD71CE"/>
    <w:rsid w:val="00DF66C5"/>
    <w:rsid w:val="00E06022"/>
    <w:rsid w:val="00E2044C"/>
    <w:rsid w:val="00E23696"/>
    <w:rsid w:val="00E25A07"/>
    <w:rsid w:val="00E51251"/>
    <w:rsid w:val="00E5253E"/>
    <w:rsid w:val="00E540A8"/>
    <w:rsid w:val="00E54F83"/>
    <w:rsid w:val="00E558B0"/>
    <w:rsid w:val="00E647B4"/>
    <w:rsid w:val="00E677E7"/>
    <w:rsid w:val="00E70112"/>
    <w:rsid w:val="00E74E03"/>
    <w:rsid w:val="00E76A43"/>
    <w:rsid w:val="00E80444"/>
    <w:rsid w:val="00E8403F"/>
    <w:rsid w:val="00E97391"/>
    <w:rsid w:val="00EA7568"/>
    <w:rsid w:val="00EA78BF"/>
    <w:rsid w:val="00EB010F"/>
    <w:rsid w:val="00EB2A27"/>
    <w:rsid w:val="00EB476E"/>
    <w:rsid w:val="00EC34E4"/>
    <w:rsid w:val="00EC3FA3"/>
    <w:rsid w:val="00EC4E43"/>
    <w:rsid w:val="00EC6A79"/>
    <w:rsid w:val="00EC735C"/>
    <w:rsid w:val="00EC79A3"/>
    <w:rsid w:val="00ED4DB4"/>
    <w:rsid w:val="00ED68A7"/>
    <w:rsid w:val="00EE4780"/>
    <w:rsid w:val="00EF52CB"/>
    <w:rsid w:val="00EF55AD"/>
    <w:rsid w:val="00EF62B2"/>
    <w:rsid w:val="00EF79E2"/>
    <w:rsid w:val="00F0682D"/>
    <w:rsid w:val="00F0735B"/>
    <w:rsid w:val="00F224EC"/>
    <w:rsid w:val="00F23734"/>
    <w:rsid w:val="00F24366"/>
    <w:rsid w:val="00F24F41"/>
    <w:rsid w:val="00F41C82"/>
    <w:rsid w:val="00F434B6"/>
    <w:rsid w:val="00F46CDD"/>
    <w:rsid w:val="00F55216"/>
    <w:rsid w:val="00F578AB"/>
    <w:rsid w:val="00F7553F"/>
    <w:rsid w:val="00F866DB"/>
    <w:rsid w:val="00F93734"/>
    <w:rsid w:val="00F93E29"/>
    <w:rsid w:val="00FA62E6"/>
    <w:rsid w:val="00FB09A5"/>
    <w:rsid w:val="00FB29BC"/>
    <w:rsid w:val="00FB2FE9"/>
    <w:rsid w:val="00FB324D"/>
    <w:rsid w:val="00FB53CF"/>
    <w:rsid w:val="00FB63E2"/>
    <w:rsid w:val="00FB78A0"/>
    <w:rsid w:val="00FC14AE"/>
    <w:rsid w:val="00FD345C"/>
    <w:rsid w:val="00FD36B7"/>
    <w:rsid w:val="00FD56C9"/>
    <w:rsid w:val="00FD6088"/>
    <w:rsid w:val="00FD78EB"/>
    <w:rsid w:val="00FE00C5"/>
    <w:rsid w:val="00FE1D1C"/>
    <w:rsid w:val="00FE3038"/>
    <w:rsid w:val="00FE4EB5"/>
    <w:rsid w:val="00FE5ABD"/>
    <w:rsid w:val="00FF3E3C"/>
    <w:rsid w:val="00FF6943"/>
    <w:rsid w:val="00FF785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A9CD699"/>
  <w15:chartTrackingRefBased/>
  <w15:docId w15:val="{5CC240DB-31B2-4211-B0DF-F58273BA477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757DE"/>
  </w:style>
  <w:style w:type="paragraph" w:styleId="Heading1">
    <w:name w:val="heading 1"/>
    <w:basedOn w:val="Normal"/>
    <w:next w:val="Normal"/>
    <w:link w:val="Heading1Char"/>
    <w:uiPriority w:val="9"/>
    <w:qFormat/>
    <w:rsid w:val="00A10A8B"/>
    <w:pPr>
      <w:keepNext/>
      <w:keepLines/>
      <w:numPr>
        <w:numId w:val="48"/>
      </w:numPr>
      <w:spacing w:before="360" w:after="80"/>
      <w:outlineLvl w:val="0"/>
    </w:pPr>
    <w:rPr>
      <w:rFonts w:ascii="Times New Roman" w:eastAsiaTheme="majorEastAsia" w:hAnsi="Times New Roman" w:cstheme="majorBidi"/>
      <w:b/>
      <w:caps/>
      <w:color w:val="0F4761" w:themeColor="accent1" w:themeShade="BF"/>
      <w:szCs w:val="40"/>
    </w:rPr>
  </w:style>
  <w:style w:type="paragraph" w:styleId="Heading2">
    <w:name w:val="heading 2"/>
    <w:basedOn w:val="Normal"/>
    <w:next w:val="Normal"/>
    <w:link w:val="Heading2Char"/>
    <w:uiPriority w:val="9"/>
    <w:unhideWhenUsed/>
    <w:qFormat/>
    <w:rsid w:val="00B75953"/>
    <w:pPr>
      <w:keepNext/>
      <w:keepLines/>
      <w:numPr>
        <w:ilvl w:val="1"/>
        <w:numId w:val="48"/>
      </w:numPr>
      <w:spacing w:before="160" w:after="80"/>
      <w:outlineLvl w:val="1"/>
    </w:pPr>
    <w:rPr>
      <w:rFonts w:ascii="Times New Roman" w:eastAsiaTheme="majorEastAsia" w:hAnsi="Times New Roman" w:cstheme="majorBidi"/>
      <w:b/>
      <w:color w:val="0F4761" w:themeColor="accent1" w:themeShade="BF"/>
      <w:szCs w:val="32"/>
    </w:rPr>
  </w:style>
  <w:style w:type="paragraph" w:styleId="Heading3">
    <w:name w:val="heading 3"/>
    <w:basedOn w:val="Normal"/>
    <w:next w:val="Normal"/>
    <w:link w:val="Heading3Char"/>
    <w:uiPriority w:val="9"/>
    <w:unhideWhenUsed/>
    <w:qFormat/>
    <w:rsid w:val="00B75953"/>
    <w:pPr>
      <w:keepNext/>
      <w:keepLines/>
      <w:numPr>
        <w:ilvl w:val="2"/>
        <w:numId w:val="48"/>
      </w:numPr>
      <w:spacing w:before="160" w:after="80"/>
      <w:outlineLvl w:val="2"/>
    </w:pPr>
    <w:rPr>
      <w:rFonts w:ascii="Times New Roman" w:eastAsiaTheme="majorEastAsia" w:hAnsi="Times New Roman" w:cstheme="majorBidi"/>
      <w:b/>
      <w:color w:val="0F4761" w:themeColor="accent1" w:themeShade="BF"/>
      <w:szCs w:val="28"/>
    </w:rPr>
  </w:style>
  <w:style w:type="paragraph" w:styleId="Heading4">
    <w:name w:val="heading 4"/>
    <w:basedOn w:val="Normal"/>
    <w:next w:val="Normal"/>
    <w:link w:val="Heading4Char"/>
    <w:uiPriority w:val="9"/>
    <w:unhideWhenUsed/>
    <w:qFormat/>
    <w:rsid w:val="00B75953"/>
    <w:pPr>
      <w:keepNext/>
      <w:keepLines/>
      <w:numPr>
        <w:ilvl w:val="3"/>
        <w:numId w:val="48"/>
      </w:numPr>
      <w:spacing w:before="80" w:after="40"/>
      <w:outlineLvl w:val="3"/>
    </w:pPr>
    <w:rPr>
      <w:rFonts w:ascii="Times New Roman" w:eastAsiaTheme="majorEastAsia" w:hAnsi="Times New Roman" w:cstheme="majorBidi"/>
      <w:b/>
      <w:iCs/>
      <w:color w:val="0F4761" w:themeColor="accent1" w:themeShade="BF"/>
    </w:rPr>
  </w:style>
  <w:style w:type="paragraph" w:styleId="Heading5">
    <w:name w:val="heading 5"/>
    <w:basedOn w:val="Normal"/>
    <w:next w:val="Normal"/>
    <w:link w:val="Heading5Char"/>
    <w:uiPriority w:val="9"/>
    <w:semiHidden/>
    <w:unhideWhenUsed/>
    <w:qFormat/>
    <w:rsid w:val="00B75953"/>
    <w:pPr>
      <w:keepNext/>
      <w:keepLines/>
      <w:numPr>
        <w:ilvl w:val="4"/>
        <w:numId w:val="48"/>
      </w:numPr>
      <w:spacing w:before="80" w:after="40"/>
      <w:outlineLvl w:val="4"/>
    </w:pPr>
    <w:rPr>
      <w:rFonts w:ascii="Times New Roman" w:eastAsiaTheme="majorEastAsia" w:hAnsi="Times New Roman" w:cstheme="majorBidi"/>
      <w:b/>
      <w:color w:val="0F4761" w:themeColor="accent1" w:themeShade="BF"/>
    </w:rPr>
  </w:style>
  <w:style w:type="paragraph" w:styleId="Heading6">
    <w:name w:val="heading 6"/>
    <w:basedOn w:val="Normal"/>
    <w:next w:val="Normal"/>
    <w:link w:val="Heading6Char"/>
    <w:uiPriority w:val="9"/>
    <w:semiHidden/>
    <w:unhideWhenUsed/>
    <w:qFormat/>
    <w:rsid w:val="00A256F5"/>
    <w:pPr>
      <w:keepNext/>
      <w:keepLines/>
      <w:numPr>
        <w:ilvl w:val="5"/>
        <w:numId w:val="48"/>
      </w:numPr>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A256F5"/>
    <w:pPr>
      <w:keepNext/>
      <w:keepLines/>
      <w:numPr>
        <w:ilvl w:val="6"/>
        <w:numId w:val="48"/>
      </w:numPr>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A256F5"/>
    <w:pPr>
      <w:keepNext/>
      <w:keepLines/>
      <w:numPr>
        <w:ilvl w:val="7"/>
        <w:numId w:val="48"/>
      </w:numPr>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A256F5"/>
    <w:pPr>
      <w:keepNext/>
      <w:keepLines/>
      <w:numPr>
        <w:ilvl w:val="8"/>
        <w:numId w:val="48"/>
      </w:numPr>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10A8B"/>
    <w:rPr>
      <w:rFonts w:ascii="Times New Roman" w:eastAsiaTheme="majorEastAsia" w:hAnsi="Times New Roman" w:cstheme="majorBidi"/>
      <w:b/>
      <w:caps/>
      <w:color w:val="0F4761" w:themeColor="accent1" w:themeShade="BF"/>
      <w:szCs w:val="40"/>
    </w:rPr>
  </w:style>
  <w:style w:type="character" w:customStyle="1" w:styleId="Heading2Char">
    <w:name w:val="Heading 2 Char"/>
    <w:basedOn w:val="DefaultParagraphFont"/>
    <w:link w:val="Heading2"/>
    <w:uiPriority w:val="9"/>
    <w:rsid w:val="00B75953"/>
    <w:rPr>
      <w:rFonts w:ascii="Times New Roman" w:eastAsiaTheme="majorEastAsia" w:hAnsi="Times New Roman" w:cstheme="majorBidi"/>
      <w:b/>
      <w:color w:val="0F4761" w:themeColor="accent1" w:themeShade="BF"/>
      <w:szCs w:val="32"/>
    </w:rPr>
  </w:style>
  <w:style w:type="character" w:customStyle="1" w:styleId="Heading3Char">
    <w:name w:val="Heading 3 Char"/>
    <w:basedOn w:val="DefaultParagraphFont"/>
    <w:link w:val="Heading3"/>
    <w:uiPriority w:val="9"/>
    <w:rsid w:val="00B75953"/>
    <w:rPr>
      <w:rFonts w:ascii="Times New Roman" w:eastAsiaTheme="majorEastAsia" w:hAnsi="Times New Roman" w:cstheme="majorBidi"/>
      <w:b/>
      <w:color w:val="0F4761" w:themeColor="accent1" w:themeShade="BF"/>
      <w:szCs w:val="28"/>
    </w:rPr>
  </w:style>
  <w:style w:type="character" w:customStyle="1" w:styleId="Heading4Char">
    <w:name w:val="Heading 4 Char"/>
    <w:basedOn w:val="DefaultParagraphFont"/>
    <w:link w:val="Heading4"/>
    <w:uiPriority w:val="9"/>
    <w:rsid w:val="00B75953"/>
    <w:rPr>
      <w:rFonts w:ascii="Times New Roman" w:eastAsiaTheme="majorEastAsia" w:hAnsi="Times New Roman" w:cstheme="majorBidi"/>
      <w:b/>
      <w:iCs/>
      <w:color w:val="0F4761" w:themeColor="accent1" w:themeShade="BF"/>
    </w:rPr>
  </w:style>
  <w:style w:type="character" w:customStyle="1" w:styleId="Heading5Char">
    <w:name w:val="Heading 5 Char"/>
    <w:basedOn w:val="DefaultParagraphFont"/>
    <w:link w:val="Heading5"/>
    <w:uiPriority w:val="9"/>
    <w:semiHidden/>
    <w:rsid w:val="00B75953"/>
    <w:rPr>
      <w:rFonts w:ascii="Times New Roman" w:eastAsiaTheme="majorEastAsia" w:hAnsi="Times New Roman" w:cstheme="majorBidi"/>
      <w:b/>
      <w:color w:val="0F4761" w:themeColor="accent1" w:themeShade="BF"/>
    </w:rPr>
  </w:style>
  <w:style w:type="character" w:customStyle="1" w:styleId="Heading6Char">
    <w:name w:val="Heading 6 Char"/>
    <w:basedOn w:val="DefaultParagraphFont"/>
    <w:link w:val="Heading6"/>
    <w:uiPriority w:val="9"/>
    <w:semiHidden/>
    <w:rsid w:val="00A256F5"/>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A256F5"/>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A256F5"/>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A256F5"/>
    <w:rPr>
      <w:rFonts w:eastAsiaTheme="majorEastAsia" w:cstheme="majorBidi"/>
      <w:color w:val="272727" w:themeColor="text1" w:themeTint="D8"/>
    </w:rPr>
  </w:style>
  <w:style w:type="paragraph" w:styleId="Title">
    <w:name w:val="Title"/>
    <w:basedOn w:val="Normal"/>
    <w:next w:val="Normal"/>
    <w:link w:val="TitleChar"/>
    <w:uiPriority w:val="10"/>
    <w:qFormat/>
    <w:rsid w:val="00A256F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256F5"/>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A256F5"/>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A256F5"/>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A256F5"/>
    <w:pPr>
      <w:spacing w:before="160"/>
      <w:jc w:val="center"/>
    </w:pPr>
    <w:rPr>
      <w:i/>
      <w:iCs/>
      <w:color w:val="404040" w:themeColor="text1" w:themeTint="BF"/>
    </w:rPr>
  </w:style>
  <w:style w:type="character" w:customStyle="1" w:styleId="QuoteChar">
    <w:name w:val="Quote Char"/>
    <w:basedOn w:val="DefaultParagraphFont"/>
    <w:link w:val="Quote"/>
    <w:uiPriority w:val="29"/>
    <w:rsid w:val="00A256F5"/>
    <w:rPr>
      <w:i/>
      <w:iCs/>
      <w:color w:val="404040" w:themeColor="text1" w:themeTint="BF"/>
    </w:rPr>
  </w:style>
  <w:style w:type="paragraph" w:styleId="ListParagraph">
    <w:name w:val="List Paragraph"/>
    <w:basedOn w:val="Normal"/>
    <w:uiPriority w:val="34"/>
    <w:qFormat/>
    <w:rsid w:val="00A256F5"/>
    <w:pPr>
      <w:ind w:left="720"/>
      <w:contextualSpacing/>
    </w:pPr>
  </w:style>
  <w:style w:type="character" w:styleId="IntenseEmphasis">
    <w:name w:val="Intense Emphasis"/>
    <w:basedOn w:val="DefaultParagraphFont"/>
    <w:uiPriority w:val="21"/>
    <w:qFormat/>
    <w:rsid w:val="00A256F5"/>
    <w:rPr>
      <w:i/>
      <w:iCs/>
      <w:color w:val="0F4761" w:themeColor="accent1" w:themeShade="BF"/>
    </w:rPr>
  </w:style>
  <w:style w:type="paragraph" w:styleId="IntenseQuote">
    <w:name w:val="Intense Quote"/>
    <w:basedOn w:val="Normal"/>
    <w:next w:val="Normal"/>
    <w:link w:val="IntenseQuoteChar"/>
    <w:uiPriority w:val="30"/>
    <w:qFormat/>
    <w:rsid w:val="00A256F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A256F5"/>
    <w:rPr>
      <w:i/>
      <w:iCs/>
      <w:color w:val="0F4761" w:themeColor="accent1" w:themeShade="BF"/>
    </w:rPr>
  </w:style>
  <w:style w:type="character" w:styleId="IntenseReference">
    <w:name w:val="Intense Reference"/>
    <w:basedOn w:val="DefaultParagraphFont"/>
    <w:uiPriority w:val="32"/>
    <w:qFormat/>
    <w:rsid w:val="00A256F5"/>
    <w:rPr>
      <w:b/>
      <w:bCs/>
      <w:smallCaps/>
      <w:color w:val="0F4761" w:themeColor="accent1" w:themeShade="BF"/>
      <w:spacing w:val="5"/>
    </w:rPr>
  </w:style>
  <w:style w:type="paragraph" w:styleId="TOCHeading">
    <w:name w:val="TOC Heading"/>
    <w:basedOn w:val="Heading1"/>
    <w:next w:val="Normal"/>
    <w:link w:val="TOCHeadingChar"/>
    <w:uiPriority w:val="39"/>
    <w:unhideWhenUsed/>
    <w:qFormat/>
    <w:rsid w:val="004D007E"/>
    <w:pPr>
      <w:spacing w:before="240" w:after="0" w:line="259" w:lineRule="auto"/>
      <w:outlineLvl w:val="9"/>
    </w:pPr>
    <w:rPr>
      <w:kern w:val="0"/>
      <w:sz w:val="32"/>
      <w:szCs w:val="32"/>
      <w14:ligatures w14:val="none"/>
    </w:rPr>
  </w:style>
  <w:style w:type="paragraph" w:styleId="TOC1">
    <w:name w:val="toc 1"/>
    <w:basedOn w:val="Normal"/>
    <w:next w:val="Normal"/>
    <w:autoRedefine/>
    <w:uiPriority w:val="39"/>
    <w:unhideWhenUsed/>
    <w:rsid w:val="004D007E"/>
    <w:pPr>
      <w:spacing w:after="100"/>
    </w:pPr>
  </w:style>
  <w:style w:type="paragraph" w:styleId="TOC2">
    <w:name w:val="toc 2"/>
    <w:basedOn w:val="Normal"/>
    <w:next w:val="Normal"/>
    <w:autoRedefine/>
    <w:uiPriority w:val="39"/>
    <w:unhideWhenUsed/>
    <w:rsid w:val="004D007E"/>
    <w:pPr>
      <w:spacing w:after="100"/>
      <w:ind w:left="240"/>
    </w:pPr>
  </w:style>
  <w:style w:type="paragraph" w:styleId="TOC3">
    <w:name w:val="toc 3"/>
    <w:basedOn w:val="Normal"/>
    <w:next w:val="Normal"/>
    <w:autoRedefine/>
    <w:uiPriority w:val="39"/>
    <w:unhideWhenUsed/>
    <w:rsid w:val="004D007E"/>
    <w:pPr>
      <w:spacing w:after="100"/>
      <w:ind w:left="480"/>
    </w:pPr>
  </w:style>
  <w:style w:type="character" w:styleId="Hyperlink">
    <w:name w:val="Hyperlink"/>
    <w:basedOn w:val="DefaultParagraphFont"/>
    <w:uiPriority w:val="99"/>
    <w:unhideWhenUsed/>
    <w:rsid w:val="004D007E"/>
    <w:rPr>
      <w:color w:val="467886" w:themeColor="hyperlink"/>
      <w:u w:val="single"/>
    </w:rPr>
  </w:style>
  <w:style w:type="paragraph" w:styleId="Header">
    <w:name w:val="header"/>
    <w:basedOn w:val="Normal"/>
    <w:link w:val="HeaderChar"/>
    <w:uiPriority w:val="99"/>
    <w:unhideWhenUsed/>
    <w:rsid w:val="00FF6943"/>
    <w:pPr>
      <w:tabs>
        <w:tab w:val="center" w:pos="4680"/>
        <w:tab w:val="right" w:pos="9360"/>
      </w:tabs>
      <w:spacing w:after="0" w:line="240" w:lineRule="auto"/>
    </w:pPr>
  </w:style>
  <w:style w:type="character" w:customStyle="1" w:styleId="HeaderChar">
    <w:name w:val="Header Char"/>
    <w:basedOn w:val="DefaultParagraphFont"/>
    <w:link w:val="Header"/>
    <w:uiPriority w:val="99"/>
    <w:rsid w:val="00FF6943"/>
  </w:style>
  <w:style w:type="paragraph" w:styleId="Footer">
    <w:name w:val="footer"/>
    <w:basedOn w:val="Normal"/>
    <w:link w:val="FooterChar"/>
    <w:uiPriority w:val="99"/>
    <w:unhideWhenUsed/>
    <w:rsid w:val="00FF6943"/>
    <w:pPr>
      <w:tabs>
        <w:tab w:val="center" w:pos="4680"/>
        <w:tab w:val="right" w:pos="9360"/>
      </w:tabs>
      <w:spacing w:after="0" w:line="240" w:lineRule="auto"/>
    </w:pPr>
  </w:style>
  <w:style w:type="character" w:customStyle="1" w:styleId="FooterChar">
    <w:name w:val="Footer Char"/>
    <w:basedOn w:val="DefaultParagraphFont"/>
    <w:link w:val="Footer"/>
    <w:uiPriority w:val="99"/>
    <w:rsid w:val="00FF6943"/>
  </w:style>
  <w:style w:type="paragraph" w:styleId="NoSpacing">
    <w:name w:val="No Spacing"/>
    <w:link w:val="NoSpacingChar"/>
    <w:uiPriority w:val="1"/>
    <w:qFormat/>
    <w:rsid w:val="00583637"/>
    <w:pPr>
      <w:spacing w:after="0" w:line="240" w:lineRule="auto"/>
    </w:pPr>
    <w:rPr>
      <w:rFonts w:eastAsiaTheme="minorEastAsia"/>
      <w:kern w:val="0"/>
      <w:sz w:val="22"/>
      <w:szCs w:val="22"/>
      <w14:ligatures w14:val="none"/>
    </w:rPr>
  </w:style>
  <w:style w:type="character" w:customStyle="1" w:styleId="NoSpacingChar">
    <w:name w:val="No Spacing Char"/>
    <w:basedOn w:val="DefaultParagraphFont"/>
    <w:link w:val="NoSpacing"/>
    <w:uiPriority w:val="1"/>
    <w:rsid w:val="00583637"/>
    <w:rPr>
      <w:rFonts w:eastAsiaTheme="minorEastAsia"/>
      <w:kern w:val="0"/>
      <w:sz w:val="22"/>
      <w:szCs w:val="22"/>
      <w14:ligatures w14:val="none"/>
    </w:rPr>
  </w:style>
  <w:style w:type="character" w:styleId="CommentReference">
    <w:name w:val="annotation reference"/>
    <w:basedOn w:val="DefaultParagraphFont"/>
    <w:uiPriority w:val="99"/>
    <w:semiHidden/>
    <w:unhideWhenUsed/>
    <w:rsid w:val="009D7030"/>
    <w:rPr>
      <w:sz w:val="16"/>
      <w:szCs w:val="16"/>
    </w:rPr>
  </w:style>
  <w:style w:type="paragraph" w:styleId="CommentText">
    <w:name w:val="annotation text"/>
    <w:basedOn w:val="Normal"/>
    <w:link w:val="CommentTextChar"/>
    <w:uiPriority w:val="99"/>
    <w:unhideWhenUsed/>
    <w:rsid w:val="009D7030"/>
    <w:pPr>
      <w:spacing w:line="240" w:lineRule="auto"/>
    </w:pPr>
    <w:rPr>
      <w:sz w:val="20"/>
      <w:szCs w:val="20"/>
    </w:rPr>
  </w:style>
  <w:style w:type="character" w:customStyle="1" w:styleId="CommentTextChar">
    <w:name w:val="Comment Text Char"/>
    <w:basedOn w:val="DefaultParagraphFont"/>
    <w:link w:val="CommentText"/>
    <w:uiPriority w:val="99"/>
    <w:rsid w:val="009D7030"/>
    <w:rPr>
      <w:sz w:val="20"/>
      <w:szCs w:val="20"/>
    </w:rPr>
  </w:style>
  <w:style w:type="paragraph" w:styleId="CommentSubject">
    <w:name w:val="annotation subject"/>
    <w:basedOn w:val="CommentText"/>
    <w:next w:val="CommentText"/>
    <w:link w:val="CommentSubjectChar"/>
    <w:uiPriority w:val="99"/>
    <w:semiHidden/>
    <w:unhideWhenUsed/>
    <w:rsid w:val="009D7030"/>
    <w:rPr>
      <w:b/>
      <w:bCs/>
    </w:rPr>
  </w:style>
  <w:style w:type="character" w:customStyle="1" w:styleId="CommentSubjectChar">
    <w:name w:val="Comment Subject Char"/>
    <w:basedOn w:val="CommentTextChar"/>
    <w:link w:val="CommentSubject"/>
    <w:uiPriority w:val="99"/>
    <w:semiHidden/>
    <w:rsid w:val="009D7030"/>
    <w:rPr>
      <w:b/>
      <w:bCs/>
      <w:sz w:val="20"/>
      <w:szCs w:val="20"/>
    </w:rPr>
  </w:style>
  <w:style w:type="table" w:styleId="TableGrid">
    <w:name w:val="Table Grid"/>
    <w:basedOn w:val="TableNormal"/>
    <w:uiPriority w:val="59"/>
    <w:rsid w:val="00833AED"/>
    <w:pPr>
      <w:spacing w:after="0" w:line="240" w:lineRule="auto"/>
    </w:pPr>
    <w:rPr>
      <w:rFonts w:ascii="Cambria" w:eastAsia="MS Mincho" w:hAnsi="Cambria" w:cs="Times New Roman"/>
      <w:kern w:val="0"/>
      <w:sz w:val="22"/>
      <w:szCs w:val="22"/>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trong">
    <w:name w:val="Strong"/>
    <w:basedOn w:val="DefaultParagraphFont"/>
    <w:uiPriority w:val="22"/>
    <w:qFormat/>
    <w:rsid w:val="00833AED"/>
    <w:rPr>
      <w:b/>
      <w:bCs/>
    </w:rPr>
  </w:style>
  <w:style w:type="character" w:styleId="Emphasis">
    <w:name w:val="Emphasis"/>
    <w:basedOn w:val="DefaultParagraphFont"/>
    <w:uiPriority w:val="20"/>
    <w:qFormat/>
    <w:rsid w:val="00833AED"/>
    <w:rPr>
      <w:i/>
      <w:iCs/>
    </w:rPr>
  </w:style>
  <w:style w:type="paragraph" w:styleId="NormalWeb">
    <w:name w:val="Normal (Web)"/>
    <w:basedOn w:val="Normal"/>
    <w:uiPriority w:val="99"/>
    <w:semiHidden/>
    <w:unhideWhenUsed/>
    <w:rsid w:val="00833AED"/>
    <w:pPr>
      <w:spacing w:before="100" w:beforeAutospacing="1" w:after="100" w:afterAutospacing="1" w:line="240" w:lineRule="auto"/>
    </w:pPr>
    <w:rPr>
      <w:rFonts w:ascii="Times New Roman" w:eastAsia="Times New Roman" w:hAnsi="Times New Roman" w:cs="Times New Roman"/>
      <w:kern w:val="0"/>
      <w14:ligatures w14:val="none"/>
    </w:rPr>
  </w:style>
  <w:style w:type="paragraph" w:styleId="TOC4">
    <w:name w:val="toc 4"/>
    <w:basedOn w:val="Normal"/>
    <w:next w:val="Normal"/>
    <w:autoRedefine/>
    <w:uiPriority w:val="39"/>
    <w:unhideWhenUsed/>
    <w:rsid w:val="008E2E53"/>
    <w:pPr>
      <w:spacing w:after="100"/>
      <w:ind w:left="720"/>
    </w:pPr>
    <w:rPr>
      <w:rFonts w:eastAsiaTheme="minorEastAsia"/>
    </w:rPr>
  </w:style>
  <w:style w:type="paragraph" w:styleId="TOC5">
    <w:name w:val="toc 5"/>
    <w:basedOn w:val="Normal"/>
    <w:next w:val="Normal"/>
    <w:autoRedefine/>
    <w:uiPriority w:val="39"/>
    <w:unhideWhenUsed/>
    <w:rsid w:val="008E2E53"/>
    <w:pPr>
      <w:spacing w:after="100"/>
      <w:ind w:left="960"/>
    </w:pPr>
    <w:rPr>
      <w:rFonts w:eastAsiaTheme="minorEastAsia"/>
    </w:rPr>
  </w:style>
  <w:style w:type="paragraph" w:styleId="TOC6">
    <w:name w:val="toc 6"/>
    <w:basedOn w:val="Normal"/>
    <w:next w:val="Normal"/>
    <w:autoRedefine/>
    <w:uiPriority w:val="39"/>
    <w:unhideWhenUsed/>
    <w:rsid w:val="008E2E53"/>
    <w:pPr>
      <w:spacing w:after="100"/>
      <w:ind w:left="1200"/>
    </w:pPr>
    <w:rPr>
      <w:rFonts w:eastAsiaTheme="minorEastAsia"/>
    </w:rPr>
  </w:style>
  <w:style w:type="paragraph" w:styleId="TOC7">
    <w:name w:val="toc 7"/>
    <w:basedOn w:val="Normal"/>
    <w:next w:val="Normal"/>
    <w:autoRedefine/>
    <w:uiPriority w:val="39"/>
    <w:unhideWhenUsed/>
    <w:rsid w:val="008E2E53"/>
    <w:pPr>
      <w:spacing w:after="100"/>
      <w:ind w:left="1440"/>
    </w:pPr>
    <w:rPr>
      <w:rFonts w:eastAsiaTheme="minorEastAsia"/>
    </w:rPr>
  </w:style>
  <w:style w:type="paragraph" w:styleId="TOC8">
    <w:name w:val="toc 8"/>
    <w:basedOn w:val="Normal"/>
    <w:next w:val="Normal"/>
    <w:autoRedefine/>
    <w:uiPriority w:val="39"/>
    <w:unhideWhenUsed/>
    <w:rsid w:val="008E2E53"/>
    <w:pPr>
      <w:spacing w:after="100"/>
      <w:ind w:left="1680"/>
    </w:pPr>
    <w:rPr>
      <w:rFonts w:eastAsiaTheme="minorEastAsia"/>
    </w:rPr>
  </w:style>
  <w:style w:type="paragraph" w:styleId="TOC9">
    <w:name w:val="toc 9"/>
    <w:basedOn w:val="Normal"/>
    <w:next w:val="Normal"/>
    <w:autoRedefine/>
    <w:uiPriority w:val="39"/>
    <w:unhideWhenUsed/>
    <w:rsid w:val="008E2E53"/>
    <w:pPr>
      <w:spacing w:after="100"/>
      <w:ind w:left="1920"/>
    </w:pPr>
    <w:rPr>
      <w:rFonts w:eastAsiaTheme="minorEastAsia"/>
    </w:rPr>
  </w:style>
  <w:style w:type="character" w:styleId="UnresolvedMention">
    <w:name w:val="Unresolved Mention"/>
    <w:basedOn w:val="DefaultParagraphFont"/>
    <w:uiPriority w:val="99"/>
    <w:semiHidden/>
    <w:unhideWhenUsed/>
    <w:rsid w:val="008E2E53"/>
    <w:rPr>
      <w:color w:val="605E5C"/>
      <w:shd w:val="clear" w:color="auto" w:fill="E1DFDD"/>
    </w:rPr>
  </w:style>
  <w:style w:type="paragraph" w:styleId="Caption">
    <w:name w:val="caption"/>
    <w:basedOn w:val="Normal"/>
    <w:next w:val="Normal"/>
    <w:uiPriority w:val="35"/>
    <w:unhideWhenUsed/>
    <w:qFormat/>
    <w:rsid w:val="00B01EC4"/>
    <w:pPr>
      <w:spacing w:after="200" w:line="240" w:lineRule="auto"/>
    </w:pPr>
    <w:rPr>
      <w:i/>
      <w:iCs/>
      <w:color w:val="0E2841" w:themeColor="text2"/>
      <w:sz w:val="18"/>
      <w:szCs w:val="18"/>
    </w:rPr>
  </w:style>
  <w:style w:type="paragraph" w:styleId="TableofFigures">
    <w:name w:val="table of figures"/>
    <w:basedOn w:val="Normal"/>
    <w:next w:val="Normal"/>
    <w:uiPriority w:val="99"/>
    <w:unhideWhenUsed/>
    <w:rsid w:val="0093762A"/>
    <w:pPr>
      <w:spacing w:after="0"/>
    </w:pPr>
  </w:style>
  <w:style w:type="paragraph" w:customStyle="1" w:styleId="FrontMatterheading">
    <w:name w:val="Front Matter heading"/>
    <w:basedOn w:val="TOCHeading"/>
    <w:link w:val="FrontMatterheadingChar"/>
    <w:qFormat/>
    <w:rsid w:val="006A2E18"/>
    <w:rPr>
      <w:rFonts w:eastAsia="MS Mincho"/>
    </w:rPr>
  </w:style>
  <w:style w:type="character" w:customStyle="1" w:styleId="TOCHeadingChar">
    <w:name w:val="TOC Heading Char"/>
    <w:basedOn w:val="Heading1Char"/>
    <w:link w:val="TOCHeading"/>
    <w:uiPriority w:val="39"/>
    <w:rsid w:val="006A2E18"/>
    <w:rPr>
      <w:rFonts w:asciiTheme="majorHAnsi" w:eastAsiaTheme="majorEastAsia" w:hAnsiTheme="majorHAnsi" w:cstheme="majorBidi"/>
      <w:b/>
      <w:caps/>
      <w:color w:val="0F4761" w:themeColor="accent1" w:themeShade="BF"/>
      <w:kern w:val="0"/>
      <w:sz w:val="32"/>
      <w:szCs w:val="32"/>
      <w14:ligatures w14:val="none"/>
    </w:rPr>
  </w:style>
  <w:style w:type="character" w:customStyle="1" w:styleId="FrontMatterheadingChar">
    <w:name w:val="Front Matter heading Char"/>
    <w:basedOn w:val="TOCHeadingChar"/>
    <w:link w:val="FrontMatterheading"/>
    <w:rsid w:val="006A2E18"/>
    <w:rPr>
      <w:rFonts w:asciiTheme="majorHAnsi" w:eastAsia="MS Mincho" w:hAnsiTheme="majorHAnsi" w:cstheme="majorBidi"/>
      <w:b/>
      <w:caps/>
      <w:color w:val="0F4761" w:themeColor="accent1" w:themeShade="BF"/>
      <w:kern w:val="0"/>
      <w:sz w:val="32"/>
      <w:szCs w:val="32"/>
      <w14:ligatures w14:val="none"/>
    </w:rPr>
  </w:style>
  <w:style w:type="paragraph" w:customStyle="1" w:styleId="FrontMatterheading2">
    <w:name w:val="Front Matter heading 2"/>
    <w:basedOn w:val="Heading1"/>
    <w:next w:val="Normal"/>
    <w:qFormat/>
    <w:rsid w:val="00F7553F"/>
    <w:pPr>
      <w:numPr>
        <w:numId w:val="0"/>
      </w:numPr>
      <w:jc w:val="center"/>
    </w:pPr>
    <w:rPr>
      <w:rFonts w:cs="Times New Roman"/>
      <w:b w:val="0"/>
      <w:caps w:val="0"/>
      <w:color w:val="000000" w:themeColor="text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13" Type="http://schemas.microsoft.com/office/2018/08/relationships/commentsExtensible" Target="commentsExtensible.xml"/><Relationship Id="rId18" Type="http://schemas.openxmlformats.org/officeDocument/2006/relationships/image" Target="media/image4.svg"/><Relationship Id="rId26" Type="http://schemas.openxmlformats.org/officeDocument/2006/relationships/image" Target="media/image12.png"/><Relationship Id="rId21" Type="http://schemas.openxmlformats.org/officeDocument/2006/relationships/image" Target="media/image7.png"/><Relationship Id="rId34" Type="http://schemas.openxmlformats.org/officeDocument/2006/relationships/image" Target="media/image20.png"/><Relationship Id="rId7" Type="http://schemas.openxmlformats.org/officeDocument/2006/relationships/footnotes" Target="footnotes.xml"/><Relationship Id="rId12" Type="http://schemas.microsoft.com/office/2016/09/relationships/commentsIds" Target="commentsIds.xml"/><Relationship Id="rId17" Type="http://schemas.openxmlformats.org/officeDocument/2006/relationships/image" Target="media/image3.png"/><Relationship Id="rId25" Type="http://schemas.openxmlformats.org/officeDocument/2006/relationships/image" Target="media/image11.png"/><Relationship Id="rId33" Type="http://schemas.openxmlformats.org/officeDocument/2006/relationships/image" Target="media/image19.png"/><Relationship Id="rId38"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image" Target="media/image2.png"/><Relationship Id="rId20" Type="http://schemas.openxmlformats.org/officeDocument/2006/relationships/image" Target="media/image6.svg"/><Relationship Id="rId29" Type="http://schemas.openxmlformats.org/officeDocument/2006/relationships/image" Target="media/image15.png"/><Relationship Id="rId1" Type="http://schemas.openxmlformats.org/officeDocument/2006/relationships/customXml" Target="../customXml/item1.xml"/><Relationship Id="rId6" Type="http://schemas.openxmlformats.org/officeDocument/2006/relationships/webSettings" Target="webSettings.xml"/><Relationship Id="rId11" Type="http://schemas.microsoft.com/office/2011/relationships/commentsExtended" Target="commentsExtended.xml"/><Relationship Id="rId24" Type="http://schemas.openxmlformats.org/officeDocument/2006/relationships/image" Target="media/image10.svg"/><Relationship Id="rId32" Type="http://schemas.openxmlformats.org/officeDocument/2006/relationships/image" Target="media/image18.png"/><Relationship Id="rId37" Type="http://schemas.microsoft.com/office/2011/relationships/people" Target="people.xml"/><Relationship Id="rId5" Type="http://schemas.openxmlformats.org/officeDocument/2006/relationships/settings" Target="settings.xml"/><Relationship Id="rId15" Type="http://schemas.openxmlformats.org/officeDocument/2006/relationships/footer" Target="footer2.xml"/><Relationship Id="rId23" Type="http://schemas.openxmlformats.org/officeDocument/2006/relationships/image" Target="media/image9.png"/><Relationship Id="rId28" Type="http://schemas.openxmlformats.org/officeDocument/2006/relationships/image" Target="media/image14.png"/><Relationship Id="rId36" Type="http://schemas.openxmlformats.org/officeDocument/2006/relationships/fontTable" Target="fontTable.xml"/><Relationship Id="rId10" Type="http://schemas.openxmlformats.org/officeDocument/2006/relationships/comments" Target="comments.xml"/><Relationship Id="rId19" Type="http://schemas.openxmlformats.org/officeDocument/2006/relationships/image" Target="media/image5.png"/><Relationship Id="rId31" Type="http://schemas.openxmlformats.org/officeDocument/2006/relationships/image" Target="media/image17.png"/><Relationship Id="rId4" Type="http://schemas.openxmlformats.org/officeDocument/2006/relationships/styles" Target="styles.xml"/><Relationship Id="rId9" Type="http://schemas.openxmlformats.org/officeDocument/2006/relationships/image" Target="media/image1.png"/><Relationship Id="rId14" Type="http://schemas.openxmlformats.org/officeDocument/2006/relationships/footer" Target="footer1.xml"/><Relationship Id="rId22" Type="http://schemas.openxmlformats.org/officeDocument/2006/relationships/image" Target="media/image8.svg"/><Relationship Id="rId27" Type="http://schemas.openxmlformats.org/officeDocument/2006/relationships/image" Target="media/image13.png"/><Relationship Id="rId30" Type="http://schemas.openxmlformats.org/officeDocument/2006/relationships/image" Target="media/image16.png"/><Relationship Id="rId35" Type="http://schemas.openxmlformats.org/officeDocument/2006/relationships/footer" Target="footer3.xml"/><Relationship Id="rId8" Type="http://schemas.openxmlformats.org/officeDocument/2006/relationships/endnotes" Target="endnotes.xml"/><Relationship Id="rId3"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2026-02-08T00:00:00</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C6555F40-EF08-44EA-BC5E-40099516E927}">
  <ds:schemaRefs>
    <ds:schemaRef ds:uri="http://schemas.openxmlformats.org/officeDocument/2006/bibliography"/>
  </ds:schemaRefs>
</ds:datastoreItem>
</file>

<file path=docMetadata/LabelInfo.xml><?xml version="1.0" encoding="utf-8"?>
<clbl:labelList xmlns:clbl="http://schemas.microsoft.com/office/2020/mipLabelMetadata">
  <clbl:label id="{3af8ffd0-fe52-48a4-8683-5d1663df7b24}" enabled="0" method="" siteId="{3af8ffd0-fe52-48a4-8683-5d1663df7b24}" removed="1"/>
</clbl:labelList>
</file>

<file path=docProps/app.xml><?xml version="1.0" encoding="utf-8"?>
<Properties xmlns="http://schemas.openxmlformats.org/officeDocument/2006/extended-properties" xmlns:vt="http://schemas.openxmlformats.org/officeDocument/2006/docPropsVTypes">
  <Template>Normal</Template>
  <TotalTime>306</TotalTime>
  <Pages>273</Pages>
  <Words>79310</Words>
  <Characters>452073</Characters>
  <Application>Microsoft Office Word</Application>
  <DocSecurity>0</DocSecurity>
  <Lines>3767</Lines>
  <Paragraphs>1060</Paragraphs>
  <ScaleCrop>false</ScaleCrop>
  <HeadingPairs>
    <vt:vector size="2" baseType="variant">
      <vt:variant>
        <vt:lpstr>Title</vt:lpstr>
      </vt:variant>
      <vt:variant>
        <vt:i4>1</vt:i4>
      </vt:variant>
    </vt:vector>
  </HeadingPairs>
  <TitlesOfParts>
    <vt:vector size="1" baseType="lpstr">
      <vt:lpstr>Chapter 1</vt:lpstr>
    </vt:vector>
  </TitlesOfParts>
  <Company/>
  <LinksUpToDate>false</LinksUpToDate>
  <CharactersWithSpaces>530323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Beyond Capital Mobilization: Governance Quality and the Performance of Water Management Projects in Kenya</dc:title>
  <dc:subject>Topic:</dc:subject>
  <dc:creator>Erick Gesure V001</dc:creator>
  <cp:keywords/>
  <dc:description/>
  <cp:lastModifiedBy>James Punch</cp:lastModifiedBy>
  <cp:revision>65</cp:revision>
  <dcterms:created xsi:type="dcterms:W3CDTF">2026-07-09T13:19:00Z</dcterms:created>
  <dcterms:modified xsi:type="dcterms:W3CDTF">2026-07-10T11:12:00Z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507b43e2-096e-4138-84af-82f58a4199fd</vt:lpwstr>
  </property>
</Properties>
</file>