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1E8FB" w14:textId="77777777" w:rsidR="00AA4A68" w:rsidRPr="00D55C94" w:rsidRDefault="00AA4A68" w:rsidP="00AA4A68">
      <w:pPr>
        <w:spacing w:line="480" w:lineRule="auto"/>
        <w:rPr>
          <w:rFonts w:ascii="Times New Roman" w:hAnsi="Times New Roman" w:cs="Times New Roman"/>
          <w:b/>
          <w:bCs/>
        </w:rPr>
      </w:pPr>
      <w:r w:rsidRPr="00D55C94">
        <w:rPr>
          <w:rFonts w:ascii="Times New Roman" w:hAnsi="Times New Roman" w:cs="Times New Roman"/>
          <w:b/>
          <w:bCs/>
        </w:rPr>
        <w:t>Capstone Project</w:t>
      </w:r>
    </w:p>
    <w:p w14:paraId="5E23B55B" w14:textId="77777777" w:rsidR="00AA4A68" w:rsidRPr="00D55C94" w:rsidRDefault="00AA4A68" w:rsidP="00AA4A68">
      <w:pPr>
        <w:spacing w:line="480" w:lineRule="auto"/>
        <w:rPr>
          <w:rFonts w:ascii="Times New Roman" w:hAnsi="Times New Roman" w:cs="Times New Roman"/>
          <w:b/>
          <w:bCs/>
        </w:rPr>
      </w:pPr>
      <w:r w:rsidRPr="00D55C94">
        <w:rPr>
          <w:rFonts w:ascii="Times New Roman" w:hAnsi="Times New Roman" w:cs="Times New Roman"/>
          <w:b/>
          <w:bCs/>
        </w:rPr>
        <w:t>Title:</w:t>
      </w:r>
    </w:p>
    <w:p w14:paraId="1AF14B8A" w14:textId="77777777" w:rsidR="00AA4A68" w:rsidRPr="00D55C94" w:rsidRDefault="00AA4A68" w:rsidP="00AA4A68">
      <w:pPr>
        <w:spacing w:line="480" w:lineRule="auto"/>
        <w:rPr>
          <w:rFonts w:ascii="Times New Roman" w:hAnsi="Times New Roman" w:cs="Times New Roman"/>
          <w:b/>
          <w:bCs/>
        </w:rPr>
      </w:pPr>
      <w:r w:rsidRPr="00D55C94">
        <w:rPr>
          <w:rFonts w:ascii="Times New Roman" w:hAnsi="Times New Roman" w:cs="Times New Roman"/>
          <w:b/>
          <w:bCs/>
        </w:rPr>
        <w:t>TRUSTED Finance: A Two-Phase Reinvention: AI-Led Financial Literacy &amp; Regulated Community Finance Model for Inclusive Growth</w:t>
      </w:r>
    </w:p>
    <w:p w14:paraId="35EB9AB1" w14:textId="77777777" w:rsidR="00AA4A68" w:rsidRPr="00D55C94" w:rsidRDefault="00AA4A68" w:rsidP="00AA4A68">
      <w:pPr>
        <w:spacing w:line="480" w:lineRule="auto"/>
        <w:rPr>
          <w:rFonts w:ascii="Times New Roman" w:hAnsi="Times New Roman" w:cs="Times New Roman"/>
          <w:b/>
          <w:bCs/>
        </w:rPr>
      </w:pPr>
      <w:r w:rsidRPr="00D55C94">
        <w:rPr>
          <w:rFonts w:ascii="Times New Roman" w:hAnsi="Times New Roman" w:cs="Times New Roman"/>
          <w:b/>
          <w:bCs/>
        </w:rPr>
        <w:t xml:space="preserve">Programme: </w:t>
      </w:r>
      <w:r>
        <w:rPr>
          <w:rFonts w:ascii="Times New Roman" w:hAnsi="Times New Roman" w:cs="Times New Roman"/>
          <w:b/>
          <w:bCs/>
        </w:rPr>
        <w:t xml:space="preserve">PhD by Portfolio </w:t>
      </w:r>
    </w:p>
    <w:p w14:paraId="2A9A3C90" w14:textId="77777777" w:rsidR="00AA4A68" w:rsidRPr="00D55C94" w:rsidRDefault="00AA4A68" w:rsidP="00AA4A68">
      <w:pPr>
        <w:spacing w:line="480" w:lineRule="auto"/>
        <w:rPr>
          <w:rFonts w:ascii="Times New Roman" w:hAnsi="Times New Roman" w:cs="Times New Roman"/>
          <w:b/>
          <w:bCs/>
        </w:rPr>
      </w:pPr>
      <w:r w:rsidRPr="00D55C94">
        <w:rPr>
          <w:rFonts w:ascii="Times New Roman" w:hAnsi="Times New Roman" w:cs="Times New Roman"/>
          <w:b/>
          <w:bCs/>
        </w:rPr>
        <w:t>Student: Emanuel Doroscan</w:t>
      </w:r>
    </w:p>
    <w:p w14:paraId="7A1225FE" w14:textId="77777777" w:rsidR="00AA4A68" w:rsidRPr="00D55C94" w:rsidRDefault="00AA4A68" w:rsidP="00AA4A68">
      <w:pPr>
        <w:spacing w:line="480" w:lineRule="auto"/>
        <w:rPr>
          <w:rFonts w:ascii="Times New Roman" w:hAnsi="Times New Roman" w:cs="Times New Roman"/>
          <w:b/>
          <w:bCs/>
        </w:rPr>
      </w:pPr>
      <w:r w:rsidRPr="00D55C94">
        <w:rPr>
          <w:rFonts w:ascii="Times New Roman" w:hAnsi="Times New Roman" w:cs="Times New Roman"/>
          <w:b/>
          <w:bCs/>
        </w:rPr>
        <w:t>Supervisor: Dr Michael Murray</w:t>
      </w:r>
    </w:p>
    <w:p w14:paraId="25487EA1" w14:textId="77777777" w:rsidR="00AA4A68" w:rsidRPr="00D55C94" w:rsidRDefault="00AA4A68" w:rsidP="00AA4A68">
      <w:pPr>
        <w:spacing w:line="480" w:lineRule="auto"/>
        <w:rPr>
          <w:rFonts w:ascii="Times New Roman" w:hAnsi="Times New Roman" w:cs="Times New Roman"/>
          <w:b/>
          <w:bCs/>
        </w:rPr>
      </w:pPr>
      <w:r w:rsidRPr="00D55C94">
        <w:rPr>
          <w:rFonts w:ascii="Times New Roman" w:hAnsi="Times New Roman" w:cs="Times New Roman"/>
          <w:b/>
          <w:bCs/>
        </w:rPr>
        <w:t>Executive Summary</w:t>
      </w:r>
    </w:p>
    <w:p w14:paraId="692EBBFB"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This capstone proposes a two-phase reinvention that aims to address endemic financial exclusion and low financial literacy and resilience in the post-pandemic era. The approach combines both entrepreneurial practice and the strategy and decision-making models studied in Module 1 and Module 2.</w:t>
      </w:r>
    </w:p>
    <w:p w14:paraId="40EE6FB0"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In Phase 1, the proposal introduces an AI-enabled voice assistant for households that aims to assist financial literacy, healthier money behaviours, and achieve collaborative learning via simulation. This learning resource generates a role of mentor/coach to create intergenerational learning opportunities while being strictly non-regulated and privacy-respecting.</w:t>
      </w:r>
    </w:p>
    <w:p w14:paraId="163F952C"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In Phase 2, the vision evolved into a regulated community-governed financial platform. The platform, focused on democratic governance and transparency, aims to provide peer-to-peer lending with ethical access to credit and build household resilience. Compliance safeguards, voting thresholds, and reporting transparency are intrinsic to the second phase, adding credibility and trust to certainty.</w:t>
      </w:r>
    </w:p>
    <w:p w14:paraId="204A717C"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lastRenderedPageBreak/>
        <w:t>The rationale for staged design is that trust and readiness must precede regulated financial activity. Starting with literacy and habit formation over time and moving towards compliant community finance is what enables both disruption and sustainability. The proposal incorporates learning insights from Modules 1 and 2,</w:t>
      </w:r>
      <w:r>
        <w:rPr>
          <w:rFonts w:ascii="Times New Roman" w:hAnsi="Times New Roman" w:cs="Times New Roman"/>
        </w:rPr>
        <w:t xml:space="preserve"> </w:t>
      </w:r>
      <w:r w:rsidRPr="00D55C94">
        <w:rPr>
          <w:rFonts w:ascii="Times New Roman" w:hAnsi="Times New Roman" w:cs="Times New Roman"/>
        </w:rPr>
        <w:t xml:space="preserve"> strategy under uncertainty and collaborative decision-making </w:t>
      </w:r>
      <w:r>
        <w:rPr>
          <w:rFonts w:ascii="Times New Roman" w:hAnsi="Times New Roman" w:cs="Times New Roman"/>
        </w:rPr>
        <w:t xml:space="preserve">, </w:t>
      </w:r>
      <w:r w:rsidRPr="00D55C94">
        <w:rPr>
          <w:rFonts w:ascii="Times New Roman" w:hAnsi="Times New Roman" w:cs="Times New Roman"/>
        </w:rPr>
        <w:t>by embedding the learning within a design that integrates innovativeness, resilience, and responsibility. This provides an urgent rationale for senior leaders to consider, in the context of current industry trends of AI disruption, regulatory reform, and inclusive Finance.</w:t>
      </w:r>
    </w:p>
    <w:p w14:paraId="62F053DF" w14:textId="77777777" w:rsidR="00AA4A68" w:rsidRPr="00D55C94" w:rsidRDefault="00AA4A68" w:rsidP="00AA4A68">
      <w:pPr>
        <w:spacing w:line="480" w:lineRule="auto"/>
        <w:rPr>
          <w:rFonts w:ascii="Times New Roman" w:hAnsi="Times New Roman" w:cs="Times New Roman"/>
          <w:b/>
          <w:bCs/>
        </w:rPr>
      </w:pPr>
      <w:r w:rsidRPr="00D55C94">
        <w:rPr>
          <w:rFonts w:ascii="Times New Roman" w:hAnsi="Times New Roman" w:cs="Times New Roman"/>
          <w:b/>
          <w:bCs/>
        </w:rPr>
        <w:t>Section 1: Introduction &amp; Problem Space</w:t>
      </w:r>
    </w:p>
    <w:p w14:paraId="38CE8A33"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The roots of this project are in the lived experiences of financial fragility and the shifting relationships of trust that were most evident in the aftermath of the COVID-19 crisis. In communities, the crises uncovered not only systemic vulnerabilities in the global financial system but also the differential capacity of households to weather financial shocks. Increasing debt burdens, predatory lending, and financial illiteracy are breeding conditions that compound exclusion and, ultimately, dependency instead of alleviating them. In the context of these financial crises, the need for financial literacy and access in new forms becomes urgent, and we need innovation that does not simply patch systems but looks to reinvent them completely. Furstenthal et al. (2021) note that crises compress the innovation cycle and spur organisations to take bold action, often combining stability with transformation. The project seeks to meet this need by proposing a two-phased reinvention strategy that leverages trust, literacy, and inclusivity into financial activity.</w:t>
      </w:r>
    </w:p>
    <w:p w14:paraId="6698877D"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The professional journey underpinning this proposal lends credibility and urgency to the proposed project. From the inception of Computer King in Ongar, where we transitioned from door-to-door sales to retailing, and ultimately decided to purchase the building for </w:t>
      </w:r>
      <w:r w:rsidRPr="00D55C94">
        <w:rPr>
          <w:rFonts w:ascii="Times New Roman" w:hAnsi="Times New Roman" w:cs="Times New Roman"/>
        </w:rPr>
        <w:lastRenderedPageBreak/>
        <w:t>security of tenure, the practice has been one of adapting to changing circumstances by building trust. This was elaborated on at length in Buying the Building (Doroscan, 2025a). That decision was not just a matter of securing real estate; it was a mechanism for placing community trust (and capital) into a safe investment, and for raising credibility with lenders and clients. However, the same experiences also illustrated how tenuous the informal financial practices of migrant and working-class communities can be, as rotating credit schemes and small collective investments often lack the necessary systems or government support to sustain their continuation. These experiences highlighted how, although trust is the currency in these experiences, it is not enough. While trust may be the currency, it needs to be backed with structure (policy), transparency, and processes that can withstand the pressure.</w:t>
      </w:r>
    </w:p>
    <w:p w14:paraId="0492B2C3"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The personal relatability from these experiences has been reinforced again through reflection on the centrality of financial habits. I examined this in You Do not Need More Money, You Need a Better Habit (Doroscan, 2025g), observing that resilient performance with finances is less about "a windfall" of cash and more related to consistent themes of saving, budgeting, and shared responsibility practices. The issue is that to form these habits, many families, particularly those of limited financial means, lack access to the necessary tools or education. The first phase of the project, which centers on an AI-powered financial literacy assistant, is a direct consequence of addressing this gap. Its role is to empower the knowledge and discipline needed to participate in more sophisticated financial ecosystems, like the proposed combined regulated community lending platform in the second phase. By sequencing education in advance of credit, the premise is to cultivate an architecture of trust that is culturally rooted and technologically future-oriented.</w:t>
      </w:r>
    </w:p>
    <w:p w14:paraId="0AE088FB"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This position reflects the perspectives put forward in Module 1’s strategy on dual transformation, based on Anthony (2017), who suggests that organisations must balance optimising current activities with disrupting reinvention to remain relevant. To me, dual </w:t>
      </w:r>
      <w:r w:rsidRPr="00D55C94">
        <w:rPr>
          <w:rFonts w:ascii="Times New Roman" w:hAnsi="Times New Roman" w:cs="Times New Roman"/>
        </w:rPr>
        <w:lastRenderedPageBreak/>
        <w:t>transformation is made visible through the sequencing of literacy and lending. Phase 1 directly deals with immediate issues of low financial literacy and poor money habits and builds insulation at the micro level. Phase 2 is predicated on that foundation and builds a disruptive regulated offer to mainstream lending, which in turn instills resilience at the macro level. This strategic framing ensures the project is not only disruptive but feasible based on knowing that community trust must first be earned prior to scale.</w:t>
      </w:r>
    </w:p>
    <w:p w14:paraId="62F3CA1E"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The relevance of this project to my professional biography is equally apparent. Having worked sitting at the intersection of retail entrepreneurship, Finance, and migrant community empowerment, I can read a potential path and, on occasion, fault. Informal trust-based lending works until it does not, and the fallout from a failure extends well beyond financial loss; it can destroy relationships, erode social fabric, and detract from our collective resilience-building. Merging lived experience with strategic and decision-making frameworks from Modules 1 and 2 positions this capstone as an applied innovation that emerges from practice but speaks to frontier-level problems. It weaves together entrepreneurial thought, behavioural design, and future thinking regulator perspective to create a model that is both disruptive and aligned with industry and societal trends. In that sense, the problem space is not only financial exclusion but a completely broader imagined failure of current systems to build habits, trust, and resilience for sustainable inclusion.</w:t>
      </w:r>
    </w:p>
    <w:p w14:paraId="3D9DBEEF" w14:textId="77777777" w:rsidR="00AA4A68" w:rsidRPr="00D55C94" w:rsidRDefault="00AA4A68" w:rsidP="00AA4A68">
      <w:pPr>
        <w:spacing w:line="480" w:lineRule="auto"/>
        <w:rPr>
          <w:rFonts w:ascii="Times New Roman" w:hAnsi="Times New Roman" w:cs="Times New Roman"/>
          <w:b/>
          <w:bCs/>
        </w:rPr>
      </w:pPr>
      <w:r w:rsidRPr="00D55C94">
        <w:rPr>
          <w:rFonts w:ascii="Times New Roman" w:hAnsi="Times New Roman" w:cs="Times New Roman"/>
          <w:b/>
          <w:bCs/>
        </w:rPr>
        <w:t>Section 2: Strategic Framing and Vision</w:t>
      </w:r>
    </w:p>
    <w:p w14:paraId="67B2AF16"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The strategic framing of this project emerges from a realization that my journey of transformation has always been where necessity and vision meet. Module 1 gave me analytic tools to discuss this trajectory more systematically and allowed me to understand the interplay between micro-level entrepreneurial choices and macro-level industry- and society-generating forces. The central disruption logic, which evolves through this capstone, </w:t>
      </w:r>
      <w:r w:rsidRPr="00D55C94">
        <w:rPr>
          <w:rFonts w:ascii="Times New Roman" w:hAnsi="Times New Roman" w:cs="Times New Roman"/>
        </w:rPr>
        <w:lastRenderedPageBreak/>
        <w:t>transitions from a device seller, first through Computer King and the retail experience in Ongar, to now being a community-led finance innovator using technology and trust to address financial exclusion, has been consistent and has retained a commitment to resilience and empowerment. However, the reach of this vision has grown beyond individual business continuity to systemic re-invention.</w:t>
      </w:r>
    </w:p>
    <w:p w14:paraId="4CF3DE25"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A vision canvas approach sheds light on the components of this transition. The "why" of the project is grounded in a necessary response to providing accessible financial literacy, as well as ethical alternatives to predatory credit models, particularly in post-pandemic contexts where trust deficits remain high. The "what" relates to two interrelated tasks. These two tasks consist of: Phase 1, an AI-driven financial literacy collaborator that builds capability at the household level; and Phase 2, a regulated community finance platform that translates that capability into collective empowerment. The "how" constitutes sequencing education before credit, pushing trust-first governance, and being aligned with regulatory frameworks from the beginning. In conclusion, the "who" refers to both the immediate users of the model - families and community members with low financial literacy - as well as the larger ecosystem that includes the regulators, community organisations, and financial partners, who will help validate, scale, and sustain the model.</w:t>
      </w:r>
    </w:p>
    <w:p w14:paraId="429E14A6"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The disruptive logic rests on a fundamental acknowledgement that traditional pathways into Finance have often overlooked or marginalized the communities that need access the most. In this case, I am drawing on my lived experience (see From Door-to-Door to Digital Resilience, Doroscan, 2025c), of how even the most simple act of providing the technology devices required the agency of adopting adaptive strategies that mirrored larger systemic forces. The pivot from physical retailing to online models was not simply a cause of increased efficiencies. However, it resonated with the individuality of the users, pointing to the need for diversified models of response as user behaviour and needs changed quickly than </w:t>
      </w:r>
      <w:r w:rsidRPr="00D55C94">
        <w:rPr>
          <w:rFonts w:ascii="Times New Roman" w:hAnsi="Times New Roman" w:cs="Times New Roman"/>
        </w:rPr>
        <w:lastRenderedPageBreak/>
        <w:t>legacies and systems could address. Similarly, the shift from device retailing to financial capability reflects a greater recognition that adapted trust and processes around changing needs in a disrupted context are the most salient factors.</w:t>
      </w:r>
    </w:p>
    <w:p w14:paraId="458AEAAA"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The macro-forces that will render this project timely and address a very real need at the community level will be structural and behavioural. First, the disruption caused by AI is fundamentally changing not only how knowledge is accessed, how services are delivered, and how value is created, but also what knowledge sets are legitimate. AI's power of personalisation, conversational interfaces, and real-time adaptation is uniquely suited to addressing financial literacy gaps, particularly for populations who have been historically excluded from text-dense institutions and frameworks. Second, the escalating cost of living continues to exert incredible pressure on households, rendering the availability of affordable, safe, and transparent financial tools a matter of survival, not choice. Finally, the unfinished business of the post-pandemic trust gap remains. Institutions, which failed to support households appropriately, are still viewed skeptically, while informal networks are often trusted to help but lack resilience and safeguards. McKinsey (2020) suggests that invoking innovation in crisis contexts must be mobile between urgency in addressing immediate pain points while also creating durably responsive infrastructures to promote long-term resilience. This dual requirement is foundational to the new two-phase strategy in this capstone.</w:t>
      </w:r>
    </w:p>
    <w:p w14:paraId="7D5944BC"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From a strategic perspective, the project goals can be plotted across each phase with alignment to KPIs. The goals and KPIs in the Phase 1 sequence of the project all relate to establishing financial literacy as an embedded habit, developing intergenerational learning pathways, and normalizing the language and practices of trust-based financial behaviour among children. In relation to a Phase 1 project design, the KPIs specifically drop premature consideration of financial metrics and, instead, account for engagement streaks (e.g. if participation is metric-focused, at least three a week), frequency in and/or depth of </w:t>
      </w:r>
      <w:r w:rsidRPr="00D55C94">
        <w:rPr>
          <w:rFonts w:ascii="Times New Roman" w:hAnsi="Times New Roman" w:cs="Times New Roman"/>
        </w:rPr>
        <w:lastRenderedPageBreak/>
        <w:t xml:space="preserve">understanding of knowledge mastery shifts related to financial literacy, even a simple comprehension of parental versus child motivation to engage in or support financial literacy learning (trust level indications), and perhaps even just indicators of parental/child satisfaction (e.g. 'did you enjoy this week?') instead. This thinking is an offshoot of my own thoughts in Invest in Yourself First (Doroscan, 2025d), where financial resilience is borne much less from mere financial return and much more from intentionally invested micro-investments - in knowledge disciplines and in community. Suppose the design of the Phase 1 project uses any financial metrics </w:t>
      </w:r>
      <w:r>
        <w:rPr>
          <w:rFonts w:ascii="Times New Roman" w:hAnsi="Times New Roman" w:cs="Times New Roman"/>
        </w:rPr>
        <w:t>at all</w:t>
      </w:r>
      <w:r w:rsidRPr="00D55C94">
        <w:rPr>
          <w:rFonts w:ascii="Times New Roman" w:hAnsi="Times New Roman" w:cs="Times New Roman"/>
        </w:rPr>
        <w:t>. In that case, it will quickly stifle innovation, thus leading to their abandonment in favor of trusting emergent, future financial sustainability opportunities that currently depend on known indicators of engagement for the Phase 1 design.</w:t>
      </w:r>
    </w:p>
    <w:p w14:paraId="64AEDD5A"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Phase 2 goals turn toward regulated participation, compliance, and governance.</w:t>
      </w:r>
    </w:p>
    <w:p w14:paraId="236EA5AE"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The objectives here are to form a legal entity, to create substantial risk and compliance frameworks, and to build systems of participation such as peer-voting and transparent reporting. The KPIs are more financial in nature, focusing on repayments, portfolio diversification, community participation, and compliance audits. These KPIs are not merely stand-alone measures but are tied back to the cultural and behavioural foundations that are put in place in Phase 1. This way, the financial performance is underwritten by trust, knowledge, and responsibilities, which lessen the chances of mission drift or a deterioration of governance processes.</w:t>
      </w:r>
    </w:p>
    <w:p w14:paraId="66D6D1D6"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Module 1's strategy tools, especially the SWOT analysis, help explain this transition further. For the initiative, the strengths lie in the lived experience of the team, the phased nature of the design, the balance between Finance and literacy, and the ability to intersect contemporary social issues. The weaknesses include barriers to entry through regulators, </w:t>
      </w:r>
      <w:r w:rsidRPr="00D55C94">
        <w:rPr>
          <w:rFonts w:ascii="Times New Roman" w:hAnsi="Times New Roman" w:cs="Times New Roman"/>
        </w:rPr>
        <w:lastRenderedPageBreak/>
        <w:t>limited resources, and maintaining engagement over a longer term. There are many more opportunities ahead: the growth of AI into financial services, interest from the public in ethical alternatives to credit, and potential partnerships with schools, NGOs, and credit unions. Threats include competition from established fintechs, timing delays through regulators, and reputational risks that arise when trust is broken. Framed by the SWOT, a response can be practically ambitious as it ensures that the vision is meaningful, innovative, and that there is a strategic sensibility toward avoiding mission drift. Jesuthasan (2019) underscores the need to rethink how we organise and align work in transformative contexts. His framework of eight work models illustrates the need to align task, governance, and culture in order to ensure that doing innovation is not just an idea, but also operationally designed. This insight directly applies to transitioning us from a retail-oriented past to a finance-led future. Whereas the sale of devices relied on linear workflows and transactional actions, Finance in the community requires networked governance, collaborative decision-making, and iterative adaptation. If they are designed from the start, the implementation of these principles will ensure that disruption logic focuses not just on products, but also on how people engage, decide, and sustain collective systems.</w:t>
      </w:r>
    </w:p>
    <w:p w14:paraId="5A3CDF79"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Integrating the global and local is equally important. On a global scale, the project is directly aligned with Sustainable Development Goals (SDGs) related to financial inclusion, quality education, and reduced inequalities. On a local scale, it directly speaks to the lived experiences of migrant and working-class communities in Ireland who have under-provisioned formal financial provision. The challenge will be to bring these scales together, using global insight and frameworks while remaining sensitive to culture, social, and behaviour on the ground. This spectrum of awareness ensures the vision is both ambitious and grounded, sufficient to encourage change at scale whilst also maintaining credibility within communities.</w:t>
      </w:r>
    </w:p>
    <w:p w14:paraId="6C5611E6"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lastRenderedPageBreak/>
        <w:t>Ultimately, the strategic framing of the project positions it as both disruptive and evolutionary- disruptive in terms of the challenge it poses to current models of financial literacy and lending by sequencing education first, embedding trust-first governance, and leveraging AI to improve inclusion; evolutionary in the sense that it grows organically from lived experience, applying lessons learned from retail entrepreneurship, property investment, and community engagement. This integrated positioning is what underpins the credibility and uniqueness of this endeavour; it is neither an abstract innovation from above nor is it a flimsy grassroots initiative, devoid of systemic context- instead, it is a soundly developed dual-phase vision which embeds practice, analysis, and industry foresight.</w:t>
      </w:r>
    </w:p>
    <w:p w14:paraId="3CF9A8CE"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By expressing this vision spatially and temporally using the templates and advocacy provided in Module 1, vision canvas, SWOT, and environmental analysis, it will allow us to promote not only what we need to change but, more importantly, how to change it from a position of responsibility and sustainability. Moving from device seller to community finance innovator is both an entrepreneurial impulse and a systemic necessity under the mapping of the macro-forces of where we are at the moment to seek such innovation now. Subsequent steps defining the goals and related KPIs support this vision to be more than aspirational, but also operational, rather than performance measures. While internal references inform our own practice, external references comprise leading thinkers and organizations, providing evidence that this is not only a personal vision but also a timely and credible response to industry and social needs.</w:t>
      </w:r>
    </w:p>
    <w:p w14:paraId="50CDB13D" w14:textId="77777777" w:rsidR="00AA4A68" w:rsidRPr="00D55C94" w:rsidRDefault="00AA4A68" w:rsidP="00AA4A68">
      <w:pPr>
        <w:spacing w:line="480" w:lineRule="auto"/>
        <w:rPr>
          <w:rFonts w:ascii="Times New Roman" w:hAnsi="Times New Roman" w:cs="Times New Roman"/>
          <w:b/>
          <w:bCs/>
        </w:rPr>
      </w:pPr>
      <w:r w:rsidRPr="00D55C94">
        <w:rPr>
          <w:rFonts w:ascii="Times New Roman" w:hAnsi="Times New Roman" w:cs="Times New Roman"/>
          <w:b/>
          <w:bCs/>
        </w:rPr>
        <w:t xml:space="preserve">Section 3: Phase 1 </w:t>
      </w:r>
      <w:r>
        <w:rPr>
          <w:rFonts w:ascii="Times New Roman" w:hAnsi="Times New Roman" w:cs="Times New Roman"/>
          <w:b/>
          <w:bCs/>
        </w:rPr>
        <w:t xml:space="preserve"> </w:t>
      </w:r>
      <w:r w:rsidRPr="00D55C94">
        <w:rPr>
          <w:rFonts w:ascii="Times New Roman" w:hAnsi="Times New Roman" w:cs="Times New Roman"/>
          <w:b/>
          <w:bCs/>
        </w:rPr>
        <w:t xml:space="preserve"> AI Financial Literacy Assistant</w:t>
      </w:r>
    </w:p>
    <w:p w14:paraId="7E155928"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The first phase of the reinvention consists of designing and deploying an AI-based financial literacy assistant. This assistant is not designed as an “app” or tool, but is instead conceived as a living companion, embedded in the everyday rhythms of family and community life. The </w:t>
      </w:r>
      <w:r w:rsidRPr="00D55C94">
        <w:rPr>
          <w:rFonts w:ascii="Times New Roman" w:hAnsi="Times New Roman" w:cs="Times New Roman"/>
        </w:rPr>
        <w:lastRenderedPageBreak/>
        <w:t>intention is to scaffold financial literacy in a way that feels natural and conversational, in a person-centred way, rather than abstract or intimidating. I believe people often steer clear of financial conversations not because they do not have the capacity, but rather because they feel disempowered by the formal language, structures, and processes associated with upwardly mobile financial institutions. The financial literacy assistant can overcome this by serving as a voice-based guide, explaining financial terms, simulating savings goals, tracking progress, and offering trust-based nudges that feel more like a mentor rather than just a system.</w:t>
      </w:r>
    </w:p>
    <w:p w14:paraId="140A583B"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The design logic relies on three pillars of accessibility, habit-building, and trust. Voice AI enables accessibility, as the technology helps make it easier for people to engage through natural conversation rather than navigating cumbersome technology interfaces. Habit-building focuses on embedding simple, repeatable actions within the application, such as tracking small savings, visualizing goals, and celebrating milestones. Trust is incorporated from the start through intended transparency with privacy in the design, safeguards to attach to family (if desired), and not involving financial transactions in this phase. By decoupling education from possible future credit, we also demystify and shift education to a safe and predictable place. Not only are you in an area that is not “real,” but you can make mistakes and learn without the fear of financial penalty. The disaggregation is important because, as Doroscan (2025b) stated in “Do not Put All Your Eggs in One Basket,” “resilience is developed by spreading risk, pacing growth, and resisting the easy option of shoring up different value forms into one fragile structure.” The uniqueness of the assistant is not based on the technical and AI-powered learning platform features </w:t>
      </w:r>
      <w:r>
        <w:rPr>
          <w:rFonts w:ascii="Times New Roman" w:hAnsi="Times New Roman" w:cs="Times New Roman"/>
        </w:rPr>
        <w:t xml:space="preserve"> </w:t>
      </w:r>
      <w:r w:rsidRPr="00D55C94">
        <w:rPr>
          <w:rFonts w:ascii="Times New Roman" w:hAnsi="Times New Roman" w:cs="Times New Roman"/>
        </w:rPr>
        <w:t xml:space="preserve"> these are now commonplace and growing rapidly; rather, its uniqueness lies in its positioning into the intergenerational and trust-based dynamics of a family and federated small-group community. It is an educational assistant and not a corporate-facing financial advisor and literacy booster. Parents and children can work together to use the assistant to establish savings goals in their household, </w:t>
      </w:r>
      <w:r w:rsidRPr="00D55C94">
        <w:rPr>
          <w:rFonts w:ascii="Times New Roman" w:hAnsi="Times New Roman" w:cs="Times New Roman"/>
        </w:rPr>
        <w:lastRenderedPageBreak/>
        <w:t>whether saving for a school trip, reducing expenses, or cutting back on takeaways over a week. The parent retains ultimate approval authority - the assistant is designed to support, not usurp, parental authority. In the family decision-making scenarios offered by the assistant, a child can develop skills and attitudes like budgeting, deferring gratification, and sharing responsibility in a way that is conceptualized, playful, and gamified rather than punitive. This is actually a good example of the adaptive mindset I have started to describe in 'The Letter After My Name Will not Define Me' (Doroscan, 2025f): the ability of a human being to learn, pivot, and redefine themselves is often more important than one's formal representation. The assistant also models centre scale human adaptability when it adjusts its tone, examples, and level of complexity for its users' age, cultural background, and current progress in learning finance. An essential function of the assistant is simulation; unlike a bank account, where financial mistakes can have real and harmful consequences, users can "play" with different financial choices in simulation/sandbox environments. Families can experiment with various scenarios, like what would happen if they consistently saved 5 euros a week versus 20 euros a week, or what it would cost them to wait one month before making a purchase, to be able to put money aside for a more urgent household need. Over time, these learning exercises can create both cognitive and emotional resilience - users can see the benefits of their discipline in longer-term situations, as well as learn to enjoy the small victories of gradual progress. As Cable (2018) states, motivation flourishes when learning is connected to autonomy, purpose, and personal relevance. By allowing families to experiment with the financial learning assistant with our own scenarios, they are connecting the financial learning to their lived experience instead of abstract case studies.</w:t>
      </w:r>
    </w:p>
    <w:p w14:paraId="6BE79D48"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The learning assistant also includes ways to measure and encourage ongoing progress that extend beyond traditional financial and numeric concerns. For students to maintain their current connection and learning engagement as they work towards meeting the return on </w:t>
      </w:r>
      <w:r w:rsidRPr="00D55C94">
        <w:rPr>
          <w:rFonts w:ascii="Times New Roman" w:hAnsi="Times New Roman" w:cs="Times New Roman"/>
        </w:rPr>
        <w:lastRenderedPageBreak/>
        <w:t>investment or improving their credit score. It would be inappropriate to start talking about performance at this early stage. However, success can be measured through attitudinal and behavioral change - such as streaks of daily or weekly visitations, badges for achieving financial literacy competencies, and parents' reports on an improvement in money conversations within households. These forms of measurements continue to open this important reading of Kirsner (2021), citing that innovation needs its headroom to be stretched and pursued without being strangled by financial performance measures, until it has been given enough time to demonstrate its broader social or cultural significance. In this way, the learning assistant also materially redefines early-stage financial literacy and educational success measures - not financial profitability, but financial confidence, participation, and trust.</w:t>
      </w:r>
    </w:p>
    <w:p w14:paraId="2F89C8CC"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Privacy and the ethics attached to the learning experience are demonstrated in Phase 1 - with no financial data collected, no financial transactions being processed, and no financial advice being dispensed - right from the opening task. The assistant explicitly operates in the educational space focused on general knowledge and behavioural tools, and does not offer financial products. The unit uses de-identified logs of all engagement to improve the assistant; however, individual data remains entirely private and under the control of users. Parents view and approve of all activities, which adds a layer of accountability and oversight. This design, rooted in trust, is embedded in the ethos developed through my lived experience, particularly considering that once trust is lost in financial relationships, it is not easy to regain. The assistant's design incorporates privacy and ethical practices very early on, instead of designing the governance around the practice after a problem occurs, something often referred to as "retrofit ethics".</w:t>
      </w:r>
    </w:p>
    <w:p w14:paraId="53E8F454"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At the micro level, the assistant builds resilience by supporting families to build the habits and mindsets towards financial health that become the foundation. Savings are reframed from </w:t>
      </w:r>
      <w:r w:rsidRPr="00D55C94">
        <w:rPr>
          <w:rFonts w:ascii="Times New Roman" w:hAnsi="Times New Roman" w:cs="Times New Roman"/>
        </w:rPr>
        <w:lastRenderedPageBreak/>
        <w:t>a crisis or something we do occasionally, into a daily or weekly rhythm. Spending is tracked and reflected upon as an experience, not a judgment. Decisions are co-practiced; for families, this means bringing children into decisions that are often hidden until adulthood. Over time, the practices help families to build knowledge and build resilience to predatory financial products, cycles of debt, and cultures around money. Doroscan highlights that resilience comes from diversifying and preparing; by simulating and practicing financial behaviours in low-stakes situations, families diversify their skill set and prepare to participate in real-life financial situations without taking chances. Medium-length reflection: It is helpful to pause here to problematize how this assistant differs from the more typical financial literacy interventions, which are often based on workshops, booklets, or online courses that present passive, static content. The assistant is the opposite: dynamic, adaptive, and ongoing. It meets families where they are: on their phones, in their living rooms, having voiced interactions, rather than asking them to step into awkward institutional environments. It learns from use and interaction, adapting to ensure relevance. In this way, the assistant is less of a financial literacy device that adopts "one size fits all" and more like a trusted family advisor or mentor than an objective course.</w:t>
      </w:r>
    </w:p>
    <w:p w14:paraId="2AF21987"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b/>
          <w:bCs/>
        </w:rPr>
        <w:t>Longer analysis:</w:t>
      </w:r>
      <w:r w:rsidRPr="00D55C94">
        <w:rPr>
          <w:rFonts w:ascii="Times New Roman" w:hAnsi="Times New Roman" w:cs="Times New Roman"/>
        </w:rPr>
        <w:t xml:space="preserve"> Strategically, Phase 1 is also a requirement for Phase 2; the assistant embeds financial literacy and builds trust habits beforehand. There is more value in asking low-income communities to enter shared space in Phase 2, with the assistant having established a common language, norms of behavior, and capacity within the participant. This order is important. Phase 1 builds a runway of readiness rather than putting vulnerable families at risk of financial products too soon. This is no different than my entrepreneurial journey to test what foundations of trust and discipline are needed before we can scale, or reconsidering how I pitched and sold technology to families. Selling technology to families was about more than just price and features. Selling was about persistence and service, with </w:t>
      </w:r>
      <w:r w:rsidRPr="00D55C94">
        <w:rPr>
          <w:rFonts w:ascii="Times New Roman" w:hAnsi="Times New Roman" w:cs="Times New Roman"/>
        </w:rPr>
        <w:lastRenderedPageBreak/>
        <w:t>many-layered moments of demonstrating reliability and trust. The same is true here; the assistant is not a financial tool, per se. It is a trust-building relationship that lays the foundation for the more linked and regulated financial model to come.</w:t>
      </w:r>
    </w:p>
    <w:p w14:paraId="24CA0FCF" w14:textId="77777777" w:rsidR="00AA4A68" w:rsidRDefault="00AA4A68" w:rsidP="00AA4A68">
      <w:pPr>
        <w:spacing w:line="480" w:lineRule="auto"/>
        <w:rPr>
          <w:rFonts w:ascii="Times New Roman" w:hAnsi="Times New Roman" w:cs="Times New Roman"/>
        </w:rPr>
      </w:pPr>
      <w:r w:rsidRPr="00D55C94">
        <w:rPr>
          <w:rFonts w:ascii="Times New Roman" w:hAnsi="Times New Roman" w:cs="Times New Roman"/>
        </w:rPr>
        <w:t>In summary, Phase 1 of this capstone represents more than a new craft in technological innovation and intervention. It is a system designed to bring voice AI, behavioural psychology, and trust-first practice to enact financial resilience at the family level. What makes it unique is that it is positioned not as a fintech product that is seeking to solve for profit, but as a literacy tool that pursues capability, confidence, and trust. It is grounded in lived experience and internal reflection from my practice, and is aligned with emerging thought leadership on motivation (Cable, 2018) and measuring innovation (Kirsner, 2021). By focusing on behavioural trust rather than financial returns, Phase 1 prepares for Phase 2, whilst ensuring the latter is responsible, systemic, and engaging for moving into regulated community finance, financial transitions, and accountability and sustainability.</w:t>
      </w:r>
    </w:p>
    <w:p w14:paraId="76CD41C7" w14:textId="77777777" w:rsidR="00AA4A68" w:rsidRDefault="00AA4A68" w:rsidP="00AA4A68">
      <w:pPr>
        <w:spacing w:line="480" w:lineRule="auto"/>
        <w:rPr>
          <w:rFonts w:ascii="Times New Roman" w:hAnsi="Times New Roman" w:cs="Times New Roman"/>
        </w:rPr>
      </w:pPr>
    </w:p>
    <w:p w14:paraId="3B61575E" w14:textId="77777777" w:rsidR="00AA4A68" w:rsidRPr="00D55C94" w:rsidRDefault="00AA4A68" w:rsidP="00AA4A68">
      <w:pPr>
        <w:spacing w:line="480" w:lineRule="auto"/>
        <w:rPr>
          <w:rFonts w:ascii="Times New Roman" w:hAnsi="Times New Roman" w:cs="Times New Roman"/>
          <w:b/>
          <w:bCs/>
        </w:rPr>
      </w:pPr>
      <w:r w:rsidRPr="00B63505">
        <w:rPr>
          <w:rFonts w:ascii="Times New Roman" w:hAnsi="Times New Roman" w:cs="Times New Roman"/>
          <w:b/>
          <w:bCs/>
        </w:rPr>
        <w:t xml:space="preserve">Section 4: Phase 2 </w:t>
      </w:r>
      <w:r>
        <w:rPr>
          <w:rFonts w:ascii="Times New Roman" w:hAnsi="Times New Roman" w:cs="Times New Roman"/>
          <w:b/>
          <w:bCs/>
        </w:rPr>
        <w:t xml:space="preserve"> </w:t>
      </w:r>
      <w:r w:rsidRPr="00B63505">
        <w:rPr>
          <w:rFonts w:ascii="Times New Roman" w:hAnsi="Times New Roman" w:cs="Times New Roman"/>
          <w:b/>
          <w:bCs/>
        </w:rPr>
        <w:t xml:space="preserve"> Regulated Community Finance Model</w:t>
      </w:r>
    </w:p>
    <w:p w14:paraId="20619687"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Phase 2 of this reinvention aims to build upon the trust and literacy base established in Phase 1 by creating a formalized, regulated financial ecosystem. The idea is to create a community-owned lending and remittance platform, not just regulated, but one that is built, almost entirely, on the foundation of behavioural trust and engaged community participation. Whereas Phase 1 is centered on education, discipline, and simulated financing, Phase 2 offers a real financial engagement, with the same principles of transparency, inclusion, and cultural sensitivity. This is the phase where we shift from micro-behavioural resilience to macro-community empowerment.</w:t>
      </w:r>
    </w:p>
    <w:p w14:paraId="5AD889AA"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lastRenderedPageBreak/>
        <w:t>The logic for lending and remittance platforms focused on the community is not new. Informal models have existed for centuries as rotating credit associations, savings groups, and migrant remittance corridors. These informal practices have lacked regulation, solvency when fewer than a proportion of members default, and have rarely received recognition by traditional regulatory oversight. Through my own experiences, lending and investment practices among migrants have involved trust, which was the engine that propelled them forward, but it was also a weakness that made them more fragile. My Why Trust Comes Before the Investment (Doroscan, 2025h) piece demonstrates this point: if a community invests without structure, the loss is not just financial; the loss is relational, which can be worth more than the loss of capital. Phase 2 of the project addresses this challenge by placing the same afforded behavior of trust at the center, but creating a structure. Local governance oversight and legitimacy will be injected into the action, essentially giving credence to the effort. The governing structure of the platform will be either a regulated not-for-profit financial organization or a member-owned cooperative, with membership restricted to those who have completed the financial literacy components in phase 1. This sequencing idea sets the tone and prepares participants, providing a common language for their work and shared norms. Membership will allow for lending to occur based on behaviour-led risk scoring rather than traditional credit scores (which often serve to exclude those who lack a formal borrowing history). Behaviour-led metrics (such as engagement with financial literacy modules, performance in savings simulation, and peer endorsement) will contribute to a composite credibility score. The score will not serve as an absolute yes-no indicator; instead, it will fall into consideration alongside a collective peer voting process. The underlying foundation is to turn financial credibility into a marker of community-based assessment rather than an individual or institutional barrier, giving way to collaborative decision-making processes.</w:t>
      </w:r>
    </w:p>
    <w:p w14:paraId="402629AE"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lastRenderedPageBreak/>
        <w:t>Collaborative decision-making will be developed within the voting process to mirror the collaborative structures discussed in phase 2. Loan applications will circulate through well-defined steps, including intake, automated eligibility checks, peer deliberation, and community vote. There will be thresholds for approval, such as the number of peer approvals from within a lending circle, as well as automated checks for affordability and compliance, which will be integrated into the approval service to reach a final approval. The premise is to prevent any one person or organization from exercising excessive decision authority. Building trust is dispersed through shared accountability on each person's part. This is illustrative of the trust framework described in the earlier section, where participation becomes a form of credibility and trust, and where collective responsibility for monetary decisions becomes collective rather than directed by an institution or individual.</w:t>
      </w:r>
    </w:p>
    <w:p w14:paraId="1319D9C5"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The platform would create a unique mix of automation and human judgment to balance efficiency and empathy. Trust and reputation are built using an open ledger that records all transactions, votes, and repayments of all members, allowing transactions or reputation that are visible rather than situational or abstract. Members also build reputation through conversation, voting responsibly, and keeping their word. Over time, reputation becomes collateral in itself. Formulating this ideological structure is consistent with Cable (2018), which states that motivation and trust are compounded when people can physically experience some ownership and responsibility over their context. When members recognize the role their actions play in the way others will recognize them, they will conduct themselves with greater integrity or discipline.</w:t>
      </w:r>
    </w:p>
    <w:p w14:paraId="61C42112"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The model also incorporates elements of gamification and simulation. Just as phase 1 provided families the opportunity to practice savings behaviours in a risk-free environment, phase 2 includes pre-lending simulation opportunities where members must still demonstrate a capacity to repay in a controlled environment. Imagine, a member must simulate repayment </w:t>
      </w:r>
      <w:r w:rsidRPr="00D55C94">
        <w:rPr>
          <w:rFonts w:ascii="Times New Roman" w:hAnsi="Times New Roman" w:cs="Times New Roman"/>
        </w:rPr>
        <w:lastRenderedPageBreak/>
        <w:t>for three months prior to applying for a real loan, with their habitual nature to pay tracked on regularity and reliability for that period. If the member performs, they will have synthesized a successfully realised experience that contributes to their credibility, providing their peers with yet another level of reassurance. This contributes to insulating the community against the regular risks of debt, while ultimately contributing to the empowerment of members using behaviours that generate confidence-building, even before an obligation takes place. Thus, gamification is not all surface and a tired term; gamification of behaviour is deeper, functional, and provides a track and disciplined on-ramp into legitimate credit.</w:t>
      </w:r>
    </w:p>
    <w:p w14:paraId="3C35ACD2"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b/>
          <w:bCs/>
        </w:rPr>
        <w:t>Medium-length commentary:</w:t>
      </w:r>
      <w:r w:rsidRPr="00D55C94">
        <w:rPr>
          <w:rFonts w:ascii="Times New Roman" w:hAnsi="Times New Roman" w:cs="Times New Roman"/>
        </w:rPr>
        <w:t xml:space="preserve"> The model also considers remittances as a reality of the financial life of migrants. In many cases, sending money across borders can be expensive, opaque, and disempowering. By incorporating regulated remittance pathways, members can send funds in a transparent manner and at lower cost, not least because remittance behaviour contributes to trust in credibility and trust metrics as well. Those who show reliability in their remittance commitments may also benefit and have priority in future lending assessments, as financial responsibility extends beyond the responsibilities associated with local obligations and beyond borders. In this process, the platform acknowledges the real complexities of the financial lives of migrants, whose money may flow across households, generations, or borders.</w:t>
      </w:r>
    </w:p>
    <w:p w14:paraId="7233C2BC"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b/>
          <w:bCs/>
        </w:rPr>
        <w:t>Extended analysis:</w:t>
      </w:r>
      <w:r w:rsidRPr="00D55C94">
        <w:rPr>
          <w:rFonts w:ascii="Times New Roman" w:hAnsi="Times New Roman" w:cs="Times New Roman"/>
        </w:rPr>
        <w:t xml:space="preserve"> Strategically speaking, Phase 2 represents a genuine disruption in how Finance is organized. Instead of situating individuals as passive consumers of financial products from afar, it empowers them as co-owners, co-decision makers, and co-beneficiaries. This inversion of roles speaks to the trust gap which was exacerbated in the aftermath of the pandemic, many communities felt abandoned by the institutions who were supposed to serve them. Quinn and Roth (2019) refer to this as the 'innovation commitment", a willingness to change not only product options, but customize offerings to be total </w:t>
      </w:r>
      <w:r w:rsidRPr="00D55C94">
        <w:rPr>
          <w:rFonts w:ascii="Times New Roman" w:hAnsi="Times New Roman" w:cs="Times New Roman"/>
        </w:rPr>
        <w:lastRenderedPageBreak/>
        <w:t>structural changes to how organizations operate. By organizing Finance through a participatory process, rather than a transactional one, this model innovates as an organizational principle, not as a feature of the product. The platform, as a principal organization, is committed to trust, participation, and transparency, and these commitments drive every element of design.</w:t>
      </w:r>
    </w:p>
    <w:p w14:paraId="46C2AD51"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This model also recognizes the realities of institutional regulations. It does not assume that innovation alone can persuade regulators or investors of its legitimacy. Instead, it explicitly prepares for approval by a regime such as the European Crowdfunding Service Providers Regulations (ECSPR) or a national credit intermediary license. AML (anti-money laundering) and KYC (know-your-customer) processes are in the mix from the get-go, welcoming participation while securing it. The platform transparently explains its pathway in phases: it will not attempt to operate as a financial institution until full approval is achieved. In this way, its innovation is not reckless; it is disciplined: its intent includes legitimacy as a precondition for such.</w:t>
      </w:r>
    </w:p>
    <w:p w14:paraId="357FE267"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From an organizational perspective, the platform calls for new approaches to governance and culture. A small professional core team maintains compliance and system stability while community volunteer mentors provide engagement and education. Roles in decision rights are mapped using RACI and RAPID frameworks. Escalation triggers are built in to manage disputes, defaults, or regulatory inquiries. This is consistent with Module 2's focus on collaboratively solving problems and creating clear structures for governance. Trust is integral but not left to fragility; it is buttressed by a straightforward process that anticipates opportunity and risk.</w:t>
      </w:r>
    </w:p>
    <w:p w14:paraId="061D6B6E"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In practice, the community finance platform does not intend to put the existing mainstream banks or credit unions in the dust; it wants to serve niches that are often ignored. Areas of </w:t>
      </w:r>
      <w:r w:rsidRPr="00D55C94">
        <w:rPr>
          <w:rFonts w:ascii="Times New Roman" w:hAnsi="Times New Roman" w:cs="Times New Roman"/>
        </w:rPr>
        <w:lastRenderedPageBreak/>
        <w:t>small or short-term loans, culturally sensitive savings plans, and services connected to migrant remittances are typically not well served by mainstream providers that apply unreasonable fees and barriers. Filling this gap provides value in ways that may not create a direct conflict with larger providers. After a period of time, agreements between credit unions or ethical banks may emerge, producing a hybrid space of productive trust and regulation.</w:t>
      </w:r>
    </w:p>
    <w:p w14:paraId="31AEFE8E"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In summary, Phase 2 turns the behavioral readiness of Phase 1 into a designed and regulated community-owned financial ecosystem. It fuses collaborative governance, behaviour-led risk scoring, and transparent reputation, building a disruptive yet disciplined alternative to mainstream Finance. The internal referencing of Why Trust Comes Before The Investment (Doroscan, 2025h) enables the model as developed in the lived experience of trust, and its fragility. External referencing, in Quinn and Roth's (2019) commitment framework and Cable's (2018) discussion of motivation and ownership, provides theoretical grounding and guidance. By embedding trust, participation, and regulation of a single system, Phase 2 is both an innovation of Finance and a reinvention of Finance, an inclusive, resilient, and future-ready model of Finance.</w:t>
      </w:r>
    </w:p>
    <w:p w14:paraId="21684BC7" w14:textId="77777777" w:rsidR="00AA4A68" w:rsidRPr="00D55C94" w:rsidRDefault="00AA4A68" w:rsidP="00AA4A68">
      <w:pPr>
        <w:spacing w:line="480" w:lineRule="auto"/>
        <w:rPr>
          <w:rFonts w:ascii="Times New Roman" w:hAnsi="Times New Roman" w:cs="Times New Roman"/>
          <w:b/>
          <w:bCs/>
        </w:rPr>
      </w:pPr>
      <w:r w:rsidRPr="00D55C94">
        <w:rPr>
          <w:rFonts w:ascii="Times New Roman" w:hAnsi="Times New Roman" w:cs="Times New Roman"/>
          <w:b/>
          <w:bCs/>
        </w:rPr>
        <w:t>Section 5: Innovation, Industry, and Trend Scan</w:t>
      </w:r>
    </w:p>
    <w:p w14:paraId="392FE1FE"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The financial industry is currently undergoing a fundamental shift driven by the convergence of technologies, societal pressures, and global crises, which have altered how people save, borrow, and transact with money. Artificial intelligence, particularly in conversational and voice-enabled form, has transitioned from the periphery of experimental fintech interventions to the mainstream of consumer finance. This process was accelerated by the pandemic, which not only normalised the digital interaction that had been gathering momentum for years previously, but also called into question the adequacy of traditional systems to support initiatives with vulnerable groups. Voice AI, explainable AI, and adaptive behavioural design </w:t>
      </w:r>
      <w:r w:rsidRPr="00D55C94">
        <w:rPr>
          <w:rFonts w:ascii="Times New Roman" w:hAnsi="Times New Roman" w:cs="Times New Roman"/>
        </w:rPr>
        <w:lastRenderedPageBreak/>
        <w:t>now sit at the forefront of innovations in support of financial inclusion strategies, providing an array of tools that can demystify access, depersonalise access, and provide a sense of education. The assistant we describe in Phase 1 fits squarely within this trajectory of development, employing AI not as a gimmick, but as a necessary bridge for families and communities who have traditionally been excluded from the standard programmes of financial literacy. Voice AI is inherently different from banking applications, which rely on consumer confidence and knowledge of patterns. Individual voice AI can engage in exchanges with users that allow for translation of complex terms, behaviours, and building trust through relational interactions. This corresponds to the McKinsey (2021) argument that creativity and innovation thrive when organisations are willing to look beyond incremental improvement to entirely new forms of engagement.</w:t>
      </w:r>
    </w:p>
    <w:p w14:paraId="7CFD98CC"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In addition to AI, there is also the rapid emergence of migrant-focused fintech solutions that directly address the lived experience of transnational financial life. Organizations such as Revolut, Tala, and WorldRemit have discovered that remittances, access to credit, and low-fee international transfers can all serve as business models abundant in unmet demand within migrant communities. Nonetheless, these innovations tend to be transactional</w:t>
      </w:r>
      <w:r>
        <w:rPr>
          <w:rFonts w:ascii="Times New Roman" w:hAnsi="Times New Roman" w:cs="Times New Roman"/>
        </w:rPr>
        <w:t xml:space="preserve">, </w:t>
      </w:r>
      <w:r w:rsidRPr="00D55C94">
        <w:rPr>
          <w:rFonts w:ascii="Times New Roman" w:hAnsi="Times New Roman" w:cs="Times New Roman"/>
        </w:rPr>
        <w:t xml:space="preserve">they enable the sender to send or the recipient to receive money across borders or provide a micro-loan. However, they do not necessarily build long-term resilience or address long-standing issues involving trust and habit building. As Doroscan (2022) notes in "Risk and Resilience in Migrant Communities," the real challenge is that migrant households often experience multiple overlapping vulnerabilities, including precarious sources of income, reliance on informal lending circles, and limited access to regulated financial institutions. To address vulnerabilities requires more than just enabling transactions </w:t>
      </w:r>
      <w:r>
        <w:rPr>
          <w:rFonts w:ascii="Times New Roman" w:hAnsi="Times New Roman" w:cs="Times New Roman"/>
        </w:rPr>
        <w:t xml:space="preserve">, </w:t>
      </w:r>
      <w:r w:rsidRPr="00D55C94">
        <w:rPr>
          <w:rFonts w:ascii="Times New Roman" w:hAnsi="Times New Roman" w:cs="Times New Roman"/>
        </w:rPr>
        <w:t xml:space="preserve"> it takes developing, reinforcing, and building a level of structural capacity to withstand shocks when they arrive. THIS is where the TRUSTED model distinguishes itself: instead of presenting itself as just </w:t>
      </w:r>
      <w:r w:rsidRPr="00D55C94">
        <w:rPr>
          <w:rFonts w:ascii="Times New Roman" w:hAnsi="Times New Roman" w:cs="Times New Roman"/>
        </w:rPr>
        <w:lastRenderedPageBreak/>
        <w:t>another fintech disruptor to lower fees or make things easier, it was developed to incorporate financial literacy, behavioural change, and community good governance as part of its very DNA. It is not about just moving money; it is about changing how financial capability is developed and sustained within communities.</w:t>
      </w:r>
    </w:p>
    <w:p w14:paraId="27DBCDE9"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The industry is also experiencing a rise in regulatory technology (RegTech) due to the dual pressures of growing compliance concerns and scaling a responsible social enterprise. Anti-money-laundering (AML), know-your-customer (KYC), and data governance frameworks are not tangential issues but are essential to an ecosystem of sustainable finance innovation. In the case of the TRUSTED model, this trend is not an inhibitor but rather an enabler as it opens an avenue to legitimacy without sacrificing its community principles. By introducing compliance processes early and openly, the platform clearly shows that inclusion and regulation are not opposing ideas; indeed, trust can be built precisely because members can see there is an element of protection. Bar Am et al. (2020) endorse that when dealing with challenging times, the ability to innovate responsibly becomes paramount, as both regulator and consumer are more attuned to risk, and more likely to be unforgiving of failure. TRUSTED addresses this need for responsible innovation by providing clear sequences in its phases </w:t>
      </w:r>
      <w:r>
        <w:rPr>
          <w:rFonts w:ascii="Times New Roman" w:hAnsi="Times New Roman" w:cs="Times New Roman"/>
        </w:rPr>
        <w:t xml:space="preserve"> </w:t>
      </w:r>
      <w:r w:rsidRPr="00D55C94">
        <w:rPr>
          <w:rFonts w:ascii="Times New Roman" w:hAnsi="Times New Roman" w:cs="Times New Roman"/>
        </w:rPr>
        <w:t xml:space="preserve"> literacy and simulation first, regulated participation second </w:t>
      </w:r>
      <w:r>
        <w:rPr>
          <w:rFonts w:ascii="Times New Roman" w:hAnsi="Times New Roman" w:cs="Times New Roman"/>
        </w:rPr>
        <w:t xml:space="preserve"> </w:t>
      </w:r>
      <w:r w:rsidRPr="00D55C94">
        <w:rPr>
          <w:rFonts w:ascii="Times New Roman" w:hAnsi="Times New Roman" w:cs="Times New Roman"/>
        </w:rPr>
        <w:t xml:space="preserve"> to ensure that no step is taken too early or irresponsibly.</w:t>
      </w:r>
    </w:p>
    <w:p w14:paraId="36772A9A"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Another salient trend is the alignment of innovation and the United Nations' Sustainable Development Goals (SDGs). The ideas of financial inclusion, quality education, and reducing inequalities, for example, resonate not only as ambitious themes but as concrete priorities for governments, NGOS, and investors. The TRUSTED model specifically advances SDG 4 (quality education) by embedding financial education into families and communities, and SDG 8 (decent work and economic growth) by providing an opportunity for responsible lending that enables entrepreneurship. Additionally, this model advances SDG 10 (reduced </w:t>
      </w:r>
      <w:r w:rsidRPr="00D55C94">
        <w:rPr>
          <w:rFonts w:ascii="Times New Roman" w:hAnsi="Times New Roman" w:cs="Times New Roman"/>
        </w:rPr>
        <w:lastRenderedPageBreak/>
        <w:t>inequalities) specifically by addressing the systemic exclusion of migrants and low-income families from the financial system. The intentional alignment with these global agendas provides both legitimacy to the project and the possibility for partnerships with NGOs, development funds, and impact investors. In this way, TRUSTED not only responds to trends in the financial services sector but is well-positioned for potential partnerships in the financial future framed by contributions to resilience, equity, and sustainability.</w:t>
      </w:r>
    </w:p>
    <w:p w14:paraId="14AA3050"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The innovation landscape provides </w:t>
      </w:r>
      <w:r>
        <w:rPr>
          <w:rFonts w:ascii="Times New Roman" w:hAnsi="Times New Roman" w:cs="Times New Roman"/>
        </w:rPr>
        <w:t>both</w:t>
      </w:r>
      <w:r w:rsidRPr="00D55C94">
        <w:rPr>
          <w:rFonts w:ascii="Times New Roman" w:hAnsi="Times New Roman" w:cs="Times New Roman"/>
        </w:rPr>
        <w:t xml:space="preserve"> opportunity </w:t>
      </w:r>
      <w:r>
        <w:rPr>
          <w:rFonts w:ascii="Times New Roman" w:hAnsi="Times New Roman" w:cs="Times New Roman"/>
        </w:rPr>
        <w:t>and</w:t>
      </w:r>
      <w:r w:rsidRPr="00D55C94">
        <w:rPr>
          <w:rFonts w:ascii="Times New Roman" w:hAnsi="Times New Roman" w:cs="Times New Roman"/>
        </w:rPr>
        <w:t xml:space="preserve"> validation, therefore, for the TRUSTED model. AI, migrant fintech, RegTech, and sustainability are converging topics that make this proposition timely and disruptive. However, it may be more significant that the integration of lived experience and community trust is incorporated into the model's design and implementation. Many industry players chase the accolade of being the most technologically innovative, and TRUSTED, in contrast, is firmly rooted in behavioral and cultural realities, making it clear that innovation is not simply an abstract concept, and importantly, it is clearly rooted in the lives of those who will benefit.</w:t>
      </w:r>
    </w:p>
    <w:p w14:paraId="600C22C9"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This is what makes it both forward-thinking and credible: TRUSTED responds to the same forces that are shaping the industry but reframes those forces around resilience, inclusiveness, and empowerment.</w:t>
      </w:r>
    </w:p>
    <w:p w14:paraId="4C9F5BED" w14:textId="77777777" w:rsidR="00AA4A68" w:rsidRPr="00D55C94" w:rsidRDefault="00AA4A68" w:rsidP="00AA4A68">
      <w:pPr>
        <w:spacing w:line="480" w:lineRule="auto"/>
        <w:rPr>
          <w:rFonts w:ascii="Times New Roman" w:hAnsi="Times New Roman" w:cs="Times New Roman"/>
          <w:b/>
          <w:bCs/>
        </w:rPr>
      </w:pPr>
      <w:r w:rsidRPr="00D55C94">
        <w:rPr>
          <w:rFonts w:ascii="Times New Roman" w:hAnsi="Times New Roman" w:cs="Times New Roman"/>
          <w:b/>
          <w:bCs/>
        </w:rPr>
        <w:t>Section 6: Impact on the Organisation and Stakeholders</w:t>
      </w:r>
    </w:p>
    <w:p w14:paraId="189663F3"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The reinvention presented in this capstone is not only a change in technology design or market positioning; it is about the profound organisational and cultural shifts it will create for employees, families, regulators, and partners. At the micro level, when the AI literacy assistant (phase 1) is deployed, the organisation's operating model will shift from product mentality to service mentality. Employees will have to develop new competencies, not only in managing AI systems, but also in interpreting the data it generates, managing stakeholder </w:t>
      </w:r>
      <w:r w:rsidRPr="00D55C94">
        <w:rPr>
          <w:rFonts w:ascii="Times New Roman" w:hAnsi="Times New Roman" w:cs="Times New Roman"/>
        </w:rPr>
        <w:lastRenderedPageBreak/>
        <w:t>engagement, and evaluating feedback loops. This represents a substantial culture shift; rather than considering themselves providers of authoritative static financial knowledge, employees will become facilitators, curators, mentors, and guardians of trust. Families will then experience the organisation not as a removed financial institution, but a co-pilot in their daily financial lives. This relational closeness brings responsibility, transparency, and accountability into the consideration of family experience, as families are likely to expect the organisation to operate with integrity at each point of contact.</w:t>
      </w:r>
    </w:p>
    <w:p w14:paraId="5C851461"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Customers, who in this model are also members and co-governers, will experience the impact of the organisation in a particularly transformational way. The customer is no longer cast in the role of the passive recipient of financial products, but rather, as an active participant in determining lending decisions, governing policies, and setting community standards. This participatory model not only increases trust; it also builds capacity. Many members may require engagement in training on collaborative decision-making, navigating conflict, and financial governance. Referring to what was discussed in Module 2, participatory workshops and peer-learning mechanisms will be instrumental in ensuring that decision-making becomes inclusive, yet sufficiently disciplined. For accountability and transparency, RACI-type matrices will be the diagnostic tool for who is responsible, accountable, consulted, and informed in decision processes. The RAPID frameworks will also play a role in facilitating escalation and resolution. By establishing collaboration in a structured manner rather than a chaotic manner, we can address the relationships of collaboration and empowerment without setting the stage for disorder.</w:t>
      </w:r>
    </w:p>
    <w:p w14:paraId="786BA26E"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Regulators are also a key stakeholder in this. The primary focus for them is whether the platform is meeting standards of consumer protection, anti-money-laundering, and systemic stability. To the regulators, the impact of TRUSTED will also be assessed as much in moral terms of innovation as in terms of discipline. By designing Phase 1 as a trial or holding an </w:t>
      </w:r>
      <w:r w:rsidRPr="00D55C94">
        <w:rPr>
          <w:rFonts w:ascii="Times New Roman" w:hAnsi="Times New Roman" w:cs="Times New Roman"/>
        </w:rPr>
        <w:lastRenderedPageBreak/>
        <w:t>education-only module (with the communications and, if desired, the research postulated as an adaptation/possible action inquiry), followed by Phase 2 as a fully compliant or regulated platform, the organisation is showing respect for compliance or regulation. This should allay the concerns of regulators and help in establishing credibility and currencies as collaborators rather than adversaries. Trust is understood as an essential factor to the long-term success of innovation partnerships (Cohen et al., 2019), and the innovation obligation requires organisations to consider the idea of not only experimenting but also institutionalising, in such a way as to demonstrate legitimacy, commitment, and longevity. TRUSTED demonstrates this by embedding compliance and governance into its architecture rather than institutions external to decision-making.</w:t>
      </w:r>
    </w:p>
    <w:p w14:paraId="544343F4"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Partnerships with NGOs, schools, and community organisations will also be significantly involved. These stakeholders will help to create a bridge, contributing to "cultural" validation and trust "acceleration." For example, when schools support the AI assistant as a literacy tool, it is more likely that families will adopt that validated literacy practice. Trust and cultural validation may also be reinforced when NGOs gather community members for workshops. The stakes here may not only be reputational but also operational, as social relationships between institutions and communities extend the organisation's reach and embed it in the community ecosystem. In future engagements, trust is sustained through transformational leadership that exhibits "adaptability" and "responsiveness" (explored in Learning by Fire, see Doroscan, 2025e). Just as a chef adapts to environmental and time pressures that lead to a finished product in a kitchen, leaders within an organisation must also adapt to pressures from community expectations, regulatory scrutiny, and the pressures imposed by technology. The ability to adapt with integrity becomes a cultural anchor for the organisation, going beyond a stage of trust.</w:t>
      </w:r>
    </w:p>
    <w:p w14:paraId="3392DA5B"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b/>
          <w:bCs/>
        </w:rPr>
        <w:lastRenderedPageBreak/>
        <w:t>More extended reflection:</w:t>
      </w:r>
      <w:r w:rsidRPr="00D55C94">
        <w:rPr>
          <w:rFonts w:ascii="Times New Roman" w:hAnsi="Times New Roman" w:cs="Times New Roman"/>
        </w:rPr>
        <w:t xml:space="preserve"> The organisational impact also plays out in risk communication and cultural alignment. For example, introducing AI into financial education induces moments of discomfort regarding privacy, surveillance, and exclusion. Similarly, the introduction of a peer-voted lending product raises potential fears of biases, favouritism, or conflict. Ignoring perceived risk is not an acceptable strategy. In fact, these perceived risks are a reality that requires an open, conscious exploration through communication strategies that address risks through explanations, transparency, and invite feedback (then engage in continuous feedback loops). Again, Module 2 outlines collaborative frameworks: it cannot be the leaders to address risk alone; risk must have accountability entwined with all stakeholders. For example, suppose a dispute arises regarding a lending decision. In that case, it may be escalated not to a faceless authority, but to a committee of peers, where community norms can be respected and trust can be sustained. As such, risk communication can be viewed as a recursive process in a participatory approach that builds trust rather than erodes it.</w:t>
      </w:r>
    </w:p>
    <w:p w14:paraId="23CFB26C"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The macro impact of this reinvention is also significant. As the organisation develops as a community-owned, trust-based financial institution, it disrupts the current finance monopoly. Then the organisation can model a working example to governments, regulators, and mainstream institutions of innovative Finance, existing or redesigning to serve rather than exclude. This process not only influences policy, but can open partnership opportunities or the attraction of replication by other marginalised or migrant communities. As argued in Anthony (2017), reinvention requires organisations to do two things at once: protect the core while also building for the future. TRUSTED exemplifies this duality,</w:t>
      </w:r>
      <w:r>
        <w:rPr>
          <w:rFonts w:ascii="Times New Roman" w:hAnsi="Times New Roman" w:cs="Times New Roman"/>
        </w:rPr>
        <w:t xml:space="preserve"> </w:t>
      </w:r>
      <w:r w:rsidRPr="00D55C94">
        <w:rPr>
          <w:rFonts w:ascii="Times New Roman" w:hAnsi="Times New Roman" w:cs="Times New Roman"/>
        </w:rPr>
        <w:t xml:space="preserve"> stabilising communities in practice through literacy and habit formation (the core), while also innovating an alternative financial institution (the future). Its impact is systemic, not just internal, </w:t>
      </w:r>
      <w:r w:rsidRPr="00D55C94">
        <w:rPr>
          <w:rFonts w:ascii="Times New Roman" w:hAnsi="Times New Roman" w:cs="Times New Roman"/>
        </w:rPr>
        <w:lastRenderedPageBreak/>
        <w:t>demonstrating what is possible through engaged innovation rooted in lived experience and leading thinking.</w:t>
      </w:r>
    </w:p>
    <w:p w14:paraId="71FC9925"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To summarise, the organisational impact of TRUSTED extends to every stakeholder group, from employees and families to regulators and partners. It requires cultural shifts, participatory governance, and brave adherence to compliance. It generates systemic influence, offering a disruptive model to challenge traditional Finance, while aligning with global priorities of inclusion, resilience, and sustainability. Internal reflective processes of adaptivity (Doroscan, 2025e) and external thought leadership, as well as organisations' commitment to innovation (Cohen et al., 2019) and dual transformation (Anthony, 2017), validate this systemic influence. There is no doubt that the reinvention is not simply about the form of a financial product or platform; it is about changing the relations in the financial space between people, money, and trust.</w:t>
      </w:r>
    </w:p>
    <w:p w14:paraId="028C1E53" w14:textId="77777777" w:rsidR="00AA4A68" w:rsidRPr="00D55C94" w:rsidRDefault="00AA4A68" w:rsidP="00AA4A68">
      <w:pPr>
        <w:spacing w:line="480" w:lineRule="auto"/>
        <w:rPr>
          <w:rFonts w:ascii="Times New Roman" w:hAnsi="Times New Roman" w:cs="Times New Roman"/>
          <w:b/>
          <w:bCs/>
        </w:rPr>
      </w:pPr>
      <w:r w:rsidRPr="00D55C94">
        <w:rPr>
          <w:rFonts w:ascii="Times New Roman" w:hAnsi="Times New Roman" w:cs="Times New Roman"/>
          <w:b/>
          <w:bCs/>
        </w:rPr>
        <w:t>Section 7: Roadmap, Simulation, and Risk</w:t>
      </w:r>
    </w:p>
    <w:p w14:paraId="54740F9F"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Creating the roadmap for the TRUSTED Finance journey will be much more than a list of tasks and milestones. It will involve thoughtfully sequencing learning, anticipating anticipated behavioral and regulatory challenges, and embedding feedback mechanisms that will allow the project to evolve in a manner that will retain the resilience necessary to change course when necessary. I have learned over the course of my career that progress is rarely linear. As I have explained in Buying the Building (Doroscan, 2025a), we do not progress in credit and Finance except in cycles of risk, correction, and adaptation; and the measure of success is not that risk is avoided, but that systems can absorb risk with sufficient resiliency to not collapse. This understanding supports the three-phase roadmap I am proposing. Each of these stages in this roadmap will be purposefully constructed, from pilot simulations to regulated community lending, with identified thresholds for when to move forward or pause. </w:t>
      </w:r>
      <w:r w:rsidRPr="00D55C94">
        <w:rPr>
          <w:rFonts w:ascii="Times New Roman" w:hAnsi="Times New Roman" w:cs="Times New Roman"/>
        </w:rPr>
        <w:lastRenderedPageBreak/>
        <w:t>The roadmap is thus a living document as opposed to a static marker along this road of learning and adaptation.</w:t>
      </w:r>
    </w:p>
    <w:p w14:paraId="03882CD2"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The first three months will be the foundational period, during which the AI literacy assistant is prototyped and tested with a small alpha group of families. Its design is refined against potential privacy breaches. This period will not showcase scaling, but will identify proof of concept. Libraries of content will need careful curation to ensure accuracy, cultural relevance, and inclusivity. The technical priorities will include setting up privacy-first data architectures, mounting voice recognition to work across accents and family contexts, and embedding initial habit-forming features. At this point, simulation is going to play an important role: families will engage in goal-setting and saving activities, without actual money changing hands. This will establish a safe space to examine behaviours, receive feedback, and make enhancements, without putting families in jeopardy. By purposely making this a low-stakes way of risk assessment, this speaks directly to Andrew’s (2017) advice when we consider opportunity and balance our sense of ambition against what is possible, while making sure not to jeopardise early success long-term for participants.</w:t>
      </w:r>
    </w:p>
    <w:p w14:paraId="1A2C278B"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The project will be conducted as a controlled pilot with 20-30 families over a 3-6 month timeframe, likely taking place in schools or through NGO partnerships. This phase is not only to stress test the technology, but also the behavioural threshold of the families using the service. For example, families who consistently engage with the platform and demonstrate a willingness to save money during a simulated three-month process may be identified as “ready” to transition to the regulated platform in Phase 2. The families who are struggling will receive nudges and/or resources directed to them for this phase prior to moving to the next phase. Transitioning the families to value thresholds and making the explicit makes it clear that transitioning onto the phase and value is not arbitrary, but in the families' purposefully choosing to express "readiness." Therefore, we are following in the position of </w:t>
      </w:r>
      <w:r w:rsidRPr="00D55C94">
        <w:rPr>
          <w:rFonts w:ascii="Times New Roman" w:hAnsi="Times New Roman" w:cs="Times New Roman"/>
        </w:rPr>
        <w:lastRenderedPageBreak/>
        <w:t>McKinsey (2020) that innovations from crisis "should commit to generating a lasting movement toward resilience," in the sense that TRUSTED Finance is not rushing into market entry; instead, we are creating a behavioural pipeline that levels participants over time.</w:t>
      </w:r>
    </w:p>
    <w:p w14:paraId="2AF5BC44"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Months 6-12 will mark the real public launch or phase 1. At this point, the assistant will be made available to a larger audience, and there will be analytics and dashboards to evidence progress. Key metrics will be engagement streak, financial learning module completion, trust delta, and parent satisfaction reports. Of course, no financial transactions will be executed in this phase. However, the simulation will become more intricate, and families will be able to support simulated loan votes, role-play, and test decision-making frameworks in groups. This layer of simulation is vital as it enables the organization to refine the peer-governance frameworks before exposure to regulatory scrutiny. The logic is similar to my lived experience of property ownership; you do not take on the full financial risk until you have rehearsed the contingencies, considered the scenarios, and understand the exposure (Doroscan, 2025a).</w:t>
      </w:r>
    </w:p>
    <w:p w14:paraId="30443C18"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Year two will be the inflection point when phase two begins to be formalized. At this point, the organization will begin to narrow the regulatory scoping through legal consultation, mapping pathways to obtain licensing, and preparing infrastructure for AML/KYC compliance. A regulatory sandbox could be utilized to showcase functionality to authorities and to develop confidence in the model. Then, as planning and legal are underway, selected families from phase one will be invited into a governance simulation to test peer-voting in decision making, conflict resolution, and escalation protocols. Once again, there will not be any real money changing hands, but the community will experience the complete lending cycle from application intake, peer decision-making, to simulated repayment tracking. This contributes to both derisking the launch of Phase 2 and establishing a culture of shared </w:t>
      </w:r>
      <w:r w:rsidRPr="00D55C94">
        <w:rPr>
          <w:rFonts w:ascii="Times New Roman" w:hAnsi="Times New Roman" w:cs="Times New Roman"/>
        </w:rPr>
        <w:lastRenderedPageBreak/>
        <w:t>responsibility among its members. By the time the appropriate regulations are received, the community will have established and adopted the practice of oversightal governance.</w:t>
      </w:r>
    </w:p>
    <w:p w14:paraId="44C231D2"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Risk, however, cannot be managed carefully through simulation alone. As noted in the roadmap, there are certain identified risk zones, and while caution must be taken, these are legal and ethical risk zones not to be ignored. Data privacy is the most immediate concern, especially when families and children are involved. Precise mechanisms from day one to report verify parental consent, anonymised data logs, and clear boundaries for 'do not advise' should be in place. In Phase 2, risks expand to include possible peer bias during the peer-voting process, conflicts of interest, and reputational risk associated with managing loans that fail. There are controls in place to avoid or mitigate these risks, for example, the implementation of clearly defined criteria for decision-making, including independent auditing and established pathways for escalation, as outlined in Module 2, as well as collaborative decision-making. Other ethical risks include possible mission drift as the platform, under stress to grow, rolls back requirements for inclusion or transparency. This is the very reason sustainability and governance must be guiding principles so that TRUSTED Finance avoids the short-termism that represents the seal of death for most fintechs.</w:t>
      </w:r>
    </w:p>
    <w:p w14:paraId="68FE1B9B"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Feedback loops are variable mechanisms that are central to adaptive learning in the roadmap. In every phase of development, from alpha to pilot, public launch, and regulatory preparation, there will be data to collect, review, and act upon. Families will provide feedback about usability and trust, mentors will report on progress with behaviours, and engagement with regulators will provide clarity. These feedback loops will ensure that there is no drift away from the mission or silence any stakeholder concerns about practices. More importantly, they will instil a culture of humility that will be essential to TRUSTED Finance as an organisation: this is the understanding that no roadmap is perfect, and to be responsive and change course is a display of strength and not weakness. McKinsey (2020) noted a similar anecdote in their </w:t>
      </w:r>
      <w:r w:rsidRPr="00D55C94">
        <w:rPr>
          <w:rFonts w:ascii="Times New Roman" w:hAnsi="Times New Roman" w:cs="Times New Roman"/>
        </w:rPr>
        <w:lastRenderedPageBreak/>
        <w:t>analysis of organisations that came through the unsecured period of crisis the strongest have those who have learnt to build in rapid feedback and adaptability, as opposed to sticking rigidly to the original and unchanged plan. TRUSTED Finance embodies this belief in not treating the roadmap as a rigid pathway, but as a living document that works through experiential differences.</w:t>
      </w:r>
    </w:p>
    <w:p w14:paraId="7775ECBC"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In short, where both places operate, the roadmap for TRUSTED Finance is a staged patterning of development that progresses from safe simulations to regulated community lending, based on behavioural thresholds, feedback loops, and risk management. In addition, built into the roadmap are the lessons based on lived experience, the necessity of respecting risk cycles (Doroscan, 2025a), along with Andrew's (2017) exposé on an appropriate way to think about pragmatising in order to avoid being overextended, and the discussion from McKinsey (2020). Most importantly, it is the belief that innovation around Finance is not about building technology, but trust in the behaviours and resilience of our community. By embedding pathway reflections, thresholds, and feedback, the roadmap shaped TRUSTED Finance that is not described as a disruptor of reality, but is a sustainable reinvention that, over time, will be evidenced in increasing financial literacy and inclusion.</w:t>
      </w:r>
    </w:p>
    <w:p w14:paraId="0207E9ED" w14:textId="77777777" w:rsidR="00AA4A68" w:rsidRPr="00D55C94" w:rsidRDefault="00AA4A68" w:rsidP="00AA4A68">
      <w:pPr>
        <w:spacing w:line="480" w:lineRule="auto"/>
        <w:rPr>
          <w:rFonts w:ascii="Times New Roman" w:hAnsi="Times New Roman" w:cs="Times New Roman"/>
          <w:b/>
          <w:bCs/>
        </w:rPr>
      </w:pPr>
      <w:r w:rsidRPr="00D55C94">
        <w:rPr>
          <w:rFonts w:ascii="Times New Roman" w:hAnsi="Times New Roman" w:cs="Times New Roman"/>
          <w:b/>
          <w:bCs/>
        </w:rPr>
        <w:t>Section 8: Ethical Considerations, Cultural Competence, and Alignment with the SDGs</w:t>
      </w:r>
    </w:p>
    <w:p w14:paraId="04A5E5B8"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The foundation of the TRUSTED Finance model is an ethical commitment to inclusion, equity, and empowerment. Financial exclusion is one of the most stubborn obstacles to upward mobility, especially for migrant communities and low-income families. The project aims to create access to financial knowledge and capital that is not just for the few, with literacy tools in Phase 1 and a democratically governed lending model in Phase 2. This ethical commitment is not only moral but also strategic: systems built on trust, participation, and fairness are more likely to sustain themselves over time and earn legitimacy with </w:t>
      </w:r>
      <w:r w:rsidRPr="00D55C94">
        <w:rPr>
          <w:rFonts w:ascii="Times New Roman" w:hAnsi="Times New Roman" w:cs="Times New Roman"/>
        </w:rPr>
        <w:lastRenderedPageBreak/>
        <w:t>communities and regulators. In the project, we do not consider literacy a nice-to-have; it is the first necessary step. Any lending system that lacks a shared understanding runs the risk of recreating dependencies and defaults.</w:t>
      </w:r>
    </w:p>
    <w:p w14:paraId="6B6A754C"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The framework also aligns directly with the United Nations Sustainable Development Goals, which provide a globally recognized priority anchor. SDG Goal 1, eradicating poverty, is addressed through improving access to low-cost, democratically governed, community-based Finance to reduce reliance on exploitative lenders. SDG Goal 4, quality education, is served by the AI literacy assistant in Phase 1 of the project, as it is designed to enable two generations to develop financial literacy and assistance together. SDG Goal 8, decent work and economic growth, is supported in the project design by lending to small family businesses and entrepreneurial efforts, while also promoting fair lending and collective risk participation. Ultimately, SDG 10, which is about reducing inequalities, is fundamental to the design of the model, as it places underserved populations, who are often underserved by or excluded from mainstream Finance, at its centre. The language of the UN SDG Report suggests that the project is being considered not only within a local or organisational context, but also within the context of a global focus on providing practical, scalable responses to systemic inequity that we can implement together. Cultural sensitivity is also at the centre of the ethos of TRUSTED. Financial behaviours are inherently not culturally neutral. Traditions, family dynamics, and cultural and religious rules shape them. The language, examples, and guidance given by the assistant should account for these differences rather than impose a universal solution. Practically, this means having multi-lingual pathways, supporting culturally relevant savings and lending simulation, and, even if permissible, Sharia-compliant lending models in Phase 2. The decisions made throughout the design process are culturally sensitive, but they also extend the inclusive reach of the product. McKinsey (2021) argues that the best creativity and innovation arise when solutions take the needs of our client base </w:t>
      </w:r>
      <w:r w:rsidRPr="00D55C94">
        <w:rPr>
          <w:rFonts w:ascii="Times New Roman" w:hAnsi="Times New Roman" w:cs="Times New Roman"/>
        </w:rPr>
        <w:lastRenderedPageBreak/>
        <w:t>into account and when internal or external systems build a sense of ownership. TRUSTED Finance adds cultural sensitivity, heightening trust and speeding adoption, and making it possible to have an international scale.</w:t>
      </w:r>
    </w:p>
    <w:p w14:paraId="6E22D0F3"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Looking ahead, the ethical and SDG commitment of TRUSTED Finance reinforces its potential case for regulation and cross-border replication in the future. Regulators are increasingly attuned to social purpose in finance innovation, and regulations will increasingly support initiatives that prioritise inclusion, sustainability, and fairness. Through the Merging of ethical lending principles with scalable technology, TRUSTED Finance may become an exemplar not just for its own community but for many communities across borders and time zones, producing ripple effects of financial resiliency aligned with calls for equitable growth on a global scale.</w:t>
      </w:r>
    </w:p>
    <w:p w14:paraId="48B6E580"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b/>
          <w:bCs/>
        </w:rPr>
        <w:t>Section 9:</w:t>
      </w:r>
      <w:r w:rsidRPr="00D55C94">
        <w:rPr>
          <w:rFonts w:ascii="Times New Roman" w:hAnsi="Times New Roman" w:cs="Times New Roman"/>
        </w:rPr>
        <w:t xml:space="preserve"> Reflection and Final Thoughts. Looking back over Modules 1-3 has helped bring clarity to my thinking about both business and community. In particular, Module 1 demonstrated the necessity of grounding anything in a clear vision and strategy that connects the lived experience and realities of micro aspects to the macro dynamics influencing industries and societies. In that space, I was able to reframe my own journey from the learnings of Computer King and the local lending challenge to the broader vision of community-centred financial resiliency. Module 2 encouraged me to think more deeply about how collaborative problem-solving and decision-making are not philosophical concepts but practical tools to be included in governance models, escalation models, and feedback systems. Together, Modules 1 and 2 built the scaffolding for Module 3, where disruption and reinvention were not only supported but also demanded.</w:t>
      </w:r>
    </w:p>
    <w:p w14:paraId="2B8F36A5"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The trust-based consumer offering of TRUSTED Finance represents both a product of this scaffolding and a personal reflection of my lived experience. Phase 1 flexibly responds to the </w:t>
      </w:r>
      <w:r w:rsidRPr="00D55C94">
        <w:rPr>
          <w:rFonts w:ascii="Times New Roman" w:hAnsi="Times New Roman" w:cs="Times New Roman"/>
        </w:rPr>
        <w:lastRenderedPageBreak/>
        <w:t>necessity of developing literacy and building confidence before lending and risk-taking can be undertaken responsibly. Phase 2 (pending regulation) seeks to document the trust-based principles I have witnessed in migrant communities into a model, in compliance with regulation, that is ethical and scalable. This journey has affirmed for me that innovation must be systematic, layered, and embedded in human realities before it can endure and last.</w:t>
      </w:r>
    </w:p>
    <w:p w14:paraId="303014EF"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For the future, I aspire to see TRUSTED Finance develop into an alternative, recognised, and licensed option in the financial space, proving that AI and community governance can work together for inclusion and resiliency. In this regard, this project is as much about responding to the problems of today as it is to responding to the larger question of ethical innovation in a world of disruption and instability.</w:t>
      </w:r>
    </w:p>
    <w:p w14:paraId="3F9FE91E"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Appendix A: Module 1 Summary </w:t>
      </w:r>
      <w:r>
        <w:rPr>
          <w:rFonts w:ascii="Times New Roman" w:hAnsi="Times New Roman" w:cs="Times New Roman"/>
        </w:rPr>
        <w:t xml:space="preserve"> </w:t>
      </w:r>
      <w:r w:rsidRPr="00D55C94">
        <w:rPr>
          <w:rFonts w:ascii="Times New Roman" w:hAnsi="Times New Roman" w:cs="Times New Roman"/>
        </w:rPr>
        <w:t xml:space="preserve"> Strategy Vision Canvas, SWOT Analysis, and Environmental Scan</w:t>
      </w:r>
    </w:p>
    <w:p w14:paraId="74BF0AFF"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Strategic Vision Canvas</w:t>
      </w:r>
    </w:p>
    <w:p w14:paraId="6015D671"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Module 1 created a vision framework based on </w:t>
      </w:r>
      <w:r>
        <w:rPr>
          <w:rFonts w:ascii="Times New Roman" w:hAnsi="Times New Roman" w:cs="Times New Roman"/>
        </w:rPr>
        <w:t>my</w:t>
      </w:r>
      <w:r w:rsidRPr="00D55C94">
        <w:rPr>
          <w:rFonts w:ascii="Times New Roman" w:hAnsi="Times New Roman" w:cs="Times New Roman"/>
        </w:rPr>
        <w:t xml:space="preserve"> experiences as an entrepreneur and community-builder. The vision was concerned with financial empowerment, resilience, and trust as the ideas for reinvention. As a strategic mission, </w:t>
      </w:r>
      <w:r>
        <w:rPr>
          <w:rFonts w:ascii="Times New Roman" w:hAnsi="Times New Roman" w:cs="Times New Roman"/>
        </w:rPr>
        <w:t xml:space="preserve">I </w:t>
      </w:r>
      <w:r w:rsidRPr="00D55C94">
        <w:rPr>
          <w:rFonts w:ascii="Times New Roman" w:hAnsi="Times New Roman" w:cs="Times New Roman"/>
        </w:rPr>
        <w:t xml:space="preserve"> sought to shift from a transactional business in device sales and services to a transformative role as an agent for financial inclusion, leveraging both a digital platform and community participation. The canvas identified three anchors: (1) building literacy and capacity within families, (2) creating transparent and democratic systems of Finance, and (3) aligning innovation with sustainability and inclusion post-COVID.</w:t>
      </w:r>
    </w:p>
    <w:p w14:paraId="40D085FE"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Environmental Scan</w:t>
      </w:r>
    </w:p>
    <w:p w14:paraId="1AB12C0E"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The macro external environment featured forces such as increased cost-of-living pressure, systemic trust deficits in financial services, disruption from AI and digital platforms, and </w:t>
      </w:r>
      <w:r w:rsidRPr="00D55C94">
        <w:rPr>
          <w:rFonts w:ascii="Times New Roman" w:hAnsi="Times New Roman" w:cs="Times New Roman"/>
        </w:rPr>
        <w:lastRenderedPageBreak/>
        <w:t>regulatory expectations attached to the external environment. Locally, migrant communities represented an underserved market with specific vulnerabilities around financial literacy, lending, and predatory practices. At the same time, however, opportunities were realised in a growing trend of mobile-first platforms, community trust networks, and emerging regulatory frameworks supporting ethical Finance and innovation.</w:t>
      </w:r>
    </w:p>
    <w:p w14:paraId="19F3D334"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SWOT Analysis</w:t>
      </w:r>
    </w:p>
    <w:p w14:paraId="39FA3B9F"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Strengths: Entrepreneurial track record; lived credibility with migrant communities; ability to balance and co-exist digital and human-centred relationships and trust-building; storytelling and habit-formation expertise.</w:t>
      </w:r>
    </w:p>
    <w:p w14:paraId="4FCE1269"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Weaknesses: Limited regulatory credentials; resource limitations; early-days governance mechanisms not established; over-reliance on founder credibility.</w:t>
      </w:r>
    </w:p>
    <w:p w14:paraId="2FA52335"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Opportunities: Personalisation through AI, voice-first technology for financial literacy, growth of community-based fintech, UN Sustainable Development Goals (SDG) alignment, partnerships with schools, NGOs, and credit unions.</w:t>
      </w:r>
    </w:p>
    <w:p w14:paraId="6D4472A8"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Threats: Regulatory complexity and delays, reputational risk if trust is broken, new fintechs entering the market, possible pushback by the formal finance sector, and community adoption may become unsteady if not governed inclusively.</w:t>
      </w:r>
    </w:p>
    <w:p w14:paraId="75EF7F07"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Strategic Rethinking. The learning from Module 1 reaffirmed a need to learn/rethink strategies not as nominal improvements but as disruptive reinventions. The determining factor is that truly enacting lasting impact requires a two-pronged future-facing transformational effort: i.e., stabilizing the current tomorrow as the viability-based process we currently employ while building a community-centered finance proposition for the day after tomorrow (if allowed). This dual logic positioned the organization to create systemic </w:t>
      </w:r>
      <w:r w:rsidRPr="00D55C94">
        <w:rPr>
          <w:rFonts w:ascii="Times New Roman" w:hAnsi="Times New Roman" w:cs="Times New Roman"/>
        </w:rPr>
        <w:lastRenderedPageBreak/>
        <w:t>change at the micro level (literacy for families and habit building) and macro level (regulated community finance and ecosystem partnerships).</w:t>
      </w:r>
    </w:p>
    <w:p w14:paraId="7FE9343D"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Appendix B: Module 2 Summary (Collaborative Decision-Making, and the TRUSTED Framework) </w:t>
      </w:r>
    </w:p>
    <w:p w14:paraId="3085FC60"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Module 2 focused on decision-making, authority, innovation, and collaborative problem-solving, which would later set the stage for applying the TRUSTED Decisions Framework Action-Skill, positioned in the capstone. Across the four learning outcomes, I was curious to explore how decisions in volatile community-based entrepreneurship balance speed, integrity, inclusivity, and trust. LO1 (Leadership Thinking in Decision-Making): I explored the idea that, as a leadership practice, while simultaneously "in" an uncertain environment, you basically require both structural clarity and adaptive discretion. Using Vygotsky’s scaffolding principles alongside contemporary management literature, I outlined the role of leaders in establishing context, but allowing for discretionary, empowered practice. This shaped the early consideration of the relationship between decision-making and trust, a value within Module 1, that is deemed valuable for resilience in community and enterprise.</w:t>
      </w:r>
    </w:p>
    <w:p w14:paraId="1F2FBE3A"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LO2 (Advanced Problem Solving):</w:t>
      </w:r>
    </w:p>
    <w:p w14:paraId="05A17843"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In this LO, I deliberated structured problem-solving methodologies (5 whys, decision matrices, root-cause mapping), and described how qualitative insights add to, and detract from, quantitative approaches. This deep dive confirmed the risks of 'big-data only' approaches, identifying that human-centred, contextually sensitive development of decisions is necessary for migrant, community, and business practices. These understandings informed diagnostic and evaluative aspects of the framework, ultimately iterated with the signifier of TRUSTED.</w:t>
      </w:r>
    </w:p>
    <w:p w14:paraId="1E8F56DE"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lastRenderedPageBreak/>
        <w:t>LO3 (Authority, Innovation and Integrity): I reflected on two episodes from my experience: responding to a customer non-payment crisis, and making a significant decision to make a purchase related to my business premises. Both cases showed that authority and agency are exercised not in isolation, but always in relationship with customers, staff, and other community members. In my response to the payment crisis, I used visual mapping and collective brainstorming, whilst the decision respecting property worked from a financial model and stakeholder consultation. These two episodes illustrate the necessary interplay between structural tools (of business) and the development of relational trust required for ethical and effective decision-making.</w:t>
      </w:r>
    </w:p>
    <w:p w14:paraId="7C0442C9"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xml:space="preserve">LO4 (Generate New Processes </w:t>
      </w:r>
      <w:r>
        <w:rPr>
          <w:rFonts w:ascii="Times New Roman" w:hAnsi="Times New Roman" w:cs="Times New Roman"/>
        </w:rPr>
        <w:t xml:space="preserve"> </w:t>
      </w:r>
      <w:r w:rsidRPr="00D55C94">
        <w:rPr>
          <w:rFonts w:ascii="Times New Roman" w:hAnsi="Times New Roman" w:cs="Times New Roman"/>
        </w:rPr>
        <w:t xml:space="preserve"> TRUSTED decisions framework):</w:t>
      </w:r>
    </w:p>
    <w:p w14:paraId="4A830571"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Lo4 brought the previous strands together in the development of the TRUSTED Framework, along with scaffolding in a structured yet non-linear manner, and as a collaborative decision-making process.</w:t>
      </w:r>
    </w:p>
    <w:p w14:paraId="1F749399"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The FRAMEWORK has:</w:t>
      </w:r>
    </w:p>
    <w:p w14:paraId="564F1C5D"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Stakeholder mapping and decision rights.</w:t>
      </w:r>
    </w:p>
    <w:p w14:paraId="33FFF613"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Options diversification (i.e., reduced risk accumulation).</w:t>
      </w:r>
    </w:p>
    <w:p w14:paraId="7D900C04"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There are pathways from speed and inclusivity factors(for decision making).</w:t>
      </w:r>
    </w:p>
    <w:p w14:paraId="1A2A02D8"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        Iterative learning loops (using lessons from previous decision-making)</w:t>
      </w:r>
    </w:p>
    <w:p w14:paraId="58BBE904"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The TRUSTED Framework's design was intentionally aligned with Module 1's priorities of operational stability, community trust, and financial resilience. It was developed as a cultural framework anchor to promote ethical and inclusive decision-making.</w:t>
      </w:r>
    </w:p>
    <w:p w14:paraId="3BE72268"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t>Overall Contribution:</w:t>
      </w:r>
    </w:p>
    <w:p w14:paraId="2D1FD576"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rPr>
        <w:lastRenderedPageBreak/>
        <w:t>Module 2 provided both the lived experience cases and conceptual scaffolding for the capstone's reinvention strategy. The TRUSTED Framework, ultimately named here, became the primary innovation of the TRUSTED Finance. Module 2 also established a bridge between micro-enterprise resilience and scalable community finance innovation, embedding trust in the decision-making process.</w:t>
      </w:r>
    </w:p>
    <w:p w14:paraId="394CD600"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b/>
          <w:bCs/>
        </w:rPr>
        <w:t xml:space="preserve">Full Reference List </w:t>
      </w:r>
    </w:p>
    <w:p w14:paraId="53BA9870"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b/>
          <w:bCs/>
        </w:rPr>
        <w:t>Internal Sources</w:t>
      </w:r>
    </w:p>
    <w:p w14:paraId="3876E3BE" w14:textId="77777777" w:rsidR="00AA4A68" w:rsidRPr="00D55C94" w:rsidRDefault="00AA4A68" w:rsidP="00AA4A68">
      <w:pPr>
        <w:numPr>
          <w:ilvl w:val="0"/>
          <w:numId w:val="1"/>
        </w:numPr>
        <w:spacing w:line="480" w:lineRule="auto"/>
        <w:rPr>
          <w:rFonts w:ascii="Times New Roman" w:hAnsi="Times New Roman" w:cs="Times New Roman"/>
        </w:rPr>
      </w:pPr>
      <w:r w:rsidRPr="00D55C94">
        <w:rPr>
          <w:rFonts w:ascii="Times New Roman" w:hAnsi="Times New Roman" w:cs="Times New Roman"/>
        </w:rPr>
        <w:t xml:space="preserve">Doroscan, E. (2025a). </w:t>
      </w:r>
      <w:r w:rsidRPr="00D55C94">
        <w:rPr>
          <w:rFonts w:ascii="Times New Roman" w:hAnsi="Times New Roman" w:cs="Times New Roman"/>
          <w:i/>
          <w:iCs/>
        </w:rPr>
        <w:t>Buying the building: What I learned about credit, lending, and creating opportunity.</w:t>
      </w:r>
      <w:r w:rsidRPr="00D55C94">
        <w:rPr>
          <w:rFonts w:ascii="Times New Roman" w:hAnsi="Times New Roman" w:cs="Times New Roman"/>
        </w:rPr>
        <w:t xml:space="preserve"> Substack. </w:t>
      </w:r>
      <w:hyperlink r:id="rId5" w:tgtFrame="_blank" w:history="1">
        <w:r w:rsidRPr="00D55C94">
          <w:rPr>
            <w:rStyle w:val="Hyperlink"/>
            <w:rFonts w:ascii="Times New Roman" w:hAnsi="Times New Roman" w:cs="Times New Roman"/>
          </w:rPr>
          <w:t>https://doroscan.substack.com/p/buying-the-building-what-i-learned</w:t>
        </w:r>
      </w:hyperlink>
    </w:p>
    <w:p w14:paraId="440BCECF" w14:textId="77777777" w:rsidR="00AA4A68" w:rsidRPr="00D55C94" w:rsidRDefault="00AA4A68" w:rsidP="00AA4A68">
      <w:pPr>
        <w:numPr>
          <w:ilvl w:val="0"/>
          <w:numId w:val="1"/>
        </w:numPr>
        <w:spacing w:line="480" w:lineRule="auto"/>
        <w:rPr>
          <w:rFonts w:ascii="Times New Roman" w:hAnsi="Times New Roman" w:cs="Times New Roman"/>
        </w:rPr>
      </w:pPr>
      <w:r w:rsidRPr="00D55C94">
        <w:rPr>
          <w:rFonts w:ascii="Times New Roman" w:hAnsi="Times New Roman" w:cs="Times New Roman"/>
        </w:rPr>
        <w:t xml:space="preserve">Doroscan, E. (2025b). </w:t>
      </w:r>
      <w:r w:rsidRPr="00D55C94">
        <w:rPr>
          <w:rFonts w:ascii="Times New Roman" w:hAnsi="Times New Roman" w:cs="Times New Roman"/>
          <w:i/>
          <w:iCs/>
        </w:rPr>
        <w:t>Don’t put all your eggs in one Basket: A practice-based perspective on risk, resilience, and responsible investing in migrant communities.</w:t>
      </w:r>
      <w:r w:rsidRPr="00D55C94">
        <w:rPr>
          <w:rFonts w:ascii="Times New Roman" w:hAnsi="Times New Roman" w:cs="Times New Roman"/>
        </w:rPr>
        <w:t xml:space="preserve"> Medium. </w:t>
      </w:r>
      <w:hyperlink r:id="rId6" w:tgtFrame="_blank" w:history="1">
        <w:r w:rsidRPr="00D55C94">
          <w:rPr>
            <w:rStyle w:val="Hyperlink"/>
            <w:rFonts w:ascii="Times New Roman" w:hAnsi="Times New Roman" w:cs="Times New Roman"/>
          </w:rPr>
          <w:t>https://medium.com/@emanueldoroscan52/dont-put-all-your-eggs-in-one-basket-a-practice-based-perspective-on-risk-resilience-and-011c05c74487</w:t>
        </w:r>
      </w:hyperlink>
    </w:p>
    <w:p w14:paraId="1409AC6D" w14:textId="77777777" w:rsidR="00AA4A68" w:rsidRPr="00D55C94" w:rsidRDefault="00AA4A68" w:rsidP="00AA4A68">
      <w:pPr>
        <w:numPr>
          <w:ilvl w:val="0"/>
          <w:numId w:val="1"/>
        </w:numPr>
        <w:spacing w:line="480" w:lineRule="auto"/>
        <w:rPr>
          <w:rFonts w:ascii="Times New Roman" w:hAnsi="Times New Roman" w:cs="Times New Roman"/>
        </w:rPr>
      </w:pPr>
      <w:r w:rsidRPr="00D55C94">
        <w:rPr>
          <w:rFonts w:ascii="Times New Roman" w:hAnsi="Times New Roman" w:cs="Times New Roman"/>
        </w:rPr>
        <w:t xml:space="preserve">Doroscan, E. (2025c). </w:t>
      </w:r>
      <w:r w:rsidRPr="00D55C94">
        <w:rPr>
          <w:rFonts w:ascii="Times New Roman" w:hAnsi="Times New Roman" w:cs="Times New Roman"/>
          <w:i/>
          <w:iCs/>
        </w:rPr>
        <w:t>From door-to-door to digital resilience: A migrant entrepreneur’s journey through Computer King in post-crisis Ireland.</w:t>
      </w:r>
      <w:r w:rsidRPr="00D55C94">
        <w:rPr>
          <w:rFonts w:ascii="Times New Roman" w:hAnsi="Times New Roman" w:cs="Times New Roman"/>
        </w:rPr>
        <w:t xml:space="preserve"> Medium. </w:t>
      </w:r>
      <w:hyperlink r:id="rId7" w:tgtFrame="_blank" w:history="1">
        <w:r w:rsidRPr="00D55C94">
          <w:rPr>
            <w:rStyle w:val="Hyperlink"/>
            <w:rFonts w:ascii="Times New Roman" w:hAnsi="Times New Roman" w:cs="Times New Roman"/>
          </w:rPr>
          <w:t>https://medium.com/@emanueldoroscan52/from-door-to-door-to-digital-resilience-a-migrant-entrepreneurs-journey-through-computer-king-in-0405b725abb1</w:t>
        </w:r>
      </w:hyperlink>
    </w:p>
    <w:p w14:paraId="5228812D" w14:textId="77777777" w:rsidR="00AA4A68" w:rsidRPr="00D55C94" w:rsidRDefault="00AA4A68" w:rsidP="00AA4A68">
      <w:pPr>
        <w:numPr>
          <w:ilvl w:val="0"/>
          <w:numId w:val="1"/>
        </w:numPr>
        <w:spacing w:line="480" w:lineRule="auto"/>
        <w:rPr>
          <w:rFonts w:ascii="Times New Roman" w:hAnsi="Times New Roman" w:cs="Times New Roman"/>
        </w:rPr>
      </w:pPr>
      <w:r w:rsidRPr="00D55C94">
        <w:rPr>
          <w:rFonts w:ascii="Times New Roman" w:hAnsi="Times New Roman" w:cs="Times New Roman"/>
        </w:rPr>
        <w:t xml:space="preserve">Doroscan, E. (2025d). </w:t>
      </w:r>
      <w:r w:rsidRPr="00D55C94">
        <w:rPr>
          <w:rFonts w:ascii="Times New Roman" w:hAnsi="Times New Roman" w:cs="Times New Roman"/>
          <w:i/>
          <w:iCs/>
        </w:rPr>
        <w:t>Invest in yourself first: Community-based financial literacy and micro-investing among migrant workers in Ireland.</w:t>
      </w:r>
      <w:r w:rsidRPr="00D55C94">
        <w:rPr>
          <w:rFonts w:ascii="Times New Roman" w:hAnsi="Times New Roman" w:cs="Times New Roman"/>
        </w:rPr>
        <w:t xml:space="preserve"> Medium. </w:t>
      </w:r>
      <w:hyperlink r:id="rId8" w:tgtFrame="_blank" w:history="1">
        <w:r w:rsidRPr="00D55C94">
          <w:rPr>
            <w:rStyle w:val="Hyperlink"/>
            <w:rFonts w:ascii="Times New Roman" w:hAnsi="Times New Roman" w:cs="Times New Roman"/>
          </w:rPr>
          <w:t>https://medium.com/@emanueldoroscan52/invest-in-yourself-first-community-based-financial-literacy-and-micro-investing-among-migrant-66d0bd7aa456</w:t>
        </w:r>
      </w:hyperlink>
    </w:p>
    <w:p w14:paraId="76F0824C" w14:textId="77777777" w:rsidR="00AA4A68" w:rsidRPr="00D55C94" w:rsidRDefault="00AA4A68" w:rsidP="00AA4A68">
      <w:pPr>
        <w:numPr>
          <w:ilvl w:val="0"/>
          <w:numId w:val="1"/>
        </w:numPr>
        <w:spacing w:line="480" w:lineRule="auto"/>
        <w:rPr>
          <w:rFonts w:ascii="Times New Roman" w:hAnsi="Times New Roman" w:cs="Times New Roman"/>
        </w:rPr>
      </w:pPr>
      <w:r w:rsidRPr="00D55C94">
        <w:rPr>
          <w:rFonts w:ascii="Times New Roman" w:hAnsi="Times New Roman" w:cs="Times New Roman"/>
        </w:rPr>
        <w:lastRenderedPageBreak/>
        <w:t xml:space="preserve">Doroscan, E. (2025e). </w:t>
      </w:r>
      <w:r w:rsidRPr="00D55C94">
        <w:rPr>
          <w:rFonts w:ascii="Times New Roman" w:hAnsi="Times New Roman" w:cs="Times New Roman"/>
          <w:i/>
          <w:iCs/>
        </w:rPr>
        <w:t>Learning by Fire: A Practice-Based Reflection on Culinary Identity, Leadership, and Innovation.</w:t>
      </w:r>
      <w:r w:rsidRPr="00D55C94">
        <w:rPr>
          <w:rFonts w:ascii="Times New Roman" w:hAnsi="Times New Roman" w:cs="Times New Roman"/>
        </w:rPr>
        <w:t xml:space="preserve"> Substack. </w:t>
      </w:r>
      <w:hyperlink r:id="rId9" w:tgtFrame="_blank" w:history="1">
        <w:r w:rsidRPr="00D55C94">
          <w:rPr>
            <w:rStyle w:val="Hyperlink"/>
            <w:rFonts w:ascii="Times New Roman" w:hAnsi="Times New Roman" w:cs="Times New Roman"/>
          </w:rPr>
          <w:t>https://doroscan.substack.com/p/learning-by-fire-a-practice-based</w:t>
        </w:r>
      </w:hyperlink>
    </w:p>
    <w:p w14:paraId="03C38D7B" w14:textId="77777777" w:rsidR="00AA4A68" w:rsidRPr="00D55C94" w:rsidRDefault="00AA4A68" w:rsidP="00AA4A68">
      <w:pPr>
        <w:numPr>
          <w:ilvl w:val="0"/>
          <w:numId w:val="1"/>
        </w:numPr>
        <w:spacing w:line="480" w:lineRule="auto"/>
        <w:rPr>
          <w:rFonts w:ascii="Times New Roman" w:hAnsi="Times New Roman" w:cs="Times New Roman"/>
        </w:rPr>
      </w:pPr>
      <w:r w:rsidRPr="00D55C94">
        <w:rPr>
          <w:rFonts w:ascii="Times New Roman" w:hAnsi="Times New Roman" w:cs="Times New Roman"/>
        </w:rPr>
        <w:t xml:space="preserve">Doroscan, E. (2025f). </w:t>
      </w:r>
      <w:r w:rsidRPr="00D55C94">
        <w:rPr>
          <w:rFonts w:ascii="Times New Roman" w:hAnsi="Times New Roman" w:cs="Times New Roman"/>
          <w:i/>
          <w:iCs/>
        </w:rPr>
        <w:t>The letter after my name won’t define me, but the work behind it will.</w:t>
      </w:r>
      <w:r w:rsidRPr="00D55C94">
        <w:rPr>
          <w:rFonts w:ascii="Times New Roman" w:hAnsi="Times New Roman" w:cs="Times New Roman"/>
        </w:rPr>
        <w:t xml:space="preserve"> Substack. </w:t>
      </w:r>
      <w:hyperlink r:id="rId10" w:tgtFrame="_blank" w:history="1">
        <w:r w:rsidRPr="00D55C94">
          <w:rPr>
            <w:rStyle w:val="Hyperlink"/>
            <w:rFonts w:ascii="Times New Roman" w:hAnsi="Times New Roman" w:cs="Times New Roman"/>
          </w:rPr>
          <w:t>https://doroscan.substack.com/p/the-letter-after-my-name-wont-define?r=5ipnre</w:t>
        </w:r>
      </w:hyperlink>
    </w:p>
    <w:p w14:paraId="00176282" w14:textId="77777777" w:rsidR="00AA4A68" w:rsidRPr="00D55C94" w:rsidRDefault="00AA4A68" w:rsidP="00AA4A68">
      <w:pPr>
        <w:numPr>
          <w:ilvl w:val="0"/>
          <w:numId w:val="1"/>
        </w:numPr>
        <w:spacing w:line="480" w:lineRule="auto"/>
        <w:rPr>
          <w:rFonts w:ascii="Times New Roman" w:hAnsi="Times New Roman" w:cs="Times New Roman"/>
        </w:rPr>
      </w:pPr>
      <w:r w:rsidRPr="00D55C94">
        <w:rPr>
          <w:rFonts w:ascii="Times New Roman" w:hAnsi="Times New Roman" w:cs="Times New Roman"/>
        </w:rPr>
        <w:t xml:space="preserve">Doroscan, E. (2025g). </w:t>
      </w:r>
      <w:r w:rsidRPr="00D55C94">
        <w:rPr>
          <w:rFonts w:ascii="Times New Roman" w:hAnsi="Times New Roman" w:cs="Times New Roman"/>
          <w:i/>
          <w:iCs/>
        </w:rPr>
        <w:t>You don’t need more money; you need a better habit.</w:t>
      </w:r>
      <w:r w:rsidRPr="00D55C94">
        <w:rPr>
          <w:rFonts w:ascii="Times New Roman" w:hAnsi="Times New Roman" w:cs="Times New Roman"/>
        </w:rPr>
        <w:t xml:space="preserve"> Substack. </w:t>
      </w:r>
      <w:hyperlink r:id="rId11" w:tgtFrame="_blank" w:history="1">
        <w:r w:rsidRPr="00D55C94">
          <w:rPr>
            <w:rStyle w:val="Hyperlink"/>
            <w:rFonts w:ascii="Times New Roman" w:hAnsi="Times New Roman" w:cs="Times New Roman"/>
          </w:rPr>
          <w:t>https://doroscan.substack.com/p/you-dont-need-more-moneyyou-need?r=5ipnre</w:t>
        </w:r>
      </w:hyperlink>
    </w:p>
    <w:p w14:paraId="1C2AB8E5" w14:textId="77777777" w:rsidR="00AA4A68" w:rsidRPr="00D55C94" w:rsidRDefault="00AA4A68" w:rsidP="00AA4A68">
      <w:pPr>
        <w:numPr>
          <w:ilvl w:val="0"/>
          <w:numId w:val="1"/>
        </w:numPr>
        <w:spacing w:line="480" w:lineRule="auto"/>
        <w:rPr>
          <w:rFonts w:ascii="Times New Roman" w:hAnsi="Times New Roman" w:cs="Times New Roman"/>
        </w:rPr>
      </w:pPr>
      <w:r w:rsidRPr="00D55C94">
        <w:rPr>
          <w:rFonts w:ascii="Times New Roman" w:hAnsi="Times New Roman" w:cs="Times New Roman"/>
        </w:rPr>
        <w:t xml:space="preserve">Doroscan, E. (2025h). </w:t>
      </w:r>
      <w:r w:rsidRPr="00D55C94">
        <w:rPr>
          <w:rFonts w:ascii="Times New Roman" w:hAnsi="Times New Roman" w:cs="Times New Roman"/>
          <w:i/>
          <w:iCs/>
        </w:rPr>
        <w:t>Why trust comes before the investment: My approach to helping people with their money.</w:t>
      </w:r>
      <w:r w:rsidRPr="00D55C94">
        <w:rPr>
          <w:rFonts w:ascii="Times New Roman" w:hAnsi="Times New Roman" w:cs="Times New Roman"/>
        </w:rPr>
        <w:t xml:space="preserve"> [Internal document, unpublished PDF].</w:t>
      </w:r>
    </w:p>
    <w:p w14:paraId="2E03EE5A" w14:textId="77777777" w:rsidR="00AA4A68" w:rsidRPr="00D55C94" w:rsidRDefault="00AA4A68" w:rsidP="00AA4A68">
      <w:pPr>
        <w:spacing w:line="480" w:lineRule="auto"/>
        <w:rPr>
          <w:rFonts w:ascii="Times New Roman" w:hAnsi="Times New Roman" w:cs="Times New Roman"/>
        </w:rPr>
      </w:pPr>
      <w:r w:rsidRPr="00D55C94">
        <w:rPr>
          <w:rFonts w:ascii="Times New Roman" w:hAnsi="Times New Roman" w:cs="Times New Roman"/>
          <w:b/>
          <w:bCs/>
        </w:rPr>
        <w:t>External Sources</w:t>
      </w:r>
    </w:p>
    <w:p w14:paraId="67DBCCE8" w14:textId="77777777" w:rsidR="00AA4A68" w:rsidRPr="00D55C94" w:rsidRDefault="00AA4A68" w:rsidP="00AA4A68">
      <w:pPr>
        <w:numPr>
          <w:ilvl w:val="0"/>
          <w:numId w:val="2"/>
        </w:numPr>
        <w:spacing w:line="480" w:lineRule="auto"/>
        <w:rPr>
          <w:rFonts w:ascii="Times New Roman" w:hAnsi="Times New Roman" w:cs="Times New Roman"/>
        </w:rPr>
      </w:pPr>
      <w:r w:rsidRPr="00D55C94">
        <w:rPr>
          <w:rFonts w:ascii="Times New Roman" w:hAnsi="Times New Roman" w:cs="Times New Roman"/>
        </w:rPr>
        <w:t xml:space="preserve">Anthony, S. D. (2017, April). </w:t>
      </w:r>
      <w:r w:rsidRPr="00D55C94">
        <w:rPr>
          <w:rFonts w:ascii="Times New Roman" w:hAnsi="Times New Roman" w:cs="Times New Roman"/>
          <w:i/>
          <w:iCs/>
        </w:rPr>
        <w:t>To reinvent your firm, do two things at the same time.</w:t>
      </w:r>
      <w:r w:rsidRPr="00D55C94">
        <w:rPr>
          <w:rFonts w:ascii="Times New Roman" w:hAnsi="Times New Roman" w:cs="Times New Roman"/>
        </w:rPr>
        <w:t xml:space="preserve"> </w:t>
      </w:r>
      <w:r w:rsidRPr="00D55C94">
        <w:rPr>
          <w:rFonts w:ascii="Times New Roman" w:hAnsi="Times New Roman" w:cs="Times New Roman"/>
          <w:i/>
          <w:iCs/>
        </w:rPr>
        <w:t>Harvard Business Review</w:t>
      </w:r>
      <w:r w:rsidRPr="00D55C94">
        <w:rPr>
          <w:rFonts w:ascii="Times New Roman" w:hAnsi="Times New Roman" w:cs="Times New Roman"/>
        </w:rPr>
        <w:t xml:space="preserve">. </w:t>
      </w:r>
      <w:hyperlink r:id="rId12" w:tgtFrame="_blank" w:history="1">
        <w:r w:rsidRPr="00D55C94">
          <w:rPr>
            <w:rStyle w:val="Hyperlink"/>
            <w:rFonts w:ascii="Times New Roman" w:hAnsi="Times New Roman" w:cs="Times New Roman"/>
          </w:rPr>
          <w:t>https://hbr.org/podcast/2017/04/to-reinvent-your-firm-do-two-things-at-the-same-time</w:t>
        </w:r>
      </w:hyperlink>
    </w:p>
    <w:p w14:paraId="7650D4CB" w14:textId="77777777" w:rsidR="00AA4A68" w:rsidRPr="00D55C94" w:rsidRDefault="00AA4A68" w:rsidP="00AA4A68">
      <w:pPr>
        <w:numPr>
          <w:ilvl w:val="0"/>
          <w:numId w:val="2"/>
        </w:numPr>
        <w:spacing w:line="480" w:lineRule="auto"/>
        <w:rPr>
          <w:rFonts w:ascii="Times New Roman" w:hAnsi="Times New Roman" w:cs="Times New Roman"/>
        </w:rPr>
      </w:pPr>
      <w:r w:rsidRPr="00D55C94">
        <w:rPr>
          <w:rFonts w:ascii="Times New Roman" w:hAnsi="Times New Roman" w:cs="Times New Roman"/>
        </w:rPr>
        <w:t xml:space="preserve">Kirsner, S. (2021, March). </w:t>
      </w:r>
      <w:r w:rsidRPr="00D55C94">
        <w:rPr>
          <w:rFonts w:ascii="Times New Roman" w:hAnsi="Times New Roman" w:cs="Times New Roman"/>
          <w:i/>
          <w:iCs/>
        </w:rPr>
        <w:t>Don’t let financial metrics prematurely stifle innovation.</w:t>
      </w:r>
      <w:r w:rsidRPr="00D55C94">
        <w:rPr>
          <w:rFonts w:ascii="Times New Roman" w:hAnsi="Times New Roman" w:cs="Times New Roman"/>
        </w:rPr>
        <w:t xml:space="preserve"> </w:t>
      </w:r>
      <w:r w:rsidRPr="00D55C94">
        <w:rPr>
          <w:rFonts w:ascii="Times New Roman" w:hAnsi="Times New Roman" w:cs="Times New Roman"/>
          <w:i/>
          <w:iCs/>
        </w:rPr>
        <w:t>Harvard Business Review</w:t>
      </w:r>
      <w:r w:rsidRPr="00D55C94">
        <w:rPr>
          <w:rFonts w:ascii="Times New Roman" w:hAnsi="Times New Roman" w:cs="Times New Roman"/>
        </w:rPr>
        <w:t xml:space="preserve">. </w:t>
      </w:r>
      <w:hyperlink r:id="rId13" w:tgtFrame="_blank" w:history="1">
        <w:r w:rsidRPr="00D55C94">
          <w:rPr>
            <w:rStyle w:val="Hyperlink"/>
            <w:rFonts w:ascii="Times New Roman" w:hAnsi="Times New Roman" w:cs="Times New Roman"/>
          </w:rPr>
          <w:t>https://hbr.org/2021/03/dont-let-financial-metrics-prematurely-stifle-innovation</w:t>
        </w:r>
      </w:hyperlink>
    </w:p>
    <w:p w14:paraId="16005AE5" w14:textId="77777777" w:rsidR="00AA4A68" w:rsidRPr="00D55C94" w:rsidRDefault="00AA4A68" w:rsidP="00AA4A68">
      <w:pPr>
        <w:numPr>
          <w:ilvl w:val="0"/>
          <w:numId w:val="2"/>
        </w:numPr>
        <w:spacing w:line="480" w:lineRule="auto"/>
        <w:rPr>
          <w:rFonts w:ascii="Times New Roman" w:hAnsi="Times New Roman" w:cs="Times New Roman"/>
        </w:rPr>
      </w:pPr>
      <w:r w:rsidRPr="00D55C94">
        <w:rPr>
          <w:rFonts w:ascii="Times New Roman" w:hAnsi="Times New Roman" w:cs="Times New Roman"/>
        </w:rPr>
        <w:t xml:space="preserve">Jesuthasan, R. (2019, August). </w:t>
      </w:r>
      <w:r w:rsidRPr="00D55C94">
        <w:rPr>
          <w:rFonts w:ascii="Times New Roman" w:hAnsi="Times New Roman" w:cs="Times New Roman"/>
          <w:i/>
          <w:iCs/>
        </w:rPr>
        <w:t>The eight ways companies get work done, and how to align them.</w:t>
      </w:r>
      <w:r w:rsidRPr="00D55C94">
        <w:rPr>
          <w:rFonts w:ascii="Times New Roman" w:hAnsi="Times New Roman" w:cs="Times New Roman"/>
        </w:rPr>
        <w:t xml:space="preserve"> </w:t>
      </w:r>
      <w:r w:rsidRPr="00D55C94">
        <w:rPr>
          <w:rFonts w:ascii="Times New Roman" w:hAnsi="Times New Roman" w:cs="Times New Roman"/>
          <w:i/>
          <w:iCs/>
        </w:rPr>
        <w:t>Harvard Business Review</w:t>
      </w:r>
      <w:r w:rsidRPr="00D55C94">
        <w:rPr>
          <w:rFonts w:ascii="Times New Roman" w:hAnsi="Times New Roman" w:cs="Times New Roman"/>
        </w:rPr>
        <w:t xml:space="preserve">. </w:t>
      </w:r>
      <w:hyperlink r:id="rId14" w:tgtFrame="_blank" w:history="1">
        <w:r w:rsidRPr="00D55C94">
          <w:rPr>
            <w:rStyle w:val="Hyperlink"/>
            <w:rFonts w:ascii="Times New Roman" w:hAnsi="Times New Roman" w:cs="Times New Roman"/>
          </w:rPr>
          <w:t>https://hbr.org/2019/08/the-8-ways-companies-get-work-done-and-how-to-align-them</w:t>
        </w:r>
      </w:hyperlink>
    </w:p>
    <w:p w14:paraId="26ABD34B" w14:textId="77777777" w:rsidR="00AA4A68" w:rsidRPr="00D55C94" w:rsidRDefault="00AA4A68" w:rsidP="00AA4A68">
      <w:pPr>
        <w:numPr>
          <w:ilvl w:val="0"/>
          <w:numId w:val="2"/>
        </w:numPr>
        <w:spacing w:line="480" w:lineRule="auto"/>
        <w:rPr>
          <w:rFonts w:ascii="Times New Roman" w:hAnsi="Times New Roman" w:cs="Times New Roman"/>
        </w:rPr>
      </w:pPr>
      <w:r w:rsidRPr="00D55C94">
        <w:rPr>
          <w:rFonts w:ascii="Times New Roman" w:hAnsi="Times New Roman" w:cs="Times New Roman"/>
        </w:rPr>
        <w:t xml:space="preserve">Cable, D. (2018, March). </w:t>
      </w:r>
      <w:r w:rsidRPr="00D55C94">
        <w:rPr>
          <w:rFonts w:ascii="Times New Roman" w:hAnsi="Times New Roman" w:cs="Times New Roman"/>
          <w:i/>
          <w:iCs/>
        </w:rPr>
        <w:t>Why people lose motivation,  and what managers can do to help.</w:t>
      </w:r>
      <w:r w:rsidRPr="00D55C94">
        <w:rPr>
          <w:rFonts w:ascii="Times New Roman" w:hAnsi="Times New Roman" w:cs="Times New Roman"/>
        </w:rPr>
        <w:t xml:space="preserve"> Harvard Business Review. </w:t>
      </w:r>
      <w:hyperlink r:id="rId15" w:tgtFrame="_blank" w:history="1">
        <w:r w:rsidRPr="00D55C94">
          <w:rPr>
            <w:rStyle w:val="Hyperlink"/>
            <w:rFonts w:ascii="Times New Roman" w:hAnsi="Times New Roman" w:cs="Times New Roman"/>
          </w:rPr>
          <w:t>https://hbr.org/2018/03/why-people-lose-motivation-and-what-managers-can-do-to-help</w:t>
        </w:r>
      </w:hyperlink>
    </w:p>
    <w:p w14:paraId="28D59E64" w14:textId="77777777" w:rsidR="00AA4A68" w:rsidRPr="00D55C94" w:rsidRDefault="00AA4A68" w:rsidP="00AA4A68">
      <w:pPr>
        <w:numPr>
          <w:ilvl w:val="0"/>
          <w:numId w:val="2"/>
        </w:numPr>
        <w:spacing w:line="480" w:lineRule="auto"/>
        <w:rPr>
          <w:rFonts w:ascii="Times New Roman" w:hAnsi="Times New Roman" w:cs="Times New Roman"/>
        </w:rPr>
      </w:pPr>
      <w:r w:rsidRPr="00D55C94">
        <w:rPr>
          <w:rFonts w:ascii="Times New Roman" w:hAnsi="Times New Roman" w:cs="Times New Roman"/>
        </w:rPr>
        <w:lastRenderedPageBreak/>
        <w:t xml:space="preserve">Andrew, D. (2017, September). </w:t>
      </w:r>
      <w:r w:rsidRPr="00D55C94">
        <w:rPr>
          <w:rFonts w:ascii="Times New Roman" w:hAnsi="Times New Roman" w:cs="Times New Roman"/>
          <w:i/>
          <w:iCs/>
        </w:rPr>
        <w:t>Prioritize your opportunities with this checklist.</w:t>
      </w:r>
      <w:r w:rsidRPr="00D55C94">
        <w:rPr>
          <w:rFonts w:ascii="Times New Roman" w:hAnsi="Times New Roman" w:cs="Times New Roman"/>
        </w:rPr>
        <w:t xml:space="preserve"> </w:t>
      </w:r>
      <w:r w:rsidRPr="00D55C94">
        <w:rPr>
          <w:rFonts w:ascii="Times New Roman" w:hAnsi="Times New Roman" w:cs="Times New Roman"/>
          <w:i/>
          <w:iCs/>
        </w:rPr>
        <w:t>Harvard Business Review</w:t>
      </w:r>
      <w:r w:rsidRPr="00D55C94">
        <w:rPr>
          <w:rFonts w:ascii="Times New Roman" w:hAnsi="Times New Roman" w:cs="Times New Roman"/>
        </w:rPr>
        <w:t xml:space="preserve">. </w:t>
      </w:r>
      <w:hyperlink r:id="rId16" w:tgtFrame="_blank" w:history="1">
        <w:r w:rsidRPr="00D55C94">
          <w:rPr>
            <w:rStyle w:val="Hyperlink"/>
            <w:rFonts w:ascii="Times New Roman" w:hAnsi="Times New Roman" w:cs="Times New Roman"/>
          </w:rPr>
          <w:t>https://hbr.org/2017/09/prioritize-your-opportunities-with-this-checklist</w:t>
        </w:r>
      </w:hyperlink>
    </w:p>
    <w:p w14:paraId="262A3A5F" w14:textId="77777777" w:rsidR="00AA4A68" w:rsidRPr="00D55C94" w:rsidRDefault="00AA4A68" w:rsidP="00AA4A68">
      <w:pPr>
        <w:numPr>
          <w:ilvl w:val="0"/>
          <w:numId w:val="2"/>
        </w:numPr>
        <w:spacing w:line="480" w:lineRule="auto"/>
        <w:rPr>
          <w:rFonts w:ascii="Times New Roman" w:hAnsi="Times New Roman" w:cs="Times New Roman"/>
        </w:rPr>
      </w:pPr>
      <w:r w:rsidRPr="00D55C94">
        <w:rPr>
          <w:rFonts w:ascii="Times New Roman" w:hAnsi="Times New Roman" w:cs="Times New Roman"/>
        </w:rPr>
        <w:t xml:space="preserve">Furstenthal, L., Hirt, M., &amp; Roth, E. (2021, April). </w:t>
      </w:r>
      <w:r w:rsidRPr="00D55C94">
        <w:rPr>
          <w:rFonts w:ascii="Times New Roman" w:hAnsi="Times New Roman" w:cs="Times New Roman"/>
          <w:i/>
          <w:iCs/>
        </w:rPr>
        <w:t>Innovation: Your launchpad out of the COVID-19 crisis.</w:t>
      </w:r>
      <w:r w:rsidRPr="00D55C94">
        <w:rPr>
          <w:rFonts w:ascii="Times New Roman" w:hAnsi="Times New Roman" w:cs="Times New Roman"/>
        </w:rPr>
        <w:t xml:space="preserve"> McKinsey &amp; Company. </w:t>
      </w:r>
      <w:hyperlink r:id="rId17" w:tgtFrame="_blank" w:history="1">
        <w:r w:rsidRPr="00D55C94">
          <w:rPr>
            <w:rStyle w:val="Hyperlink"/>
            <w:rFonts w:ascii="Times New Roman" w:hAnsi="Times New Roman" w:cs="Times New Roman"/>
          </w:rPr>
          <w:t>https://www.mckinsey.com/business-functions/strategy-and-corporate-finance/our-insights/innovation-your-launchpad-out-of-the-covid-19-crisis</w:t>
        </w:r>
      </w:hyperlink>
    </w:p>
    <w:p w14:paraId="3D0E1266" w14:textId="77777777" w:rsidR="00AA4A68" w:rsidRPr="00D55C94" w:rsidRDefault="00AA4A68" w:rsidP="00AA4A68">
      <w:pPr>
        <w:numPr>
          <w:ilvl w:val="0"/>
          <w:numId w:val="2"/>
        </w:numPr>
        <w:spacing w:line="480" w:lineRule="auto"/>
        <w:rPr>
          <w:rFonts w:ascii="Times New Roman" w:hAnsi="Times New Roman" w:cs="Times New Roman"/>
        </w:rPr>
      </w:pPr>
      <w:r w:rsidRPr="00D55C94">
        <w:rPr>
          <w:rFonts w:ascii="Times New Roman" w:hAnsi="Times New Roman" w:cs="Times New Roman"/>
        </w:rPr>
        <w:t xml:space="preserve">Cohen, D., Quinn, B., &amp; Roth, E. (2019, October). </w:t>
      </w:r>
      <w:r w:rsidRPr="00D55C94">
        <w:rPr>
          <w:rFonts w:ascii="Times New Roman" w:hAnsi="Times New Roman" w:cs="Times New Roman"/>
          <w:i/>
          <w:iCs/>
        </w:rPr>
        <w:t>The innovation commitment.</w:t>
      </w:r>
      <w:r w:rsidRPr="00D55C94">
        <w:rPr>
          <w:rFonts w:ascii="Times New Roman" w:hAnsi="Times New Roman" w:cs="Times New Roman"/>
        </w:rPr>
        <w:t xml:space="preserve"> McKinsey &amp; Company. https://www.mckinsey.com/capabilities/strategy-and-corporate-finance/our-insights/the-innovation-commitment</w:t>
      </w:r>
    </w:p>
    <w:p w14:paraId="5FE49C42" w14:textId="77777777" w:rsidR="00AA4A68" w:rsidRPr="00D55C94" w:rsidRDefault="00AA4A68" w:rsidP="00AA4A68">
      <w:pPr>
        <w:numPr>
          <w:ilvl w:val="0"/>
          <w:numId w:val="2"/>
        </w:numPr>
        <w:spacing w:line="480" w:lineRule="auto"/>
        <w:rPr>
          <w:rFonts w:ascii="Times New Roman" w:hAnsi="Times New Roman" w:cs="Times New Roman"/>
        </w:rPr>
      </w:pPr>
      <w:r w:rsidRPr="00D55C94">
        <w:rPr>
          <w:rFonts w:ascii="Times New Roman" w:hAnsi="Times New Roman" w:cs="Times New Roman"/>
        </w:rPr>
        <w:t xml:space="preserve">Bar Am, J., Furstenthal, L., Jorge, F., &amp; Roth, E. (2020, April). </w:t>
      </w:r>
      <w:r w:rsidRPr="00D55C94">
        <w:rPr>
          <w:rFonts w:ascii="Times New Roman" w:hAnsi="Times New Roman" w:cs="Times New Roman"/>
          <w:i/>
          <w:iCs/>
        </w:rPr>
        <w:t>Innovation in a crisis: Why it is more critical than ever.</w:t>
      </w:r>
      <w:r w:rsidRPr="00D55C94">
        <w:rPr>
          <w:rFonts w:ascii="Times New Roman" w:hAnsi="Times New Roman" w:cs="Times New Roman"/>
        </w:rPr>
        <w:t xml:space="preserve"> McKinsey &amp; Company. </w:t>
      </w:r>
      <w:hyperlink r:id="rId18" w:tgtFrame="_blank" w:history="1">
        <w:r w:rsidRPr="00D55C94">
          <w:rPr>
            <w:rStyle w:val="Hyperlink"/>
            <w:rFonts w:ascii="Times New Roman" w:hAnsi="Times New Roman" w:cs="Times New Roman"/>
          </w:rPr>
          <w:t>https://www.mckinsey.com/business-functions/strategy-and-corporate-finance/our-insights/innovation-in-a-crisis-why-it-is-more-critical-than-ever</w:t>
        </w:r>
      </w:hyperlink>
    </w:p>
    <w:p w14:paraId="604B7B92" w14:textId="77777777" w:rsidR="00AA4A68" w:rsidRPr="00D55C94" w:rsidRDefault="00AA4A68" w:rsidP="00AA4A68">
      <w:pPr>
        <w:numPr>
          <w:ilvl w:val="0"/>
          <w:numId w:val="2"/>
        </w:numPr>
        <w:spacing w:line="480" w:lineRule="auto"/>
        <w:rPr>
          <w:rFonts w:ascii="Times New Roman" w:hAnsi="Times New Roman" w:cs="Times New Roman"/>
        </w:rPr>
      </w:pPr>
      <w:r w:rsidRPr="00D55C94">
        <w:rPr>
          <w:rFonts w:ascii="Times New Roman" w:hAnsi="Times New Roman" w:cs="Times New Roman"/>
        </w:rPr>
        <w:t xml:space="preserve">McKinsey &amp; Company. (2021, April 17). </w:t>
      </w:r>
      <w:r w:rsidRPr="00D55C94">
        <w:rPr>
          <w:rFonts w:ascii="Times New Roman" w:hAnsi="Times New Roman" w:cs="Times New Roman"/>
          <w:i/>
          <w:iCs/>
        </w:rPr>
        <w:t>Celebrating creativity and innovation</w:t>
      </w:r>
      <w:r w:rsidRPr="00D55C94">
        <w:rPr>
          <w:rFonts w:ascii="Times New Roman" w:hAnsi="Times New Roman" w:cs="Times New Roman"/>
        </w:rPr>
        <w:t xml:space="preserve">. </w:t>
      </w:r>
      <w:hyperlink r:id="rId19" w:tgtFrame="_blank" w:history="1">
        <w:r w:rsidRPr="00D55C94">
          <w:rPr>
            <w:rStyle w:val="Hyperlink"/>
            <w:rFonts w:ascii="Times New Roman" w:hAnsi="Times New Roman" w:cs="Times New Roman"/>
          </w:rPr>
          <w:t>https://www.mckinsey.com/featured-insights/themes/celebrating-creativity-and-innovation</w:t>
        </w:r>
      </w:hyperlink>
    </w:p>
    <w:p w14:paraId="4AD089F2" w14:textId="77777777" w:rsidR="00AA4A68" w:rsidRPr="00D55C94" w:rsidRDefault="00AA4A68" w:rsidP="00AA4A68">
      <w:pPr>
        <w:spacing w:line="480" w:lineRule="auto"/>
        <w:rPr>
          <w:rFonts w:ascii="Times New Roman" w:hAnsi="Times New Roman" w:cs="Times New Roman"/>
        </w:rPr>
      </w:pPr>
    </w:p>
    <w:p w14:paraId="26628E0D" w14:textId="77777777" w:rsidR="00674B79" w:rsidRDefault="00674B79"/>
    <w:sectPr w:rsidR="00674B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3C3A"/>
    <w:multiLevelType w:val="multilevel"/>
    <w:tmpl w:val="9300D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8972D5"/>
    <w:multiLevelType w:val="multilevel"/>
    <w:tmpl w:val="41B2C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21187040">
    <w:abstractNumId w:val="0"/>
  </w:num>
  <w:num w:numId="2" w16cid:durableId="6914189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A68"/>
    <w:rsid w:val="00674B79"/>
    <w:rsid w:val="00876634"/>
    <w:rsid w:val="00AA4A68"/>
    <w:rsid w:val="00CB2CE6"/>
    <w:rsid w:val="00F60CAB"/>
    <w:rsid w:val="00FC0FC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5D5BAE12"/>
  <w15:chartTrackingRefBased/>
  <w15:docId w15:val="{F941B607-584B-7D4A-89F9-CA095829D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A68"/>
    <w:rPr>
      <w:lang w:val="en-GB"/>
    </w:rPr>
  </w:style>
  <w:style w:type="paragraph" w:styleId="Heading1">
    <w:name w:val="heading 1"/>
    <w:basedOn w:val="Normal"/>
    <w:next w:val="Normal"/>
    <w:link w:val="Heading1Char"/>
    <w:uiPriority w:val="9"/>
    <w:qFormat/>
    <w:rsid w:val="00AA4A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4A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4A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4A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4A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4A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A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A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A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A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4A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4A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4A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4A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4A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A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A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A68"/>
    <w:rPr>
      <w:rFonts w:eastAsiaTheme="majorEastAsia" w:cstheme="majorBidi"/>
      <w:color w:val="272727" w:themeColor="text1" w:themeTint="D8"/>
    </w:rPr>
  </w:style>
  <w:style w:type="paragraph" w:styleId="Title">
    <w:name w:val="Title"/>
    <w:basedOn w:val="Normal"/>
    <w:next w:val="Normal"/>
    <w:link w:val="TitleChar"/>
    <w:uiPriority w:val="10"/>
    <w:qFormat/>
    <w:rsid w:val="00AA4A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A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A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A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A68"/>
    <w:pPr>
      <w:spacing w:before="160"/>
      <w:jc w:val="center"/>
    </w:pPr>
    <w:rPr>
      <w:i/>
      <w:iCs/>
      <w:color w:val="404040" w:themeColor="text1" w:themeTint="BF"/>
    </w:rPr>
  </w:style>
  <w:style w:type="character" w:customStyle="1" w:styleId="QuoteChar">
    <w:name w:val="Quote Char"/>
    <w:basedOn w:val="DefaultParagraphFont"/>
    <w:link w:val="Quote"/>
    <w:uiPriority w:val="29"/>
    <w:rsid w:val="00AA4A68"/>
    <w:rPr>
      <w:i/>
      <w:iCs/>
      <w:color w:val="404040" w:themeColor="text1" w:themeTint="BF"/>
    </w:rPr>
  </w:style>
  <w:style w:type="paragraph" w:styleId="ListParagraph">
    <w:name w:val="List Paragraph"/>
    <w:basedOn w:val="Normal"/>
    <w:uiPriority w:val="34"/>
    <w:qFormat/>
    <w:rsid w:val="00AA4A68"/>
    <w:pPr>
      <w:ind w:left="720"/>
      <w:contextualSpacing/>
    </w:pPr>
  </w:style>
  <w:style w:type="character" w:styleId="IntenseEmphasis">
    <w:name w:val="Intense Emphasis"/>
    <w:basedOn w:val="DefaultParagraphFont"/>
    <w:uiPriority w:val="21"/>
    <w:qFormat/>
    <w:rsid w:val="00AA4A68"/>
    <w:rPr>
      <w:i/>
      <w:iCs/>
      <w:color w:val="0F4761" w:themeColor="accent1" w:themeShade="BF"/>
    </w:rPr>
  </w:style>
  <w:style w:type="paragraph" w:styleId="IntenseQuote">
    <w:name w:val="Intense Quote"/>
    <w:basedOn w:val="Normal"/>
    <w:next w:val="Normal"/>
    <w:link w:val="IntenseQuoteChar"/>
    <w:uiPriority w:val="30"/>
    <w:qFormat/>
    <w:rsid w:val="00AA4A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4A68"/>
    <w:rPr>
      <w:i/>
      <w:iCs/>
      <w:color w:val="0F4761" w:themeColor="accent1" w:themeShade="BF"/>
    </w:rPr>
  </w:style>
  <w:style w:type="character" w:styleId="IntenseReference">
    <w:name w:val="Intense Reference"/>
    <w:basedOn w:val="DefaultParagraphFont"/>
    <w:uiPriority w:val="32"/>
    <w:qFormat/>
    <w:rsid w:val="00AA4A68"/>
    <w:rPr>
      <w:b/>
      <w:bCs/>
      <w:smallCaps/>
      <w:color w:val="0F4761" w:themeColor="accent1" w:themeShade="BF"/>
      <w:spacing w:val="5"/>
    </w:rPr>
  </w:style>
  <w:style w:type="character" w:styleId="Hyperlink">
    <w:name w:val="Hyperlink"/>
    <w:basedOn w:val="DefaultParagraphFont"/>
    <w:uiPriority w:val="99"/>
    <w:unhideWhenUsed/>
    <w:rsid w:val="00AA4A6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um.com/@emanueldoroscan52/invest-in-yourself-first-community-based-financial-literacy-and-micro-investing-among-migrant-66d0bd7aa456" TargetMode="External"/><Relationship Id="rId13" Type="http://schemas.openxmlformats.org/officeDocument/2006/relationships/hyperlink" Target="https://hbr.org/2021/03/dont-let-financial-metrics-prematurely-stifle-innovation?utm_source=chatgpt.com" TargetMode="External"/><Relationship Id="rId18" Type="http://schemas.openxmlformats.org/officeDocument/2006/relationships/hyperlink" Target="https://www.mckinsey.com/business-functions/strategy-and-corporate-finance/our-insights/innovation-in-a-crisis-why-it-is-more-critical-than-ever?utm_source=chatgpt.co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medium.com/@emanueldoroscan52/from-door-to-door-to-digital-resilience-a-migrant-entrepreneurs-journey-through-computer-king-in-0405b725abb1" TargetMode="External"/><Relationship Id="rId12" Type="http://schemas.openxmlformats.org/officeDocument/2006/relationships/hyperlink" Target="https://hbr.org/podcast/2017/04/to-reinvent-your-firm-do-two-things-at-the-same-time?utm_source=chatgpt.com" TargetMode="External"/><Relationship Id="rId17" Type="http://schemas.openxmlformats.org/officeDocument/2006/relationships/hyperlink" Target="https://www.mckinsey.com/business-functions/strategy-and-corporate-finance/our-insights/innovation-your-launchpad-out-of-the-covid-19-crisis?utm_source=chatgpt.com" TargetMode="External"/><Relationship Id="rId2" Type="http://schemas.openxmlformats.org/officeDocument/2006/relationships/styles" Target="styles.xml"/><Relationship Id="rId16" Type="http://schemas.openxmlformats.org/officeDocument/2006/relationships/hyperlink" Target="https://hbr.org/2017/09/prioritize-your-opportunities-with-this-checklist?utm_source=chatgpt.co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ium.com/@emanueldoroscan52/dont-put-all-your-eggs-in-one-basket-a-practice-based-perspective-on-risk-resilience-and-011c05c74487" TargetMode="External"/><Relationship Id="rId11" Type="http://schemas.openxmlformats.org/officeDocument/2006/relationships/hyperlink" Target="https://doroscan.substack.com/p/you-dont-need-more-moneyyou-need?r=5ipnre" TargetMode="External"/><Relationship Id="rId5" Type="http://schemas.openxmlformats.org/officeDocument/2006/relationships/hyperlink" Target="https://doroscan.substack.com/p/buying-the-building-what-i-learned" TargetMode="External"/><Relationship Id="rId15" Type="http://schemas.openxmlformats.org/officeDocument/2006/relationships/hyperlink" Target="https://hbr.org/2018/03/why-people-lose-motivation-and-what-managers-can-do-to-help?utm_source=chatgpt.com" TargetMode="External"/><Relationship Id="rId10" Type="http://schemas.openxmlformats.org/officeDocument/2006/relationships/hyperlink" Target="https://doroscan.substack.com/p/the-letter-after-my-name-wont-define?r=5ipnre" TargetMode="External"/><Relationship Id="rId19" Type="http://schemas.openxmlformats.org/officeDocument/2006/relationships/hyperlink" Target="https://www.mckinsey.com/featured-insights/themes/celebrating-creativity-and-innovation?utm_source=chatgpt.com" TargetMode="External"/><Relationship Id="rId4" Type="http://schemas.openxmlformats.org/officeDocument/2006/relationships/webSettings" Target="webSettings.xml"/><Relationship Id="rId9" Type="http://schemas.openxmlformats.org/officeDocument/2006/relationships/hyperlink" Target="https://doroscan.substack.com/p/learning-by-fire-a-practice-based" TargetMode="External"/><Relationship Id="rId14" Type="http://schemas.openxmlformats.org/officeDocument/2006/relationships/hyperlink" Target="https://hbr.org/2019/08/the-8-ways-companies-get-work-done-and-how-to-align-them?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12006</Words>
  <Characters>68437</Characters>
  <Application>Microsoft Office Word</Application>
  <DocSecurity>0</DocSecurity>
  <Lines>570</Lines>
  <Paragraphs>160</Paragraphs>
  <ScaleCrop>false</ScaleCrop>
  <Company/>
  <LinksUpToDate>false</LinksUpToDate>
  <CharactersWithSpaces>80283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 Doroscan</dc:creator>
  <cp:keywords/>
  <dc:description/>
  <cp:lastModifiedBy>Emanuel Doroscan</cp:lastModifiedBy>
  <cp:revision>1</cp:revision>
  <dcterms:created xsi:type="dcterms:W3CDTF">2025-09-19T16:50:00Z</dcterms:created>
  <dcterms:modified xsi:type="dcterms:W3CDTF">2025-09-19T16:50:00Z</dcterms:modified>
</cp:coreProperties>
</file>