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CD227" w14:textId="77777777" w:rsidR="00E2446F" w:rsidRPr="003D2A76" w:rsidRDefault="00E2446F" w:rsidP="00C45F0E">
      <w:pPr>
        <w:bidi w:val="0"/>
        <w:jc w:val="center"/>
        <w:rPr>
          <w:lang w:val="en-GB"/>
        </w:rPr>
      </w:pPr>
    </w:p>
    <w:p w14:paraId="5516F497" w14:textId="77777777" w:rsidR="00E2446F" w:rsidRPr="003D2A76" w:rsidRDefault="00E2446F" w:rsidP="00C45F0E">
      <w:pPr>
        <w:bidi w:val="0"/>
        <w:jc w:val="center"/>
        <w:rPr>
          <w:lang w:val="en-GB"/>
        </w:rPr>
      </w:pPr>
    </w:p>
    <w:p w14:paraId="6CB21733" w14:textId="77777777" w:rsidR="00E2446F" w:rsidRPr="003D2A76" w:rsidRDefault="00E2446F" w:rsidP="00C45F0E">
      <w:pPr>
        <w:bidi w:val="0"/>
        <w:jc w:val="center"/>
        <w:rPr>
          <w:lang w:val="en-GB"/>
        </w:rPr>
      </w:pPr>
    </w:p>
    <w:p w14:paraId="0730F146" w14:textId="77777777" w:rsidR="00E2446F" w:rsidRPr="003D2A76" w:rsidRDefault="00E2446F" w:rsidP="00C45F0E">
      <w:pPr>
        <w:bidi w:val="0"/>
        <w:jc w:val="center"/>
        <w:rPr>
          <w:lang w:val="en-GB"/>
        </w:rPr>
      </w:pPr>
    </w:p>
    <w:p w14:paraId="7BA4B3B6" w14:textId="77777777" w:rsidR="00E2446F" w:rsidRPr="003D2A76" w:rsidRDefault="00CB042E" w:rsidP="00C45F0E">
      <w:pPr>
        <w:bidi w:val="0"/>
        <w:jc w:val="center"/>
        <w:rPr>
          <w:lang w:val="en-GB"/>
        </w:rPr>
      </w:pPr>
      <w:r w:rsidRPr="003D2A76">
        <w:rPr>
          <w:b/>
          <w:bCs/>
          <w:sz w:val="28"/>
          <w:szCs w:val="28"/>
          <w:lang w:val="en-GB"/>
        </w:rPr>
        <w:t>AI Adoption in Private Schools and Its Impact on Educational Service Purchase Intention: An Empirical Study in Jeddah, Saudi Arabia</w:t>
      </w:r>
    </w:p>
    <w:p w14:paraId="788F508A" w14:textId="77777777" w:rsidR="00E2446F" w:rsidRPr="003D2A76" w:rsidRDefault="00E2446F" w:rsidP="00C45F0E">
      <w:pPr>
        <w:bidi w:val="0"/>
        <w:jc w:val="center"/>
        <w:rPr>
          <w:lang w:val="en-GB"/>
        </w:rPr>
      </w:pPr>
    </w:p>
    <w:p w14:paraId="2D11AF0D" w14:textId="77777777" w:rsidR="00E2446F" w:rsidRPr="003D2A76" w:rsidRDefault="00E2446F" w:rsidP="00C45F0E">
      <w:pPr>
        <w:bidi w:val="0"/>
        <w:jc w:val="center"/>
        <w:rPr>
          <w:lang w:val="en-GB"/>
        </w:rPr>
      </w:pPr>
    </w:p>
    <w:p w14:paraId="1A755560" w14:textId="77777777" w:rsidR="00E2446F" w:rsidRPr="003D2A76" w:rsidRDefault="00CB042E" w:rsidP="00C45F0E">
      <w:pPr>
        <w:bidi w:val="0"/>
        <w:jc w:val="center"/>
        <w:rPr>
          <w:lang w:val="en-GB"/>
        </w:rPr>
      </w:pPr>
      <w:r w:rsidRPr="003D2A76">
        <w:rPr>
          <w:lang w:val="en-GB"/>
        </w:rPr>
        <w:t>A Dissertation Submitted in Partial Fulfilment of the Requirements</w:t>
      </w:r>
    </w:p>
    <w:p w14:paraId="2258FA93" w14:textId="77777777" w:rsidR="00E2446F" w:rsidRPr="003D2A76" w:rsidRDefault="00CB042E" w:rsidP="00C45F0E">
      <w:pPr>
        <w:bidi w:val="0"/>
        <w:jc w:val="center"/>
        <w:rPr>
          <w:lang w:val="en-GB"/>
        </w:rPr>
      </w:pPr>
      <w:r w:rsidRPr="003D2A76">
        <w:rPr>
          <w:lang w:val="en-GB"/>
        </w:rPr>
        <w:t>for the Degree of Doctor of Business Administration</w:t>
      </w:r>
    </w:p>
    <w:p w14:paraId="4A91A3CE" w14:textId="77777777" w:rsidR="00E2446F" w:rsidRPr="003D2A76" w:rsidRDefault="00E2446F" w:rsidP="00C45F0E">
      <w:pPr>
        <w:bidi w:val="0"/>
        <w:jc w:val="center"/>
        <w:rPr>
          <w:lang w:val="en-GB"/>
        </w:rPr>
      </w:pPr>
    </w:p>
    <w:p w14:paraId="5045FDD6" w14:textId="77777777" w:rsidR="00E2446F" w:rsidRPr="003D2A76" w:rsidRDefault="00E2446F" w:rsidP="00C45F0E">
      <w:pPr>
        <w:bidi w:val="0"/>
        <w:jc w:val="center"/>
        <w:rPr>
          <w:lang w:val="en-GB"/>
        </w:rPr>
      </w:pPr>
    </w:p>
    <w:p w14:paraId="2827D914" w14:textId="77777777" w:rsidR="00E2446F" w:rsidRPr="003D2A76" w:rsidRDefault="00CB042E" w:rsidP="00C45F0E">
      <w:pPr>
        <w:bidi w:val="0"/>
        <w:jc w:val="center"/>
        <w:rPr>
          <w:lang w:val="en-GB"/>
        </w:rPr>
      </w:pPr>
      <w:r w:rsidRPr="003D2A76">
        <w:rPr>
          <w:lang w:val="en-GB"/>
        </w:rPr>
        <w:t>Swiss School of Business Research (SSBR)</w:t>
      </w:r>
    </w:p>
    <w:p w14:paraId="1BBFA20B" w14:textId="77777777" w:rsidR="00E2446F" w:rsidRPr="003D2A76" w:rsidRDefault="00E2446F" w:rsidP="00C45F0E">
      <w:pPr>
        <w:bidi w:val="0"/>
        <w:jc w:val="center"/>
        <w:rPr>
          <w:lang w:val="en-GB"/>
        </w:rPr>
      </w:pPr>
    </w:p>
    <w:p w14:paraId="21B8484E" w14:textId="77777777" w:rsidR="00E2446F" w:rsidRPr="003D2A76" w:rsidRDefault="00E2446F" w:rsidP="00C45F0E">
      <w:pPr>
        <w:bidi w:val="0"/>
        <w:jc w:val="center"/>
        <w:rPr>
          <w:lang w:val="en-GB"/>
        </w:rPr>
      </w:pPr>
    </w:p>
    <w:p w14:paraId="35BA96AD" w14:textId="77777777" w:rsidR="00E2446F" w:rsidRPr="003D2A76" w:rsidRDefault="00CB042E" w:rsidP="00C45F0E">
      <w:pPr>
        <w:bidi w:val="0"/>
        <w:jc w:val="center"/>
        <w:rPr>
          <w:lang w:val="en-GB"/>
        </w:rPr>
      </w:pPr>
      <w:r w:rsidRPr="003D2A76">
        <w:rPr>
          <w:lang w:val="en-GB"/>
        </w:rPr>
        <w:t>by</w:t>
      </w:r>
    </w:p>
    <w:p w14:paraId="5233497B" w14:textId="77777777" w:rsidR="00E2446F" w:rsidRPr="003D2A76" w:rsidRDefault="00E2446F" w:rsidP="00C45F0E">
      <w:pPr>
        <w:bidi w:val="0"/>
        <w:jc w:val="center"/>
        <w:rPr>
          <w:lang w:val="en-GB"/>
        </w:rPr>
      </w:pPr>
    </w:p>
    <w:p w14:paraId="1496DD56" w14:textId="26E0D876" w:rsidR="00E2446F" w:rsidRPr="003D2A76" w:rsidRDefault="00BD6279" w:rsidP="00C45F0E">
      <w:pPr>
        <w:bidi w:val="0"/>
        <w:jc w:val="center"/>
        <w:rPr>
          <w:lang w:val="en-GB"/>
        </w:rPr>
      </w:pPr>
      <w:r w:rsidRPr="003D2A76">
        <w:rPr>
          <w:b/>
          <w:bCs/>
          <w:lang w:val="en-GB"/>
        </w:rPr>
        <w:t xml:space="preserve">SAMERA </w:t>
      </w:r>
      <w:r w:rsidR="005B0E5B">
        <w:rPr>
          <w:b/>
          <w:bCs/>
          <w:lang w:val="en-GB"/>
        </w:rPr>
        <w:t xml:space="preserve"> AL</w:t>
      </w:r>
      <w:r w:rsidRPr="003D2A76">
        <w:rPr>
          <w:b/>
          <w:bCs/>
          <w:lang w:val="en-GB"/>
        </w:rPr>
        <w:t>SAADAWI</w:t>
      </w:r>
    </w:p>
    <w:p w14:paraId="7AB5E40F" w14:textId="77777777" w:rsidR="00E2446F" w:rsidRPr="003D2A76" w:rsidRDefault="00E2446F" w:rsidP="00C45F0E">
      <w:pPr>
        <w:bidi w:val="0"/>
        <w:jc w:val="center"/>
        <w:rPr>
          <w:lang w:val="en-GB"/>
        </w:rPr>
      </w:pPr>
    </w:p>
    <w:p w14:paraId="2EFB2004" w14:textId="77777777" w:rsidR="00E2446F" w:rsidRPr="003D2A76" w:rsidRDefault="00E2446F" w:rsidP="00C45F0E">
      <w:pPr>
        <w:bidi w:val="0"/>
        <w:jc w:val="center"/>
        <w:rPr>
          <w:lang w:val="en-GB"/>
        </w:rPr>
      </w:pPr>
    </w:p>
    <w:p w14:paraId="73080A00" w14:textId="372B211C" w:rsidR="00E2446F" w:rsidRPr="003D2A76" w:rsidRDefault="0068628A" w:rsidP="00BD6279">
      <w:pPr>
        <w:bidi w:val="0"/>
        <w:jc w:val="center"/>
        <w:rPr>
          <w:lang w:val="en-GB"/>
        </w:rPr>
      </w:pPr>
      <w:r w:rsidRPr="003D2A76">
        <w:rPr>
          <w:lang w:val="en-GB"/>
        </w:rPr>
        <w:t>June</w:t>
      </w:r>
      <w:r w:rsidR="00CB042E" w:rsidRPr="003D2A76">
        <w:rPr>
          <w:lang w:val="en-GB"/>
        </w:rPr>
        <w:t xml:space="preserve"> 2026</w:t>
      </w:r>
    </w:p>
    <w:p w14:paraId="167485F5" w14:textId="77777777" w:rsidR="00E2446F" w:rsidRPr="003D2A76" w:rsidRDefault="00E2446F" w:rsidP="00BD6279">
      <w:pPr>
        <w:pageBreakBefore/>
        <w:bidi w:val="0"/>
        <w:rPr>
          <w:lang w:val="en-GB"/>
        </w:rPr>
      </w:pPr>
    </w:p>
    <w:p w14:paraId="0F43C779" w14:textId="77777777" w:rsidR="00E2446F" w:rsidRPr="003D2A76" w:rsidRDefault="00CB042E" w:rsidP="00BD6279">
      <w:pPr>
        <w:bidi w:val="0"/>
        <w:jc w:val="center"/>
        <w:rPr>
          <w:lang w:val="en-GB"/>
        </w:rPr>
      </w:pPr>
      <w:r w:rsidRPr="003D2A76">
        <w:rPr>
          <w:b/>
          <w:bCs/>
          <w:lang w:val="en-GB"/>
        </w:rPr>
        <w:t>SIGNATURE PAGE</w:t>
      </w:r>
    </w:p>
    <w:p w14:paraId="36481AAA" w14:textId="77777777" w:rsidR="00E2446F" w:rsidRPr="003D2A76" w:rsidRDefault="00E2446F" w:rsidP="00BD6279">
      <w:pPr>
        <w:bidi w:val="0"/>
        <w:rPr>
          <w:lang w:val="en-GB"/>
        </w:rPr>
      </w:pPr>
    </w:p>
    <w:p w14:paraId="0733BDF5" w14:textId="77777777" w:rsidR="00E2446F" w:rsidRPr="003D2A76" w:rsidRDefault="00CB042E" w:rsidP="00BD6279">
      <w:pPr>
        <w:bidi w:val="0"/>
        <w:rPr>
          <w:lang w:val="en-GB"/>
        </w:rPr>
      </w:pPr>
      <w:r w:rsidRPr="003D2A76">
        <w:rPr>
          <w:lang w:val="en-GB"/>
        </w:rPr>
        <w:t>This dissertation has been approved and accepted by the dissertation committee as a partial fulfilment of the requirements for the degree of Doctor of Business Administration.</w:t>
      </w:r>
    </w:p>
    <w:p w14:paraId="30757628" w14:textId="77777777" w:rsidR="00E2446F" w:rsidRPr="003D2A76" w:rsidRDefault="00E2446F" w:rsidP="00BD6279">
      <w:pPr>
        <w:bidi w:val="0"/>
        <w:rPr>
          <w:lang w:val="en-GB"/>
        </w:rPr>
      </w:pPr>
    </w:p>
    <w:p w14:paraId="506AB3CD" w14:textId="4BB94526" w:rsidR="00E2446F" w:rsidRPr="003D2A76" w:rsidRDefault="00CB042E" w:rsidP="00BD6279">
      <w:pPr>
        <w:bidi w:val="0"/>
        <w:rPr>
          <w:lang w:val="en-GB"/>
        </w:rPr>
      </w:pPr>
      <w:r w:rsidRPr="003D2A76">
        <w:rPr>
          <w:lang w:val="en-GB"/>
        </w:rPr>
        <w:t>Dissertation Title: AI Adoption in Private Schools and Its Impact on Educational Service Purchase Intention: An Empirical Study in Jeddah, Saudi Arabia</w:t>
      </w:r>
    </w:p>
    <w:p w14:paraId="2880926C" w14:textId="77777777" w:rsidR="00E2446F" w:rsidRDefault="00CB042E" w:rsidP="00BD6279">
      <w:pPr>
        <w:bidi w:val="0"/>
        <w:rPr>
          <w:b/>
          <w:bCs/>
          <w:lang w:val="en-GB"/>
        </w:rPr>
      </w:pPr>
      <w:r w:rsidRPr="003D2A76">
        <w:rPr>
          <w:b/>
          <w:bCs/>
          <w:lang w:val="en-GB"/>
        </w:rPr>
        <w:t>Dissertation Committee:</w:t>
      </w:r>
    </w:p>
    <w:p w14:paraId="214BA2EA" w14:textId="37FF2B15" w:rsidR="009D1ADA" w:rsidRPr="003D2A76" w:rsidRDefault="009D1ADA" w:rsidP="009D1ADA">
      <w:pPr>
        <w:bidi w:val="0"/>
        <w:spacing w:line="276" w:lineRule="auto"/>
        <w:rPr>
          <w:lang w:val="en-GB"/>
        </w:rPr>
      </w:pPr>
      <w:r w:rsidRPr="003D2A76">
        <w:rPr>
          <w:lang w:val="en-GB"/>
        </w:rPr>
        <w:t>Dissertation Chair</w:t>
      </w:r>
    </w:p>
    <w:p w14:paraId="677DEFA1" w14:textId="79488979" w:rsidR="00E2446F" w:rsidRPr="003D2A76" w:rsidRDefault="009D1ADA" w:rsidP="009D1ADA">
      <w:pPr>
        <w:bidi w:val="0"/>
        <w:spacing w:line="276" w:lineRule="auto"/>
        <w:rPr>
          <w:lang w:val="en-GB"/>
        </w:rPr>
      </w:pPr>
      <w:r w:rsidRPr="009D1ADA">
        <w:rPr>
          <w:noProof/>
          <w:lang w:val="en-GB"/>
        </w:rPr>
        <w:drawing>
          <wp:inline distT="0" distB="0" distL="0" distR="0" wp14:anchorId="6ECED1F4" wp14:editId="0F59662B">
            <wp:extent cx="1294311" cy="441960"/>
            <wp:effectExtent l="0" t="0" r="1270" b="0"/>
            <wp:docPr id="208311494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337" cy="443676"/>
                    </a:xfrm>
                    <a:prstGeom prst="rect">
                      <a:avLst/>
                    </a:prstGeom>
                    <a:noFill/>
                    <a:ln>
                      <a:noFill/>
                    </a:ln>
                  </pic:spPr>
                </pic:pic>
              </a:graphicData>
            </a:graphic>
          </wp:inline>
        </w:drawing>
      </w:r>
      <w:r>
        <w:rPr>
          <w:lang w:val="en-GB"/>
        </w:rPr>
        <w:t xml:space="preserve">            </w:t>
      </w:r>
    </w:p>
    <w:p w14:paraId="0C2489D0" w14:textId="77777777" w:rsidR="009D1ADA" w:rsidRDefault="009D1ADA" w:rsidP="009D1ADA">
      <w:pPr>
        <w:bidi w:val="0"/>
        <w:spacing w:line="276" w:lineRule="auto"/>
        <w:rPr>
          <w:lang w:val="en-GB"/>
        </w:rPr>
      </w:pPr>
      <w:r>
        <w:rPr>
          <w:lang w:val="en-GB"/>
        </w:rPr>
        <w:t>Dr Steve Mallon</w:t>
      </w:r>
    </w:p>
    <w:p w14:paraId="4CA098AD" w14:textId="77777777" w:rsidR="00E2446F" w:rsidRPr="003D2A76" w:rsidRDefault="00CB042E" w:rsidP="009D1ADA">
      <w:pPr>
        <w:bidi w:val="0"/>
        <w:spacing w:line="276" w:lineRule="auto"/>
        <w:rPr>
          <w:lang w:val="en-GB"/>
        </w:rPr>
      </w:pPr>
      <w:r w:rsidRPr="003D2A76">
        <w:rPr>
          <w:lang w:val="en-GB"/>
        </w:rPr>
        <w:t>________________________________________</w:t>
      </w:r>
    </w:p>
    <w:p w14:paraId="480DF2D9" w14:textId="77777777" w:rsidR="00E2446F" w:rsidRPr="003D2A76" w:rsidRDefault="00CB042E" w:rsidP="009D1ADA">
      <w:pPr>
        <w:bidi w:val="0"/>
        <w:spacing w:line="276" w:lineRule="auto"/>
        <w:rPr>
          <w:lang w:val="en-GB"/>
        </w:rPr>
      </w:pPr>
      <w:r w:rsidRPr="003D2A76">
        <w:rPr>
          <w:lang w:val="en-GB"/>
        </w:rPr>
        <w:t>Committee Member</w:t>
      </w:r>
    </w:p>
    <w:p w14:paraId="5A2A4C0B" w14:textId="70C7A4A3" w:rsidR="00E2446F" w:rsidRPr="003D2A76" w:rsidRDefault="00E2446F" w:rsidP="009D1ADA">
      <w:pPr>
        <w:bidi w:val="0"/>
        <w:spacing w:line="276" w:lineRule="auto"/>
        <w:rPr>
          <w:lang w:val="en-GB"/>
        </w:rPr>
      </w:pPr>
    </w:p>
    <w:p w14:paraId="1402B99B" w14:textId="77777777" w:rsidR="009D1ADA" w:rsidRDefault="009D1ADA" w:rsidP="009D1ADA">
      <w:pPr>
        <w:bidi w:val="0"/>
        <w:spacing w:line="276" w:lineRule="auto"/>
        <w:rPr>
          <w:lang w:val="en-GB"/>
        </w:rPr>
      </w:pPr>
      <w:r>
        <w:rPr>
          <w:lang w:val="en-GB"/>
        </w:rPr>
        <w:t>Dr Miray Zaki</w:t>
      </w:r>
    </w:p>
    <w:p w14:paraId="0D9C997F" w14:textId="77777777" w:rsidR="009D1ADA" w:rsidRDefault="009D1ADA" w:rsidP="009D1ADA">
      <w:pPr>
        <w:bidi w:val="0"/>
        <w:spacing w:line="276" w:lineRule="auto"/>
        <w:rPr>
          <w:lang w:val="en-GB"/>
        </w:rPr>
      </w:pPr>
    </w:p>
    <w:p w14:paraId="23B41A57" w14:textId="47972CC0" w:rsidR="00E2446F" w:rsidRPr="003D2A76" w:rsidRDefault="00CB042E" w:rsidP="009D1ADA">
      <w:pPr>
        <w:bidi w:val="0"/>
        <w:spacing w:line="276" w:lineRule="auto"/>
        <w:rPr>
          <w:lang w:val="en-GB"/>
        </w:rPr>
      </w:pPr>
      <w:r w:rsidRPr="003D2A76">
        <w:rPr>
          <w:lang w:val="en-GB"/>
        </w:rPr>
        <w:t>________________________________________</w:t>
      </w:r>
    </w:p>
    <w:p w14:paraId="2BF52016" w14:textId="77777777" w:rsidR="00E2446F" w:rsidRPr="003D2A76" w:rsidRDefault="00E2446F" w:rsidP="009D1ADA">
      <w:pPr>
        <w:bidi w:val="0"/>
        <w:spacing w:line="276" w:lineRule="auto"/>
        <w:rPr>
          <w:lang w:val="en-GB"/>
        </w:rPr>
      </w:pPr>
    </w:p>
    <w:p w14:paraId="4901A811" w14:textId="77777777" w:rsidR="00E2446F" w:rsidRPr="003D2A76" w:rsidRDefault="00CB042E" w:rsidP="00BD6279">
      <w:pPr>
        <w:bidi w:val="0"/>
        <w:rPr>
          <w:lang w:val="en-GB"/>
        </w:rPr>
      </w:pPr>
      <w:r w:rsidRPr="003D2A76">
        <w:rPr>
          <w:lang w:val="en-GB"/>
        </w:rPr>
        <w:t>Dean, Swiss School of Business Research</w:t>
      </w:r>
    </w:p>
    <w:p w14:paraId="5F997CED" w14:textId="10CC20B0" w:rsidR="00E2446F" w:rsidRDefault="009D1ADA" w:rsidP="00BD6279">
      <w:pPr>
        <w:bidi w:val="0"/>
        <w:rPr>
          <w:lang w:val="en-GB"/>
        </w:rPr>
      </w:pPr>
      <w:r>
        <w:rPr>
          <w:noProof/>
          <w:lang w:val="en-GB"/>
        </w:rPr>
        <w:drawing>
          <wp:inline distT="0" distB="0" distL="0" distR="0" wp14:anchorId="020EB909" wp14:editId="09DD517C">
            <wp:extent cx="3101340" cy="636421"/>
            <wp:effectExtent l="0" t="0" r="3810" b="0"/>
            <wp:docPr id="200675379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028714" name="Picture 784028714"/>
                    <pic:cNvPicPr/>
                  </pic:nvPicPr>
                  <pic:blipFill>
                    <a:blip r:embed="rId9">
                      <a:extLst>
                        <a:ext uri="{28A0092B-C50C-407E-A947-70E740481C1C}">
                          <a14:useLocalDpi xmlns:a14="http://schemas.microsoft.com/office/drawing/2010/main" val="0"/>
                        </a:ext>
                      </a:extLst>
                    </a:blip>
                    <a:stretch>
                      <a:fillRect/>
                    </a:stretch>
                  </pic:blipFill>
                  <pic:spPr>
                    <a:xfrm>
                      <a:off x="0" y="0"/>
                      <a:ext cx="3134353" cy="643196"/>
                    </a:xfrm>
                    <a:prstGeom prst="rect">
                      <a:avLst/>
                    </a:prstGeom>
                  </pic:spPr>
                </pic:pic>
              </a:graphicData>
            </a:graphic>
          </wp:inline>
        </w:drawing>
      </w:r>
    </w:p>
    <w:p w14:paraId="4E590A00" w14:textId="1292075D" w:rsidR="009D1ADA" w:rsidRPr="003D2A76" w:rsidRDefault="009D1ADA" w:rsidP="009D1ADA">
      <w:pPr>
        <w:bidi w:val="0"/>
        <w:rPr>
          <w:lang w:val="en-GB"/>
        </w:rPr>
      </w:pPr>
      <w:r>
        <w:rPr>
          <w:lang w:val="en-GB"/>
        </w:rPr>
        <w:t>Dr Stephen Harrison</w:t>
      </w:r>
    </w:p>
    <w:p w14:paraId="1E5A6764" w14:textId="77777777" w:rsidR="00E2446F" w:rsidRPr="003D2A76" w:rsidRDefault="00CB042E" w:rsidP="00BD6279">
      <w:pPr>
        <w:bidi w:val="0"/>
        <w:rPr>
          <w:lang w:val="en-GB"/>
        </w:rPr>
      </w:pPr>
      <w:r w:rsidRPr="003D2A76">
        <w:rPr>
          <w:lang w:val="en-GB"/>
        </w:rPr>
        <w:t>Date of Approval: ______________________</w:t>
      </w:r>
    </w:p>
    <w:p w14:paraId="0D3D3243" w14:textId="77777777" w:rsidR="00E2446F" w:rsidRPr="003D2A76" w:rsidRDefault="00E2446F" w:rsidP="00BD6279">
      <w:pPr>
        <w:pageBreakBefore/>
        <w:bidi w:val="0"/>
        <w:rPr>
          <w:lang w:val="en-GB"/>
        </w:rPr>
      </w:pPr>
    </w:p>
    <w:p w14:paraId="7FBDDA06" w14:textId="77777777" w:rsidR="00E2446F" w:rsidRPr="003D2A76" w:rsidRDefault="00CB042E" w:rsidP="00BD6279">
      <w:pPr>
        <w:bidi w:val="0"/>
        <w:jc w:val="center"/>
        <w:rPr>
          <w:lang w:val="en-GB"/>
        </w:rPr>
      </w:pPr>
      <w:r w:rsidRPr="003D2A76">
        <w:rPr>
          <w:b/>
          <w:bCs/>
          <w:lang w:val="en-GB"/>
        </w:rPr>
        <w:t>DECLARATION</w:t>
      </w:r>
    </w:p>
    <w:p w14:paraId="31622665" w14:textId="77777777" w:rsidR="00E2446F" w:rsidRPr="003D2A76" w:rsidRDefault="00E2446F" w:rsidP="00BD6279">
      <w:pPr>
        <w:bidi w:val="0"/>
        <w:rPr>
          <w:lang w:val="en-GB"/>
        </w:rPr>
      </w:pPr>
    </w:p>
    <w:p w14:paraId="1D67C13E" w14:textId="77777777" w:rsidR="00E2446F" w:rsidRPr="003D2A76" w:rsidRDefault="00CB042E" w:rsidP="00BD6279">
      <w:pPr>
        <w:bidi w:val="0"/>
        <w:rPr>
          <w:lang w:val="en-GB"/>
        </w:rPr>
      </w:pPr>
      <w:r w:rsidRPr="003D2A76">
        <w:rPr>
          <w:lang w:val="en-GB"/>
        </w:rPr>
        <w:t>I hereby declare that this dissertation entitled "AI Adoption in Private Schools and Its Impact on Educational Service Purchase Intention: An Empirical Study in Jeddah, Saudi Arabia" is the result of my own original work. I confirm that this work has not been previously submitted, in whole or in part, for any other degree or qualification at this or any other institution.</w:t>
      </w:r>
    </w:p>
    <w:p w14:paraId="306D251E" w14:textId="77777777" w:rsidR="00E2446F" w:rsidRPr="003D2A76" w:rsidRDefault="00E2446F" w:rsidP="00BD6279">
      <w:pPr>
        <w:bidi w:val="0"/>
        <w:rPr>
          <w:lang w:val="en-GB"/>
        </w:rPr>
      </w:pPr>
    </w:p>
    <w:p w14:paraId="6635AF36" w14:textId="77777777" w:rsidR="00E2446F" w:rsidRPr="003D2A76" w:rsidRDefault="00CB042E" w:rsidP="00BD6279">
      <w:pPr>
        <w:bidi w:val="0"/>
        <w:rPr>
          <w:lang w:val="en-GB"/>
        </w:rPr>
      </w:pPr>
      <w:r w:rsidRPr="003D2A76">
        <w:rPr>
          <w:lang w:val="en-GB"/>
        </w:rPr>
        <w:t>All sources of information and literature used in the preparation of this dissertation have been duly acknowledged and properly cited in the text and in the list of references.</w:t>
      </w:r>
    </w:p>
    <w:p w14:paraId="348F971D" w14:textId="77777777" w:rsidR="00E2446F" w:rsidRPr="003D2A76" w:rsidRDefault="00E2446F" w:rsidP="00BD6279">
      <w:pPr>
        <w:bidi w:val="0"/>
        <w:rPr>
          <w:lang w:val="en-GB"/>
        </w:rPr>
      </w:pPr>
    </w:p>
    <w:p w14:paraId="03A50DFA" w14:textId="77777777" w:rsidR="00E2446F" w:rsidRPr="003D2A76" w:rsidRDefault="00CB042E" w:rsidP="00BD6279">
      <w:pPr>
        <w:bidi w:val="0"/>
        <w:rPr>
          <w:lang w:val="en-GB"/>
        </w:rPr>
      </w:pPr>
      <w:r w:rsidRPr="003D2A76">
        <w:rPr>
          <w:lang w:val="en-GB"/>
        </w:rPr>
        <w:t>I understand that any breach of this declaration may result in the annulment of the degree awarded.</w:t>
      </w:r>
    </w:p>
    <w:p w14:paraId="6E15EC82" w14:textId="77777777" w:rsidR="00E2446F" w:rsidRPr="003D2A76" w:rsidRDefault="00E2446F" w:rsidP="00BD6279">
      <w:pPr>
        <w:bidi w:val="0"/>
        <w:rPr>
          <w:lang w:val="en-GB"/>
        </w:rPr>
      </w:pPr>
    </w:p>
    <w:p w14:paraId="5A1F3C5F" w14:textId="77777777" w:rsidR="00E2446F" w:rsidRPr="003D2A76" w:rsidRDefault="00E2446F" w:rsidP="00BD6279">
      <w:pPr>
        <w:bidi w:val="0"/>
        <w:rPr>
          <w:lang w:val="en-GB"/>
        </w:rPr>
      </w:pPr>
    </w:p>
    <w:p w14:paraId="7B5C002B" w14:textId="77777777" w:rsidR="00E2446F" w:rsidRPr="003D2A76" w:rsidRDefault="00E2446F" w:rsidP="00BD6279">
      <w:pPr>
        <w:bidi w:val="0"/>
        <w:rPr>
          <w:lang w:val="en-GB"/>
        </w:rPr>
      </w:pPr>
    </w:p>
    <w:p w14:paraId="1BB45806" w14:textId="77777777" w:rsidR="00E2446F" w:rsidRPr="003D2A76" w:rsidRDefault="00CB042E" w:rsidP="00BD6279">
      <w:pPr>
        <w:bidi w:val="0"/>
        <w:rPr>
          <w:lang w:val="en-GB"/>
        </w:rPr>
      </w:pPr>
      <w:r w:rsidRPr="003D2A76">
        <w:rPr>
          <w:lang w:val="en-GB"/>
        </w:rPr>
        <w:t>Signature: ________________________________________</w:t>
      </w:r>
    </w:p>
    <w:p w14:paraId="70A1A80E" w14:textId="77777777" w:rsidR="00E2446F" w:rsidRPr="003D2A76" w:rsidRDefault="00CB042E" w:rsidP="00BD6279">
      <w:pPr>
        <w:bidi w:val="0"/>
        <w:rPr>
          <w:lang w:val="en-GB"/>
        </w:rPr>
      </w:pPr>
      <w:r w:rsidRPr="003D2A76">
        <w:rPr>
          <w:lang w:val="en-GB"/>
        </w:rPr>
        <w:t>Date: ________________________________________</w:t>
      </w:r>
    </w:p>
    <w:p w14:paraId="04B9250A" w14:textId="77777777" w:rsidR="00E2446F" w:rsidRPr="003D2A76" w:rsidRDefault="00E2446F" w:rsidP="00BD6279">
      <w:pPr>
        <w:pageBreakBefore/>
        <w:bidi w:val="0"/>
        <w:rPr>
          <w:lang w:val="en-GB"/>
        </w:rPr>
      </w:pPr>
    </w:p>
    <w:p w14:paraId="4DCE9F2A" w14:textId="77777777" w:rsidR="00E2446F" w:rsidRPr="003D2A76" w:rsidRDefault="00CB042E" w:rsidP="00BD6279">
      <w:pPr>
        <w:bidi w:val="0"/>
        <w:jc w:val="center"/>
        <w:rPr>
          <w:lang w:val="en-GB"/>
        </w:rPr>
      </w:pPr>
      <w:r w:rsidRPr="003D2A76">
        <w:rPr>
          <w:b/>
          <w:bCs/>
          <w:lang w:val="en-GB"/>
        </w:rPr>
        <w:t>TABLE OF CONTENTS</w:t>
      </w:r>
    </w:p>
    <w:p w14:paraId="0ABCE062" w14:textId="77777777" w:rsidR="00E2446F" w:rsidRPr="003D2A76" w:rsidRDefault="00E2446F" w:rsidP="00BD6279">
      <w:pPr>
        <w:bidi w:val="0"/>
        <w:rPr>
          <w:lang w:val="en-GB"/>
        </w:rPr>
      </w:pPr>
    </w:p>
    <w:p w14:paraId="6ED6C9F9" w14:textId="0CCAEC60" w:rsidR="00BD6279" w:rsidRPr="003D2A76" w:rsidRDefault="00CB042E" w:rsidP="00BD6279">
      <w:pPr>
        <w:pStyle w:val="TOC1"/>
        <w:rPr>
          <w:noProof/>
          <w:lang w:val="en-GB"/>
        </w:rPr>
      </w:pPr>
      <w:r w:rsidRPr="003D2A76">
        <w:rPr>
          <w:lang w:val="en-GB"/>
        </w:rPr>
        <w:fldChar w:fldCharType="begin"/>
      </w:r>
      <w:r w:rsidRPr="003D2A76">
        <w:rPr>
          <w:lang w:val="en-GB"/>
        </w:rPr>
        <w:instrText xml:space="preserve"> TOC \o "1-3" \h \z \u </w:instrText>
      </w:r>
      <w:r w:rsidRPr="003D2A76">
        <w:rPr>
          <w:lang w:val="en-GB"/>
        </w:rPr>
        <w:fldChar w:fldCharType="separate"/>
      </w:r>
      <w:hyperlink w:anchor="_Toc228056548" w:history="1">
        <w:r w:rsidR="00BD6279" w:rsidRPr="003D2A76">
          <w:rPr>
            <w:rStyle w:val="Hyperlink"/>
            <w:noProof/>
            <w:lang w:val="en-GB"/>
          </w:rPr>
          <w:t>CHAPTER 1</w:t>
        </w:r>
        <w:r w:rsidR="00BD6279" w:rsidRPr="003D2A76">
          <w:rPr>
            <w:noProof/>
            <w:webHidden/>
            <w:lang w:val="en-GB"/>
          </w:rPr>
          <w:tab/>
        </w:r>
        <w:r w:rsidR="00BD6279" w:rsidRPr="003D2A76">
          <w:rPr>
            <w:noProof/>
            <w:webHidden/>
            <w:lang w:val="en-GB"/>
          </w:rPr>
          <w:fldChar w:fldCharType="begin"/>
        </w:r>
        <w:r w:rsidR="00BD6279" w:rsidRPr="003D2A76">
          <w:rPr>
            <w:noProof/>
            <w:webHidden/>
            <w:lang w:val="en-GB"/>
          </w:rPr>
          <w:instrText xml:space="preserve"> PAGEREF _Toc228056548 \h </w:instrText>
        </w:r>
        <w:r w:rsidR="00BD6279" w:rsidRPr="003D2A76">
          <w:rPr>
            <w:noProof/>
            <w:webHidden/>
            <w:lang w:val="en-GB"/>
          </w:rPr>
        </w:r>
        <w:r w:rsidR="00BD6279" w:rsidRPr="003D2A76">
          <w:rPr>
            <w:noProof/>
            <w:webHidden/>
            <w:lang w:val="en-GB"/>
          </w:rPr>
          <w:fldChar w:fldCharType="separate"/>
        </w:r>
        <w:r w:rsidR="00BD6279" w:rsidRPr="003D2A76">
          <w:rPr>
            <w:noProof/>
            <w:webHidden/>
            <w:lang w:val="en-GB"/>
          </w:rPr>
          <w:t>1</w:t>
        </w:r>
        <w:r w:rsidR="00BD6279" w:rsidRPr="003D2A76">
          <w:rPr>
            <w:noProof/>
            <w:webHidden/>
            <w:lang w:val="en-GB"/>
          </w:rPr>
          <w:fldChar w:fldCharType="end"/>
        </w:r>
      </w:hyperlink>
    </w:p>
    <w:p w14:paraId="410F4B18" w14:textId="6876FBDB" w:rsidR="00BD6279" w:rsidRPr="003D2A76" w:rsidRDefault="00BD6279" w:rsidP="00BD6279">
      <w:pPr>
        <w:pStyle w:val="TOC2"/>
        <w:tabs>
          <w:tab w:val="right" w:leader="dot" w:pos="8630"/>
        </w:tabs>
        <w:bidi w:val="0"/>
        <w:spacing w:line="240" w:lineRule="auto"/>
        <w:rPr>
          <w:noProof/>
          <w:lang w:val="en-GB"/>
        </w:rPr>
      </w:pPr>
      <w:hyperlink w:anchor="_Toc228056549" w:history="1">
        <w:r w:rsidRPr="003D2A76">
          <w:rPr>
            <w:rStyle w:val="Hyperlink"/>
            <w:noProof/>
            <w:lang w:val="en-GB"/>
          </w:rPr>
          <w:t>1.1 Introduction and Background</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_Toc228056549 \h </w:instrText>
        </w:r>
        <w:r w:rsidRPr="003D2A76">
          <w:rPr>
            <w:noProof/>
            <w:webHidden/>
            <w:lang w:val="en-GB"/>
          </w:rPr>
        </w:r>
        <w:r w:rsidRPr="003D2A76">
          <w:rPr>
            <w:noProof/>
            <w:webHidden/>
            <w:lang w:val="en-GB"/>
          </w:rPr>
          <w:fldChar w:fldCharType="separate"/>
        </w:r>
        <w:r w:rsidRPr="003D2A76">
          <w:rPr>
            <w:noProof/>
            <w:webHidden/>
            <w:lang w:val="en-GB"/>
          </w:rPr>
          <w:t>1</w:t>
        </w:r>
        <w:r w:rsidRPr="003D2A76">
          <w:rPr>
            <w:noProof/>
            <w:webHidden/>
            <w:lang w:val="en-GB"/>
          </w:rPr>
          <w:fldChar w:fldCharType="end"/>
        </w:r>
      </w:hyperlink>
    </w:p>
    <w:p w14:paraId="02C0B875" w14:textId="68EB31E2" w:rsidR="00BD6279" w:rsidRPr="003D2A76" w:rsidRDefault="00BD6279" w:rsidP="00BD6279">
      <w:pPr>
        <w:pStyle w:val="TOC2"/>
        <w:tabs>
          <w:tab w:val="right" w:leader="dot" w:pos="8630"/>
        </w:tabs>
        <w:bidi w:val="0"/>
        <w:spacing w:line="240" w:lineRule="auto"/>
        <w:rPr>
          <w:noProof/>
          <w:lang w:val="en-GB"/>
        </w:rPr>
      </w:pPr>
      <w:hyperlink w:anchor="_Toc228056550" w:history="1">
        <w:r w:rsidRPr="003D2A76">
          <w:rPr>
            <w:rStyle w:val="Hyperlink"/>
            <w:noProof/>
            <w:lang w:val="en-GB"/>
          </w:rPr>
          <w:t>1.2 Problem Statement</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_Toc228056550 \h </w:instrText>
        </w:r>
        <w:r w:rsidRPr="003D2A76">
          <w:rPr>
            <w:noProof/>
            <w:webHidden/>
            <w:lang w:val="en-GB"/>
          </w:rPr>
        </w:r>
        <w:r w:rsidRPr="003D2A76">
          <w:rPr>
            <w:noProof/>
            <w:webHidden/>
            <w:lang w:val="en-GB"/>
          </w:rPr>
          <w:fldChar w:fldCharType="separate"/>
        </w:r>
        <w:r w:rsidRPr="003D2A76">
          <w:rPr>
            <w:noProof/>
            <w:webHidden/>
            <w:lang w:val="en-GB"/>
          </w:rPr>
          <w:t>4</w:t>
        </w:r>
        <w:r w:rsidRPr="003D2A76">
          <w:rPr>
            <w:noProof/>
            <w:webHidden/>
            <w:lang w:val="en-GB"/>
          </w:rPr>
          <w:fldChar w:fldCharType="end"/>
        </w:r>
      </w:hyperlink>
    </w:p>
    <w:p w14:paraId="367100B9" w14:textId="7DCDBBD9" w:rsidR="00BD6279" w:rsidRPr="003D2A76" w:rsidRDefault="00BD6279" w:rsidP="00BD6279">
      <w:pPr>
        <w:pStyle w:val="TOC2"/>
        <w:tabs>
          <w:tab w:val="right" w:leader="dot" w:pos="8630"/>
        </w:tabs>
        <w:bidi w:val="0"/>
        <w:spacing w:line="240" w:lineRule="auto"/>
        <w:rPr>
          <w:noProof/>
          <w:lang w:val="en-GB"/>
        </w:rPr>
      </w:pPr>
      <w:hyperlink w:anchor="_Toc228056551" w:history="1">
        <w:r w:rsidRPr="003D2A76">
          <w:rPr>
            <w:rStyle w:val="Hyperlink"/>
            <w:noProof/>
            <w:lang w:val="en-GB"/>
          </w:rPr>
          <w:t>1.3 Importance of the Study</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_Toc228056551 \h </w:instrText>
        </w:r>
        <w:r w:rsidRPr="003D2A76">
          <w:rPr>
            <w:noProof/>
            <w:webHidden/>
            <w:lang w:val="en-GB"/>
          </w:rPr>
        </w:r>
        <w:r w:rsidRPr="003D2A76">
          <w:rPr>
            <w:noProof/>
            <w:webHidden/>
            <w:lang w:val="en-GB"/>
          </w:rPr>
          <w:fldChar w:fldCharType="separate"/>
        </w:r>
        <w:r w:rsidRPr="003D2A76">
          <w:rPr>
            <w:noProof/>
            <w:webHidden/>
            <w:lang w:val="en-GB"/>
          </w:rPr>
          <w:t>6</w:t>
        </w:r>
        <w:r w:rsidRPr="003D2A76">
          <w:rPr>
            <w:noProof/>
            <w:webHidden/>
            <w:lang w:val="en-GB"/>
          </w:rPr>
          <w:fldChar w:fldCharType="end"/>
        </w:r>
      </w:hyperlink>
    </w:p>
    <w:p w14:paraId="28359719" w14:textId="6A25F803" w:rsidR="00BD6279" w:rsidRPr="003D2A76" w:rsidRDefault="00BD6279" w:rsidP="00BD6279">
      <w:pPr>
        <w:pStyle w:val="TOC2"/>
        <w:tabs>
          <w:tab w:val="right" w:leader="dot" w:pos="8630"/>
        </w:tabs>
        <w:bidi w:val="0"/>
        <w:spacing w:line="240" w:lineRule="auto"/>
        <w:rPr>
          <w:noProof/>
          <w:lang w:val="en-GB"/>
        </w:rPr>
      </w:pPr>
      <w:hyperlink w:anchor="_Toc228056552" w:history="1">
        <w:r w:rsidRPr="003D2A76">
          <w:rPr>
            <w:rStyle w:val="Hyperlink"/>
            <w:noProof/>
            <w:lang w:val="en-GB"/>
          </w:rPr>
          <w:t>1.4 Research Problems and Research Hypotheses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_Toc228056552 \h </w:instrText>
        </w:r>
        <w:r w:rsidRPr="003D2A76">
          <w:rPr>
            <w:noProof/>
            <w:webHidden/>
            <w:lang w:val="en-GB"/>
          </w:rPr>
        </w:r>
        <w:r w:rsidRPr="003D2A76">
          <w:rPr>
            <w:noProof/>
            <w:webHidden/>
            <w:lang w:val="en-GB"/>
          </w:rPr>
          <w:fldChar w:fldCharType="separate"/>
        </w:r>
        <w:r w:rsidRPr="003D2A76">
          <w:rPr>
            <w:noProof/>
            <w:webHidden/>
            <w:lang w:val="en-GB"/>
          </w:rPr>
          <w:t>8</w:t>
        </w:r>
        <w:r w:rsidRPr="003D2A76">
          <w:rPr>
            <w:noProof/>
            <w:webHidden/>
            <w:lang w:val="en-GB"/>
          </w:rPr>
          <w:fldChar w:fldCharType="end"/>
        </w:r>
      </w:hyperlink>
    </w:p>
    <w:p w14:paraId="2AF2550D" w14:textId="5498BD91" w:rsidR="00BD6279" w:rsidRPr="003D2A76" w:rsidRDefault="00BD6279" w:rsidP="00BD6279">
      <w:pPr>
        <w:pStyle w:val="TOC2"/>
        <w:tabs>
          <w:tab w:val="right" w:leader="dot" w:pos="8630"/>
        </w:tabs>
        <w:bidi w:val="0"/>
        <w:spacing w:line="240" w:lineRule="auto"/>
        <w:rPr>
          <w:noProof/>
          <w:lang w:val="en-GB"/>
        </w:rPr>
      </w:pPr>
      <w:hyperlink w:anchor="_Toc228056553" w:history="1">
        <w:r w:rsidRPr="003D2A76">
          <w:rPr>
            <w:rStyle w:val="Hyperlink"/>
            <w:noProof/>
            <w:lang w:val="en-GB"/>
          </w:rPr>
          <w:t>1.5 Limitations, Delimitations, and Assumptions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_Toc228056553 \h </w:instrText>
        </w:r>
        <w:r w:rsidRPr="003D2A76">
          <w:rPr>
            <w:noProof/>
            <w:webHidden/>
            <w:lang w:val="en-GB"/>
          </w:rPr>
        </w:r>
        <w:r w:rsidRPr="003D2A76">
          <w:rPr>
            <w:noProof/>
            <w:webHidden/>
            <w:lang w:val="en-GB"/>
          </w:rPr>
          <w:fldChar w:fldCharType="separate"/>
        </w:r>
        <w:r w:rsidRPr="003D2A76">
          <w:rPr>
            <w:noProof/>
            <w:webHidden/>
            <w:lang w:val="en-GB"/>
          </w:rPr>
          <w:t>10</w:t>
        </w:r>
        <w:r w:rsidRPr="003D2A76">
          <w:rPr>
            <w:noProof/>
            <w:webHidden/>
            <w:lang w:val="en-GB"/>
          </w:rPr>
          <w:fldChar w:fldCharType="end"/>
        </w:r>
      </w:hyperlink>
    </w:p>
    <w:p w14:paraId="2DB5ABB1" w14:textId="4B09A388" w:rsidR="00BD6279" w:rsidRPr="003D2A76" w:rsidRDefault="00BD6279" w:rsidP="00BD6279">
      <w:pPr>
        <w:pStyle w:val="TOC2"/>
        <w:tabs>
          <w:tab w:val="right" w:leader="dot" w:pos="8630"/>
        </w:tabs>
        <w:bidi w:val="0"/>
        <w:spacing w:line="240" w:lineRule="auto"/>
        <w:rPr>
          <w:noProof/>
          <w:lang w:val="en-GB"/>
        </w:rPr>
      </w:pPr>
      <w:hyperlink w:anchor="_Toc228056554" w:history="1">
        <w:r w:rsidRPr="003D2A76">
          <w:rPr>
            <w:rStyle w:val="Hyperlink"/>
            <w:noProof/>
            <w:lang w:val="en-GB"/>
          </w:rPr>
          <w:t>1.6 Definition of Terms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_Toc228056554 \h </w:instrText>
        </w:r>
        <w:r w:rsidRPr="003D2A76">
          <w:rPr>
            <w:noProof/>
            <w:webHidden/>
            <w:lang w:val="en-GB"/>
          </w:rPr>
        </w:r>
        <w:r w:rsidRPr="003D2A76">
          <w:rPr>
            <w:noProof/>
            <w:webHidden/>
            <w:lang w:val="en-GB"/>
          </w:rPr>
          <w:fldChar w:fldCharType="separate"/>
        </w:r>
        <w:r w:rsidRPr="003D2A76">
          <w:rPr>
            <w:noProof/>
            <w:webHidden/>
            <w:lang w:val="en-GB"/>
          </w:rPr>
          <w:t>12</w:t>
        </w:r>
        <w:r w:rsidRPr="003D2A76">
          <w:rPr>
            <w:noProof/>
            <w:webHidden/>
            <w:lang w:val="en-GB"/>
          </w:rPr>
          <w:fldChar w:fldCharType="end"/>
        </w:r>
      </w:hyperlink>
    </w:p>
    <w:p w14:paraId="2D886238" w14:textId="085474C4" w:rsidR="00BD6279" w:rsidRPr="003D2A76" w:rsidRDefault="00BD6279" w:rsidP="00BD6279">
      <w:pPr>
        <w:pStyle w:val="TOC2"/>
        <w:tabs>
          <w:tab w:val="right" w:leader="dot" w:pos="8630"/>
        </w:tabs>
        <w:bidi w:val="0"/>
        <w:spacing w:line="240" w:lineRule="auto"/>
        <w:rPr>
          <w:noProof/>
          <w:lang w:val="en-GB"/>
        </w:rPr>
      </w:pPr>
      <w:hyperlink w:anchor="_Toc228056555" w:history="1">
        <w:r w:rsidRPr="003D2A76">
          <w:rPr>
            <w:rStyle w:val="Hyperlink"/>
            <w:noProof/>
            <w:lang w:val="en-GB"/>
          </w:rPr>
          <w:t>1.7 Background and Context: Jeddah Private-School Market</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_Toc228056555 \h </w:instrText>
        </w:r>
        <w:r w:rsidRPr="003D2A76">
          <w:rPr>
            <w:noProof/>
            <w:webHidden/>
            <w:lang w:val="en-GB"/>
          </w:rPr>
        </w:r>
        <w:r w:rsidRPr="003D2A76">
          <w:rPr>
            <w:noProof/>
            <w:webHidden/>
            <w:lang w:val="en-GB"/>
          </w:rPr>
          <w:fldChar w:fldCharType="separate"/>
        </w:r>
        <w:r w:rsidRPr="003D2A76">
          <w:rPr>
            <w:noProof/>
            <w:webHidden/>
            <w:lang w:val="en-GB"/>
          </w:rPr>
          <w:t>13</w:t>
        </w:r>
        <w:r w:rsidRPr="003D2A76">
          <w:rPr>
            <w:noProof/>
            <w:webHidden/>
            <w:lang w:val="en-GB"/>
          </w:rPr>
          <w:fldChar w:fldCharType="end"/>
        </w:r>
      </w:hyperlink>
    </w:p>
    <w:p w14:paraId="642CCBAB" w14:textId="7B7B1F7D" w:rsidR="00BD6279" w:rsidRPr="003D2A76" w:rsidRDefault="00BD6279" w:rsidP="00BD6279">
      <w:pPr>
        <w:pStyle w:val="TOC2"/>
        <w:tabs>
          <w:tab w:val="right" w:leader="dot" w:pos="8630"/>
        </w:tabs>
        <w:bidi w:val="0"/>
        <w:spacing w:line="240" w:lineRule="auto"/>
        <w:rPr>
          <w:noProof/>
          <w:lang w:val="en-GB"/>
        </w:rPr>
      </w:pPr>
      <w:hyperlink w:anchor="_Toc228056556" w:history="1">
        <w:r w:rsidRPr="003D2A76">
          <w:rPr>
            <w:rStyle w:val="Hyperlink"/>
            <w:noProof/>
            <w:lang w:val="en-GB"/>
          </w:rPr>
          <w:t>1.8 Chapter Summary</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_Toc228056556 \h </w:instrText>
        </w:r>
        <w:r w:rsidRPr="003D2A76">
          <w:rPr>
            <w:noProof/>
            <w:webHidden/>
            <w:lang w:val="en-GB"/>
          </w:rPr>
        </w:r>
        <w:r w:rsidRPr="003D2A76">
          <w:rPr>
            <w:noProof/>
            <w:webHidden/>
            <w:lang w:val="en-GB"/>
          </w:rPr>
          <w:fldChar w:fldCharType="separate"/>
        </w:r>
        <w:r w:rsidRPr="003D2A76">
          <w:rPr>
            <w:noProof/>
            <w:webHidden/>
            <w:lang w:val="en-GB"/>
          </w:rPr>
          <w:t>1</w:t>
        </w:r>
        <w:r w:rsidRPr="003D2A76">
          <w:rPr>
            <w:noProof/>
            <w:webHidden/>
            <w:lang w:val="en-GB"/>
          </w:rPr>
          <w:fldChar w:fldCharType="end"/>
        </w:r>
      </w:hyperlink>
      <w:r w:rsidR="00064062">
        <w:rPr>
          <w:noProof/>
          <w:lang w:val="en-GB"/>
        </w:rPr>
        <w:t>5</w:t>
      </w:r>
    </w:p>
    <w:p w14:paraId="258E4A58" w14:textId="5396810E" w:rsidR="00BD6279" w:rsidRPr="003D2A76" w:rsidRDefault="00BD6279" w:rsidP="00BD6279">
      <w:pPr>
        <w:pStyle w:val="TOC1"/>
        <w:rPr>
          <w:noProof/>
          <w:lang w:val="en-GB"/>
        </w:rPr>
      </w:pPr>
      <w:hyperlink w:anchor="_Toc228056557" w:history="1">
        <w:r w:rsidRPr="003D2A76">
          <w:rPr>
            <w:rStyle w:val="Hyperlink"/>
            <w:noProof/>
            <w:lang w:val="en-GB"/>
          </w:rPr>
          <w:t>CHAPTER 2</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_Toc228056557 \h </w:instrText>
        </w:r>
        <w:r w:rsidRPr="003D2A76">
          <w:rPr>
            <w:noProof/>
            <w:webHidden/>
            <w:lang w:val="en-GB"/>
          </w:rPr>
        </w:r>
        <w:r w:rsidRPr="003D2A76">
          <w:rPr>
            <w:noProof/>
            <w:webHidden/>
            <w:lang w:val="en-GB"/>
          </w:rPr>
          <w:fldChar w:fldCharType="separate"/>
        </w:r>
        <w:r w:rsidRPr="003D2A76">
          <w:rPr>
            <w:noProof/>
            <w:webHidden/>
            <w:lang w:val="en-GB"/>
          </w:rPr>
          <w:t>16</w:t>
        </w:r>
        <w:r w:rsidRPr="003D2A76">
          <w:rPr>
            <w:noProof/>
            <w:webHidden/>
            <w:lang w:val="en-GB"/>
          </w:rPr>
          <w:fldChar w:fldCharType="end"/>
        </w:r>
      </w:hyperlink>
    </w:p>
    <w:p w14:paraId="5EC6E909" w14:textId="23C79639" w:rsidR="00BD6279" w:rsidRPr="003D2A76" w:rsidRDefault="00BD6279" w:rsidP="00BD6279">
      <w:pPr>
        <w:pStyle w:val="TOC2"/>
        <w:tabs>
          <w:tab w:val="right" w:leader="dot" w:pos="8630"/>
        </w:tabs>
        <w:bidi w:val="0"/>
        <w:spacing w:line="240" w:lineRule="auto"/>
        <w:rPr>
          <w:noProof/>
          <w:lang w:val="en-GB"/>
        </w:rPr>
      </w:pPr>
      <w:hyperlink w:anchor="_Toc228056558" w:history="1">
        <w:r w:rsidRPr="003D2A76">
          <w:rPr>
            <w:rStyle w:val="Hyperlink"/>
            <w:noProof/>
            <w:lang w:val="en-GB"/>
          </w:rPr>
          <w:t>2.1 Introduction</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_Toc228056558 \h </w:instrText>
        </w:r>
        <w:r w:rsidRPr="003D2A76">
          <w:rPr>
            <w:noProof/>
            <w:webHidden/>
            <w:lang w:val="en-GB"/>
          </w:rPr>
        </w:r>
        <w:r w:rsidRPr="003D2A76">
          <w:rPr>
            <w:noProof/>
            <w:webHidden/>
            <w:lang w:val="en-GB"/>
          </w:rPr>
          <w:fldChar w:fldCharType="separate"/>
        </w:r>
        <w:r w:rsidRPr="003D2A76">
          <w:rPr>
            <w:noProof/>
            <w:webHidden/>
            <w:lang w:val="en-GB"/>
          </w:rPr>
          <w:t>16</w:t>
        </w:r>
        <w:r w:rsidRPr="003D2A76">
          <w:rPr>
            <w:noProof/>
            <w:webHidden/>
            <w:lang w:val="en-GB"/>
          </w:rPr>
          <w:fldChar w:fldCharType="end"/>
        </w:r>
      </w:hyperlink>
    </w:p>
    <w:p w14:paraId="0FE6DAA9" w14:textId="755DDE23" w:rsidR="00BD6279" w:rsidRPr="003D2A76" w:rsidRDefault="00BD6279" w:rsidP="00BD6279">
      <w:pPr>
        <w:pStyle w:val="TOC2"/>
        <w:tabs>
          <w:tab w:val="right" w:leader="dot" w:pos="8630"/>
        </w:tabs>
        <w:bidi w:val="0"/>
        <w:spacing w:line="240" w:lineRule="auto"/>
        <w:rPr>
          <w:noProof/>
          <w:lang w:val="en-GB"/>
        </w:rPr>
      </w:pPr>
      <w:hyperlink w:anchor="_Toc228056559" w:history="1">
        <w:r w:rsidRPr="003D2A76">
          <w:rPr>
            <w:rStyle w:val="Hyperlink"/>
            <w:noProof/>
            <w:lang w:val="en-GB"/>
          </w:rPr>
          <w:t>2.2 Epistemic Map of the Domain</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_Toc228056559 \h </w:instrText>
        </w:r>
        <w:r w:rsidRPr="003D2A76">
          <w:rPr>
            <w:noProof/>
            <w:webHidden/>
            <w:lang w:val="en-GB"/>
          </w:rPr>
        </w:r>
        <w:r w:rsidRPr="003D2A76">
          <w:rPr>
            <w:noProof/>
            <w:webHidden/>
            <w:lang w:val="en-GB"/>
          </w:rPr>
          <w:fldChar w:fldCharType="separate"/>
        </w:r>
        <w:r w:rsidRPr="003D2A76">
          <w:rPr>
            <w:noProof/>
            <w:webHidden/>
            <w:lang w:val="en-GB"/>
          </w:rPr>
          <w:t>17</w:t>
        </w:r>
        <w:r w:rsidRPr="003D2A76">
          <w:rPr>
            <w:noProof/>
            <w:webHidden/>
            <w:lang w:val="en-GB"/>
          </w:rPr>
          <w:fldChar w:fldCharType="end"/>
        </w:r>
      </w:hyperlink>
    </w:p>
    <w:p w14:paraId="265F3773" w14:textId="3CA65138" w:rsidR="00BD6279" w:rsidRPr="003D2A76" w:rsidRDefault="00BD6279" w:rsidP="00BD6279">
      <w:pPr>
        <w:pStyle w:val="TOC2"/>
        <w:tabs>
          <w:tab w:val="right" w:leader="dot" w:pos="8630"/>
        </w:tabs>
        <w:bidi w:val="0"/>
        <w:spacing w:line="240" w:lineRule="auto"/>
        <w:rPr>
          <w:noProof/>
          <w:lang w:val="en-GB"/>
        </w:rPr>
      </w:pPr>
      <w:hyperlink w:anchor="_Toc228056560" w:history="1">
        <w:r w:rsidRPr="003D2A76">
          <w:rPr>
            <w:rStyle w:val="Hyperlink"/>
            <w:noProof/>
            <w:lang w:val="en-GB"/>
          </w:rPr>
          <w:t>2.3 Theoretical Foundations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_Toc228056560 \h </w:instrText>
        </w:r>
        <w:r w:rsidRPr="003D2A76">
          <w:rPr>
            <w:noProof/>
            <w:webHidden/>
            <w:lang w:val="en-GB"/>
          </w:rPr>
        </w:r>
        <w:r w:rsidRPr="003D2A76">
          <w:rPr>
            <w:noProof/>
            <w:webHidden/>
            <w:lang w:val="en-GB"/>
          </w:rPr>
          <w:fldChar w:fldCharType="separate"/>
        </w:r>
        <w:r w:rsidRPr="003D2A76">
          <w:rPr>
            <w:noProof/>
            <w:webHidden/>
            <w:lang w:val="en-GB"/>
          </w:rPr>
          <w:t>19</w:t>
        </w:r>
        <w:r w:rsidRPr="003D2A76">
          <w:rPr>
            <w:noProof/>
            <w:webHidden/>
            <w:lang w:val="en-GB"/>
          </w:rPr>
          <w:fldChar w:fldCharType="end"/>
        </w:r>
      </w:hyperlink>
    </w:p>
    <w:p w14:paraId="5DBBFB0A" w14:textId="0502F0A8" w:rsidR="00BD6279" w:rsidRPr="003D2A76" w:rsidRDefault="00BD6279" w:rsidP="00474483">
      <w:pPr>
        <w:bidi w:val="0"/>
        <w:ind w:left="240"/>
        <w:rPr>
          <w:noProof/>
          <w:lang w:val="en-GB"/>
        </w:rPr>
      </w:pPr>
      <w:hyperlink w:anchor="_Toc228056561" w:history="1">
        <w:r w:rsidRPr="003D2A76">
          <w:rPr>
            <w:rStyle w:val="Hyperlink"/>
            <w:noProof/>
            <w:lang w:val="en-GB"/>
          </w:rPr>
          <w:t>2.4 Thematic Review Across the Ten Research Areas</w:t>
        </w:r>
        <w:r w:rsidR="004F7650" w:rsidRPr="003D2A76">
          <w:rPr>
            <w:rStyle w:val="Hyperlink"/>
            <w:noProof/>
            <w:lang w:val="en-GB"/>
          </w:rPr>
          <w:t xml:space="preserve"> ………………………………..25</w:t>
        </w:r>
        <w:r w:rsidR="00D31DDE" w:rsidRPr="003D2A76">
          <w:rPr>
            <w:rStyle w:val="Hyperlink"/>
            <w:noProof/>
            <w:lang w:val="en-GB"/>
          </w:rPr>
          <w:t xml:space="preserve"> </w:t>
        </w:r>
        <w:r w:rsidR="00D31DDE" w:rsidRPr="003D2A76">
          <w:rPr>
            <w:rStyle w:val="Hyperlink"/>
            <w:rFonts w:asciiTheme="majorBidi" w:hAnsiTheme="majorBidi"/>
            <w:lang w:val="en-GB"/>
          </w:rPr>
          <w:t xml:space="preserve"> </w:t>
        </w:r>
      </w:hyperlink>
      <w:hyperlink w:anchor="_Toc228056562" w:history="1">
        <w:r w:rsidRPr="003D2A76">
          <w:rPr>
            <w:rStyle w:val="Hyperlink"/>
            <w:noProof/>
            <w:lang w:val="en-GB"/>
          </w:rPr>
          <w:t>2.</w:t>
        </w:r>
        <w:r w:rsidR="00474483">
          <w:rPr>
            <w:rStyle w:val="Hyperlink"/>
            <w:noProof/>
            <w:lang w:val="en-GB"/>
          </w:rPr>
          <w:t>5</w:t>
        </w:r>
        <w:r w:rsidRPr="003D2A76">
          <w:rPr>
            <w:rStyle w:val="Hyperlink"/>
            <w:noProof/>
            <w:lang w:val="en-GB"/>
          </w:rPr>
          <w:t xml:space="preserve"> Integration and Conceptual Framework</w:t>
        </w:r>
        <w:r w:rsidR="00474483">
          <w:rPr>
            <w:rStyle w:val="Hyperlink"/>
            <w:noProof/>
            <w:lang w:val="en-GB"/>
          </w:rPr>
          <w:t>……………………………...</w:t>
        </w:r>
        <w:r w:rsidRPr="003D2A76">
          <w:rPr>
            <w:noProof/>
            <w:webHidden/>
            <w:lang w:val="en-GB"/>
          </w:rPr>
          <w:tab/>
        </w:r>
        <w:r w:rsidR="00474483">
          <w:rPr>
            <w:noProof/>
            <w:webHidden/>
            <w:lang w:val="en-GB"/>
          </w:rPr>
          <w:t>…………...</w:t>
        </w:r>
        <w:r w:rsidRPr="003D2A76">
          <w:rPr>
            <w:noProof/>
            <w:webHidden/>
            <w:lang w:val="en-GB"/>
          </w:rPr>
          <w:fldChar w:fldCharType="begin"/>
        </w:r>
        <w:r w:rsidRPr="003D2A76">
          <w:rPr>
            <w:noProof/>
            <w:webHidden/>
            <w:lang w:val="en-GB"/>
          </w:rPr>
          <w:instrText xml:space="preserve"> PAGEREF _Toc228056562 \h </w:instrText>
        </w:r>
        <w:r w:rsidRPr="003D2A76">
          <w:rPr>
            <w:noProof/>
            <w:webHidden/>
            <w:lang w:val="en-GB"/>
          </w:rPr>
        </w:r>
        <w:r w:rsidRPr="003D2A76">
          <w:rPr>
            <w:noProof/>
            <w:webHidden/>
            <w:lang w:val="en-GB"/>
          </w:rPr>
          <w:fldChar w:fldCharType="separate"/>
        </w:r>
        <w:r w:rsidRPr="003D2A76">
          <w:rPr>
            <w:noProof/>
            <w:webHidden/>
            <w:lang w:val="en-GB"/>
          </w:rPr>
          <w:t>4</w:t>
        </w:r>
        <w:r w:rsidRPr="003D2A76">
          <w:rPr>
            <w:noProof/>
            <w:webHidden/>
            <w:lang w:val="en-GB"/>
          </w:rPr>
          <w:fldChar w:fldCharType="end"/>
        </w:r>
      </w:hyperlink>
      <w:r w:rsidR="005A1A73">
        <w:rPr>
          <w:noProof/>
          <w:lang w:val="en-GB"/>
        </w:rPr>
        <w:t>6</w:t>
      </w:r>
    </w:p>
    <w:p w14:paraId="0F9A9C1B" w14:textId="67BCDA6A" w:rsidR="00BD6279" w:rsidRPr="003D2A76" w:rsidRDefault="00BD6279" w:rsidP="00BD6279">
      <w:pPr>
        <w:pStyle w:val="TOC2"/>
        <w:tabs>
          <w:tab w:val="right" w:leader="dot" w:pos="8630"/>
        </w:tabs>
        <w:bidi w:val="0"/>
        <w:spacing w:line="240" w:lineRule="auto"/>
        <w:rPr>
          <w:noProof/>
          <w:lang w:val="en-GB"/>
        </w:rPr>
      </w:pPr>
      <w:hyperlink w:anchor="_Toc228056563" w:history="1">
        <w:r w:rsidRPr="003D2A76">
          <w:rPr>
            <w:rStyle w:val="Hyperlink"/>
            <w:noProof/>
            <w:lang w:val="en-GB"/>
          </w:rPr>
          <w:t>2.</w:t>
        </w:r>
        <w:r w:rsidR="00474483">
          <w:rPr>
            <w:rStyle w:val="Hyperlink"/>
            <w:noProof/>
            <w:lang w:val="en-GB"/>
          </w:rPr>
          <w:t>6</w:t>
        </w:r>
        <w:r w:rsidRPr="003D2A76">
          <w:rPr>
            <w:rStyle w:val="Hyperlink"/>
            <w:noProof/>
            <w:lang w:val="en-GB"/>
          </w:rPr>
          <w:t xml:space="preserve"> Chapter Summary</w:t>
        </w:r>
        <w:r w:rsidR="005A1A73">
          <w:rPr>
            <w:rStyle w:val="Hyperlink"/>
            <w:noProof/>
            <w:lang w:val="en-GB"/>
          </w:rPr>
          <w:t xml:space="preserve">  </w:t>
        </w:r>
        <w:r w:rsidRPr="003D2A76">
          <w:rPr>
            <w:noProof/>
            <w:webHidden/>
            <w:lang w:val="en-GB"/>
          </w:rPr>
          <w:tab/>
        </w:r>
      </w:hyperlink>
      <w:r w:rsidR="005A1A73">
        <w:rPr>
          <w:noProof/>
          <w:lang w:val="en-GB"/>
        </w:rPr>
        <w:t>50</w:t>
      </w:r>
    </w:p>
    <w:p w14:paraId="396379BF" w14:textId="45F81273" w:rsidR="00BD6279" w:rsidRPr="003D2A76" w:rsidRDefault="00BD6279" w:rsidP="00BD6279">
      <w:pPr>
        <w:pStyle w:val="TOC1"/>
        <w:rPr>
          <w:noProof/>
          <w:lang w:val="en-GB"/>
        </w:rPr>
      </w:pPr>
      <w:hyperlink w:anchor="_Toc228056564" w:history="1">
        <w:r w:rsidRPr="003D2A76">
          <w:rPr>
            <w:rStyle w:val="Hyperlink"/>
            <w:noProof/>
            <w:lang w:val="en-GB"/>
          </w:rPr>
          <w:t>CHAPTER 3</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_Toc228056564 \h </w:instrText>
        </w:r>
        <w:r w:rsidRPr="003D2A76">
          <w:rPr>
            <w:noProof/>
            <w:webHidden/>
            <w:lang w:val="en-GB"/>
          </w:rPr>
        </w:r>
        <w:r w:rsidRPr="003D2A76">
          <w:rPr>
            <w:noProof/>
            <w:webHidden/>
            <w:lang w:val="en-GB"/>
          </w:rPr>
          <w:fldChar w:fldCharType="separate"/>
        </w:r>
        <w:r w:rsidRPr="003D2A76">
          <w:rPr>
            <w:noProof/>
            <w:webHidden/>
            <w:lang w:val="en-GB"/>
          </w:rPr>
          <w:t>5</w:t>
        </w:r>
        <w:r w:rsidRPr="003D2A76">
          <w:rPr>
            <w:noProof/>
            <w:webHidden/>
            <w:lang w:val="en-GB"/>
          </w:rPr>
          <w:fldChar w:fldCharType="end"/>
        </w:r>
      </w:hyperlink>
      <w:r w:rsidR="006E7405">
        <w:rPr>
          <w:noProof/>
          <w:lang w:val="en-GB"/>
        </w:rPr>
        <w:t>2</w:t>
      </w:r>
    </w:p>
    <w:p w14:paraId="3842683B" w14:textId="6F65A063" w:rsidR="00BD6279" w:rsidRPr="003D2A76" w:rsidRDefault="00BD6279" w:rsidP="00BD6279">
      <w:pPr>
        <w:pStyle w:val="TOC2"/>
        <w:tabs>
          <w:tab w:val="right" w:leader="dot" w:pos="8630"/>
        </w:tabs>
        <w:bidi w:val="0"/>
        <w:spacing w:line="240" w:lineRule="auto"/>
        <w:rPr>
          <w:noProof/>
          <w:lang w:val="en-GB"/>
        </w:rPr>
      </w:pPr>
      <w:hyperlink w:anchor="_Toc228056565" w:history="1">
        <w:r w:rsidRPr="003D2A76">
          <w:rPr>
            <w:rStyle w:val="Hyperlink"/>
            <w:noProof/>
            <w:lang w:val="en-GB"/>
          </w:rPr>
          <w:t>3.1 Introduction</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_Toc228056565 \h </w:instrText>
        </w:r>
        <w:r w:rsidRPr="003D2A76">
          <w:rPr>
            <w:noProof/>
            <w:webHidden/>
            <w:lang w:val="en-GB"/>
          </w:rPr>
        </w:r>
        <w:r w:rsidRPr="003D2A76">
          <w:rPr>
            <w:noProof/>
            <w:webHidden/>
            <w:lang w:val="en-GB"/>
          </w:rPr>
          <w:fldChar w:fldCharType="separate"/>
        </w:r>
        <w:r w:rsidRPr="003D2A76">
          <w:rPr>
            <w:noProof/>
            <w:webHidden/>
            <w:lang w:val="en-GB"/>
          </w:rPr>
          <w:t>5</w:t>
        </w:r>
        <w:r w:rsidRPr="003D2A76">
          <w:rPr>
            <w:noProof/>
            <w:webHidden/>
            <w:lang w:val="en-GB"/>
          </w:rPr>
          <w:fldChar w:fldCharType="end"/>
        </w:r>
      </w:hyperlink>
      <w:r w:rsidR="006E7405">
        <w:rPr>
          <w:noProof/>
          <w:lang w:val="en-GB"/>
        </w:rPr>
        <w:t>2</w:t>
      </w:r>
    </w:p>
    <w:p w14:paraId="66A58316" w14:textId="44E151E3" w:rsidR="00BD6279" w:rsidRPr="003D2A76" w:rsidRDefault="00BD6279" w:rsidP="00BD6279">
      <w:pPr>
        <w:pStyle w:val="TOC2"/>
        <w:tabs>
          <w:tab w:val="right" w:leader="dot" w:pos="8630"/>
        </w:tabs>
        <w:bidi w:val="0"/>
        <w:spacing w:line="240" w:lineRule="auto"/>
        <w:rPr>
          <w:noProof/>
          <w:lang w:val="en-GB"/>
        </w:rPr>
      </w:pPr>
      <w:hyperlink w:anchor="_Toc228056566" w:history="1">
        <w:r w:rsidRPr="003D2A76">
          <w:rPr>
            <w:rStyle w:val="Hyperlink"/>
            <w:noProof/>
            <w:lang w:val="en-GB"/>
          </w:rPr>
          <w:t>3.2 Research Philosophy and Methodology</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_Toc228056566 \h </w:instrText>
        </w:r>
        <w:r w:rsidRPr="003D2A76">
          <w:rPr>
            <w:noProof/>
            <w:webHidden/>
            <w:lang w:val="en-GB"/>
          </w:rPr>
        </w:r>
        <w:r w:rsidRPr="003D2A76">
          <w:rPr>
            <w:noProof/>
            <w:webHidden/>
            <w:lang w:val="en-GB"/>
          </w:rPr>
          <w:fldChar w:fldCharType="separate"/>
        </w:r>
        <w:r w:rsidRPr="003D2A76">
          <w:rPr>
            <w:noProof/>
            <w:webHidden/>
            <w:lang w:val="en-GB"/>
          </w:rPr>
          <w:fldChar w:fldCharType="end"/>
        </w:r>
      </w:hyperlink>
      <w:r w:rsidR="006E7405">
        <w:rPr>
          <w:noProof/>
          <w:lang w:val="en-GB"/>
        </w:rPr>
        <w:t>53</w:t>
      </w:r>
    </w:p>
    <w:p w14:paraId="76A2D328" w14:textId="4C5B85EC" w:rsidR="00BD6279" w:rsidRPr="003D2A76" w:rsidRDefault="00BD6279" w:rsidP="00BD6279">
      <w:pPr>
        <w:pStyle w:val="TOC2"/>
        <w:tabs>
          <w:tab w:val="right" w:leader="dot" w:pos="8630"/>
        </w:tabs>
        <w:bidi w:val="0"/>
        <w:spacing w:line="240" w:lineRule="auto"/>
        <w:rPr>
          <w:noProof/>
          <w:lang w:val="en-GB"/>
        </w:rPr>
      </w:pPr>
      <w:hyperlink w:anchor="_Toc228056567" w:history="1">
        <w:r w:rsidRPr="003D2A76">
          <w:rPr>
            <w:rStyle w:val="Hyperlink"/>
            <w:noProof/>
            <w:lang w:val="en-GB"/>
          </w:rPr>
          <w:t>3.3 Research Design</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_Toc228056567 \h </w:instrText>
        </w:r>
        <w:r w:rsidRPr="003D2A76">
          <w:rPr>
            <w:noProof/>
            <w:webHidden/>
            <w:lang w:val="en-GB"/>
          </w:rPr>
        </w:r>
        <w:r w:rsidRPr="003D2A76">
          <w:rPr>
            <w:noProof/>
            <w:webHidden/>
            <w:lang w:val="en-GB"/>
          </w:rPr>
          <w:fldChar w:fldCharType="separate"/>
        </w:r>
        <w:r w:rsidRPr="003D2A76">
          <w:rPr>
            <w:noProof/>
            <w:webHidden/>
            <w:lang w:val="en-GB"/>
          </w:rPr>
          <w:t>5</w:t>
        </w:r>
        <w:r w:rsidRPr="003D2A76">
          <w:rPr>
            <w:noProof/>
            <w:webHidden/>
            <w:lang w:val="en-GB"/>
          </w:rPr>
          <w:fldChar w:fldCharType="end"/>
        </w:r>
      </w:hyperlink>
      <w:r w:rsidR="006E7405">
        <w:rPr>
          <w:noProof/>
          <w:lang w:val="en-GB"/>
        </w:rPr>
        <w:t>5</w:t>
      </w:r>
    </w:p>
    <w:p w14:paraId="5F8BA283" w14:textId="6444BC6B" w:rsidR="00BD6279" w:rsidRPr="003D2A76" w:rsidRDefault="00BD6279" w:rsidP="00BD6279">
      <w:pPr>
        <w:pStyle w:val="TOC2"/>
        <w:tabs>
          <w:tab w:val="right" w:leader="dot" w:pos="8630"/>
        </w:tabs>
        <w:bidi w:val="0"/>
        <w:spacing w:line="240" w:lineRule="auto"/>
        <w:rPr>
          <w:noProof/>
          <w:lang w:val="en-GB"/>
        </w:rPr>
      </w:pPr>
      <w:hyperlink w:anchor="_Toc228056568" w:history="1">
        <w:r w:rsidRPr="003D2A76">
          <w:rPr>
            <w:rStyle w:val="Hyperlink"/>
            <w:noProof/>
            <w:lang w:val="en-GB"/>
          </w:rPr>
          <w:t>3.4 Population and Sampling</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_Toc228056568 \h </w:instrText>
        </w:r>
        <w:r w:rsidRPr="003D2A76">
          <w:rPr>
            <w:noProof/>
            <w:webHidden/>
            <w:lang w:val="en-GB"/>
          </w:rPr>
        </w:r>
        <w:r w:rsidRPr="003D2A76">
          <w:rPr>
            <w:noProof/>
            <w:webHidden/>
            <w:lang w:val="en-GB"/>
          </w:rPr>
          <w:fldChar w:fldCharType="separate"/>
        </w:r>
        <w:r w:rsidRPr="003D2A76">
          <w:rPr>
            <w:noProof/>
            <w:webHidden/>
            <w:lang w:val="en-GB"/>
          </w:rPr>
          <w:t>5</w:t>
        </w:r>
        <w:r w:rsidRPr="003D2A76">
          <w:rPr>
            <w:noProof/>
            <w:webHidden/>
            <w:lang w:val="en-GB"/>
          </w:rPr>
          <w:fldChar w:fldCharType="end"/>
        </w:r>
      </w:hyperlink>
      <w:r w:rsidR="006E7405">
        <w:rPr>
          <w:noProof/>
          <w:lang w:val="en-GB"/>
        </w:rPr>
        <w:t>9</w:t>
      </w:r>
    </w:p>
    <w:p w14:paraId="0AE65489" w14:textId="7BADC582" w:rsidR="00BD6279" w:rsidRPr="003D2A76" w:rsidRDefault="00BD6279" w:rsidP="00BD6279">
      <w:pPr>
        <w:pStyle w:val="TOC2"/>
        <w:tabs>
          <w:tab w:val="right" w:leader="dot" w:pos="8630"/>
        </w:tabs>
        <w:bidi w:val="0"/>
        <w:spacing w:line="240" w:lineRule="auto"/>
        <w:rPr>
          <w:noProof/>
          <w:lang w:val="en-GB"/>
        </w:rPr>
      </w:pPr>
      <w:hyperlink w:anchor="_Toc228056569" w:history="1">
        <w:r w:rsidRPr="003D2A76">
          <w:rPr>
            <w:rStyle w:val="Hyperlink"/>
            <w:noProof/>
            <w:lang w:val="en-GB"/>
          </w:rPr>
          <w:t>3.5 Research Instrument Development</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_Toc228056569 \h </w:instrText>
        </w:r>
        <w:r w:rsidRPr="003D2A76">
          <w:rPr>
            <w:noProof/>
            <w:webHidden/>
            <w:lang w:val="en-GB"/>
          </w:rPr>
        </w:r>
        <w:r w:rsidRPr="003D2A76">
          <w:rPr>
            <w:noProof/>
            <w:webHidden/>
            <w:lang w:val="en-GB"/>
          </w:rPr>
          <w:fldChar w:fldCharType="separate"/>
        </w:r>
        <w:r w:rsidRPr="003D2A76">
          <w:rPr>
            <w:noProof/>
            <w:webHidden/>
            <w:lang w:val="en-GB"/>
          </w:rPr>
          <w:t>6</w:t>
        </w:r>
        <w:r w:rsidRPr="003D2A76">
          <w:rPr>
            <w:noProof/>
            <w:webHidden/>
            <w:lang w:val="en-GB"/>
          </w:rPr>
          <w:fldChar w:fldCharType="end"/>
        </w:r>
      </w:hyperlink>
      <w:r w:rsidR="006E7405">
        <w:rPr>
          <w:noProof/>
          <w:lang w:val="en-GB"/>
        </w:rPr>
        <w:t>5</w:t>
      </w:r>
    </w:p>
    <w:p w14:paraId="4145B02F" w14:textId="29B36235" w:rsidR="00BD6279" w:rsidRPr="003D2A76" w:rsidRDefault="00BD6279" w:rsidP="00BD6279">
      <w:pPr>
        <w:pStyle w:val="TOC2"/>
        <w:tabs>
          <w:tab w:val="right" w:leader="dot" w:pos="8630"/>
        </w:tabs>
        <w:bidi w:val="0"/>
        <w:spacing w:line="240" w:lineRule="auto"/>
        <w:rPr>
          <w:noProof/>
          <w:lang w:val="en-GB"/>
        </w:rPr>
      </w:pPr>
      <w:hyperlink w:anchor="_Toc228056570" w:history="1">
        <w:r w:rsidRPr="003D2A76">
          <w:rPr>
            <w:rStyle w:val="Hyperlink"/>
            <w:noProof/>
            <w:lang w:val="en-GB"/>
          </w:rPr>
          <w:t>3.6 Validity and Reliability</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_Toc228056570 \h </w:instrText>
        </w:r>
        <w:r w:rsidRPr="003D2A76">
          <w:rPr>
            <w:noProof/>
            <w:webHidden/>
            <w:lang w:val="en-GB"/>
          </w:rPr>
        </w:r>
        <w:r w:rsidRPr="003D2A76">
          <w:rPr>
            <w:noProof/>
            <w:webHidden/>
            <w:lang w:val="en-GB"/>
          </w:rPr>
          <w:fldChar w:fldCharType="separate"/>
        </w:r>
        <w:r w:rsidRPr="003D2A76">
          <w:rPr>
            <w:noProof/>
            <w:webHidden/>
            <w:lang w:val="en-GB"/>
          </w:rPr>
          <w:t>6</w:t>
        </w:r>
        <w:r w:rsidRPr="003D2A76">
          <w:rPr>
            <w:noProof/>
            <w:webHidden/>
            <w:lang w:val="en-GB"/>
          </w:rPr>
          <w:fldChar w:fldCharType="end"/>
        </w:r>
      </w:hyperlink>
      <w:r w:rsidR="006E7405">
        <w:rPr>
          <w:noProof/>
          <w:lang w:val="en-GB"/>
        </w:rPr>
        <w:t>9</w:t>
      </w:r>
    </w:p>
    <w:p w14:paraId="2984DF8E" w14:textId="5298FF66" w:rsidR="00BD6279" w:rsidRPr="003D2A76" w:rsidRDefault="00BD6279" w:rsidP="00BD6279">
      <w:pPr>
        <w:pStyle w:val="TOC2"/>
        <w:tabs>
          <w:tab w:val="right" w:leader="dot" w:pos="8630"/>
        </w:tabs>
        <w:bidi w:val="0"/>
        <w:spacing w:line="240" w:lineRule="auto"/>
        <w:rPr>
          <w:noProof/>
          <w:lang w:val="en-GB"/>
        </w:rPr>
      </w:pPr>
      <w:hyperlink w:anchor="_Toc228056571" w:history="1">
        <w:r w:rsidRPr="003D2A76">
          <w:rPr>
            <w:rStyle w:val="Hyperlink"/>
            <w:noProof/>
            <w:lang w:val="en-GB"/>
          </w:rPr>
          <w:t>3.7 Data Collection Procedures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_Toc228056571 \h </w:instrText>
        </w:r>
        <w:r w:rsidRPr="003D2A76">
          <w:rPr>
            <w:noProof/>
            <w:webHidden/>
            <w:lang w:val="en-GB"/>
          </w:rPr>
        </w:r>
        <w:r w:rsidRPr="003D2A76">
          <w:rPr>
            <w:noProof/>
            <w:webHidden/>
            <w:lang w:val="en-GB"/>
          </w:rPr>
          <w:fldChar w:fldCharType="separate"/>
        </w:r>
        <w:r w:rsidRPr="003D2A76">
          <w:rPr>
            <w:noProof/>
            <w:webHidden/>
            <w:lang w:val="en-GB"/>
          </w:rPr>
          <w:t>7</w:t>
        </w:r>
        <w:r w:rsidRPr="003D2A76">
          <w:rPr>
            <w:noProof/>
            <w:webHidden/>
            <w:lang w:val="en-GB"/>
          </w:rPr>
          <w:fldChar w:fldCharType="end"/>
        </w:r>
      </w:hyperlink>
      <w:r w:rsidR="006E7405">
        <w:rPr>
          <w:noProof/>
          <w:lang w:val="en-GB"/>
        </w:rPr>
        <w:t>1</w:t>
      </w:r>
    </w:p>
    <w:p w14:paraId="69811450" w14:textId="32AB3EC9" w:rsidR="00BD6279" w:rsidRPr="003D2A76" w:rsidRDefault="00BD6279" w:rsidP="00BD6279">
      <w:pPr>
        <w:pStyle w:val="TOC2"/>
        <w:tabs>
          <w:tab w:val="right" w:leader="dot" w:pos="8630"/>
        </w:tabs>
        <w:bidi w:val="0"/>
        <w:spacing w:line="240" w:lineRule="auto"/>
        <w:rPr>
          <w:noProof/>
          <w:lang w:val="en-GB"/>
        </w:rPr>
      </w:pPr>
      <w:hyperlink w:anchor="_Toc228056572" w:history="1">
        <w:r w:rsidRPr="003D2A76">
          <w:rPr>
            <w:rStyle w:val="Hyperlink"/>
            <w:noProof/>
            <w:lang w:val="en-GB"/>
          </w:rPr>
          <w:t>3.8 Data Analysis Methods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_Toc228056572 \h </w:instrText>
        </w:r>
        <w:r w:rsidRPr="003D2A76">
          <w:rPr>
            <w:noProof/>
            <w:webHidden/>
            <w:lang w:val="en-GB"/>
          </w:rPr>
        </w:r>
        <w:r w:rsidRPr="003D2A76">
          <w:rPr>
            <w:noProof/>
            <w:webHidden/>
            <w:lang w:val="en-GB"/>
          </w:rPr>
          <w:fldChar w:fldCharType="separate"/>
        </w:r>
        <w:r w:rsidRPr="003D2A76">
          <w:rPr>
            <w:noProof/>
            <w:webHidden/>
            <w:lang w:val="en-GB"/>
          </w:rPr>
          <w:t>7</w:t>
        </w:r>
        <w:r w:rsidRPr="003D2A76">
          <w:rPr>
            <w:noProof/>
            <w:webHidden/>
            <w:lang w:val="en-GB"/>
          </w:rPr>
          <w:fldChar w:fldCharType="end"/>
        </w:r>
      </w:hyperlink>
      <w:r w:rsidR="006E7405">
        <w:rPr>
          <w:noProof/>
          <w:lang w:val="en-GB"/>
        </w:rPr>
        <w:t>4</w:t>
      </w:r>
    </w:p>
    <w:p w14:paraId="17F53714" w14:textId="4ED41220" w:rsidR="00BD6279" w:rsidRPr="003D2A76" w:rsidRDefault="00BD6279" w:rsidP="00BD6279">
      <w:pPr>
        <w:pStyle w:val="TOC2"/>
        <w:tabs>
          <w:tab w:val="right" w:leader="dot" w:pos="8630"/>
        </w:tabs>
        <w:bidi w:val="0"/>
        <w:spacing w:line="240" w:lineRule="auto"/>
        <w:rPr>
          <w:noProof/>
          <w:lang w:val="en-GB"/>
        </w:rPr>
      </w:pPr>
      <w:hyperlink w:anchor="_Toc228056573" w:history="1">
        <w:r w:rsidRPr="003D2A76">
          <w:rPr>
            <w:rStyle w:val="Hyperlink"/>
            <w:noProof/>
            <w:lang w:val="en-GB"/>
          </w:rPr>
          <w:t>3.9 Ethical Considerations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_Toc228056573 \h </w:instrText>
        </w:r>
        <w:r w:rsidRPr="003D2A76">
          <w:rPr>
            <w:noProof/>
            <w:webHidden/>
            <w:lang w:val="en-GB"/>
          </w:rPr>
        </w:r>
        <w:r w:rsidRPr="003D2A76">
          <w:rPr>
            <w:noProof/>
            <w:webHidden/>
            <w:lang w:val="en-GB"/>
          </w:rPr>
          <w:fldChar w:fldCharType="separate"/>
        </w:r>
        <w:r w:rsidRPr="003D2A76">
          <w:rPr>
            <w:noProof/>
            <w:webHidden/>
            <w:lang w:val="en-GB"/>
          </w:rPr>
          <w:t>8</w:t>
        </w:r>
        <w:r w:rsidRPr="003D2A76">
          <w:rPr>
            <w:noProof/>
            <w:webHidden/>
            <w:lang w:val="en-GB"/>
          </w:rPr>
          <w:fldChar w:fldCharType="end"/>
        </w:r>
      </w:hyperlink>
      <w:r w:rsidR="006E7405">
        <w:rPr>
          <w:noProof/>
          <w:lang w:val="en-GB"/>
        </w:rPr>
        <w:t>2</w:t>
      </w:r>
    </w:p>
    <w:p w14:paraId="354EB0F7" w14:textId="18719133" w:rsidR="00BD6279" w:rsidRPr="003D2A76" w:rsidRDefault="006E7405" w:rsidP="00BD6279">
      <w:pPr>
        <w:pStyle w:val="TOC2"/>
        <w:tabs>
          <w:tab w:val="right" w:leader="dot" w:pos="8630"/>
        </w:tabs>
        <w:bidi w:val="0"/>
        <w:spacing w:line="240" w:lineRule="auto"/>
        <w:rPr>
          <w:noProof/>
          <w:lang w:val="en-GB"/>
        </w:rPr>
      </w:pPr>
      <w:r>
        <w:t xml:space="preserve">3.10 </w:t>
      </w:r>
      <w:hyperlink w:anchor="_Toc228056574" w:history="1">
        <w:r w:rsidR="00BD6279" w:rsidRPr="003D2A76">
          <w:rPr>
            <w:rStyle w:val="Hyperlink"/>
            <w:noProof/>
            <w:lang w:val="en-GB"/>
          </w:rPr>
          <w:t>Chapter Summary</w:t>
        </w:r>
        <w:r w:rsidR="00BD6279" w:rsidRPr="003D2A76">
          <w:rPr>
            <w:noProof/>
            <w:webHidden/>
            <w:lang w:val="en-GB"/>
          </w:rPr>
          <w:tab/>
        </w:r>
        <w:r w:rsidR="00BD6279" w:rsidRPr="003D2A76">
          <w:rPr>
            <w:noProof/>
            <w:webHidden/>
            <w:lang w:val="en-GB"/>
          </w:rPr>
          <w:fldChar w:fldCharType="begin"/>
        </w:r>
        <w:r w:rsidR="00BD6279" w:rsidRPr="003D2A76">
          <w:rPr>
            <w:noProof/>
            <w:webHidden/>
            <w:lang w:val="en-GB"/>
          </w:rPr>
          <w:instrText xml:space="preserve"> PAGEREF _Toc228056574 \h </w:instrText>
        </w:r>
        <w:r w:rsidR="00BD6279" w:rsidRPr="003D2A76">
          <w:rPr>
            <w:noProof/>
            <w:webHidden/>
            <w:lang w:val="en-GB"/>
          </w:rPr>
        </w:r>
        <w:r w:rsidR="00BD6279" w:rsidRPr="003D2A76">
          <w:rPr>
            <w:noProof/>
            <w:webHidden/>
            <w:lang w:val="en-GB"/>
          </w:rPr>
          <w:fldChar w:fldCharType="separate"/>
        </w:r>
        <w:r w:rsidR="00BD6279" w:rsidRPr="003D2A76">
          <w:rPr>
            <w:noProof/>
            <w:webHidden/>
            <w:lang w:val="en-GB"/>
          </w:rPr>
          <w:t>8</w:t>
        </w:r>
        <w:r w:rsidR="00BD6279" w:rsidRPr="003D2A76">
          <w:rPr>
            <w:noProof/>
            <w:webHidden/>
            <w:lang w:val="en-GB"/>
          </w:rPr>
          <w:fldChar w:fldCharType="end"/>
        </w:r>
      </w:hyperlink>
      <w:r>
        <w:rPr>
          <w:noProof/>
          <w:lang w:val="en-GB"/>
        </w:rPr>
        <w:t>5</w:t>
      </w:r>
    </w:p>
    <w:p w14:paraId="26E7BE23" w14:textId="73858127" w:rsidR="00BD6279" w:rsidRPr="003D2A76" w:rsidRDefault="00BD6279" w:rsidP="00BD6279">
      <w:pPr>
        <w:pStyle w:val="TOC1"/>
        <w:rPr>
          <w:noProof/>
          <w:lang w:val="en-GB"/>
        </w:rPr>
      </w:pPr>
      <w:hyperlink w:anchor="_Toc228056575" w:history="1">
        <w:r w:rsidRPr="003D2A76">
          <w:rPr>
            <w:rStyle w:val="Hyperlink"/>
            <w:noProof/>
            <w:lang w:val="en-GB"/>
          </w:rPr>
          <w:t>CHAPTER 4</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_Toc228056575 \h </w:instrText>
        </w:r>
        <w:r w:rsidRPr="003D2A76">
          <w:rPr>
            <w:noProof/>
            <w:webHidden/>
            <w:lang w:val="en-GB"/>
          </w:rPr>
        </w:r>
        <w:r w:rsidRPr="003D2A76">
          <w:rPr>
            <w:noProof/>
            <w:webHidden/>
            <w:lang w:val="en-GB"/>
          </w:rPr>
          <w:fldChar w:fldCharType="separate"/>
        </w:r>
        <w:r w:rsidRPr="003D2A76">
          <w:rPr>
            <w:noProof/>
            <w:webHidden/>
            <w:lang w:val="en-GB"/>
          </w:rPr>
          <w:t>8</w:t>
        </w:r>
        <w:r w:rsidRPr="003D2A76">
          <w:rPr>
            <w:noProof/>
            <w:webHidden/>
            <w:lang w:val="en-GB"/>
          </w:rPr>
          <w:fldChar w:fldCharType="end"/>
        </w:r>
      </w:hyperlink>
      <w:r w:rsidR="00033A7A">
        <w:rPr>
          <w:noProof/>
          <w:lang w:val="en-GB"/>
        </w:rPr>
        <w:t>7</w:t>
      </w:r>
    </w:p>
    <w:p w14:paraId="2376065B" w14:textId="3E9A4020" w:rsidR="00BD6279" w:rsidRPr="003D2A76" w:rsidRDefault="00BD6279" w:rsidP="00BD6279">
      <w:pPr>
        <w:pStyle w:val="TOC2"/>
        <w:tabs>
          <w:tab w:val="right" w:leader="dot" w:pos="8630"/>
        </w:tabs>
        <w:bidi w:val="0"/>
        <w:spacing w:line="240" w:lineRule="auto"/>
        <w:rPr>
          <w:noProof/>
          <w:lang w:val="en-GB"/>
        </w:rPr>
      </w:pPr>
      <w:hyperlink w:anchor="_Toc228056576" w:history="1">
        <w:r w:rsidRPr="003D2A76">
          <w:rPr>
            <w:rStyle w:val="Hyperlink"/>
            <w:noProof/>
            <w:lang w:val="en-GB"/>
          </w:rPr>
          <w:t>4.1 Introduction</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_Toc228056576 \h </w:instrText>
        </w:r>
        <w:r w:rsidRPr="003D2A76">
          <w:rPr>
            <w:noProof/>
            <w:webHidden/>
            <w:lang w:val="en-GB"/>
          </w:rPr>
        </w:r>
        <w:r w:rsidRPr="003D2A76">
          <w:rPr>
            <w:noProof/>
            <w:webHidden/>
            <w:lang w:val="en-GB"/>
          </w:rPr>
          <w:fldChar w:fldCharType="separate"/>
        </w:r>
        <w:r w:rsidRPr="003D2A76">
          <w:rPr>
            <w:noProof/>
            <w:webHidden/>
            <w:lang w:val="en-GB"/>
          </w:rPr>
          <w:t>8</w:t>
        </w:r>
        <w:r w:rsidRPr="003D2A76">
          <w:rPr>
            <w:noProof/>
            <w:webHidden/>
            <w:lang w:val="en-GB"/>
          </w:rPr>
          <w:fldChar w:fldCharType="end"/>
        </w:r>
      </w:hyperlink>
      <w:r w:rsidR="00033A7A">
        <w:rPr>
          <w:noProof/>
          <w:lang w:val="en-GB"/>
        </w:rPr>
        <w:t>7</w:t>
      </w:r>
    </w:p>
    <w:p w14:paraId="01DE8909" w14:textId="57BAF3E4" w:rsidR="00BD6279" w:rsidRPr="003D2A76" w:rsidRDefault="00BD6279" w:rsidP="00BD6279">
      <w:pPr>
        <w:pStyle w:val="TOC2"/>
        <w:tabs>
          <w:tab w:val="right" w:leader="dot" w:pos="8630"/>
        </w:tabs>
        <w:bidi w:val="0"/>
        <w:spacing w:line="240" w:lineRule="auto"/>
        <w:rPr>
          <w:noProof/>
          <w:lang w:val="en-GB"/>
        </w:rPr>
      </w:pPr>
      <w:hyperlink w:anchor="_Toc228056577" w:history="1">
        <w:r w:rsidRPr="003D2A76">
          <w:rPr>
            <w:rStyle w:val="Hyperlink"/>
            <w:noProof/>
            <w:lang w:val="en-GB"/>
          </w:rPr>
          <w:t>4.2 Response Rate and Data Cleaning</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_Toc228056577 \h </w:instrText>
        </w:r>
        <w:r w:rsidRPr="003D2A76">
          <w:rPr>
            <w:noProof/>
            <w:webHidden/>
            <w:lang w:val="en-GB"/>
          </w:rPr>
        </w:r>
        <w:r w:rsidRPr="003D2A76">
          <w:rPr>
            <w:noProof/>
            <w:webHidden/>
            <w:lang w:val="en-GB"/>
          </w:rPr>
          <w:fldChar w:fldCharType="separate"/>
        </w:r>
        <w:r w:rsidRPr="003D2A76">
          <w:rPr>
            <w:noProof/>
            <w:webHidden/>
            <w:lang w:val="en-GB"/>
          </w:rPr>
          <w:t>8</w:t>
        </w:r>
        <w:r w:rsidRPr="003D2A76">
          <w:rPr>
            <w:noProof/>
            <w:webHidden/>
            <w:lang w:val="en-GB"/>
          </w:rPr>
          <w:fldChar w:fldCharType="end"/>
        </w:r>
      </w:hyperlink>
      <w:r w:rsidR="00033A7A">
        <w:rPr>
          <w:noProof/>
          <w:lang w:val="en-GB"/>
        </w:rPr>
        <w:t>8</w:t>
      </w:r>
    </w:p>
    <w:p w14:paraId="513BC5AE" w14:textId="2DCB6536" w:rsidR="00BD6279" w:rsidRPr="003D2A76" w:rsidRDefault="00BD6279" w:rsidP="00BD6279">
      <w:pPr>
        <w:pStyle w:val="TOC2"/>
        <w:tabs>
          <w:tab w:val="right" w:leader="dot" w:pos="8630"/>
        </w:tabs>
        <w:bidi w:val="0"/>
        <w:spacing w:line="240" w:lineRule="auto"/>
        <w:rPr>
          <w:noProof/>
          <w:lang w:val="en-GB"/>
        </w:rPr>
      </w:pPr>
      <w:hyperlink w:anchor="_Toc228056578" w:history="1">
        <w:r w:rsidRPr="003D2A76">
          <w:rPr>
            <w:rStyle w:val="Hyperlink"/>
            <w:noProof/>
            <w:lang w:val="en-GB"/>
          </w:rPr>
          <w:t>4.3 Demographic Characteristics of the Sample</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_Toc228056578 \h </w:instrText>
        </w:r>
        <w:r w:rsidRPr="003D2A76">
          <w:rPr>
            <w:noProof/>
            <w:webHidden/>
            <w:lang w:val="en-GB"/>
          </w:rPr>
        </w:r>
        <w:r w:rsidRPr="003D2A76">
          <w:rPr>
            <w:noProof/>
            <w:webHidden/>
            <w:lang w:val="en-GB"/>
          </w:rPr>
          <w:fldChar w:fldCharType="separate"/>
        </w:r>
        <w:r w:rsidRPr="003D2A76">
          <w:rPr>
            <w:noProof/>
            <w:webHidden/>
            <w:lang w:val="en-GB"/>
          </w:rPr>
          <w:t>9</w:t>
        </w:r>
        <w:r w:rsidRPr="003D2A76">
          <w:rPr>
            <w:noProof/>
            <w:webHidden/>
            <w:lang w:val="en-GB"/>
          </w:rPr>
          <w:fldChar w:fldCharType="end"/>
        </w:r>
      </w:hyperlink>
      <w:r w:rsidR="00033A7A">
        <w:rPr>
          <w:noProof/>
          <w:lang w:val="en-GB"/>
        </w:rPr>
        <w:t>1</w:t>
      </w:r>
    </w:p>
    <w:p w14:paraId="7D1B92E1" w14:textId="0589E247" w:rsidR="00BD6279" w:rsidRPr="003D2A76" w:rsidRDefault="00BD6279" w:rsidP="00BD6279">
      <w:pPr>
        <w:pStyle w:val="TOC2"/>
        <w:tabs>
          <w:tab w:val="right" w:leader="dot" w:pos="8630"/>
        </w:tabs>
        <w:bidi w:val="0"/>
        <w:spacing w:line="240" w:lineRule="auto"/>
        <w:rPr>
          <w:noProof/>
          <w:lang w:val="en-GB"/>
        </w:rPr>
      </w:pPr>
      <w:hyperlink w:anchor="_Toc228056579" w:history="1">
        <w:r w:rsidRPr="003D2A76">
          <w:rPr>
            <w:rStyle w:val="Hyperlink"/>
            <w:noProof/>
            <w:lang w:val="en-GB"/>
          </w:rPr>
          <w:t>4.4 Descriptive Statistics for Study Variables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_Toc228056579 \h </w:instrText>
        </w:r>
        <w:r w:rsidRPr="003D2A76">
          <w:rPr>
            <w:noProof/>
            <w:webHidden/>
            <w:lang w:val="en-GB"/>
          </w:rPr>
        </w:r>
        <w:r w:rsidRPr="003D2A76">
          <w:rPr>
            <w:noProof/>
            <w:webHidden/>
            <w:lang w:val="en-GB"/>
          </w:rPr>
          <w:fldChar w:fldCharType="separate"/>
        </w:r>
        <w:r w:rsidRPr="003D2A76">
          <w:rPr>
            <w:noProof/>
            <w:webHidden/>
            <w:lang w:val="en-GB"/>
          </w:rPr>
          <w:t>9</w:t>
        </w:r>
        <w:r w:rsidRPr="003D2A76">
          <w:rPr>
            <w:noProof/>
            <w:webHidden/>
            <w:lang w:val="en-GB"/>
          </w:rPr>
          <w:fldChar w:fldCharType="end"/>
        </w:r>
      </w:hyperlink>
      <w:r w:rsidR="00033A7A">
        <w:rPr>
          <w:noProof/>
          <w:lang w:val="en-GB"/>
        </w:rPr>
        <w:t>8</w:t>
      </w:r>
    </w:p>
    <w:p w14:paraId="25DEBD72" w14:textId="2ADD89A8" w:rsidR="00BD6279" w:rsidRPr="003D2A76" w:rsidRDefault="00BD6279" w:rsidP="00BD6279">
      <w:pPr>
        <w:pStyle w:val="TOC2"/>
        <w:tabs>
          <w:tab w:val="right" w:leader="dot" w:pos="8630"/>
        </w:tabs>
        <w:bidi w:val="0"/>
        <w:spacing w:line="240" w:lineRule="auto"/>
        <w:rPr>
          <w:noProof/>
          <w:lang w:val="en-GB"/>
        </w:rPr>
      </w:pPr>
      <w:hyperlink w:anchor="_Toc228056580" w:history="1">
        <w:r w:rsidRPr="003D2A76">
          <w:rPr>
            <w:rStyle w:val="Hyperlink"/>
            <w:noProof/>
            <w:lang w:val="en-GB"/>
          </w:rPr>
          <w:t>4.5 Measurement Instrument Assessment</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_Toc228056580 \h </w:instrText>
        </w:r>
        <w:r w:rsidRPr="003D2A76">
          <w:rPr>
            <w:noProof/>
            <w:webHidden/>
            <w:lang w:val="en-GB"/>
          </w:rPr>
        </w:r>
        <w:r w:rsidRPr="003D2A76">
          <w:rPr>
            <w:noProof/>
            <w:webHidden/>
            <w:lang w:val="en-GB"/>
          </w:rPr>
          <w:fldChar w:fldCharType="separate"/>
        </w:r>
        <w:r w:rsidRPr="003D2A76">
          <w:rPr>
            <w:noProof/>
            <w:webHidden/>
            <w:lang w:val="en-GB"/>
          </w:rPr>
          <w:t>10</w:t>
        </w:r>
        <w:r w:rsidRPr="003D2A76">
          <w:rPr>
            <w:noProof/>
            <w:webHidden/>
            <w:lang w:val="en-GB"/>
          </w:rPr>
          <w:fldChar w:fldCharType="end"/>
        </w:r>
      </w:hyperlink>
      <w:r w:rsidR="00033A7A">
        <w:rPr>
          <w:noProof/>
          <w:lang w:val="en-GB"/>
        </w:rPr>
        <w:t>3</w:t>
      </w:r>
    </w:p>
    <w:p w14:paraId="6D16940E" w14:textId="07461ABA" w:rsidR="00BD6279" w:rsidRPr="003D2A76" w:rsidRDefault="00BD6279" w:rsidP="00BD6279">
      <w:pPr>
        <w:pStyle w:val="TOC2"/>
        <w:tabs>
          <w:tab w:val="right" w:leader="dot" w:pos="8630"/>
        </w:tabs>
        <w:bidi w:val="0"/>
        <w:spacing w:line="240" w:lineRule="auto"/>
        <w:rPr>
          <w:noProof/>
          <w:lang w:val="en-GB"/>
        </w:rPr>
      </w:pPr>
      <w:hyperlink w:anchor="_Toc228056581" w:history="1">
        <w:r w:rsidRPr="003D2A76">
          <w:rPr>
            <w:rStyle w:val="Hyperlink"/>
            <w:noProof/>
            <w:lang w:val="en-GB"/>
          </w:rPr>
          <w:t>4.6 Exploratory Factor Analysis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_Toc228056581 \h </w:instrText>
        </w:r>
        <w:r w:rsidRPr="003D2A76">
          <w:rPr>
            <w:noProof/>
            <w:webHidden/>
            <w:lang w:val="en-GB"/>
          </w:rPr>
        </w:r>
        <w:r w:rsidRPr="003D2A76">
          <w:rPr>
            <w:noProof/>
            <w:webHidden/>
            <w:lang w:val="en-GB"/>
          </w:rPr>
          <w:fldChar w:fldCharType="separate"/>
        </w:r>
        <w:r w:rsidRPr="003D2A76">
          <w:rPr>
            <w:noProof/>
            <w:webHidden/>
            <w:lang w:val="en-GB"/>
          </w:rPr>
          <w:t>10</w:t>
        </w:r>
        <w:r w:rsidRPr="003D2A76">
          <w:rPr>
            <w:noProof/>
            <w:webHidden/>
            <w:lang w:val="en-GB"/>
          </w:rPr>
          <w:fldChar w:fldCharType="end"/>
        </w:r>
      </w:hyperlink>
      <w:r w:rsidR="00033A7A">
        <w:rPr>
          <w:noProof/>
          <w:lang w:val="en-GB"/>
        </w:rPr>
        <w:t>4</w:t>
      </w:r>
    </w:p>
    <w:p w14:paraId="163ACE88" w14:textId="5A873E4A" w:rsidR="00BD6279" w:rsidRPr="003D2A76" w:rsidRDefault="00BD6279" w:rsidP="00BD6279">
      <w:pPr>
        <w:pStyle w:val="TOC2"/>
        <w:tabs>
          <w:tab w:val="right" w:leader="dot" w:pos="8630"/>
        </w:tabs>
        <w:bidi w:val="0"/>
        <w:spacing w:line="240" w:lineRule="auto"/>
        <w:rPr>
          <w:noProof/>
          <w:lang w:val="en-GB"/>
        </w:rPr>
      </w:pPr>
      <w:hyperlink w:anchor="_Toc228056582" w:history="1">
        <w:r w:rsidRPr="003D2A76">
          <w:rPr>
            <w:rStyle w:val="Hyperlink"/>
            <w:noProof/>
            <w:lang w:val="en-GB"/>
          </w:rPr>
          <w:t>4.7 Convergent and Discriminant Validity</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_Toc228056582 \h </w:instrText>
        </w:r>
        <w:r w:rsidRPr="003D2A76">
          <w:rPr>
            <w:noProof/>
            <w:webHidden/>
            <w:lang w:val="en-GB"/>
          </w:rPr>
        </w:r>
        <w:r w:rsidRPr="003D2A76">
          <w:rPr>
            <w:noProof/>
            <w:webHidden/>
            <w:lang w:val="en-GB"/>
          </w:rPr>
          <w:fldChar w:fldCharType="separate"/>
        </w:r>
        <w:r w:rsidRPr="003D2A76">
          <w:rPr>
            <w:noProof/>
            <w:webHidden/>
            <w:lang w:val="en-GB"/>
          </w:rPr>
          <w:t>10</w:t>
        </w:r>
        <w:r w:rsidRPr="003D2A76">
          <w:rPr>
            <w:noProof/>
            <w:webHidden/>
            <w:lang w:val="en-GB"/>
          </w:rPr>
          <w:fldChar w:fldCharType="end"/>
        </w:r>
      </w:hyperlink>
      <w:r w:rsidR="00033A7A">
        <w:rPr>
          <w:noProof/>
          <w:lang w:val="en-GB"/>
        </w:rPr>
        <w:t>7</w:t>
      </w:r>
    </w:p>
    <w:p w14:paraId="6911EB2E" w14:textId="3341BCE9" w:rsidR="00BD6279" w:rsidRPr="003D2A76" w:rsidRDefault="00BD6279" w:rsidP="00BD6279">
      <w:pPr>
        <w:pStyle w:val="TOC2"/>
        <w:tabs>
          <w:tab w:val="right" w:leader="dot" w:pos="8630"/>
        </w:tabs>
        <w:bidi w:val="0"/>
        <w:spacing w:line="240" w:lineRule="auto"/>
        <w:rPr>
          <w:noProof/>
          <w:lang w:val="en-GB"/>
        </w:rPr>
      </w:pPr>
      <w:hyperlink w:anchor="_Toc228056583" w:history="1">
        <w:r w:rsidRPr="003D2A76">
          <w:rPr>
            <w:rStyle w:val="Hyperlink"/>
            <w:noProof/>
            <w:lang w:val="en-GB"/>
          </w:rPr>
          <w:t>4.8 Assumption Testing for Statistical Analyses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_Toc228056583 \h </w:instrText>
        </w:r>
        <w:r w:rsidRPr="003D2A76">
          <w:rPr>
            <w:noProof/>
            <w:webHidden/>
            <w:lang w:val="en-GB"/>
          </w:rPr>
        </w:r>
        <w:r w:rsidRPr="003D2A76">
          <w:rPr>
            <w:noProof/>
            <w:webHidden/>
            <w:lang w:val="en-GB"/>
          </w:rPr>
          <w:fldChar w:fldCharType="separate"/>
        </w:r>
        <w:r w:rsidRPr="003D2A76">
          <w:rPr>
            <w:noProof/>
            <w:webHidden/>
            <w:lang w:val="en-GB"/>
          </w:rPr>
          <w:t>10</w:t>
        </w:r>
        <w:r w:rsidRPr="003D2A76">
          <w:rPr>
            <w:noProof/>
            <w:webHidden/>
            <w:lang w:val="en-GB"/>
          </w:rPr>
          <w:fldChar w:fldCharType="end"/>
        </w:r>
      </w:hyperlink>
      <w:r w:rsidR="00033A7A">
        <w:rPr>
          <w:noProof/>
          <w:lang w:val="en-GB"/>
        </w:rPr>
        <w:t>8</w:t>
      </w:r>
    </w:p>
    <w:p w14:paraId="6F783141" w14:textId="19E69A28" w:rsidR="00BD6279" w:rsidRPr="003D2A76" w:rsidRDefault="00BD6279" w:rsidP="00BD6279">
      <w:pPr>
        <w:pStyle w:val="TOC2"/>
        <w:tabs>
          <w:tab w:val="right" w:leader="dot" w:pos="8630"/>
        </w:tabs>
        <w:bidi w:val="0"/>
        <w:spacing w:line="240" w:lineRule="auto"/>
        <w:rPr>
          <w:noProof/>
          <w:lang w:val="en-GB"/>
        </w:rPr>
      </w:pPr>
      <w:hyperlink w:anchor="_Toc228056584" w:history="1">
        <w:r w:rsidRPr="003D2A76">
          <w:rPr>
            <w:rStyle w:val="Hyperlink"/>
            <w:noProof/>
            <w:lang w:val="en-GB"/>
          </w:rPr>
          <w:t>4.9 Correlation Analysis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_Toc228056584 \h </w:instrText>
        </w:r>
        <w:r w:rsidRPr="003D2A76">
          <w:rPr>
            <w:noProof/>
            <w:webHidden/>
            <w:lang w:val="en-GB"/>
          </w:rPr>
        </w:r>
        <w:r w:rsidRPr="003D2A76">
          <w:rPr>
            <w:noProof/>
            <w:webHidden/>
            <w:lang w:val="en-GB"/>
          </w:rPr>
          <w:fldChar w:fldCharType="separate"/>
        </w:r>
        <w:r w:rsidRPr="003D2A76">
          <w:rPr>
            <w:noProof/>
            <w:webHidden/>
            <w:lang w:val="en-GB"/>
          </w:rPr>
          <w:t>11</w:t>
        </w:r>
        <w:r w:rsidRPr="003D2A76">
          <w:rPr>
            <w:noProof/>
            <w:webHidden/>
            <w:lang w:val="en-GB"/>
          </w:rPr>
          <w:fldChar w:fldCharType="end"/>
        </w:r>
      </w:hyperlink>
      <w:r w:rsidR="00033A7A">
        <w:rPr>
          <w:noProof/>
          <w:lang w:val="en-GB"/>
        </w:rPr>
        <w:t>1</w:t>
      </w:r>
    </w:p>
    <w:p w14:paraId="710679E1" w14:textId="35719677" w:rsidR="00BD6279" w:rsidRPr="003D2A76" w:rsidRDefault="00BD6279" w:rsidP="00BD6279">
      <w:pPr>
        <w:pStyle w:val="TOC2"/>
        <w:tabs>
          <w:tab w:val="right" w:leader="dot" w:pos="8630"/>
        </w:tabs>
        <w:bidi w:val="0"/>
        <w:spacing w:line="240" w:lineRule="auto"/>
        <w:rPr>
          <w:noProof/>
          <w:lang w:val="en-GB"/>
        </w:rPr>
      </w:pPr>
      <w:hyperlink w:anchor="_Toc228056585" w:history="1">
        <w:r w:rsidRPr="003D2A76">
          <w:rPr>
            <w:rStyle w:val="Hyperlink"/>
            <w:noProof/>
            <w:lang w:val="en-GB"/>
          </w:rPr>
          <w:t>4.10 Hypothesis Testing</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_Toc228056585 \h </w:instrText>
        </w:r>
        <w:r w:rsidRPr="003D2A76">
          <w:rPr>
            <w:noProof/>
            <w:webHidden/>
            <w:lang w:val="en-GB"/>
          </w:rPr>
        </w:r>
        <w:r w:rsidRPr="003D2A76">
          <w:rPr>
            <w:noProof/>
            <w:webHidden/>
            <w:lang w:val="en-GB"/>
          </w:rPr>
          <w:fldChar w:fldCharType="separate"/>
        </w:r>
        <w:r w:rsidRPr="003D2A76">
          <w:rPr>
            <w:noProof/>
            <w:webHidden/>
            <w:lang w:val="en-GB"/>
          </w:rPr>
          <w:t>11</w:t>
        </w:r>
        <w:r w:rsidRPr="003D2A76">
          <w:rPr>
            <w:noProof/>
            <w:webHidden/>
            <w:lang w:val="en-GB"/>
          </w:rPr>
          <w:fldChar w:fldCharType="end"/>
        </w:r>
      </w:hyperlink>
      <w:r w:rsidR="00033A7A">
        <w:rPr>
          <w:noProof/>
          <w:lang w:val="en-GB"/>
        </w:rPr>
        <w:t>4</w:t>
      </w:r>
    </w:p>
    <w:p w14:paraId="207EA2E7" w14:textId="6B8149F2" w:rsidR="00BD6279" w:rsidRPr="003D2A76" w:rsidRDefault="00BD6279" w:rsidP="00BD6279">
      <w:pPr>
        <w:pStyle w:val="TOC2"/>
        <w:tabs>
          <w:tab w:val="right" w:leader="dot" w:pos="8630"/>
        </w:tabs>
        <w:bidi w:val="0"/>
        <w:spacing w:line="240" w:lineRule="auto"/>
        <w:rPr>
          <w:noProof/>
          <w:lang w:val="en-GB"/>
        </w:rPr>
      </w:pPr>
      <w:hyperlink w:anchor="_Toc228056586" w:history="1">
        <w:r w:rsidRPr="003D2A76">
          <w:rPr>
            <w:rStyle w:val="Hyperlink"/>
            <w:noProof/>
            <w:lang w:val="en-GB"/>
          </w:rPr>
          <w:t>4.11 Additional Analyses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_Toc228056586 \h </w:instrText>
        </w:r>
        <w:r w:rsidRPr="003D2A76">
          <w:rPr>
            <w:noProof/>
            <w:webHidden/>
            <w:lang w:val="en-GB"/>
          </w:rPr>
        </w:r>
        <w:r w:rsidRPr="003D2A76">
          <w:rPr>
            <w:noProof/>
            <w:webHidden/>
            <w:lang w:val="en-GB"/>
          </w:rPr>
          <w:fldChar w:fldCharType="separate"/>
        </w:r>
        <w:r w:rsidRPr="003D2A76">
          <w:rPr>
            <w:noProof/>
            <w:webHidden/>
            <w:lang w:val="en-GB"/>
          </w:rPr>
          <w:t>123</w:t>
        </w:r>
        <w:r w:rsidRPr="003D2A76">
          <w:rPr>
            <w:noProof/>
            <w:webHidden/>
            <w:lang w:val="en-GB"/>
          </w:rPr>
          <w:fldChar w:fldCharType="end"/>
        </w:r>
      </w:hyperlink>
    </w:p>
    <w:p w14:paraId="353C3CA1" w14:textId="19D8EABA" w:rsidR="00BD6279" w:rsidRPr="003D2A76" w:rsidRDefault="00BD6279" w:rsidP="00BD6279">
      <w:pPr>
        <w:pStyle w:val="TOC2"/>
        <w:tabs>
          <w:tab w:val="right" w:leader="dot" w:pos="8630"/>
        </w:tabs>
        <w:bidi w:val="0"/>
        <w:spacing w:line="240" w:lineRule="auto"/>
        <w:rPr>
          <w:noProof/>
          <w:lang w:val="en-GB"/>
        </w:rPr>
      </w:pPr>
      <w:hyperlink w:anchor="_Toc228056587" w:history="1">
        <w:r w:rsidRPr="003D2A76">
          <w:rPr>
            <w:rStyle w:val="Hyperlink"/>
            <w:noProof/>
            <w:lang w:val="en-GB"/>
          </w:rPr>
          <w:t>4.12 Summary of Results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_Toc228056587 \h </w:instrText>
        </w:r>
        <w:r w:rsidRPr="003D2A76">
          <w:rPr>
            <w:noProof/>
            <w:webHidden/>
            <w:lang w:val="en-GB"/>
          </w:rPr>
        </w:r>
        <w:r w:rsidRPr="003D2A76">
          <w:rPr>
            <w:noProof/>
            <w:webHidden/>
            <w:lang w:val="en-GB"/>
          </w:rPr>
          <w:fldChar w:fldCharType="separate"/>
        </w:r>
        <w:r w:rsidRPr="003D2A76">
          <w:rPr>
            <w:noProof/>
            <w:webHidden/>
            <w:lang w:val="en-GB"/>
          </w:rPr>
          <w:t>127</w:t>
        </w:r>
        <w:r w:rsidRPr="003D2A76">
          <w:rPr>
            <w:noProof/>
            <w:webHidden/>
            <w:lang w:val="en-GB"/>
          </w:rPr>
          <w:fldChar w:fldCharType="end"/>
        </w:r>
      </w:hyperlink>
    </w:p>
    <w:p w14:paraId="62EEB59E" w14:textId="659826F5" w:rsidR="00BD6279" w:rsidRPr="003D2A76" w:rsidRDefault="00033A7A" w:rsidP="00BD6279">
      <w:pPr>
        <w:pStyle w:val="TOC2"/>
        <w:tabs>
          <w:tab w:val="right" w:leader="dot" w:pos="8630"/>
        </w:tabs>
        <w:bidi w:val="0"/>
        <w:spacing w:line="240" w:lineRule="auto"/>
        <w:rPr>
          <w:noProof/>
          <w:lang w:val="en-GB"/>
        </w:rPr>
      </w:pPr>
      <w:r>
        <w:t xml:space="preserve">4..13 </w:t>
      </w:r>
      <w:hyperlink w:anchor="_Toc228056588" w:history="1">
        <w:r w:rsidR="00BD6279" w:rsidRPr="003D2A76">
          <w:rPr>
            <w:rStyle w:val="Hyperlink"/>
            <w:noProof/>
            <w:lang w:val="en-GB"/>
          </w:rPr>
          <w:t>Chapter Summary</w:t>
        </w:r>
        <w:r w:rsidR="00BD6279" w:rsidRPr="003D2A76">
          <w:rPr>
            <w:noProof/>
            <w:webHidden/>
            <w:lang w:val="en-GB"/>
          </w:rPr>
          <w:tab/>
        </w:r>
        <w:r w:rsidR="00BD6279" w:rsidRPr="003D2A76">
          <w:rPr>
            <w:noProof/>
            <w:webHidden/>
            <w:lang w:val="en-GB"/>
          </w:rPr>
          <w:fldChar w:fldCharType="begin"/>
        </w:r>
        <w:r w:rsidR="00BD6279" w:rsidRPr="003D2A76">
          <w:rPr>
            <w:noProof/>
            <w:webHidden/>
            <w:lang w:val="en-GB"/>
          </w:rPr>
          <w:instrText xml:space="preserve"> PAGEREF _Toc228056588 \h </w:instrText>
        </w:r>
        <w:r w:rsidR="00BD6279" w:rsidRPr="003D2A76">
          <w:rPr>
            <w:noProof/>
            <w:webHidden/>
            <w:lang w:val="en-GB"/>
          </w:rPr>
        </w:r>
        <w:r w:rsidR="00BD6279" w:rsidRPr="003D2A76">
          <w:rPr>
            <w:noProof/>
            <w:webHidden/>
            <w:lang w:val="en-GB"/>
          </w:rPr>
          <w:fldChar w:fldCharType="separate"/>
        </w:r>
        <w:r w:rsidR="00BD6279" w:rsidRPr="003D2A76">
          <w:rPr>
            <w:noProof/>
            <w:webHidden/>
            <w:lang w:val="en-GB"/>
          </w:rPr>
          <w:t>132</w:t>
        </w:r>
        <w:r w:rsidR="00BD6279" w:rsidRPr="003D2A76">
          <w:rPr>
            <w:noProof/>
            <w:webHidden/>
            <w:lang w:val="en-GB"/>
          </w:rPr>
          <w:fldChar w:fldCharType="end"/>
        </w:r>
      </w:hyperlink>
    </w:p>
    <w:p w14:paraId="7ABA5306" w14:textId="4D64AB14" w:rsidR="00BD6279" w:rsidRPr="003D2A76" w:rsidRDefault="00BD6279" w:rsidP="00BD6279">
      <w:pPr>
        <w:pStyle w:val="TOC1"/>
        <w:rPr>
          <w:noProof/>
          <w:lang w:val="en-GB"/>
        </w:rPr>
      </w:pPr>
      <w:hyperlink w:anchor="_Toc228056589" w:history="1">
        <w:r w:rsidRPr="003D2A76">
          <w:rPr>
            <w:rStyle w:val="Hyperlink"/>
            <w:noProof/>
            <w:lang w:val="en-GB"/>
          </w:rPr>
          <w:t>CHAPTER 5</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_Toc228056589 \h </w:instrText>
        </w:r>
        <w:r w:rsidRPr="003D2A76">
          <w:rPr>
            <w:noProof/>
            <w:webHidden/>
            <w:lang w:val="en-GB"/>
          </w:rPr>
        </w:r>
        <w:r w:rsidRPr="003D2A76">
          <w:rPr>
            <w:noProof/>
            <w:webHidden/>
            <w:lang w:val="en-GB"/>
          </w:rPr>
          <w:fldChar w:fldCharType="separate"/>
        </w:r>
        <w:r w:rsidRPr="003D2A76">
          <w:rPr>
            <w:noProof/>
            <w:webHidden/>
            <w:lang w:val="en-GB"/>
          </w:rPr>
          <w:t>13</w:t>
        </w:r>
        <w:r w:rsidRPr="003D2A76">
          <w:rPr>
            <w:noProof/>
            <w:webHidden/>
            <w:lang w:val="en-GB"/>
          </w:rPr>
          <w:fldChar w:fldCharType="end"/>
        </w:r>
      </w:hyperlink>
      <w:r w:rsidR="00F82513">
        <w:rPr>
          <w:noProof/>
          <w:lang w:val="en-GB"/>
        </w:rPr>
        <w:t>3</w:t>
      </w:r>
    </w:p>
    <w:p w14:paraId="59100B35" w14:textId="732A0E4F" w:rsidR="00BD6279" w:rsidRPr="003D2A76" w:rsidRDefault="00BD6279" w:rsidP="00BD6279">
      <w:pPr>
        <w:pStyle w:val="TOC2"/>
        <w:tabs>
          <w:tab w:val="right" w:leader="dot" w:pos="8630"/>
        </w:tabs>
        <w:bidi w:val="0"/>
        <w:spacing w:line="240" w:lineRule="auto"/>
        <w:rPr>
          <w:noProof/>
          <w:lang w:val="en-GB"/>
        </w:rPr>
      </w:pPr>
      <w:hyperlink w:anchor="_Toc228056590" w:history="1">
        <w:r w:rsidRPr="003D2A76">
          <w:rPr>
            <w:rStyle w:val="Hyperlink"/>
            <w:noProof/>
            <w:lang w:val="en-GB"/>
          </w:rPr>
          <w:t>5.1 Introduction</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_Toc228056590 \h </w:instrText>
        </w:r>
        <w:r w:rsidRPr="003D2A76">
          <w:rPr>
            <w:noProof/>
            <w:webHidden/>
            <w:lang w:val="en-GB"/>
          </w:rPr>
        </w:r>
        <w:r w:rsidRPr="003D2A76">
          <w:rPr>
            <w:noProof/>
            <w:webHidden/>
            <w:lang w:val="en-GB"/>
          </w:rPr>
          <w:fldChar w:fldCharType="separate"/>
        </w:r>
        <w:r w:rsidRPr="003D2A76">
          <w:rPr>
            <w:noProof/>
            <w:webHidden/>
            <w:lang w:val="en-GB"/>
          </w:rPr>
          <w:t>13</w:t>
        </w:r>
        <w:r w:rsidRPr="003D2A76">
          <w:rPr>
            <w:noProof/>
            <w:webHidden/>
            <w:lang w:val="en-GB"/>
          </w:rPr>
          <w:fldChar w:fldCharType="end"/>
        </w:r>
      </w:hyperlink>
      <w:r w:rsidR="00F82513">
        <w:rPr>
          <w:noProof/>
          <w:lang w:val="en-GB"/>
        </w:rPr>
        <w:t>3</w:t>
      </w:r>
    </w:p>
    <w:p w14:paraId="578ADE2C" w14:textId="0B1B0546" w:rsidR="00BD6279" w:rsidRPr="003D2A76" w:rsidRDefault="00BD6279" w:rsidP="00BD6279">
      <w:pPr>
        <w:pStyle w:val="TOC2"/>
        <w:tabs>
          <w:tab w:val="right" w:leader="dot" w:pos="8630"/>
        </w:tabs>
        <w:bidi w:val="0"/>
        <w:spacing w:line="240" w:lineRule="auto"/>
        <w:rPr>
          <w:noProof/>
          <w:lang w:val="en-GB"/>
        </w:rPr>
      </w:pPr>
      <w:hyperlink w:anchor="_Toc228056591" w:history="1">
        <w:r w:rsidRPr="003D2A76">
          <w:rPr>
            <w:rStyle w:val="Hyperlink"/>
            <w:noProof/>
            <w:lang w:val="en-GB"/>
          </w:rPr>
          <w:t>5.2 Study Summary</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_Toc228056591 \h </w:instrText>
        </w:r>
        <w:r w:rsidRPr="003D2A76">
          <w:rPr>
            <w:noProof/>
            <w:webHidden/>
            <w:lang w:val="en-GB"/>
          </w:rPr>
        </w:r>
        <w:r w:rsidRPr="003D2A76">
          <w:rPr>
            <w:noProof/>
            <w:webHidden/>
            <w:lang w:val="en-GB"/>
          </w:rPr>
          <w:fldChar w:fldCharType="separate"/>
        </w:r>
        <w:r w:rsidRPr="003D2A76">
          <w:rPr>
            <w:noProof/>
            <w:webHidden/>
            <w:lang w:val="en-GB"/>
          </w:rPr>
          <w:t>13</w:t>
        </w:r>
        <w:r w:rsidRPr="003D2A76">
          <w:rPr>
            <w:noProof/>
            <w:webHidden/>
            <w:lang w:val="en-GB"/>
          </w:rPr>
          <w:fldChar w:fldCharType="end"/>
        </w:r>
      </w:hyperlink>
      <w:r w:rsidR="00F82513">
        <w:rPr>
          <w:noProof/>
          <w:lang w:val="en-GB"/>
        </w:rPr>
        <w:t>4</w:t>
      </w:r>
    </w:p>
    <w:p w14:paraId="057A29BC" w14:textId="4C2AB5DB" w:rsidR="00BD6279" w:rsidRPr="003D2A76" w:rsidRDefault="00BD6279" w:rsidP="00BD6279">
      <w:pPr>
        <w:pStyle w:val="TOC2"/>
        <w:tabs>
          <w:tab w:val="right" w:leader="dot" w:pos="8630"/>
        </w:tabs>
        <w:bidi w:val="0"/>
        <w:spacing w:line="240" w:lineRule="auto"/>
        <w:rPr>
          <w:noProof/>
          <w:lang w:val="en-GB"/>
        </w:rPr>
      </w:pPr>
      <w:hyperlink w:anchor="_Toc228056592" w:history="1">
        <w:r w:rsidRPr="003D2A76">
          <w:rPr>
            <w:rStyle w:val="Hyperlink"/>
            <w:noProof/>
            <w:lang w:val="en-GB"/>
          </w:rPr>
          <w:t xml:space="preserve">5.3 Discussion of the </w:t>
        </w:r>
        <w:r w:rsidR="00E65D6B" w:rsidRPr="003D2A76">
          <w:rPr>
            <w:rStyle w:val="Hyperlink"/>
            <w:noProof/>
            <w:lang w:val="en-GB"/>
          </w:rPr>
          <w:t xml:space="preserve">12 </w:t>
        </w:r>
        <w:r w:rsidRPr="003D2A76">
          <w:rPr>
            <w:rStyle w:val="Hyperlink"/>
            <w:noProof/>
            <w:lang w:val="en-GB"/>
          </w:rPr>
          <w:t>Hypotheses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_Toc228056592 \h </w:instrText>
        </w:r>
        <w:r w:rsidRPr="003D2A76">
          <w:rPr>
            <w:noProof/>
            <w:webHidden/>
            <w:lang w:val="en-GB"/>
          </w:rPr>
        </w:r>
        <w:r w:rsidRPr="003D2A76">
          <w:rPr>
            <w:noProof/>
            <w:webHidden/>
            <w:lang w:val="en-GB"/>
          </w:rPr>
          <w:fldChar w:fldCharType="separate"/>
        </w:r>
        <w:r w:rsidRPr="003D2A76">
          <w:rPr>
            <w:noProof/>
            <w:webHidden/>
            <w:lang w:val="en-GB"/>
          </w:rPr>
          <w:t>13</w:t>
        </w:r>
        <w:r w:rsidRPr="003D2A76">
          <w:rPr>
            <w:noProof/>
            <w:webHidden/>
            <w:lang w:val="en-GB"/>
          </w:rPr>
          <w:fldChar w:fldCharType="end"/>
        </w:r>
      </w:hyperlink>
      <w:r w:rsidR="00F82513">
        <w:rPr>
          <w:noProof/>
          <w:lang w:val="en-GB"/>
        </w:rPr>
        <w:t>6</w:t>
      </w:r>
    </w:p>
    <w:p w14:paraId="3A9FCC6A" w14:textId="213302C2" w:rsidR="00BD6279" w:rsidRPr="003D2A76" w:rsidRDefault="00BD6279" w:rsidP="00BD6279">
      <w:pPr>
        <w:pStyle w:val="TOC2"/>
        <w:tabs>
          <w:tab w:val="right" w:leader="dot" w:pos="8630"/>
        </w:tabs>
        <w:bidi w:val="0"/>
        <w:spacing w:line="240" w:lineRule="auto"/>
        <w:rPr>
          <w:noProof/>
          <w:lang w:val="en-GB"/>
        </w:rPr>
      </w:pPr>
      <w:hyperlink w:anchor="_Toc228056593" w:history="1">
        <w:r w:rsidRPr="003D2A76">
          <w:rPr>
            <w:rStyle w:val="Hyperlink"/>
            <w:noProof/>
            <w:lang w:val="en-GB"/>
          </w:rPr>
          <w:t>5.4 Theoretical Contributions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_Toc228056593 \h </w:instrText>
        </w:r>
        <w:r w:rsidRPr="003D2A76">
          <w:rPr>
            <w:noProof/>
            <w:webHidden/>
            <w:lang w:val="en-GB"/>
          </w:rPr>
        </w:r>
        <w:r w:rsidRPr="003D2A76">
          <w:rPr>
            <w:noProof/>
            <w:webHidden/>
            <w:lang w:val="en-GB"/>
          </w:rPr>
          <w:fldChar w:fldCharType="separate"/>
        </w:r>
        <w:r w:rsidRPr="003D2A76">
          <w:rPr>
            <w:noProof/>
            <w:webHidden/>
            <w:lang w:val="en-GB"/>
          </w:rPr>
          <w:t>14</w:t>
        </w:r>
        <w:r w:rsidRPr="003D2A76">
          <w:rPr>
            <w:noProof/>
            <w:webHidden/>
            <w:lang w:val="en-GB"/>
          </w:rPr>
          <w:fldChar w:fldCharType="end"/>
        </w:r>
      </w:hyperlink>
      <w:r w:rsidR="00F82513">
        <w:rPr>
          <w:noProof/>
          <w:lang w:val="en-GB"/>
        </w:rPr>
        <w:t>3</w:t>
      </w:r>
    </w:p>
    <w:p w14:paraId="1F71E46A" w14:textId="6402E6BC" w:rsidR="00BD6279" w:rsidRPr="003D2A76" w:rsidRDefault="00BD6279" w:rsidP="00BD6279">
      <w:pPr>
        <w:pStyle w:val="TOC2"/>
        <w:tabs>
          <w:tab w:val="right" w:leader="dot" w:pos="8630"/>
        </w:tabs>
        <w:bidi w:val="0"/>
        <w:spacing w:line="240" w:lineRule="auto"/>
        <w:rPr>
          <w:noProof/>
          <w:lang w:val="en-GB"/>
        </w:rPr>
      </w:pPr>
      <w:hyperlink w:anchor="_Toc228056594" w:history="1">
        <w:r w:rsidRPr="003D2A76">
          <w:rPr>
            <w:rStyle w:val="Hyperlink"/>
            <w:noProof/>
            <w:lang w:val="en-GB"/>
          </w:rPr>
          <w:t>5.5 Practical Implications and Recommendations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_Toc228056594 \h </w:instrText>
        </w:r>
        <w:r w:rsidRPr="003D2A76">
          <w:rPr>
            <w:noProof/>
            <w:webHidden/>
            <w:lang w:val="en-GB"/>
          </w:rPr>
        </w:r>
        <w:r w:rsidRPr="003D2A76">
          <w:rPr>
            <w:noProof/>
            <w:webHidden/>
            <w:lang w:val="en-GB"/>
          </w:rPr>
          <w:fldChar w:fldCharType="separate"/>
        </w:r>
        <w:r w:rsidRPr="003D2A76">
          <w:rPr>
            <w:noProof/>
            <w:webHidden/>
            <w:lang w:val="en-GB"/>
          </w:rPr>
          <w:t>14</w:t>
        </w:r>
        <w:r w:rsidRPr="003D2A76">
          <w:rPr>
            <w:noProof/>
            <w:webHidden/>
            <w:lang w:val="en-GB"/>
          </w:rPr>
          <w:fldChar w:fldCharType="end"/>
        </w:r>
      </w:hyperlink>
      <w:r w:rsidR="00F82513">
        <w:rPr>
          <w:noProof/>
          <w:lang w:val="en-GB"/>
        </w:rPr>
        <w:t>8</w:t>
      </w:r>
    </w:p>
    <w:p w14:paraId="6F546B2E" w14:textId="54EBE922" w:rsidR="00BD6279" w:rsidRPr="003D2A76" w:rsidRDefault="00BD6279" w:rsidP="00BD6279">
      <w:pPr>
        <w:pStyle w:val="TOC2"/>
        <w:tabs>
          <w:tab w:val="right" w:leader="dot" w:pos="8630"/>
        </w:tabs>
        <w:bidi w:val="0"/>
        <w:spacing w:line="240" w:lineRule="auto"/>
        <w:rPr>
          <w:noProof/>
          <w:lang w:val="en-GB"/>
        </w:rPr>
      </w:pPr>
      <w:hyperlink w:anchor="_Toc228056595" w:history="1">
        <w:r w:rsidRPr="003D2A76">
          <w:rPr>
            <w:rStyle w:val="Hyperlink"/>
            <w:noProof/>
            <w:lang w:val="en-GB"/>
          </w:rPr>
          <w:t>5.6 Limitations, Delimitations, and Assumptions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_Toc228056595 \h </w:instrText>
        </w:r>
        <w:r w:rsidRPr="003D2A76">
          <w:rPr>
            <w:noProof/>
            <w:webHidden/>
            <w:lang w:val="en-GB"/>
          </w:rPr>
        </w:r>
        <w:r w:rsidRPr="003D2A76">
          <w:rPr>
            <w:noProof/>
            <w:webHidden/>
            <w:lang w:val="en-GB"/>
          </w:rPr>
          <w:fldChar w:fldCharType="separate"/>
        </w:r>
        <w:r w:rsidRPr="003D2A76">
          <w:rPr>
            <w:noProof/>
            <w:webHidden/>
            <w:lang w:val="en-GB"/>
          </w:rPr>
          <w:t>15</w:t>
        </w:r>
        <w:r w:rsidRPr="003D2A76">
          <w:rPr>
            <w:noProof/>
            <w:webHidden/>
            <w:lang w:val="en-GB"/>
          </w:rPr>
          <w:fldChar w:fldCharType="end"/>
        </w:r>
      </w:hyperlink>
      <w:r w:rsidR="00F82513">
        <w:rPr>
          <w:noProof/>
          <w:lang w:val="en-GB"/>
        </w:rPr>
        <w:t>2</w:t>
      </w:r>
    </w:p>
    <w:p w14:paraId="14A0B827" w14:textId="03DC5E42" w:rsidR="00BD6279" w:rsidRPr="003D2A76" w:rsidRDefault="00BD6279" w:rsidP="00BD6279">
      <w:pPr>
        <w:pStyle w:val="TOC2"/>
        <w:tabs>
          <w:tab w:val="right" w:leader="dot" w:pos="8630"/>
        </w:tabs>
        <w:bidi w:val="0"/>
        <w:spacing w:line="240" w:lineRule="auto"/>
        <w:rPr>
          <w:noProof/>
          <w:lang w:val="en-GB"/>
        </w:rPr>
      </w:pPr>
      <w:hyperlink w:anchor="_Toc228056596" w:history="1">
        <w:r w:rsidRPr="003D2A76">
          <w:rPr>
            <w:rStyle w:val="Hyperlink"/>
            <w:noProof/>
            <w:lang w:val="en-GB"/>
          </w:rPr>
          <w:t>5.7 Future Research Directions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_Toc228056596 \h </w:instrText>
        </w:r>
        <w:r w:rsidRPr="003D2A76">
          <w:rPr>
            <w:noProof/>
            <w:webHidden/>
            <w:lang w:val="en-GB"/>
          </w:rPr>
        </w:r>
        <w:r w:rsidRPr="003D2A76">
          <w:rPr>
            <w:noProof/>
            <w:webHidden/>
            <w:lang w:val="en-GB"/>
          </w:rPr>
          <w:fldChar w:fldCharType="separate"/>
        </w:r>
        <w:r w:rsidRPr="003D2A76">
          <w:rPr>
            <w:noProof/>
            <w:webHidden/>
            <w:lang w:val="en-GB"/>
          </w:rPr>
          <w:t>155</w:t>
        </w:r>
        <w:r w:rsidRPr="003D2A76">
          <w:rPr>
            <w:noProof/>
            <w:webHidden/>
            <w:lang w:val="en-GB"/>
          </w:rPr>
          <w:fldChar w:fldCharType="end"/>
        </w:r>
      </w:hyperlink>
    </w:p>
    <w:p w14:paraId="74C56E21" w14:textId="269C2EA9" w:rsidR="00BD6279" w:rsidRPr="003D2A76" w:rsidRDefault="00BD6279" w:rsidP="00BD6279">
      <w:pPr>
        <w:pStyle w:val="TOC2"/>
        <w:tabs>
          <w:tab w:val="right" w:leader="dot" w:pos="8630"/>
        </w:tabs>
        <w:bidi w:val="0"/>
        <w:spacing w:line="240" w:lineRule="auto"/>
        <w:rPr>
          <w:noProof/>
          <w:lang w:val="en-GB"/>
        </w:rPr>
      </w:pPr>
      <w:hyperlink w:anchor="_Toc228056597" w:history="1">
        <w:r w:rsidRPr="003D2A76">
          <w:rPr>
            <w:rStyle w:val="Hyperlink"/>
            <w:noProof/>
            <w:lang w:val="en-GB"/>
          </w:rPr>
          <w:t>5.8 Conclusions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_Toc228056597 \h </w:instrText>
        </w:r>
        <w:r w:rsidRPr="003D2A76">
          <w:rPr>
            <w:noProof/>
            <w:webHidden/>
            <w:lang w:val="en-GB"/>
          </w:rPr>
        </w:r>
        <w:r w:rsidRPr="003D2A76">
          <w:rPr>
            <w:noProof/>
            <w:webHidden/>
            <w:lang w:val="en-GB"/>
          </w:rPr>
          <w:fldChar w:fldCharType="separate"/>
        </w:r>
        <w:r w:rsidRPr="003D2A76">
          <w:rPr>
            <w:noProof/>
            <w:webHidden/>
            <w:lang w:val="en-GB"/>
          </w:rPr>
          <w:t>156</w:t>
        </w:r>
        <w:r w:rsidRPr="003D2A76">
          <w:rPr>
            <w:noProof/>
            <w:webHidden/>
            <w:lang w:val="en-GB"/>
          </w:rPr>
          <w:fldChar w:fldCharType="end"/>
        </w:r>
      </w:hyperlink>
    </w:p>
    <w:p w14:paraId="551EF082" w14:textId="4D75B9ED" w:rsidR="00BD6279" w:rsidRPr="003D2A76" w:rsidRDefault="00BD6279" w:rsidP="00BD6279">
      <w:pPr>
        <w:pStyle w:val="TOC1"/>
        <w:rPr>
          <w:noProof/>
          <w:lang w:val="en-GB"/>
        </w:rPr>
      </w:pPr>
      <w:hyperlink w:anchor="_Toc228056598" w:history="1">
        <w:r w:rsidRPr="003D2A76">
          <w:rPr>
            <w:rStyle w:val="Hyperlink"/>
            <w:noProof/>
            <w:lang w:val="en-GB"/>
          </w:rPr>
          <w:t>REFERENCES</w:t>
        </w:r>
        <w:r w:rsidRPr="003D2A76">
          <w:rPr>
            <w:noProof/>
            <w:webHidden/>
            <w:lang w:val="en-GB"/>
          </w:rPr>
          <w:tab/>
        </w:r>
        <w:r w:rsidRPr="003D2A76">
          <w:rPr>
            <w:noProof/>
            <w:webHidden/>
            <w:lang w:val="en-GB"/>
          </w:rPr>
          <w:fldChar w:fldCharType="begin"/>
        </w:r>
        <w:r w:rsidRPr="003D2A76">
          <w:rPr>
            <w:noProof/>
            <w:webHidden/>
            <w:lang w:val="en-GB"/>
          </w:rPr>
          <w:instrText xml:space="preserve"> PAGEREF _Toc228056598 \h </w:instrText>
        </w:r>
        <w:r w:rsidRPr="003D2A76">
          <w:rPr>
            <w:noProof/>
            <w:webHidden/>
            <w:lang w:val="en-GB"/>
          </w:rPr>
        </w:r>
        <w:r w:rsidRPr="003D2A76">
          <w:rPr>
            <w:noProof/>
            <w:webHidden/>
            <w:lang w:val="en-GB"/>
          </w:rPr>
          <w:fldChar w:fldCharType="separate"/>
        </w:r>
        <w:r w:rsidRPr="003D2A76">
          <w:rPr>
            <w:noProof/>
            <w:webHidden/>
            <w:lang w:val="en-GB"/>
          </w:rPr>
          <w:t>15</w:t>
        </w:r>
        <w:r w:rsidRPr="003D2A76">
          <w:rPr>
            <w:noProof/>
            <w:webHidden/>
            <w:lang w:val="en-GB"/>
          </w:rPr>
          <w:fldChar w:fldCharType="end"/>
        </w:r>
      </w:hyperlink>
      <w:r w:rsidR="00F82513">
        <w:rPr>
          <w:noProof/>
          <w:lang w:val="en-GB"/>
        </w:rPr>
        <w:t>8</w:t>
      </w:r>
    </w:p>
    <w:p w14:paraId="0AF8C614" w14:textId="1EFD8345" w:rsidR="00E2446F" w:rsidRPr="003D2A76" w:rsidRDefault="00CB042E" w:rsidP="00BD6279">
      <w:pPr>
        <w:bidi w:val="0"/>
        <w:rPr>
          <w:lang w:val="en-GB"/>
        </w:rPr>
      </w:pPr>
      <w:r w:rsidRPr="003D2A76">
        <w:rPr>
          <w:lang w:val="en-GB"/>
        </w:rPr>
        <w:fldChar w:fldCharType="end"/>
      </w:r>
    </w:p>
    <w:p w14:paraId="04D3A2C5" w14:textId="77777777" w:rsidR="00E2446F" w:rsidRPr="003D2A76" w:rsidRDefault="00E2446F" w:rsidP="00BD6279">
      <w:pPr>
        <w:pageBreakBefore/>
        <w:bidi w:val="0"/>
        <w:rPr>
          <w:lang w:val="en-GB"/>
        </w:rPr>
      </w:pPr>
    </w:p>
    <w:p w14:paraId="46180734" w14:textId="77777777" w:rsidR="00E2446F" w:rsidRPr="003D2A76" w:rsidRDefault="00CB042E" w:rsidP="00BD6279">
      <w:pPr>
        <w:bidi w:val="0"/>
        <w:jc w:val="center"/>
        <w:rPr>
          <w:lang w:val="en-GB"/>
        </w:rPr>
      </w:pPr>
      <w:r w:rsidRPr="003D2A76">
        <w:rPr>
          <w:b/>
          <w:bCs/>
          <w:lang w:val="en-GB"/>
        </w:rPr>
        <w:t>LIST OF TABLES</w:t>
      </w:r>
    </w:p>
    <w:p w14:paraId="22D9331B" w14:textId="77777777" w:rsidR="00E2446F" w:rsidRPr="003D2A76" w:rsidRDefault="00E2446F" w:rsidP="00BD6279">
      <w:pPr>
        <w:bidi w:val="0"/>
        <w:rPr>
          <w:lang w:val="en-GB"/>
        </w:rPr>
      </w:pPr>
    </w:p>
    <w:p w14:paraId="018A44CA" w14:textId="679181FA" w:rsidR="00E2446F" w:rsidRPr="003D2A76" w:rsidRDefault="00CB042E" w:rsidP="00BD6279">
      <w:pPr>
        <w:bidi w:val="0"/>
        <w:rPr>
          <w:lang w:val="en-GB"/>
        </w:rPr>
      </w:pPr>
      <w:r w:rsidRPr="003D2A76">
        <w:rPr>
          <w:lang w:val="en-GB"/>
        </w:rPr>
        <w:t xml:space="preserve">Table 1: Demographic </w:t>
      </w:r>
      <w:r w:rsidR="00712270" w:rsidRPr="003D2A76">
        <w:rPr>
          <w:lang w:val="en-GB"/>
        </w:rPr>
        <w:t>Characteristics of Participants</w:t>
      </w:r>
    </w:p>
    <w:p w14:paraId="307DB2C7" w14:textId="562C347B" w:rsidR="00E2446F" w:rsidRPr="003D2A76" w:rsidRDefault="00CB042E" w:rsidP="00BD6279">
      <w:pPr>
        <w:bidi w:val="0"/>
        <w:rPr>
          <w:lang w:val="en-GB"/>
        </w:rPr>
      </w:pPr>
      <w:r w:rsidRPr="003D2A76">
        <w:rPr>
          <w:lang w:val="en-GB"/>
        </w:rPr>
        <w:t xml:space="preserve">Table 2: Descriptive Statistics </w:t>
      </w:r>
      <w:r w:rsidR="00307A23" w:rsidRPr="003D2A76">
        <w:rPr>
          <w:lang w:val="en-GB"/>
        </w:rPr>
        <w:t>for Study</w:t>
      </w:r>
      <w:r w:rsidRPr="003D2A76">
        <w:rPr>
          <w:lang w:val="en-GB"/>
        </w:rPr>
        <w:t xml:space="preserve"> Variables</w:t>
      </w:r>
      <w:r w:rsidR="00803A08">
        <w:rPr>
          <w:lang w:val="en-GB"/>
        </w:rPr>
        <w:t xml:space="preserve"> </w:t>
      </w:r>
    </w:p>
    <w:p w14:paraId="61405B60" w14:textId="713A8F5D" w:rsidR="00E2446F" w:rsidRPr="003D2A76" w:rsidRDefault="00CB042E" w:rsidP="00BD6279">
      <w:pPr>
        <w:bidi w:val="0"/>
        <w:rPr>
          <w:lang w:val="en-GB"/>
        </w:rPr>
      </w:pPr>
      <w:r w:rsidRPr="003D2A76">
        <w:rPr>
          <w:lang w:val="en-GB"/>
        </w:rPr>
        <w:t xml:space="preserve">Table 3: </w:t>
      </w:r>
      <w:r w:rsidR="00803A08" w:rsidRPr="00803A08">
        <w:rPr>
          <w:lang w:val="en-GB"/>
        </w:rPr>
        <w:t>Reliability Analysis (Cronbach's Alpha) for Study Constructs</w:t>
      </w:r>
    </w:p>
    <w:p w14:paraId="7CFE6A78" w14:textId="51064B08" w:rsidR="00E2446F" w:rsidRPr="003D2A76" w:rsidRDefault="00CB042E" w:rsidP="00BD6279">
      <w:pPr>
        <w:bidi w:val="0"/>
        <w:rPr>
          <w:lang w:val="en-GB"/>
        </w:rPr>
      </w:pPr>
      <w:r w:rsidRPr="003D2A76">
        <w:rPr>
          <w:lang w:val="en-GB"/>
        </w:rPr>
        <w:t xml:space="preserve">Table 4: </w:t>
      </w:r>
      <w:r w:rsidR="00803A08" w:rsidRPr="00803A08">
        <w:rPr>
          <w:lang w:val="en-GB"/>
        </w:rPr>
        <w:t>Exploratory Factor Analysis Results</w:t>
      </w:r>
    </w:p>
    <w:p w14:paraId="47477807" w14:textId="77777777" w:rsidR="00E2446F" w:rsidRPr="003D2A76" w:rsidRDefault="00CB042E" w:rsidP="00BD6279">
      <w:pPr>
        <w:bidi w:val="0"/>
        <w:rPr>
          <w:lang w:val="en-GB"/>
        </w:rPr>
      </w:pPr>
      <w:r w:rsidRPr="003D2A76">
        <w:rPr>
          <w:lang w:val="en-GB"/>
        </w:rPr>
        <w:t>Table 5: Multicollinearity Diagnostics</w:t>
      </w:r>
    </w:p>
    <w:p w14:paraId="432B41B8" w14:textId="77777777" w:rsidR="003E2AFB" w:rsidRDefault="00CB042E" w:rsidP="003E2AFB">
      <w:pPr>
        <w:bidi w:val="0"/>
        <w:rPr>
          <w:lang w:val="en-GB"/>
        </w:rPr>
      </w:pPr>
      <w:r w:rsidRPr="003D2A76">
        <w:rPr>
          <w:lang w:val="en-GB"/>
        </w:rPr>
        <w:t xml:space="preserve">Table 6: </w:t>
      </w:r>
      <w:r w:rsidR="00803A08" w:rsidRPr="00803A08">
        <w:rPr>
          <w:lang w:val="en-GB"/>
        </w:rPr>
        <w:t>Correlation Matrix for Study Variables</w:t>
      </w:r>
    </w:p>
    <w:p w14:paraId="3675A3B4" w14:textId="676C5CA6" w:rsidR="003E2AFB" w:rsidRPr="003E2AFB" w:rsidRDefault="00CB042E" w:rsidP="003E2AFB">
      <w:pPr>
        <w:bidi w:val="0"/>
        <w:rPr>
          <w:lang w:val="en-GB"/>
        </w:rPr>
      </w:pPr>
      <w:r w:rsidRPr="003D2A76">
        <w:rPr>
          <w:lang w:val="en-GB"/>
        </w:rPr>
        <w:t xml:space="preserve">Table 7a: </w:t>
      </w:r>
      <w:r w:rsidR="003E2AFB" w:rsidRPr="003E2AFB">
        <w:rPr>
          <w:lang w:val="en-GB"/>
        </w:rPr>
        <w:t>Regression Coefficients for Direct Effects</w:t>
      </w:r>
    </w:p>
    <w:p w14:paraId="1812B619" w14:textId="77777777" w:rsidR="003E2AFB" w:rsidRDefault="00CB042E" w:rsidP="003E2AFB">
      <w:pPr>
        <w:bidi w:val="0"/>
        <w:rPr>
          <w:lang w:val="en-GB"/>
        </w:rPr>
      </w:pPr>
      <w:r w:rsidRPr="003D2A76">
        <w:rPr>
          <w:lang w:val="en-GB"/>
        </w:rPr>
        <w:t xml:space="preserve">Table 7b: </w:t>
      </w:r>
      <w:r w:rsidR="003E2AFB" w:rsidRPr="003E2AFB">
        <w:rPr>
          <w:lang w:val="en-GB"/>
        </w:rPr>
        <w:t>Hierarchical Regression Analysis Results</w:t>
      </w:r>
    </w:p>
    <w:p w14:paraId="28EC8C9E" w14:textId="71384DEF" w:rsidR="003E2AFB" w:rsidRPr="003E2AFB" w:rsidRDefault="00CB042E" w:rsidP="003E2AFB">
      <w:pPr>
        <w:bidi w:val="0"/>
        <w:rPr>
          <w:lang w:val="en-GB"/>
        </w:rPr>
      </w:pPr>
      <w:r w:rsidRPr="003D2A76">
        <w:rPr>
          <w:lang w:val="en-GB"/>
        </w:rPr>
        <w:t xml:space="preserve">Table 8: </w:t>
      </w:r>
      <w:r w:rsidR="003E2AFB" w:rsidRPr="003E2AFB">
        <w:rPr>
          <w:lang w:val="en-GB"/>
        </w:rPr>
        <w:t>Detailed Mediation Analysis Results (PROCESS Model 4)</w:t>
      </w:r>
    </w:p>
    <w:p w14:paraId="48331CD5" w14:textId="7C49A186" w:rsidR="003E2AFB" w:rsidRDefault="003E2AFB" w:rsidP="003E2AFB">
      <w:pPr>
        <w:bidi w:val="0"/>
        <w:rPr>
          <w:lang w:val="en-GB"/>
        </w:rPr>
      </w:pPr>
      <w:r>
        <w:rPr>
          <w:lang w:val="en-GB"/>
        </w:rPr>
        <w:t xml:space="preserve">Table </w:t>
      </w:r>
      <w:r w:rsidR="00CB042E" w:rsidRPr="003D2A76">
        <w:rPr>
          <w:lang w:val="en-GB"/>
        </w:rPr>
        <w:t xml:space="preserve">9: </w:t>
      </w:r>
      <w:r w:rsidRPr="003E2AFB">
        <w:rPr>
          <w:lang w:val="en-GB"/>
        </w:rPr>
        <w:t>Moderation Analysis Results (PROCESS Model 1)</w:t>
      </w:r>
    </w:p>
    <w:p w14:paraId="5CF15942" w14:textId="77777777" w:rsidR="00142C44" w:rsidRDefault="00CB042E" w:rsidP="00142C44">
      <w:pPr>
        <w:bidi w:val="0"/>
        <w:rPr>
          <w:lang w:val="en-GB"/>
        </w:rPr>
      </w:pPr>
      <w:r w:rsidRPr="003D2A76">
        <w:rPr>
          <w:lang w:val="en-GB"/>
        </w:rPr>
        <w:t xml:space="preserve">Table 10: </w:t>
      </w:r>
      <w:r w:rsidR="003E2AFB" w:rsidRPr="003E2AFB">
        <w:rPr>
          <w:lang w:val="en-GB"/>
        </w:rPr>
        <w:t xml:space="preserve">Conditional Effects of AI Adoption on Service Quality </w:t>
      </w:r>
    </w:p>
    <w:p w14:paraId="198BE6EC" w14:textId="7F723F3F" w:rsidR="00142C44" w:rsidRPr="00142C44" w:rsidRDefault="00CB042E" w:rsidP="00142C44">
      <w:pPr>
        <w:bidi w:val="0"/>
        <w:rPr>
          <w:lang w:val="en-GB"/>
        </w:rPr>
      </w:pPr>
      <w:r w:rsidRPr="003D2A76">
        <w:rPr>
          <w:lang w:val="en-GB"/>
        </w:rPr>
        <w:t xml:space="preserve">Table 11: </w:t>
      </w:r>
      <w:r w:rsidR="00142C44" w:rsidRPr="00142C44">
        <w:rPr>
          <w:lang w:val="en-GB"/>
        </w:rPr>
        <w:t>Serial Mediation Analysis Results (PROCESS Model 6)</w:t>
      </w:r>
    </w:p>
    <w:p w14:paraId="4BE079C0" w14:textId="77777777" w:rsidR="00142C44" w:rsidRDefault="00CB042E" w:rsidP="00142C44">
      <w:pPr>
        <w:bidi w:val="0"/>
        <w:rPr>
          <w:lang w:val="en-GB"/>
        </w:rPr>
      </w:pPr>
      <w:r w:rsidRPr="003D2A76">
        <w:rPr>
          <w:lang w:val="en-GB"/>
        </w:rPr>
        <w:t xml:space="preserve">Table 12: </w:t>
      </w:r>
      <w:r w:rsidR="00142C44" w:rsidRPr="00142C44">
        <w:rPr>
          <w:lang w:val="en-GB"/>
        </w:rPr>
        <w:t>Group Comparisons (Students vs Parents)</w:t>
      </w:r>
    </w:p>
    <w:p w14:paraId="406A81A6" w14:textId="77777777" w:rsidR="00142C44" w:rsidRDefault="00CB042E" w:rsidP="00142C44">
      <w:pPr>
        <w:bidi w:val="0"/>
        <w:rPr>
          <w:lang w:val="en-GB"/>
        </w:rPr>
      </w:pPr>
      <w:r w:rsidRPr="003D2A76">
        <w:rPr>
          <w:lang w:val="en-GB"/>
        </w:rPr>
        <w:t xml:space="preserve">Table 13: </w:t>
      </w:r>
      <w:r w:rsidR="00142C44" w:rsidRPr="00142C44">
        <w:rPr>
          <w:lang w:val="en-GB"/>
        </w:rPr>
        <w:t>Moderated Mediation Analysis (PROCESS Model 7)</w:t>
      </w:r>
    </w:p>
    <w:p w14:paraId="5C723F51" w14:textId="1E79C440" w:rsidR="00142C44" w:rsidRPr="00142C44" w:rsidRDefault="00CB042E" w:rsidP="00142C44">
      <w:pPr>
        <w:bidi w:val="0"/>
        <w:rPr>
          <w:lang w:val="en-GB"/>
        </w:rPr>
      </w:pPr>
      <w:r w:rsidRPr="003D2A76">
        <w:rPr>
          <w:lang w:val="en-GB"/>
        </w:rPr>
        <w:t xml:space="preserve">Table 14: </w:t>
      </w:r>
      <w:r w:rsidR="00142C44" w:rsidRPr="00142C44">
        <w:rPr>
          <w:lang w:val="en-GB"/>
        </w:rPr>
        <w:t>Summary of Hypothesis Testing Results</w:t>
      </w:r>
    </w:p>
    <w:p w14:paraId="50251128" w14:textId="426AEDFC" w:rsidR="00E2446F" w:rsidRPr="003D2A76" w:rsidRDefault="00CB042E" w:rsidP="00BD6279">
      <w:pPr>
        <w:bidi w:val="0"/>
        <w:rPr>
          <w:lang w:val="en-GB"/>
        </w:rPr>
      </w:pPr>
      <w:r w:rsidRPr="003D2A76">
        <w:rPr>
          <w:lang w:val="en-GB"/>
        </w:rPr>
        <w:t xml:space="preserve">Table 15: </w:t>
      </w:r>
      <w:r w:rsidR="00142C44" w:rsidRPr="00142C44">
        <w:rPr>
          <w:lang w:val="en-GB"/>
        </w:rPr>
        <w:t>Effect Sizes for Key Relationships</w:t>
      </w:r>
    </w:p>
    <w:p w14:paraId="390FFFAD" w14:textId="77777777" w:rsidR="00E2446F" w:rsidRPr="003D2A76" w:rsidRDefault="00E2446F" w:rsidP="00BD6279">
      <w:pPr>
        <w:pageBreakBefore/>
        <w:bidi w:val="0"/>
        <w:rPr>
          <w:lang w:val="en-GB"/>
        </w:rPr>
      </w:pPr>
    </w:p>
    <w:p w14:paraId="35D06903" w14:textId="77777777" w:rsidR="00E2446F" w:rsidRPr="003D2A76" w:rsidRDefault="00CB042E" w:rsidP="00BD6279">
      <w:pPr>
        <w:bidi w:val="0"/>
        <w:jc w:val="center"/>
        <w:rPr>
          <w:lang w:val="en-GB"/>
        </w:rPr>
      </w:pPr>
      <w:r w:rsidRPr="003D2A76">
        <w:rPr>
          <w:b/>
          <w:bCs/>
          <w:lang w:val="en-GB"/>
        </w:rPr>
        <w:t>LIST OF FIGURES</w:t>
      </w:r>
    </w:p>
    <w:p w14:paraId="175977C7" w14:textId="77777777" w:rsidR="00E2446F" w:rsidRPr="003D2A76" w:rsidRDefault="00E2446F" w:rsidP="00BD6279">
      <w:pPr>
        <w:bidi w:val="0"/>
        <w:rPr>
          <w:lang w:val="en-GB"/>
        </w:rPr>
      </w:pPr>
    </w:p>
    <w:p w14:paraId="4D1747B6" w14:textId="2B2A4684" w:rsidR="00FA682D" w:rsidRDefault="00FA682D" w:rsidP="00BD6279">
      <w:pPr>
        <w:bidi w:val="0"/>
        <w:rPr>
          <w:lang w:val="en-GB"/>
        </w:rPr>
      </w:pPr>
      <w:r w:rsidRPr="00FA682D">
        <w:rPr>
          <w:lang w:val="en-GB"/>
        </w:rPr>
        <w:t>Figure 1. Proposed Conceptual Framework</w:t>
      </w:r>
    </w:p>
    <w:p w14:paraId="5E54BF0B" w14:textId="4B3BB839" w:rsidR="00E2446F" w:rsidRPr="003D2A76" w:rsidRDefault="00CB042E" w:rsidP="00FA682D">
      <w:pPr>
        <w:bidi w:val="0"/>
        <w:rPr>
          <w:lang w:val="en-GB"/>
        </w:rPr>
      </w:pPr>
      <w:r w:rsidRPr="003D2A76">
        <w:rPr>
          <w:lang w:val="en-GB"/>
        </w:rPr>
        <w:t xml:space="preserve">Figure </w:t>
      </w:r>
      <w:r w:rsidR="00FA682D">
        <w:rPr>
          <w:lang w:val="en-GB"/>
        </w:rPr>
        <w:t>2</w:t>
      </w:r>
      <w:r w:rsidRPr="003D2A76">
        <w:rPr>
          <w:lang w:val="en-GB"/>
        </w:rPr>
        <w:t xml:space="preserve">: </w:t>
      </w:r>
      <w:r w:rsidR="007D0FAE" w:rsidRPr="007D0FAE">
        <w:rPr>
          <w:lang w:val="en-GB"/>
        </w:rPr>
        <w:t>Distribution of Respondents by Category</w:t>
      </w:r>
    </w:p>
    <w:p w14:paraId="7CB9EE12" w14:textId="1F01D07E" w:rsidR="00E2446F" w:rsidRPr="003D2A76" w:rsidRDefault="00CB042E" w:rsidP="00F134E2">
      <w:pPr>
        <w:bidi w:val="0"/>
        <w:rPr>
          <w:lang w:val="en-GB"/>
        </w:rPr>
      </w:pPr>
      <w:r w:rsidRPr="003D2A76">
        <w:rPr>
          <w:lang w:val="en-GB"/>
        </w:rPr>
        <w:t xml:space="preserve">Figure </w:t>
      </w:r>
      <w:r w:rsidR="00FA682D">
        <w:rPr>
          <w:lang w:val="en-GB"/>
        </w:rPr>
        <w:t>3</w:t>
      </w:r>
      <w:r w:rsidRPr="003D2A76">
        <w:rPr>
          <w:lang w:val="en-GB"/>
        </w:rPr>
        <w:t xml:space="preserve">: </w:t>
      </w:r>
      <w:r w:rsidR="007D0FAE" w:rsidRPr="007D0FAE">
        <w:rPr>
          <w:lang w:val="en-GB"/>
        </w:rPr>
        <w:t>Gender Distribution</w:t>
      </w:r>
    </w:p>
    <w:p w14:paraId="03EF18C9" w14:textId="08477048" w:rsidR="00E2446F" w:rsidRPr="003D2A76" w:rsidRDefault="00CB042E" w:rsidP="00BD6279">
      <w:pPr>
        <w:bidi w:val="0"/>
        <w:rPr>
          <w:lang w:val="en-GB"/>
        </w:rPr>
      </w:pPr>
      <w:r w:rsidRPr="003D2A76">
        <w:rPr>
          <w:lang w:val="en-GB"/>
        </w:rPr>
        <w:t xml:space="preserve">Figure </w:t>
      </w:r>
      <w:r w:rsidR="00FA682D">
        <w:rPr>
          <w:lang w:val="en-GB"/>
        </w:rPr>
        <w:t>4</w:t>
      </w:r>
      <w:r w:rsidRPr="003D2A76">
        <w:rPr>
          <w:lang w:val="en-GB"/>
        </w:rPr>
        <w:t xml:space="preserve">: </w:t>
      </w:r>
      <w:r w:rsidR="007D0FAE" w:rsidRPr="007D0FAE">
        <w:rPr>
          <w:lang w:val="en-GB"/>
        </w:rPr>
        <w:t>Age Distribution</w:t>
      </w:r>
    </w:p>
    <w:p w14:paraId="06968E65" w14:textId="3F4CD724" w:rsidR="00E2446F" w:rsidRPr="003D2A76" w:rsidRDefault="00CB042E" w:rsidP="00BD6279">
      <w:pPr>
        <w:bidi w:val="0"/>
        <w:rPr>
          <w:lang w:val="en-GB"/>
        </w:rPr>
      </w:pPr>
      <w:r w:rsidRPr="003D2A76">
        <w:rPr>
          <w:lang w:val="en-GB"/>
        </w:rPr>
        <w:t xml:space="preserve">Figure </w:t>
      </w:r>
      <w:r w:rsidR="00FA682D">
        <w:rPr>
          <w:lang w:val="en-GB"/>
        </w:rPr>
        <w:t>5</w:t>
      </w:r>
      <w:r w:rsidRPr="003D2A76">
        <w:rPr>
          <w:lang w:val="en-GB"/>
        </w:rPr>
        <w:t xml:space="preserve">: </w:t>
      </w:r>
      <w:r w:rsidR="007D0FAE" w:rsidRPr="007D0FAE">
        <w:rPr>
          <w:lang w:val="en-GB"/>
        </w:rPr>
        <w:t>Educational Background Distribution</w:t>
      </w:r>
    </w:p>
    <w:p w14:paraId="58E17515" w14:textId="7D819920" w:rsidR="00E2446F" w:rsidRDefault="00CB042E" w:rsidP="00BD6279">
      <w:pPr>
        <w:bidi w:val="0"/>
        <w:rPr>
          <w:lang w:val="en-GB"/>
        </w:rPr>
      </w:pPr>
      <w:r w:rsidRPr="003D2A76">
        <w:rPr>
          <w:lang w:val="en-GB"/>
        </w:rPr>
        <w:t xml:space="preserve">Figure </w:t>
      </w:r>
      <w:r w:rsidR="00FA682D">
        <w:rPr>
          <w:lang w:val="en-GB"/>
        </w:rPr>
        <w:t>6</w:t>
      </w:r>
      <w:r w:rsidRPr="003D2A76">
        <w:rPr>
          <w:lang w:val="en-GB"/>
        </w:rPr>
        <w:t xml:space="preserve">: </w:t>
      </w:r>
      <w:r w:rsidR="007D0FAE" w:rsidRPr="007D0FAE">
        <w:rPr>
          <w:lang w:val="en-GB"/>
        </w:rPr>
        <w:t>Household Income Distribution</w:t>
      </w:r>
    </w:p>
    <w:p w14:paraId="43B5DD20" w14:textId="73F193E5" w:rsidR="009F2A1B" w:rsidRDefault="00803A08" w:rsidP="009F2A1B">
      <w:pPr>
        <w:bidi w:val="0"/>
        <w:rPr>
          <w:lang w:val="en-GB"/>
        </w:rPr>
      </w:pPr>
      <w:r w:rsidRPr="00803A08">
        <w:rPr>
          <w:lang w:val="en-GB"/>
        </w:rPr>
        <w:t xml:space="preserve">Figure </w:t>
      </w:r>
      <w:r w:rsidR="00FA682D">
        <w:rPr>
          <w:lang w:val="en-GB"/>
        </w:rPr>
        <w:t>7</w:t>
      </w:r>
      <w:r w:rsidRPr="00803A08">
        <w:rPr>
          <w:lang w:val="en-GB"/>
        </w:rPr>
        <w:t>: Nationality Distribution</w:t>
      </w:r>
    </w:p>
    <w:p w14:paraId="25FDABF6" w14:textId="10019264" w:rsidR="009F2A1B" w:rsidRPr="009F2A1B" w:rsidRDefault="009F2A1B" w:rsidP="009F2A1B">
      <w:pPr>
        <w:bidi w:val="0"/>
        <w:rPr>
          <w:lang w:val="en-GB"/>
        </w:rPr>
      </w:pPr>
      <w:r w:rsidRPr="009F2A1B">
        <w:rPr>
          <w:lang w:val="en-GB"/>
        </w:rPr>
        <w:t xml:space="preserve">Figure </w:t>
      </w:r>
      <w:r w:rsidR="00FA682D">
        <w:rPr>
          <w:lang w:val="en-GB"/>
        </w:rPr>
        <w:t>8</w:t>
      </w:r>
      <w:r w:rsidRPr="009F2A1B">
        <w:rPr>
          <w:lang w:val="en-GB"/>
        </w:rPr>
        <w:t>: Moderated Mediation Model Diagram</w:t>
      </w:r>
    </w:p>
    <w:p w14:paraId="4BACD559" w14:textId="38DDBE23" w:rsidR="009F2A1B" w:rsidRDefault="009F2A1B" w:rsidP="009F2A1B">
      <w:pPr>
        <w:bidi w:val="0"/>
        <w:rPr>
          <w:lang w:val="en-GB"/>
        </w:rPr>
      </w:pPr>
      <w:r w:rsidRPr="009F2A1B">
        <w:rPr>
          <w:lang w:val="en-GB"/>
        </w:rPr>
        <w:t xml:space="preserve">Figure </w:t>
      </w:r>
      <w:r w:rsidR="00FA682D">
        <w:rPr>
          <w:lang w:val="en-GB"/>
        </w:rPr>
        <w:t>9</w:t>
      </w:r>
      <w:r w:rsidRPr="009F2A1B">
        <w:rPr>
          <w:lang w:val="en-GB"/>
        </w:rPr>
        <w:t>: Interaction Effect Plot</w:t>
      </w:r>
    </w:p>
    <w:p w14:paraId="3B01FB01" w14:textId="44E6D5E9" w:rsidR="009F2A1B" w:rsidRPr="009F2A1B" w:rsidRDefault="009F2A1B" w:rsidP="009F2A1B">
      <w:pPr>
        <w:bidi w:val="0"/>
        <w:rPr>
          <w:lang w:val="en-GB"/>
        </w:rPr>
      </w:pPr>
      <w:r w:rsidRPr="009F2A1B">
        <w:rPr>
          <w:lang w:val="en-GB"/>
        </w:rPr>
        <w:t xml:space="preserve">Figure </w:t>
      </w:r>
      <w:r w:rsidR="00FA682D">
        <w:rPr>
          <w:lang w:val="en-GB"/>
        </w:rPr>
        <w:t>10</w:t>
      </w:r>
      <w:r w:rsidRPr="009F2A1B">
        <w:rPr>
          <w:lang w:val="en-GB"/>
        </w:rPr>
        <w:t>: Simple Slopes</w:t>
      </w:r>
    </w:p>
    <w:p w14:paraId="431E2FFB" w14:textId="0232562C" w:rsidR="009F2A1B" w:rsidRPr="003D2A76" w:rsidRDefault="009F2A1B" w:rsidP="009F2A1B">
      <w:pPr>
        <w:bidi w:val="0"/>
        <w:rPr>
          <w:lang w:val="en-GB"/>
        </w:rPr>
      </w:pPr>
      <w:r w:rsidRPr="009F2A1B">
        <w:rPr>
          <w:lang w:val="en-GB"/>
        </w:rPr>
        <w:t>Figure 1</w:t>
      </w:r>
      <w:r w:rsidR="00FA682D">
        <w:rPr>
          <w:lang w:val="en-GB"/>
        </w:rPr>
        <w:t>1</w:t>
      </w:r>
      <w:r w:rsidRPr="009F2A1B">
        <w:rPr>
          <w:lang w:val="en-GB"/>
        </w:rPr>
        <w:t>: Moderated Mediation Model</w:t>
      </w:r>
    </w:p>
    <w:p w14:paraId="5C558FE7" w14:textId="77777777" w:rsidR="00E2446F" w:rsidRPr="003D2A76" w:rsidRDefault="00E2446F" w:rsidP="00BD6279">
      <w:pPr>
        <w:pageBreakBefore/>
        <w:bidi w:val="0"/>
        <w:rPr>
          <w:lang w:val="en-GB"/>
        </w:rPr>
      </w:pPr>
    </w:p>
    <w:p w14:paraId="597E72A0" w14:textId="77777777" w:rsidR="00E2446F" w:rsidRPr="003D2A76" w:rsidRDefault="00CB042E" w:rsidP="00BD6279">
      <w:pPr>
        <w:bidi w:val="0"/>
        <w:jc w:val="center"/>
        <w:rPr>
          <w:lang w:val="en-GB"/>
        </w:rPr>
      </w:pPr>
      <w:r w:rsidRPr="003D2A76">
        <w:rPr>
          <w:b/>
          <w:bCs/>
          <w:lang w:val="en-GB"/>
        </w:rPr>
        <w:t>ABSTRACT</w:t>
      </w:r>
    </w:p>
    <w:p w14:paraId="63003891" w14:textId="77777777" w:rsidR="00E2446F" w:rsidRPr="003D2A76" w:rsidRDefault="00E2446F" w:rsidP="00BD6279">
      <w:pPr>
        <w:bidi w:val="0"/>
        <w:rPr>
          <w:lang w:val="en-GB"/>
        </w:rPr>
      </w:pPr>
    </w:p>
    <w:p w14:paraId="1A8707B7" w14:textId="77777777" w:rsidR="00E2446F" w:rsidRPr="003D2A76" w:rsidRDefault="00CB042E" w:rsidP="00BD6279">
      <w:pPr>
        <w:bidi w:val="0"/>
        <w:rPr>
          <w:lang w:val="en-GB"/>
        </w:rPr>
      </w:pPr>
      <w:r w:rsidRPr="003D2A76">
        <w:rPr>
          <w:lang w:val="en-GB"/>
        </w:rPr>
        <w:t>This study examined the impact of artificial intelligence (AI) adoption in private schools on educational service purchase intention among students and parents in Jeddah, Saudi Arabia. The research addressed a critical gap in the literature by investigating how AI integration in teaching and marketing influences purchase intention through the mediating roles of trust and perceived value, and the moderating role of cultural factors.</w:t>
      </w:r>
    </w:p>
    <w:p w14:paraId="493FC6AE" w14:textId="74AB1151" w:rsidR="00E2446F" w:rsidRPr="003D2A76" w:rsidRDefault="00CB042E" w:rsidP="00BD6279">
      <w:pPr>
        <w:bidi w:val="0"/>
        <w:rPr>
          <w:lang w:val="en-GB"/>
        </w:rPr>
      </w:pPr>
      <w:r w:rsidRPr="003D2A76">
        <w:rPr>
          <w:lang w:val="en-GB"/>
        </w:rPr>
        <w:t xml:space="preserve">A quantitative, cross-sectional survey design was employed. Data were collected from 409 respondents, comprising students and parents of private schools in Jeddah, using a structured questionnaire with 31 Likert-scale items measured on a seven-point scale. The sample was </w:t>
      </w:r>
      <w:r w:rsidR="009B0B7E" w:rsidRPr="003D2A76">
        <w:rPr>
          <w:lang w:val="en-GB"/>
        </w:rPr>
        <w:t>derived using</w:t>
      </w:r>
      <w:r w:rsidRPr="003D2A76">
        <w:rPr>
          <w:lang w:val="en-GB"/>
        </w:rPr>
        <w:t xml:space="preserve"> convenience sampling. Data analysis was conducted using the PROCESS macro by Hayes (Models 1, 4, 6, and 7) for mediation and moderation testing, supported by exploratory factor analysis and confirmatory factor analysis for instrument validation.</w:t>
      </w:r>
    </w:p>
    <w:p w14:paraId="2EB5DAD4" w14:textId="61C449BC" w:rsidR="00E2446F" w:rsidRPr="003D2A76" w:rsidRDefault="00CB042E" w:rsidP="00BD6279">
      <w:pPr>
        <w:bidi w:val="0"/>
        <w:rPr>
          <w:lang w:val="en-GB"/>
        </w:rPr>
      </w:pPr>
      <w:r w:rsidRPr="003D2A76">
        <w:rPr>
          <w:lang w:val="en-GB"/>
        </w:rPr>
        <w:t xml:space="preserve">The results revealed that </w:t>
      </w:r>
      <w:r w:rsidR="009B0B7E" w:rsidRPr="003D2A76">
        <w:rPr>
          <w:lang w:val="en-GB"/>
        </w:rPr>
        <w:t xml:space="preserve">both </w:t>
      </w:r>
      <w:r w:rsidRPr="003D2A76">
        <w:rPr>
          <w:lang w:val="en-GB"/>
        </w:rPr>
        <w:t>AI adoption in teaching and AI-driven marketing had significant positive effects on perceived service quality. Trust in AI and the school mediated the relationship between AI adoption and purchase intention, as did perceived value. Cultural factors, including family values, religious orientation, and gender preferences, moderated the relationship between AI adoption and purchase intention. The serial mediation pathway from AI adoption through service quality, trust, perceived value, and ultimately purchase intention was also significant.</w:t>
      </w:r>
    </w:p>
    <w:p w14:paraId="1198B3C9" w14:textId="424D8E22" w:rsidR="00E2446F" w:rsidRPr="003D2A76" w:rsidRDefault="00CB042E" w:rsidP="00BD6279">
      <w:pPr>
        <w:bidi w:val="0"/>
        <w:rPr>
          <w:lang w:val="en-GB"/>
        </w:rPr>
      </w:pPr>
      <w:r w:rsidRPr="003D2A76">
        <w:rPr>
          <w:lang w:val="en-GB"/>
        </w:rPr>
        <w:lastRenderedPageBreak/>
        <w:t>The findings contribute to the theoretical understanding of AI adoption in education by extending the Technology Acceptance Model and the Unified Theory of Acceptance and Use of Technology into the private school context. Practically, the study provides evidence-based recommendations for private</w:t>
      </w:r>
      <w:r w:rsidR="009B0B7E" w:rsidRPr="003D2A76">
        <w:rPr>
          <w:lang w:val="en-GB"/>
        </w:rPr>
        <w:t>-</w:t>
      </w:r>
      <w:r w:rsidRPr="003D2A76">
        <w:rPr>
          <w:lang w:val="en-GB"/>
        </w:rPr>
        <w:t>school administrators and policymakers in Saudi Arabia regarding the strategic deployment of AI technologies to enhance educational services and influence parental and student purchase decisions.</w:t>
      </w:r>
    </w:p>
    <w:p w14:paraId="2A35E569" w14:textId="77777777" w:rsidR="00E2446F" w:rsidRPr="003D2A76" w:rsidRDefault="00E2446F" w:rsidP="00BD6279">
      <w:pPr>
        <w:bidi w:val="0"/>
        <w:rPr>
          <w:lang w:val="en-GB"/>
        </w:rPr>
      </w:pPr>
    </w:p>
    <w:p w14:paraId="70AEBA3E" w14:textId="77777777" w:rsidR="00E2446F" w:rsidRPr="003D2A76" w:rsidRDefault="00CB042E" w:rsidP="00BD6279">
      <w:pPr>
        <w:bidi w:val="0"/>
        <w:rPr>
          <w:lang w:val="en-GB"/>
        </w:rPr>
        <w:sectPr w:rsidR="00E2446F" w:rsidRPr="003D2A76">
          <w:headerReference w:type="default" r:id="rId10"/>
          <w:headerReference w:type="first" r:id="rId11"/>
          <w:pgSz w:w="12240" w:h="15840"/>
          <w:pgMar w:top="1440" w:right="1440" w:bottom="1440" w:left="2160" w:header="720" w:footer="720" w:gutter="0"/>
          <w:pgNumType w:fmt="lowerRoman"/>
          <w:cols w:space="720"/>
          <w:titlePg/>
        </w:sectPr>
      </w:pPr>
      <w:r w:rsidRPr="003D2A76">
        <w:rPr>
          <w:i/>
          <w:iCs/>
          <w:lang w:val="en-GB"/>
        </w:rPr>
        <w:t>Keywords: artificial intelligence, private schools, purchase intention, trust, perceived value, cultural factors, Saudi Arabia, PROCESS macro</w:t>
      </w:r>
    </w:p>
    <w:p w14:paraId="7A2BD933" w14:textId="77777777" w:rsidR="00885F3C" w:rsidRPr="003D2A76" w:rsidRDefault="00885F3C" w:rsidP="00BD6279">
      <w:pPr>
        <w:pStyle w:val="Heading1"/>
        <w:rPr>
          <w:lang w:val="en-GB"/>
        </w:rPr>
      </w:pPr>
      <w:bookmarkStart w:id="0" w:name="_Toc228056548"/>
      <w:r w:rsidRPr="003D2A76">
        <w:rPr>
          <w:rFonts w:ascii="Times New Roman" w:hAnsi="Times New Roman" w:cs="Times New Roman"/>
          <w:lang w:val="en-GB"/>
        </w:rPr>
        <w:lastRenderedPageBreak/>
        <w:t>CHAPTER 1</w:t>
      </w:r>
      <w:bookmarkEnd w:id="0"/>
    </w:p>
    <w:p w14:paraId="7F388351" w14:textId="77777777" w:rsidR="00E2446F" w:rsidRPr="003D2A76" w:rsidRDefault="00CB042E" w:rsidP="00BD6279">
      <w:pPr>
        <w:bidi w:val="0"/>
        <w:jc w:val="center"/>
        <w:rPr>
          <w:lang w:val="en-GB"/>
        </w:rPr>
      </w:pPr>
      <w:r w:rsidRPr="003D2A76">
        <w:rPr>
          <w:b/>
          <w:bCs/>
          <w:lang w:val="en-GB"/>
        </w:rPr>
        <w:t>INTRODUCTION</w:t>
      </w:r>
    </w:p>
    <w:p w14:paraId="3612BC21" w14:textId="77777777" w:rsidR="00885F3C" w:rsidRPr="003D2A76" w:rsidRDefault="00885F3C" w:rsidP="00BD6279">
      <w:pPr>
        <w:pStyle w:val="Heading2"/>
        <w:rPr>
          <w:lang w:val="en-GB"/>
        </w:rPr>
      </w:pPr>
      <w:bookmarkStart w:id="1" w:name="_Toc228056549"/>
      <w:r w:rsidRPr="003D2A76">
        <w:rPr>
          <w:rFonts w:ascii="Times New Roman" w:hAnsi="Times New Roman" w:cs="Times New Roman"/>
          <w:lang w:val="en-GB"/>
        </w:rPr>
        <w:t>1.1 Introduction and Background</w:t>
      </w:r>
      <w:bookmarkEnd w:id="1"/>
    </w:p>
    <w:p w14:paraId="07C801A7" w14:textId="59DD37A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With its application to K-12 operations in private schools, the adoption and active development of artificial intelligence (AI) in schools </w:t>
      </w:r>
      <w:r w:rsidR="00886E4F" w:rsidRPr="003D2A76">
        <w:rPr>
          <w:rFonts w:asciiTheme="majorBidi" w:hAnsiTheme="majorBidi" w:cstheme="majorBidi"/>
          <w:lang w:val="en-GB"/>
        </w:rPr>
        <w:t xml:space="preserve">have </w:t>
      </w:r>
      <w:r w:rsidRPr="003D2A76">
        <w:rPr>
          <w:rFonts w:asciiTheme="majorBidi" w:hAnsiTheme="majorBidi" w:cstheme="majorBidi"/>
          <w:lang w:val="en-GB"/>
        </w:rPr>
        <w:t xml:space="preserve">shifted </w:t>
      </w:r>
      <w:r w:rsidR="00886E4F" w:rsidRPr="003D2A76">
        <w:rPr>
          <w:rFonts w:asciiTheme="majorBidi" w:hAnsiTheme="majorBidi" w:cstheme="majorBidi"/>
          <w:lang w:val="en-GB"/>
        </w:rPr>
        <w:t>over the last</w:t>
      </w:r>
      <w:r w:rsidRPr="003D2A76">
        <w:rPr>
          <w:rFonts w:asciiTheme="majorBidi" w:hAnsiTheme="majorBidi" w:cstheme="majorBidi"/>
          <w:lang w:val="en-GB"/>
        </w:rPr>
        <w:t xml:space="preserve"> few years, </w:t>
      </w:r>
      <w:r w:rsidR="005B0E5B">
        <w:rPr>
          <w:rFonts w:asciiTheme="majorBidi" w:hAnsiTheme="majorBidi" w:cstheme="majorBidi"/>
          <w:lang w:val="en-GB"/>
        </w:rPr>
        <w:t>from</w:t>
      </w:r>
      <w:r w:rsidR="00886E4F" w:rsidRPr="003D2A76">
        <w:rPr>
          <w:rFonts w:asciiTheme="majorBidi" w:hAnsiTheme="majorBidi" w:cstheme="majorBidi"/>
          <w:lang w:val="en-GB"/>
        </w:rPr>
        <w:t xml:space="preserve"> being </w:t>
      </w:r>
      <w:r w:rsidRPr="003D2A76">
        <w:rPr>
          <w:rFonts w:asciiTheme="majorBidi" w:hAnsiTheme="majorBidi" w:cstheme="majorBidi"/>
          <w:lang w:val="en-GB"/>
        </w:rPr>
        <w:t xml:space="preserve">a peripheral novelty to </w:t>
      </w:r>
      <w:r w:rsidR="00886E4F" w:rsidRPr="003D2A76">
        <w:rPr>
          <w:rFonts w:asciiTheme="majorBidi" w:hAnsiTheme="majorBidi" w:cstheme="majorBidi"/>
          <w:lang w:val="en-GB"/>
        </w:rPr>
        <w:t xml:space="preserve">being at </w:t>
      </w:r>
      <w:r w:rsidRPr="003D2A76">
        <w:rPr>
          <w:rFonts w:asciiTheme="majorBidi" w:hAnsiTheme="majorBidi" w:cstheme="majorBidi"/>
          <w:lang w:val="en-GB"/>
        </w:rPr>
        <w:t xml:space="preserve">the core of the marketing, differentiation, and eventual selection of schools by families. </w:t>
      </w:r>
      <w:r w:rsidR="00886E4F" w:rsidRPr="003D2A76">
        <w:rPr>
          <w:rFonts w:asciiTheme="majorBidi" w:hAnsiTheme="majorBidi" w:cstheme="majorBidi"/>
          <w:lang w:val="en-GB"/>
        </w:rPr>
        <w:t>M</w:t>
      </w:r>
      <w:r w:rsidRPr="003D2A76">
        <w:rPr>
          <w:rFonts w:asciiTheme="majorBidi" w:hAnsiTheme="majorBidi" w:cstheme="majorBidi"/>
          <w:lang w:val="en-GB"/>
        </w:rPr>
        <w:t>ultiple intersecting pressures have led to this shift: the fast proliferation of AI tools to create personalised learning post-2022</w:t>
      </w:r>
      <w:r w:rsidR="00886E4F" w:rsidRPr="003D2A76">
        <w:rPr>
          <w:rFonts w:asciiTheme="majorBidi" w:hAnsiTheme="majorBidi" w:cstheme="majorBidi"/>
          <w:lang w:val="en-GB"/>
        </w:rPr>
        <w:t>;</w:t>
      </w:r>
      <w:r w:rsidRPr="003D2A76">
        <w:rPr>
          <w:rFonts w:asciiTheme="majorBidi" w:hAnsiTheme="majorBidi" w:cstheme="majorBidi"/>
          <w:lang w:val="en-GB"/>
        </w:rPr>
        <w:t xml:space="preserve"> increasing demand for private schools to compete in urban markets, and national policy agendas identifying AI as the engine of economic and educational change. The Kingdom of Saudi Arabia is </w:t>
      </w:r>
      <w:r w:rsidR="00886E4F" w:rsidRPr="003D2A76">
        <w:rPr>
          <w:rFonts w:asciiTheme="majorBidi" w:hAnsiTheme="majorBidi" w:cstheme="majorBidi"/>
          <w:lang w:val="en-GB"/>
        </w:rPr>
        <w:t xml:space="preserve">at </w:t>
      </w:r>
      <w:r w:rsidRPr="003D2A76">
        <w:rPr>
          <w:rFonts w:asciiTheme="majorBidi" w:hAnsiTheme="majorBidi" w:cstheme="majorBidi"/>
          <w:lang w:val="en-GB"/>
        </w:rPr>
        <w:t xml:space="preserve">the centre of the convergence of these forces in a specific manner. Digitisation of education has been declared a priority in Vision 2030, and the private-school sector in large cities (particularly Jeddah) is growing in volume and in its readiness to invest in AI-enabled administrative, pedagogical, and marketing solutions. It is </w:t>
      </w:r>
      <w:r w:rsidR="005B0E5B">
        <w:rPr>
          <w:rFonts w:asciiTheme="majorBidi" w:hAnsiTheme="majorBidi" w:cstheme="majorBidi"/>
          <w:lang w:val="en-GB"/>
        </w:rPr>
        <w:t>based on</w:t>
      </w:r>
      <w:r w:rsidRPr="003D2A76">
        <w:rPr>
          <w:rFonts w:asciiTheme="majorBidi" w:hAnsiTheme="majorBidi" w:cstheme="majorBidi"/>
          <w:lang w:val="en-GB"/>
        </w:rPr>
        <w:t xml:space="preserve"> this that the current study seeks to explore the influence of the adoption of AI in private schools on the intent to purchase </w:t>
      </w:r>
      <w:r w:rsidR="00886E4F" w:rsidRPr="003D2A76">
        <w:rPr>
          <w:rFonts w:asciiTheme="majorBidi" w:hAnsiTheme="majorBidi" w:cstheme="majorBidi"/>
          <w:lang w:val="en-GB"/>
        </w:rPr>
        <w:t>among</w:t>
      </w:r>
      <w:r w:rsidRPr="003D2A76">
        <w:rPr>
          <w:rFonts w:asciiTheme="majorBidi" w:hAnsiTheme="majorBidi" w:cstheme="majorBidi"/>
          <w:lang w:val="en-GB"/>
        </w:rPr>
        <w:t xml:space="preserve"> parents who have been pondering enrolling their children in such schools.</w:t>
      </w:r>
    </w:p>
    <w:p w14:paraId="1EF417F8" w14:textId="0EDF14D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research builds upon an extensive intellectual tradition in information systems and services marketing. The original Technology Acceptance Model </w:t>
      </w:r>
      <w:r w:rsidR="00453C89" w:rsidRPr="003D2A76">
        <w:rPr>
          <w:rFonts w:asciiTheme="majorBidi" w:hAnsiTheme="majorBidi" w:cstheme="majorBidi"/>
          <w:lang w:val="en-GB"/>
        </w:rPr>
        <w:t xml:space="preserve">(TAM) </w:t>
      </w:r>
      <w:r w:rsidRPr="003D2A76">
        <w:rPr>
          <w:rFonts w:asciiTheme="majorBidi" w:hAnsiTheme="majorBidi" w:cstheme="majorBidi"/>
          <w:lang w:val="en-GB"/>
        </w:rPr>
        <w:t xml:space="preserve">developed by Davis (1989) made perceived usefulness and perceived ease of use the two proximal factors of technology acceptance by individuals, and this model was successfully developed into the Unified Theory of Acceptance and Use of Technology (Venkatesh et al., 2003) and TAM3 (Venkatesh and Bala, 2008) to add social, organisational and </w:t>
      </w:r>
      <w:r w:rsidRPr="003D2A76">
        <w:rPr>
          <w:rFonts w:asciiTheme="majorBidi" w:hAnsiTheme="majorBidi" w:cstheme="majorBidi"/>
          <w:lang w:val="en-GB"/>
        </w:rPr>
        <w:lastRenderedPageBreak/>
        <w:t>individual-difference variables. Parallel to this, the marketing tradition of the services sector has created SERVQUAL (Parasuraman et al., 1988), which is the operationalised version of service quality (using a five-dimensional basis: tangibles, reliability, responsiveness, assurance, and empathy) and provided a scale used to quantify service quality that has since been adjusted in education, healthcare, hospitality and government services. A third stream, the Theory of Planned Behaviour</w:t>
      </w:r>
      <w:r w:rsidR="00453C89" w:rsidRPr="003D2A76">
        <w:rPr>
          <w:rFonts w:asciiTheme="majorBidi" w:hAnsiTheme="majorBidi" w:cstheme="majorBidi"/>
          <w:lang w:val="en-GB"/>
        </w:rPr>
        <w:t xml:space="preserve"> (TPB)</w:t>
      </w:r>
      <w:r w:rsidRPr="003D2A76">
        <w:rPr>
          <w:rFonts w:asciiTheme="majorBidi" w:hAnsiTheme="majorBidi" w:cstheme="majorBidi"/>
          <w:lang w:val="en-GB"/>
        </w:rPr>
        <w:t xml:space="preserve"> (Ajzen, 1991), predicts such psychological antecedents of intention as attitudes, subjective norms, and perceived behavioural control. Another stream, based on consumer behaviour, defined the perceived value as a multidimensional concept joining functional, emotional, social and monetary dimensions (Zeithaml, 1988; Sweeney and Soutar, 2001). Combined, these four traditions provide a theoretical framework around a study of AI adoption in education: TAM describes how parents evaluate the usability of the AI-enabled services; SERVQUAL </w:t>
      </w:r>
      <w:r w:rsidR="00453C89" w:rsidRPr="003D2A76">
        <w:rPr>
          <w:rFonts w:asciiTheme="majorBidi" w:hAnsiTheme="majorBidi" w:cstheme="majorBidi"/>
          <w:lang w:val="en-GB"/>
        </w:rPr>
        <w:t xml:space="preserve">explains </w:t>
      </w:r>
      <w:r w:rsidRPr="003D2A76">
        <w:rPr>
          <w:rFonts w:asciiTheme="majorBidi" w:hAnsiTheme="majorBidi" w:cstheme="majorBidi"/>
          <w:lang w:val="en-GB"/>
        </w:rPr>
        <w:t>how they evaluate the quality of those services; TPB states how attitude is converted to intention; and perceived-value theory states why they are willing to purchase the overall bundle.</w:t>
      </w:r>
    </w:p>
    <w:p w14:paraId="154856B2" w14:textId="78E6953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implications of AI in education are beginning to be documented in recent empirical work to include the pedagogical, administrative, and marketing implications. Synthesising the first wave of research on AI in higher education, Zawacki-Richter et al. (2019) identified a heavy focus on and use of predictive analytics, profiling, and intelligent tutoring systems, but also </w:t>
      </w:r>
      <w:r w:rsidR="00453C89" w:rsidRPr="003D2A76">
        <w:rPr>
          <w:rFonts w:asciiTheme="majorBidi" w:hAnsiTheme="majorBidi" w:cstheme="majorBidi"/>
          <w:lang w:val="en-GB"/>
        </w:rPr>
        <w:t xml:space="preserve">a </w:t>
      </w:r>
      <w:r w:rsidRPr="003D2A76">
        <w:rPr>
          <w:rFonts w:asciiTheme="majorBidi" w:hAnsiTheme="majorBidi" w:cstheme="majorBidi"/>
          <w:lang w:val="en-GB"/>
        </w:rPr>
        <w:t xml:space="preserve">remarkable lack of voices of educators in the design of such systems. This systematic mapping was further expanded by Crompton and Burke (2023) to the post-2020 time range and reported a significant diversification of AI use in curriculum design, assessment and student support. A key finding of one of the </w:t>
      </w:r>
      <w:r w:rsidRPr="003D2A76">
        <w:rPr>
          <w:rFonts w:asciiTheme="majorBidi" w:hAnsiTheme="majorBidi" w:cstheme="majorBidi"/>
          <w:lang w:val="en-GB"/>
        </w:rPr>
        <w:lastRenderedPageBreak/>
        <w:t>first organised case studies of ChatGPT in education (Tlili et al., 2023) was that generative AI has a twofold nature; on the one hand, it can act as a pedagogical copilot that deepens learner engagement; on the other hand, its outputs have the potential to disrupt the teaching process when used thoughtlessly. Beyond the classroom, Davenport et al. (2019) claimed that AI would completely reorganise the marketing process by shifting it to a conversational, data-intensive, predictive form and</w:t>
      </w:r>
      <w:r w:rsidR="00453C89" w:rsidRPr="003D2A76">
        <w:rPr>
          <w:rFonts w:asciiTheme="majorBidi" w:hAnsiTheme="majorBidi" w:cstheme="majorBidi"/>
          <w:lang w:val="en-GB"/>
        </w:rPr>
        <w:t>,</w:t>
      </w:r>
      <w:r w:rsidRPr="003D2A76">
        <w:rPr>
          <w:rFonts w:asciiTheme="majorBidi" w:hAnsiTheme="majorBidi" w:cstheme="majorBidi"/>
          <w:lang w:val="en-GB"/>
        </w:rPr>
        <w:t xml:space="preserve"> according to Dwivedi et al. (2019, 2023), the multidisciplinary extension of AI and, more recently, large language models to organisations, including educational ones. These texts define AI adoption as a technology question (acceptance, usability), a service question (quality, reliability, empathy), and a market question (positioning, differentiation, and intention to purchase).</w:t>
      </w:r>
    </w:p>
    <w:p w14:paraId="133296BA" w14:textId="0849467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Although this framework is rich in conceptual and empirical support, systematic consideration of how the adoption of AI by private schools influences the purchase intention of parents has hitherto </w:t>
      </w:r>
      <w:r w:rsidR="00453C89" w:rsidRPr="003D2A76">
        <w:rPr>
          <w:rFonts w:asciiTheme="majorBidi" w:hAnsiTheme="majorBidi" w:cstheme="majorBidi"/>
          <w:lang w:val="en-GB"/>
        </w:rPr>
        <w:t xml:space="preserve">rarely </w:t>
      </w:r>
      <w:r w:rsidRPr="003D2A76">
        <w:rPr>
          <w:rFonts w:asciiTheme="majorBidi" w:hAnsiTheme="majorBidi" w:cstheme="majorBidi"/>
          <w:lang w:val="en-GB"/>
        </w:rPr>
        <w:t xml:space="preserve">been examined, especially in emerging markets where the decision-making processes are family-based and where digital transformation is changing rapidly. The literature on AI in education has focused on higher education in the Gulf Cooperation Council (GCC) region and Saudi Arabia, in particular, or on the approval of teachers. </w:t>
      </w:r>
      <w:r w:rsidR="00453C89" w:rsidRPr="003D2A76">
        <w:rPr>
          <w:rFonts w:asciiTheme="majorBidi" w:hAnsiTheme="majorBidi" w:cstheme="majorBidi"/>
          <w:lang w:val="en-GB"/>
        </w:rPr>
        <w:t>T</w:t>
      </w:r>
      <w:r w:rsidRPr="003D2A76">
        <w:rPr>
          <w:rFonts w:asciiTheme="majorBidi" w:hAnsiTheme="majorBidi" w:cstheme="majorBidi"/>
          <w:lang w:val="en-GB"/>
        </w:rPr>
        <w:t xml:space="preserve">he decision architecture that would determine the purchase of private K-12 </w:t>
      </w:r>
      <w:r w:rsidR="005B0E5B">
        <w:rPr>
          <w:rFonts w:asciiTheme="majorBidi" w:hAnsiTheme="majorBidi" w:cstheme="majorBidi"/>
          <w:lang w:val="en-GB"/>
        </w:rPr>
        <w:t xml:space="preserve">(Secondary Stage) </w:t>
      </w:r>
      <w:r w:rsidRPr="003D2A76">
        <w:rPr>
          <w:rFonts w:asciiTheme="majorBidi" w:hAnsiTheme="majorBidi" w:cstheme="majorBidi"/>
          <w:lang w:val="en-GB"/>
        </w:rPr>
        <w:t>education, where parents would evaluate how the school utilises AI, make judgements about the quality of services and trust thereof, and calculate a perceived value and come to an intention to enrol or switch</w:t>
      </w:r>
      <w:r w:rsidR="00453C89" w:rsidRPr="003D2A76">
        <w:rPr>
          <w:rFonts w:asciiTheme="majorBidi" w:hAnsiTheme="majorBidi" w:cstheme="majorBidi"/>
          <w:lang w:val="en-GB"/>
        </w:rPr>
        <w:t xml:space="preserve"> has not been modelled with similar rigour</w:t>
      </w:r>
      <w:r w:rsidRPr="003D2A76">
        <w:rPr>
          <w:rFonts w:asciiTheme="majorBidi" w:hAnsiTheme="majorBidi" w:cstheme="majorBidi"/>
          <w:lang w:val="en-GB"/>
        </w:rPr>
        <w:t xml:space="preserve">. The current research bridges this research gap by analysing the private </w:t>
      </w:r>
      <w:r w:rsidRPr="003D2A76">
        <w:rPr>
          <w:rFonts w:asciiTheme="majorBidi" w:hAnsiTheme="majorBidi" w:cstheme="majorBidi"/>
          <w:lang w:val="en-GB"/>
        </w:rPr>
        <w:lastRenderedPageBreak/>
        <w:t xml:space="preserve">school market </w:t>
      </w:r>
      <w:r w:rsidR="00453C89" w:rsidRPr="003D2A76">
        <w:rPr>
          <w:rFonts w:asciiTheme="majorBidi" w:hAnsiTheme="majorBidi" w:cstheme="majorBidi"/>
          <w:lang w:val="en-GB"/>
        </w:rPr>
        <w:t xml:space="preserve">in </w:t>
      </w:r>
      <w:r w:rsidRPr="003D2A76">
        <w:rPr>
          <w:rFonts w:asciiTheme="majorBidi" w:hAnsiTheme="majorBidi" w:cstheme="majorBidi"/>
          <w:lang w:val="en-GB"/>
        </w:rPr>
        <w:t>Jeddah, one of the most vibrant urban education ecosystems in the Kingdom, in a quantitative, theory-driven manner.</w:t>
      </w:r>
    </w:p>
    <w:p w14:paraId="16CD098E" w14:textId="77777777" w:rsidR="00885F3C" w:rsidRPr="003D2A76" w:rsidRDefault="00885F3C" w:rsidP="00BD6279">
      <w:pPr>
        <w:pStyle w:val="Heading2"/>
        <w:rPr>
          <w:lang w:val="en-GB"/>
        </w:rPr>
      </w:pPr>
      <w:bookmarkStart w:id="2" w:name="_Toc228056550"/>
      <w:r w:rsidRPr="003D2A76">
        <w:rPr>
          <w:rFonts w:ascii="Times New Roman" w:hAnsi="Times New Roman" w:cs="Times New Roman"/>
          <w:lang w:val="en-GB"/>
        </w:rPr>
        <w:t>1.2 Problem Statement</w:t>
      </w:r>
      <w:bookmarkEnd w:id="2"/>
    </w:p>
    <w:p w14:paraId="52F457F7" w14:textId="4851D99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Jeddah and other schools in the Kingdom, as do the private schools, now exist in a market where AI has </w:t>
      </w:r>
      <w:r w:rsidR="00453C89" w:rsidRPr="003D2A76">
        <w:rPr>
          <w:rFonts w:asciiTheme="majorBidi" w:hAnsiTheme="majorBidi" w:cstheme="majorBidi"/>
          <w:lang w:val="en-GB"/>
        </w:rPr>
        <w:t xml:space="preserve">become </w:t>
      </w:r>
      <w:r w:rsidRPr="003D2A76">
        <w:rPr>
          <w:rFonts w:asciiTheme="majorBidi" w:hAnsiTheme="majorBidi" w:cstheme="majorBidi"/>
          <w:lang w:val="en-GB"/>
        </w:rPr>
        <w:t xml:space="preserve">not only a means of operation but also of modernity. Schools use AI for three general purposes: pedagogical (adaptive learning, automated feedback, AI tutoring), administrative (registration, scheduling, communication with parents, predictive retention), and marketing (personalised recruitment journeys, chatbots </w:t>
      </w:r>
      <w:r w:rsidR="00453C89" w:rsidRPr="003D2A76">
        <w:rPr>
          <w:rFonts w:asciiTheme="majorBidi" w:hAnsiTheme="majorBidi" w:cstheme="majorBidi"/>
          <w:lang w:val="en-GB"/>
        </w:rPr>
        <w:t xml:space="preserve">for </w:t>
      </w:r>
      <w:r w:rsidRPr="003D2A76">
        <w:rPr>
          <w:rFonts w:asciiTheme="majorBidi" w:hAnsiTheme="majorBidi" w:cstheme="majorBidi"/>
          <w:lang w:val="en-GB"/>
        </w:rPr>
        <w:t>admissions, targeted advertising). Parents</w:t>
      </w:r>
      <w:r w:rsidR="00453C89" w:rsidRPr="003D2A76">
        <w:rPr>
          <w:rFonts w:asciiTheme="majorBidi" w:hAnsiTheme="majorBidi" w:cstheme="majorBidi"/>
          <w:lang w:val="en-GB"/>
        </w:rPr>
        <w:t>,</w:t>
      </w:r>
      <w:r w:rsidRPr="003D2A76">
        <w:rPr>
          <w:rFonts w:asciiTheme="majorBidi" w:hAnsiTheme="majorBidi" w:cstheme="majorBidi"/>
          <w:lang w:val="en-GB"/>
        </w:rPr>
        <w:t xml:space="preserve"> </w:t>
      </w:r>
      <w:r w:rsidR="00453C89" w:rsidRPr="003D2A76">
        <w:rPr>
          <w:rFonts w:asciiTheme="majorBidi" w:hAnsiTheme="majorBidi" w:cstheme="majorBidi"/>
          <w:lang w:val="en-GB"/>
        </w:rPr>
        <w:t>meanwhile,</w:t>
      </w:r>
      <w:r w:rsidRPr="003D2A76">
        <w:rPr>
          <w:rFonts w:asciiTheme="majorBidi" w:hAnsiTheme="majorBidi" w:cstheme="majorBidi"/>
          <w:lang w:val="en-GB"/>
        </w:rPr>
        <w:t xml:space="preserve"> are exposed to a saturated information landscape where the words of schools talking about AI compete with peer narratives, media reporting, religious and cultural judgements about AI, and an unbalanced national discourse of the safety and desirability of AI with children. The empirical implication is that two schools that have objectively similar academic performance can generate very dissimilar enrolment patterns based on their use of AI, whether it seems credible to parents, and their consistency with family values.</w:t>
      </w:r>
    </w:p>
    <w:p w14:paraId="02DF6E3C" w14:textId="3B6DC732"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From a research perspective, this condition brings to the fore an issue that is not mere</w:t>
      </w:r>
      <w:r w:rsidR="00453C89" w:rsidRPr="003D2A76">
        <w:rPr>
          <w:rFonts w:asciiTheme="majorBidi" w:hAnsiTheme="majorBidi" w:cstheme="majorBidi"/>
          <w:lang w:val="en-GB"/>
        </w:rPr>
        <w:t>ly and</w:t>
      </w:r>
      <w:r w:rsidRPr="003D2A76">
        <w:rPr>
          <w:rFonts w:asciiTheme="majorBidi" w:hAnsiTheme="majorBidi" w:cstheme="majorBidi"/>
          <w:lang w:val="en-GB"/>
        </w:rPr>
        <w:t xml:space="preserve"> applied issue but a problem instead. The current literature tends to consider AI adoption, service quality, trust, perceived value, and purchase intention more as distinct constructs, which are conceptualised in initially different lineages of theory and analysed in different empirical traditions. Research into the use of AI in education focuses on teachers and students, but not on parents (Zawacki-Richter et al., 2019; Crompton and Burke, 2023). Scholarly research on service quality uses SERVQUAL or modified versions to assess the quality of institutions but seldom uses </w:t>
      </w:r>
      <w:r w:rsidR="005B0E5B">
        <w:rPr>
          <w:rFonts w:asciiTheme="majorBidi" w:hAnsiTheme="majorBidi" w:cstheme="majorBidi"/>
          <w:lang w:val="en-GB"/>
        </w:rPr>
        <w:t>technology-oriented</w:t>
      </w:r>
      <w:r w:rsidRPr="003D2A76">
        <w:rPr>
          <w:rFonts w:asciiTheme="majorBidi" w:hAnsiTheme="majorBidi" w:cstheme="majorBidi"/>
          <w:lang w:val="en-GB"/>
        </w:rPr>
        <w:t xml:space="preserve"> </w:t>
      </w:r>
      <w:r w:rsidRPr="003D2A76">
        <w:rPr>
          <w:rFonts w:asciiTheme="majorBidi" w:hAnsiTheme="majorBidi" w:cstheme="majorBidi"/>
          <w:lang w:val="en-GB"/>
        </w:rPr>
        <w:lastRenderedPageBreak/>
        <w:t xml:space="preserve">dimensions (Parasuraman et al., 1988). The research on trust in AI questions the willingness of the user to trust automated decision-making but is </w:t>
      </w:r>
      <w:r w:rsidR="005B0E5B">
        <w:rPr>
          <w:rFonts w:asciiTheme="majorBidi" w:hAnsiTheme="majorBidi" w:cstheme="majorBidi"/>
          <w:lang w:val="en-GB"/>
        </w:rPr>
        <w:t>preponderant</w:t>
      </w:r>
      <w:r w:rsidRPr="003D2A76">
        <w:rPr>
          <w:rFonts w:asciiTheme="majorBidi" w:hAnsiTheme="majorBidi" w:cstheme="majorBidi"/>
          <w:lang w:val="en-GB"/>
        </w:rPr>
        <w:t xml:space="preserve"> in the healthcare, finance, and public administration settings. Surveys on perceived value in education argue about tuition-price elasticity and results but seldom present the </w:t>
      </w:r>
      <w:r w:rsidR="00453C89" w:rsidRPr="003D2A76">
        <w:rPr>
          <w:rFonts w:asciiTheme="majorBidi" w:hAnsiTheme="majorBidi" w:cstheme="majorBidi"/>
          <w:lang w:val="en-GB"/>
        </w:rPr>
        <w:t xml:space="preserve">added </w:t>
      </w:r>
      <w:r w:rsidRPr="003D2A76">
        <w:rPr>
          <w:rFonts w:asciiTheme="majorBidi" w:hAnsiTheme="majorBidi" w:cstheme="majorBidi"/>
          <w:lang w:val="en-GB"/>
        </w:rPr>
        <w:t xml:space="preserve">value of AI-enabled features. </w:t>
      </w:r>
      <w:r w:rsidR="00453C89" w:rsidRPr="003D2A76">
        <w:rPr>
          <w:rFonts w:asciiTheme="majorBidi" w:hAnsiTheme="majorBidi" w:cstheme="majorBidi"/>
          <w:lang w:val="en-GB"/>
        </w:rPr>
        <w:t xml:space="preserve">The literature </w:t>
      </w:r>
      <w:r w:rsidRPr="003D2A76">
        <w:rPr>
          <w:rFonts w:asciiTheme="majorBidi" w:hAnsiTheme="majorBidi" w:cstheme="majorBidi"/>
          <w:lang w:val="en-GB"/>
        </w:rPr>
        <w:t xml:space="preserve">on purchase intent in school choice </w:t>
      </w:r>
      <w:r w:rsidR="00453C89" w:rsidRPr="003D2A76">
        <w:rPr>
          <w:rFonts w:asciiTheme="majorBidi" w:hAnsiTheme="majorBidi" w:cstheme="majorBidi"/>
          <w:lang w:val="en-GB"/>
        </w:rPr>
        <w:t>bases its conclusions</w:t>
      </w:r>
      <w:r w:rsidRPr="003D2A76">
        <w:rPr>
          <w:rFonts w:asciiTheme="majorBidi" w:hAnsiTheme="majorBidi" w:cstheme="majorBidi"/>
          <w:lang w:val="en-GB"/>
        </w:rPr>
        <w:t xml:space="preserve"> on the </w:t>
      </w:r>
      <w:r w:rsidR="00453C89" w:rsidRPr="003D2A76">
        <w:rPr>
          <w:rFonts w:asciiTheme="majorBidi" w:hAnsiTheme="majorBidi" w:cstheme="majorBidi"/>
          <w:lang w:val="en-GB"/>
        </w:rPr>
        <w:t>TPB</w:t>
      </w:r>
      <w:r w:rsidRPr="003D2A76">
        <w:rPr>
          <w:rFonts w:asciiTheme="majorBidi" w:hAnsiTheme="majorBidi" w:cstheme="majorBidi"/>
          <w:lang w:val="en-GB"/>
        </w:rPr>
        <w:t xml:space="preserve"> (Ajzen, 1991) as well as arguments based on cultural fit but has never, so far, incorporated AI adoption as an antecedent. This leads to the disintegration of fragmentation such that decision-makers</w:t>
      </w:r>
      <w:r w:rsidR="005B0E5B">
        <w:rPr>
          <w:rFonts w:asciiTheme="majorBidi" w:hAnsiTheme="majorBidi" w:cstheme="majorBidi"/>
          <w:lang w:val="en-GB"/>
        </w:rPr>
        <w:t>,</w:t>
      </w:r>
      <w:r w:rsidRPr="003D2A76">
        <w:rPr>
          <w:rFonts w:asciiTheme="majorBidi" w:hAnsiTheme="majorBidi" w:cstheme="majorBidi"/>
          <w:lang w:val="en-GB"/>
        </w:rPr>
        <w:t xml:space="preserve"> both school leaders and policymakers</w:t>
      </w:r>
      <w:r w:rsidR="005B0E5B">
        <w:rPr>
          <w:rFonts w:asciiTheme="majorBidi" w:hAnsiTheme="majorBidi" w:cstheme="majorBidi"/>
          <w:lang w:val="en-GB"/>
        </w:rPr>
        <w:t>,</w:t>
      </w:r>
      <w:r w:rsidRPr="003D2A76">
        <w:rPr>
          <w:rFonts w:asciiTheme="majorBidi" w:hAnsiTheme="majorBidi" w:cstheme="majorBidi"/>
          <w:lang w:val="en-GB"/>
        </w:rPr>
        <w:t xml:space="preserve"> do not have a coherent empirical description of how AI adoption is transformed, via the mediating cognitive and affective processes, into a decision to purchase.</w:t>
      </w:r>
    </w:p>
    <w:p w14:paraId="50949C8F" w14:textId="58BBAC5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second level of the issue is the validity of the evidence available in context. The majority of theoretical tools (which are core to this area) were </w:t>
      </w:r>
      <w:r w:rsidR="002F4113" w:rsidRPr="003D2A76">
        <w:rPr>
          <w:rFonts w:asciiTheme="majorBidi" w:hAnsiTheme="majorBidi" w:cstheme="majorBidi"/>
          <w:lang w:val="en-GB"/>
        </w:rPr>
        <w:t xml:space="preserve">developed </w:t>
      </w:r>
      <w:r w:rsidRPr="003D2A76">
        <w:rPr>
          <w:rFonts w:asciiTheme="majorBidi" w:hAnsiTheme="majorBidi" w:cstheme="majorBidi"/>
          <w:lang w:val="en-GB"/>
        </w:rPr>
        <w:t>in a Western and an individualistic consumer environment (Davis, 1989; Parasuraman et al., 1988; Zeithaml, 1988). The relevance of these instruments to a culturally specific market like Saudi Arabia</w:t>
      </w:r>
      <w:r w:rsidR="002F4113" w:rsidRPr="003D2A76">
        <w:rPr>
          <w:rFonts w:asciiTheme="majorBidi" w:hAnsiTheme="majorBidi" w:cstheme="majorBidi"/>
          <w:lang w:val="en-GB"/>
        </w:rPr>
        <w:t xml:space="preserve"> cannot be assumed</w:t>
      </w:r>
      <w:r w:rsidRPr="003D2A76">
        <w:rPr>
          <w:rFonts w:asciiTheme="majorBidi" w:hAnsiTheme="majorBidi" w:cstheme="majorBidi"/>
          <w:lang w:val="en-GB"/>
        </w:rPr>
        <w:t xml:space="preserve">, where extended-family decision-making, religious values, gender-sensitive service design and high uncertainty avoidance are relevant. The existing data regarding trust towards AI, </w:t>
      </w:r>
      <w:r w:rsidR="002F4113" w:rsidRPr="003D2A76">
        <w:rPr>
          <w:rFonts w:asciiTheme="majorBidi" w:hAnsiTheme="majorBidi" w:cstheme="majorBidi"/>
          <w:lang w:val="en-GB"/>
        </w:rPr>
        <w:t>for example</w:t>
      </w:r>
      <w:r w:rsidRPr="003D2A76">
        <w:rPr>
          <w:rFonts w:asciiTheme="majorBidi" w:hAnsiTheme="majorBidi" w:cstheme="majorBidi"/>
          <w:lang w:val="en-GB"/>
        </w:rPr>
        <w:t xml:space="preserve">, might change in sign or magnitude should the service being analysed be, say, the education of one's child in a religious and cultural sense. This creates the possibility that the intuitively conflicting findings in the </w:t>
      </w:r>
      <w:r w:rsidR="002F4113" w:rsidRPr="003D2A76">
        <w:rPr>
          <w:rFonts w:asciiTheme="majorBidi" w:hAnsiTheme="majorBidi" w:cstheme="majorBidi"/>
          <w:lang w:val="en-GB"/>
        </w:rPr>
        <w:t xml:space="preserve">global </w:t>
      </w:r>
      <w:r w:rsidRPr="003D2A76">
        <w:rPr>
          <w:rFonts w:asciiTheme="majorBidi" w:hAnsiTheme="majorBidi" w:cstheme="majorBidi"/>
          <w:lang w:val="en-GB"/>
        </w:rPr>
        <w:t>literature are not a sign of phenomena that are comparable in nature but of imprecisely constructed instruments and models.</w:t>
      </w:r>
    </w:p>
    <w:p w14:paraId="7046EC98" w14:textId="3E5798A2"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 third level of analysis would involve examining the direction of influence and the causal architecture. Empirical research in neighbouring settings has tended to model AI </w:t>
      </w:r>
      <w:r w:rsidRPr="003D2A76">
        <w:rPr>
          <w:rFonts w:asciiTheme="majorBidi" w:hAnsiTheme="majorBidi" w:cstheme="majorBidi"/>
          <w:lang w:val="en-GB"/>
        </w:rPr>
        <w:lastRenderedPageBreak/>
        <w:t xml:space="preserve">adoption either as a predictor of intention or of quality perceptions, yet </w:t>
      </w:r>
      <w:r w:rsidR="002F4113" w:rsidRPr="003D2A76">
        <w:rPr>
          <w:rFonts w:asciiTheme="majorBidi" w:hAnsiTheme="majorBidi" w:cstheme="majorBidi"/>
          <w:lang w:val="en-GB"/>
        </w:rPr>
        <w:t xml:space="preserve">studies </w:t>
      </w:r>
      <w:r w:rsidRPr="003D2A76">
        <w:rPr>
          <w:rFonts w:asciiTheme="majorBidi" w:hAnsiTheme="majorBidi" w:cstheme="majorBidi"/>
          <w:lang w:val="en-GB"/>
        </w:rPr>
        <w:t xml:space="preserve">have seldom focused on the entire cause-and-effect relationship: AI adoption </w:t>
      </w:r>
      <w:r w:rsidR="002F4113" w:rsidRPr="003D2A76">
        <w:rPr>
          <w:rFonts w:asciiTheme="majorBidi" w:hAnsiTheme="majorBidi" w:cstheme="majorBidi"/>
          <w:lang w:val="en-GB"/>
        </w:rPr>
        <w:t xml:space="preserve">and its relationship </w:t>
      </w:r>
      <w:r w:rsidRPr="003D2A76">
        <w:rPr>
          <w:rFonts w:asciiTheme="majorBidi" w:hAnsiTheme="majorBidi" w:cstheme="majorBidi"/>
          <w:lang w:val="en-GB"/>
        </w:rPr>
        <w:t>to service quality perception</w:t>
      </w:r>
      <w:r w:rsidR="008B41C4">
        <w:rPr>
          <w:rFonts w:asciiTheme="majorBidi" w:hAnsiTheme="majorBidi" w:cstheme="majorBidi"/>
          <w:lang w:val="en-GB"/>
        </w:rPr>
        <w:t>,</w:t>
      </w:r>
      <w:r w:rsidRPr="003D2A76">
        <w:rPr>
          <w:rFonts w:asciiTheme="majorBidi" w:hAnsiTheme="majorBidi" w:cstheme="majorBidi"/>
          <w:lang w:val="en-GB"/>
        </w:rPr>
        <w:t xml:space="preserve"> to trust in AI and in the school</w:t>
      </w:r>
      <w:r w:rsidR="008B41C4">
        <w:rPr>
          <w:rFonts w:asciiTheme="majorBidi" w:hAnsiTheme="majorBidi" w:cstheme="majorBidi"/>
          <w:lang w:val="en-GB"/>
        </w:rPr>
        <w:t>,</w:t>
      </w:r>
      <w:r w:rsidRPr="003D2A76">
        <w:rPr>
          <w:rFonts w:asciiTheme="majorBidi" w:hAnsiTheme="majorBidi" w:cstheme="majorBidi"/>
          <w:lang w:val="en-GB"/>
        </w:rPr>
        <w:t xml:space="preserve"> to perceived value</w:t>
      </w:r>
      <w:r w:rsidR="008B41C4">
        <w:rPr>
          <w:rFonts w:asciiTheme="majorBidi" w:hAnsiTheme="majorBidi" w:cstheme="majorBidi"/>
          <w:lang w:val="en-GB"/>
        </w:rPr>
        <w:t>,</w:t>
      </w:r>
      <w:r w:rsidRPr="003D2A76">
        <w:rPr>
          <w:rFonts w:asciiTheme="majorBidi" w:hAnsiTheme="majorBidi" w:cstheme="majorBidi"/>
          <w:lang w:val="en-GB"/>
        </w:rPr>
        <w:t xml:space="preserve"> to purchase intent</w:t>
      </w:r>
      <w:r w:rsidR="008B41C4">
        <w:rPr>
          <w:rFonts w:asciiTheme="majorBidi" w:hAnsiTheme="majorBidi" w:cstheme="majorBidi"/>
          <w:lang w:val="en-GB"/>
        </w:rPr>
        <w:t>,</w:t>
      </w:r>
      <w:r w:rsidRPr="003D2A76">
        <w:rPr>
          <w:rFonts w:asciiTheme="majorBidi" w:hAnsiTheme="majorBidi" w:cstheme="majorBidi"/>
          <w:lang w:val="en-GB"/>
        </w:rPr>
        <w:t xml:space="preserve"> to actual enrolment behaviour. In the absence of an integrated model, practitioners would not be able to address the simple diagnostic question: in cases where the intention to enrol in a school becomes softer after investment in AI, is the </w:t>
      </w:r>
      <w:r w:rsidR="002F4113" w:rsidRPr="003D2A76">
        <w:rPr>
          <w:rFonts w:asciiTheme="majorBidi" w:hAnsiTheme="majorBidi" w:cstheme="majorBidi"/>
          <w:lang w:val="en-GB"/>
        </w:rPr>
        <w:t>change related to</w:t>
      </w:r>
      <w:r w:rsidRPr="003D2A76">
        <w:rPr>
          <w:rFonts w:asciiTheme="majorBidi" w:hAnsiTheme="majorBidi" w:cstheme="majorBidi"/>
          <w:lang w:val="en-GB"/>
        </w:rPr>
        <w:t xml:space="preserve"> the perceived ease of use, perceived quality of the results, trust, value ratio, or cultural fit? All these diagnoses carry with them the implication of a different intervention.</w:t>
      </w:r>
    </w:p>
    <w:p w14:paraId="6BEF8178" w14:textId="0F79ADA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current research thus fulfils a well-designed research problem: Does an empirically supported, theoretically motivated model exist that explains the impact of AI adoption by the private school as a market on parental intention to purchase educational services, mediated by perceptions of service quality, trust and perceived value, and moderated by cultural factors in the context of the role of these phenomena in Jeddah? The issue is critical as its solution directly impacts school investment decisions, parental decision support, and national policy regarding AI in K-12 education. It is not intellectually trivial since it involves synthesising four traditions (TAM, SERVQUAL, TPB, and perceived value) into a consistent structural model, and it involves doing this in a cultural environment where the elements have not been tested as a block in the past.</w:t>
      </w:r>
    </w:p>
    <w:p w14:paraId="5E46DB58" w14:textId="77777777" w:rsidR="00885F3C" w:rsidRPr="003D2A76" w:rsidRDefault="00885F3C" w:rsidP="00BD6279">
      <w:pPr>
        <w:pStyle w:val="Heading2"/>
        <w:rPr>
          <w:lang w:val="en-GB"/>
        </w:rPr>
      </w:pPr>
      <w:bookmarkStart w:id="3" w:name="_Toc228056551"/>
      <w:r w:rsidRPr="003D2A76">
        <w:rPr>
          <w:rFonts w:ascii="Times New Roman" w:hAnsi="Times New Roman" w:cs="Times New Roman"/>
          <w:lang w:val="en-GB"/>
        </w:rPr>
        <w:t>1.3 Importance of the Study</w:t>
      </w:r>
      <w:bookmarkEnd w:id="3"/>
    </w:p>
    <w:p w14:paraId="5F599775" w14:textId="14F8F9A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study is important on three levels: theoretical, methodological, and contextual. Theoretically, the work </w:t>
      </w:r>
      <w:r w:rsidR="002F4113" w:rsidRPr="003D2A76">
        <w:rPr>
          <w:rFonts w:asciiTheme="majorBidi" w:hAnsiTheme="majorBidi" w:cstheme="majorBidi"/>
          <w:lang w:val="en-GB"/>
        </w:rPr>
        <w:t xml:space="preserve">offers </w:t>
      </w:r>
      <w:r w:rsidRPr="003D2A76">
        <w:rPr>
          <w:rFonts w:asciiTheme="majorBidi" w:hAnsiTheme="majorBidi" w:cstheme="majorBidi"/>
          <w:lang w:val="en-GB"/>
        </w:rPr>
        <w:t xml:space="preserve">a contribution in that it presents and empirically validates a combined model that amalgamates four bodies of tradition that so far have been mainly </w:t>
      </w:r>
      <w:r w:rsidRPr="003D2A76">
        <w:rPr>
          <w:rFonts w:asciiTheme="majorBidi" w:hAnsiTheme="majorBidi" w:cstheme="majorBidi"/>
          <w:lang w:val="en-GB"/>
        </w:rPr>
        <w:lastRenderedPageBreak/>
        <w:t xml:space="preserve">mobilised within the private-education and AI-adoption literatures independently. The study is </w:t>
      </w:r>
      <w:r w:rsidR="002F4113" w:rsidRPr="003D2A76">
        <w:rPr>
          <w:rFonts w:asciiTheme="majorBidi" w:hAnsiTheme="majorBidi" w:cstheme="majorBidi"/>
          <w:lang w:val="en-GB"/>
        </w:rPr>
        <w:t>scaffolded,</w:t>
      </w:r>
      <w:r w:rsidRPr="003D2A76">
        <w:rPr>
          <w:rFonts w:asciiTheme="majorBidi" w:hAnsiTheme="majorBidi" w:cstheme="majorBidi"/>
          <w:lang w:val="en-GB"/>
        </w:rPr>
        <w:t xml:space="preserve"> where AI adoption is not diluted to usability and </w:t>
      </w:r>
      <w:r w:rsidR="002F4113" w:rsidRPr="003D2A76">
        <w:rPr>
          <w:rFonts w:asciiTheme="majorBidi" w:hAnsiTheme="majorBidi" w:cstheme="majorBidi"/>
          <w:lang w:val="en-GB"/>
        </w:rPr>
        <w:t xml:space="preserve">links </w:t>
      </w:r>
      <w:r w:rsidRPr="003D2A76">
        <w:rPr>
          <w:rFonts w:asciiTheme="majorBidi" w:hAnsiTheme="majorBidi" w:cstheme="majorBidi"/>
          <w:lang w:val="en-GB"/>
        </w:rPr>
        <w:t xml:space="preserve">to marketing output but instead analysed as a multi-step process that occurs between antecedent use of technology, through quality perceptions, trust and value, and intention. This type of integration has been recommended in recent review papers </w:t>
      </w:r>
      <w:r w:rsidR="002F4113" w:rsidRPr="003D2A76">
        <w:rPr>
          <w:rFonts w:asciiTheme="majorBidi" w:hAnsiTheme="majorBidi" w:cstheme="majorBidi"/>
          <w:lang w:val="en-GB"/>
        </w:rPr>
        <w:t xml:space="preserve">on </w:t>
      </w:r>
      <w:r w:rsidRPr="003D2A76">
        <w:rPr>
          <w:rFonts w:asciiTheme="majorBidi" w:hAnsiTheme="majorBidi" w:cstheme="majorBidi"/>
          <w:lang w:val="en-GB"/>
        </w:rPr>
        <w:t xml:space="preserve">AI in education (Crompton and Burke, 2023; Tlili et al., 2023) and </w:t>
      </w:r>
      <w:r w:rsidR="002F4113" w:rsidRPr="003D2A76">
        <w:rPr>
          <w:rFonts w:asciiTheme="majorBidi" w:hAnsiTheme="majorBidi" w:cstheme="majorBidi"/>
          <w:lang w:val="en-GB"/>
        </w:rPr>
        <w:t>o</w:t>
      </w:r>
      <w:r w:rsidRPr="003D2A76">
        <w:rPr>
          <w:rFonts w:asciiTheme="majorBidi" w:hAnsiTheme="majorBidi" w:cstheme="majorBidi"/>
          <w:lang w:val="en-GB"/>
        </w:rPr>
        <w:t>n AI marketing research (Davenport et al., 2019; Dwivedi et al., 2023) but has rarely been implemented in practice in an independent structural model.</w:t>
      </w:r>
    </w:p>
    <w:p w14:paraId="0B145134" w14:textId="37957D0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study methodologically contributes by creating and validating an instrument specific to the context which is a context-sensitive tool to measure AI adoption, perceived service quality, trust, perceived value, cultural fit, and purchase intention in the very special case of Saudi private schools and by using hierarchical regression analysis combined with Hayes' PROCESS macro for mediation and moderation testing on a sample of 409 respondents drawn from a population of approximately 102,000 stakeholders. The instrument is a synthesis of validated scales used in previous research and adapts them to an Arabic-speaking, family-focused setting with Arabic-based bilingual back-translation, pilot testing, and review by the experts. Future researchers who may need </w:t>
      </w:r>
      <w:r w:rsidR="002F4113" w:rsidRPr="003D2A76">
        <w:rPr>
          <w:rFonts w:asciiTheme="majorBidi" w:hAnsiTheme="majorBidi" w:cstheme="majorBidi"/>
          <w:lang w:val="en-GB"/>
        </w:rPr>
        <w:t>to replicate</w:t>
      </w:r>
      <w:r w:rsidRPr="003D2A76">
        <w:rPr>
          <w:rFonts w:asciiTheme="majorBidi" w:hAnsiTheme="majorBidi" w:cstheme="majorBidi"/>
          <w:lang w:val="en-GB"/>
        </w:rPr>
        <w:t xml:space="preserve"> this study using other markets in the GCC or other sectors relying on services can reuse this methodological apparatus.</w:t>
      </w:r>
    </w:p>
    <w:p w14:paraId="257BE85F" w14:textId="3FEEC48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w:t>
      </w:r>
      <w:r w:rsidR="002F4113" w:rsidRPr="003D2A76">
        <w:rPr>
          <w:rFonts w:asciiTheme="majorBidi" w:hAnsiTheme="majorBidi" w:cstheme="majorBidi"/>
          <w:lang w:val="en-GB"/>
        </w:rPr>
        <w:t xml:space="preserve">this </w:t>
      </w:r>
      <w:r w:rsidRPr="003D2A76">
        <w:rPr>
          <w:rFonts w:asciiTheme="majorBidi" w:hAnsiTheme="majorBidi" w:cstheme="majorBidi"/>
          <w:lang w:val="en-GB"/>
        </w:rPr>
        <w:t xml:space="preserve">context, the study advances by producing the first big sample of empirical data on how the adoption of AI </w:t>
      </w:r>
      <w:r w:rsidR="002F4113" w:rsidRPr="003D2A76">
        <w:rPr>
          <w:rFonts w:asciiTheme="majorBidi" w:hAnsiTheme="majorBidi" w:cstheme="majorBidi"/>
          <w:lang w:val="en-GB"/>
        </w:rPr>
        <w:t xml:space="preserve">affects </w:t>
      </w:r>
      <w:r w:rsidRPr="003D2A76">
        <w:rPr>
          <w:rFonts w:asciiTheme="majorBidi" w:hAnsiTheme="majorBidi" w:cstheme="majorBidi"/>
          <w:lang w:val="en-GB"/>
        </w:rPr>
        <w:t xml:space="preserve">purchase intentions </w:t>
      </w:r>
      <w:r w:rsidR="002F4113" w:rsidRPr="003D2A76">
        <w:rPr>
          <w:rFonts w:asciiTheme="majorBidi" w:hAnsiTheme="majorBidi" w:cstheme="majorBidi"/>
          <w:lang w:val="en-GB"/>
        </w:rPr>
        <w:t xml:space="preserve">related to </w:t>
      </w:r>
      <w:r w:rsidRPr="003D2A76">
        <w:rPr>
          <w:rFonts w:asciiTheme="majorBidi" w:hAnsiTheme="majorBidi" w:cstheme="majorBidi"/>
          <w:lang w:val="en-GB"/>
        </w:rPr>
        <w:t xml:space="preserve">the use of private K-12 education in one of the largest cities in Saudi Arabia at the time of intense national transition to digital applications. The results can be directly applied by three audiences. </w:t>
      </w:r>
      <w:r w:rsidRPr="003D2A76">
        <w:rPr>
          <w:rFonts w:asciiTheme="majorBidi" w:hAnsiTheme="majorBidi" w:cstheme="majorBidi"/>
          <w:lang w:val="en-GB"/>
        </w:rPr>
        <w:lastRenderedPageBreak/>
        <w:t xml:space="preserve">Among the leaders of private </w:t>
      </w:r>
      <w:r w:rsidR="00230CF5">
        <w:rPr>
          <w:rFonts w:asciiTheme="majorBidi" w:hAnsiTheme="majorBidi" w:cstheme="majorBidi"/>
          <w:lang w:val="en-GB"/>
        </w:rPr>
        <w:t>schools</w:t>
      </w:r>
      <w:r w:rsidRPr="003D2A76">
        <w:rPr>
          <w:rFonts w:asciiTheme="majorBidi" w:hAnsiTheme="majorBidi" w:cstheme="majorBidi"/>
          <w:lang w:val="en-GB"/>
        </w:rPr>
        <w:t xml:space="preserve">, they will determine which AI adoption dimension has the strongest conversion rate to enrolment intention, in which ways they need to invest to build trust, and which are value-perception mediated. </w:t>
      </w:r>
      <w:r w:rsidR="002F4113" w:rsidRPr="003D2A76">
        <w:rPr>
          <w:rFonts w:asciiTheme="majorBidi" w:hAnsiTheme="majorBidi" w:cstheme="majorBidi"/>
          <w:lang w:val="en-GB"/>
        </w:rPr>
        <w:t>For</w:t>
      </w:r>
      <w:r w:rsidRPr="003D2A76">
        <w:rPr>
          <w:rFonts w:asciiTheme="majorBidi" w:hAnsiTheme="majorBidi" w:cstheme="majorBidi"/>
          <w:lang w:val="en-GB"/>
        </w:rPr>
        <w:t xml:space="preserve"> policymakers, such as the Ministry of Education and the Digital Government Authority, the results can be used </w:t>
      </w:r>
      <w:r w:rsidR="002F4113" w:rsidRPr="003D2A76">
        <w:rPr>
          <w:rFonts w:asciiTheme="majorBidi" w:hAnsiTheme="majorBidi" w:cstheme="majorBidi"/>
          <w:lang w:val="en-GB"/>
        </w:rPr>
        <w:t>to guide</w:t>
      </w:r>
      <w:r w:rsidRPr="003D2A76">
        <w:rPr>
          <w:rFonts w:asciiTheme="majorBidi" w:hAnsiTheme="majorBidi" w:cstheme="majorBidi"/>
          <w:lang w:val="en-GB"/>
        </w:rPr>
        <w:t xml:space="preserve"> evidence-based policies </w:t>
      </w:r>
      <w:r w:rsidR="002F4113" w:rsidRPr="003D2A76">
        <w:rPr>
          <w:rFonts w:asciiTheme="majorBidi" w:hAnsiTheme="majorBidi" w:cstheme="majorBidi"/>
          <w:lang w:val="en-GB"/>
        </w:rPr>
        <w:t xml:space="preserve">on </w:t>
      </w:r>
      <w:r w:rsidRPr="003D2A76">
        <w:rPr>
          <w:rFonts w:asciiTheme="majorBidi" w:hAnsiTheme="majorBidi" w:cstheme="majorBidi"/>
          <w:lang w:val="en-GB"/>
        </w:rPr>
        <w:t>AI in K-12 environments, especially on transparency, parental communication</w:t>
      </w:r>
      <w:r w:rsidR="00230CF5">
        <w:rPr>
          <w:rFonts w:asciiTheme="majorBidi" w:hAnsiTheme="majorBidi" w:cstheme="majorBidi"/>
          <w:lang w:val="en-GB"/>
        </w:rPr>
        <w:t>,</w:t>
      </w:r>
      <w:r w:rsidRPr="003D2A76">
        <w:rPr>
          <w:rFonts w:asciiTheme="majorBidi" w:hAnsiTheme="majorBidi" w:cstheme="majorBidi"/>
          <w:lang w:val="en-GB"/>
        </w:rPr>
        <w:t xml:space="preserve"> and cultural fit. </w:t>
      </w:r>
      <w:r w:rsidR="002F4113" w:rsidRPr="003D2A76">
        <w:rPr>
          <w:rFonts w:asciiTheme="majorBidi" w:hAnsiTheme="majorBidi" w:cstheme="majorBidi"/>
          <w:lang w:val="en-GB"/>
        </w:rPr>
        <w:t xml:space="preserve">For </w:t>
      </w:r>
      <w:r w:rsidRPr="003D2A76">
        <w:rPr>
          <w:rFonts w:asciiTheme="majorBidi" w:hAnsiTheme="majorBidi" w:cstheme="majorBidi"/>
          <w:lang w:val="en-GB"/>
        </w:rPr>
        <w:t xml:space="preserve">parents, the study provides a systematic explanation of which variables actually do count, </w:t>
      </w:r>
      <w:r w:rsidR="002F4113" w:rsidRPr="003D2A76">
        <w:rPr>
          <w:rFonts w:asciiTheme="majorBidi" w:hAnsiTheme="majorBidi" w:cstheme="majorBidi"/>
          <w:lang w:val="en-GB"/>
        </w:rPr>
        <w:t xml:space="preserve">and </w:t>
      </w:r>
      <w:r w:rsidRPr="003D2A76">
        <w:rPr>
          <w:rFonts w:asciiTheme="majorBidi" w:hAnsiTheme="majorBidi" w:cstheme="majorBidi"/>
          <w:lang w:val="en-GB"/>
        </w:rPr>
        <w:t>which can be used in public communication and decision support.</w:t>
      </w:r>
    </w:p>
    <w:p w14:paraId="1D8E4BFF" w14:textId="659306D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addition to these direct contributions, the study has significance in that it does not </w:t>
      </w:r>
      <w:r w:rsidR="002F4113" w:rsidRPr="003D2A76">
        <w:rPr>
          <w:rFonts w:asciiTheme="majorBidi" w:hAnsiTheme="majorBidi" w:cstheme="majorBidi"/>
          <w:lang w:val="en-GB"/>
        </w:rPr>
        <w:t xml:space="preserve">involve </w:t>
      </w:r>
      <w:r w:rsidRPr="003D2A76">
        <w:rPr>
          <w:rFonts w:asciiTheme="majorBidi" w:hAnsiTheme="majorBidi" w:cstheme="majorBidi"/>
          <w:lang w:val="en-GB"/>
        </w:rPr>
        <w:t xml:space="preserve">Saudi Arabia as a marginal case to test a Western-developed model, but rather as a location where the model itself can be supported, refined, or challenged. The cultural moderation element, incorporated within the model via family values, religious orientation and gender-sensitive service preferences, will enable the study to identify the possibility that the mechanisms that are operating in individualistic consumer markets switch to attenuate or invert in a family-centred, high-uncertainty-avoidance consumer market. This corresponds with the modern trend </w:t>
      </w:r>
      <w:r w:rsidR="002F4113" w:rsidRPr="003D2A76">
        <w:rPr>
          <w:rFonts w:asciiTheme="majorBidi" w:hAnsiTheme="majorBidi" w:cstheme="majorBidi"/>
          <w:lang w:val="en-GB"/>
        </w:rPr>
        <w:t xml:space="preserve">in </w:t>
      </w:r>
      <w:r w:rsidRPr="003D2A76">
        <w:rPr>
          <w:rFonts w:asciiTheme="majorBidi" w:hAnsiTheme="majorBidi" w:cstheme="majorBidi"/>
          <w:lang w:val="en-GB"/>
        </w:rPr>
        <w:t xml:space="preserve">consumer and technology-acceptance research </w:t>
      </w:r>
      <w:r w:rsidR="002F4113" w:rsidRPr="003D2A76">
        <w:rPr>
          <w:rFonts w:asciiTheme="majorBidi" w:hAnsiTheme="majorBidi" w:cstheme="majorBidi"/>
          <w:lang w:val="en-GB"/>
        </w:rPr>
        <w:t xml:space="preserve">for </w:t>
      </w:r>
      <w:r w:rsidRPr="003D2A76">
        <w:rPr>
          <w:rFonts w:asciiTheme="majorBidi" w:hAnsiTheme="majorBidi" w:cstheme="majorBidi"/>
          <w:lang w:val="en-GB"/>
        </w:rPr>
        <w:t>context-aware theory (Venkatesh and Bala, 2008).</w:t>
      </w:r>
    </w:p>
    <w:p w14:paraId="7706340D" w14:textId="77777777" w:rsidR="00885F3C" w:rsidRPr="003D2A76" w:rsidRDefault="00885F3C" w:rsidP="00BD6279">
      <w:pPr>
        <w:pStyle w:val="Heading2"/>
        <w:rPr>
          <w:lang w:val="en-GB"/>
        </w:rPr>
      </w:pPr>
      <w:bookmarkStart w:id="4" w:name="_Toc228056552"/>
      <w:r w:rsidRPr="003D2A76">
        <w:rPr>
          <w:rFonts w:ascii="Times New Roman" w:hAnsi="Times New Roman" w:cs="Times New Roman"/>
          <w:lang w:val="en-GB"/>
        </w:rPr>
        <w:t>1.4 Research Problems and Research Hypotheses</w:t>
      </w:r>
      <w:bookmarkEnd w:id="4"/>
    </w:p>
    <w:p w14:paraId="4407BC5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research is structured around a single overall research question and five sub-research questions.</w:t>
      </w:r>
    </w:p>
    <w:p w14:paraId="77D0A1AD" w14:textId="119B9E0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Overarching question</w:t>
      </w:r>
      <w:r w:rsidR="002F4113" w:rsidRPr="003D2A76">
        <w:rPr>
          <w:rFonts w:asciiTheme="majorBidi" w:hAnsiTheme="majorBidi" w:cstheme="majorBidi"/>
          <w:lang w:val="en-GB"/>
        </w:rPr>
        <w:t>:</w:t>
      </w:r>
      <w:r w:rsidRPr="003D2A76">
        <w:rPr>
          <w:rFonts w:asciiTheme="majorBidi" w:hAnsiTheme="majorBidi" w:cstheme="majorBidi"/>
          <w:lang w:val="en-GB"/>
        </w:rPr>
        <w:t xml:space="preserve"> What are the effects of integrating </w:t>
      </w:r>
      <w:r w:rsidR="00706ADD" w:rsidRPr="003D2A76">
        <w:rPr>
          <w:rFonts w:asciiTheme="majorBidi" w:hAnsiTheme="majorBidi" w:cstheme="majorBidi"/>
          <w:lang w:val="en-GB"/>
        </w:rPr>
        <w:t>AI</w:t>
      </w:r>
      <w:r w:rsidRPr="003D2A76">
        <w:rPr>
          <w:rFonts w:asciiTheme="majorBidi" w:hAnsiTheme="majorBidi" w:cstheme="majorBidi"/>
          <w:lang w:val="en-GB"/>
        </w:rPr>
        <w:t xml:space="preserve"> in the operations of private schools in Jeddah on parental purchase intention </w:t>
      </w:r>
      <w:r w:rsidR="00706ADD" w:rsidRPr="003D2A76">
        <w:rPr>
          <w:rFonts w:asciiTheme="majorBidi" w:hAnsiTheme="majorBidi" w:cstheme="majorBidi"/>
          <w:lang w:val="en-GB"/>
        </w:rPr>
        <w:t xml:space="preserve">for </w:t>
      </w:r>
      <w:r w:rsidRPr="003D2A76">
        <w:rPr>
          <w:rFonts w:asciiTheme="majorBidi" w:hAnsiTheme="majorBidi" w:cstheme="majorBidi"/>
          <w:lang w:val="en-GB"/>
        </w:rPr>
        <w:t xml:space="preserve">the educational services, and what </w:t>
      </w:r>
      <w:r w:rsidRPr="003D2A76">
        <w:rPr>
          <w:rFonts w:asciiTheme="majorBidi" w:hAnsiTheme="majorBidi" w:cstheme="majorBidi"/>
          <w:lang w:val="en-GB"/>
        </w:rPr>
        <w:lastRenderedPageBreak/>
        <w:t>are the cognitive, affective and cultural mechanisms through which these effects are achieved?</w:t>
      </w:r>
    </w:p>
    <w:p w14:paraId="19D76EC6" w14:textId="1A0B2EA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Subordinate research questions</w:t>
      </w:r>
      <w:r w:rsidR="00706ADD" w:rsidRPr="003D2A76">
        <w:rPr>
          <w:rFonts w:asciiTheme="majorBidi" w:hAnsiTheme="majorBidi" w:cstheme="majorBidi"/>
          <w:lang w:val="en-GB"/>
        </w:rPr>
        <w:t>:</w:t>
      </w:r>
    </w:p>
    <w:p w14:paraId="78C15E65" w14:textId="3A0A16B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RQ1. How would the adoption of AI by private schools directly impact the parental intention to purchase education services from the schools?</w:t>
      </w:r>
    </w:p>
    <w:p w14:paraId="2D4F38E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RQ2. Is there a relationship between purchase intention and AI adoption mediated by perceived service quality?</w:t>
      </w:r>
    </w:p>
    <w:p w14:paraId="5348068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RQ3. Is there a mediation of trust in AI and the school between the adoption of AI, service quality, and purchase intention?</w:t>
      </w:r>
    </w:p>
    <w:p w14:paraId="0D307EB5" w14:textId="21A83B95"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RQ4. Does the perceived value mediate the relationship between quality of service, trust</w:t>
      </w:r>
      <w:r w:rsidR="00230CF5">
        <w:rPr>
          <w:rFonts w:asciiTheme="majorBidi" w:hAnsiTheme="majorBidi" w:cstheme="majorBidi"/>
          <w:lang w:val="en-GB"/>
        </w:rPr>
        <w:t>,</w:t>
      </w:r>
      <w:r w:rsidRPr="003D2A76">
        <w:rPr>
          <w:rFonts w:asciiTheme="majorBidi" w:hAnsiTheme="majorBidi" w:cstheme="majorBidi"/>
          <w:lang w:val="en-GB"/>
        </w:rPr>
        <w:t xml:space="preserve"> and purchase intention?</w:t>
      </w:r>
    </w:p>
    <w:p w14:paraId="1879A8A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RQ5. Do cultural factors (family values, religious orientation, gender preferences) moderate the relationships among AI adoption, perceived service quality, trust, perceived value, and purchase intention?</w:t>
      </w:r>
    </w:p>
    <w:p w14:paraId="0E48637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Based on these research questions, twelve hypotheses are formulated and divided into four blocks indicating the causal architecture of the integrated model.</w:t>
      </w:r>
    </w:p>
    <w:p w14:paraId="0A1CA0A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Block A: Direct effects of AI adoption.</w:t>
      </w:r>
    </w:p>
    <w:p w14:paraId="074CDB8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 The presence of AI in private schools positively impacts and significantly influences parental intention to purchase educational services.</w:t>
      </w:r>
    </w:p>
    <w:p w14:paraId="2A8E72E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H2. The use of AI by private schools positively and significantly influences the perceived quality of services.</w:t>
      </w:r>
    </w:p>
    <w:p w14:paraId="35D9FB5A" w14:textId="30160DA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H3. The adoption of AI in the context of privately run schools positively and significantly impacts parental trust.</w:t>
      </w:r>
    </w:p>
    <w:p w14:paraId="068C8ED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Block B: Trust as mediator.</w:t>
      </w:r>
    </w:p>
    <w:p w14:paraId="59501A6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H4. Perceived service quality has a positive and significant effect on parental trust.</w:t>
      </w:r>
    </w:p>
    <w:p w14:paraId="7111D4E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H5. There is a positive and significant impact of parental trust on purchase intention.</w:t>
      </w:r>
    </w:p>
    <w:p w14:paraId="5420B86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H6. The relationship between purchase intention and adoption of AI is mediated by parental trust.</w:t>
      </w:r>
    </w:p>
    <w:p w14:paraId="064FC44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Block C: Perceived value as mediator.</w:t>
      </w:r>
    </w:p>
    <w:p w14:paraId="3D2A993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H7. Perceived value is positively and significantly influenced by perceived service quality.</w:t>
      </w:r>
    </w:p>
    <w:p w14:paraId="264575C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H8. Perceived value is positively and significantly influenced by parental trust.</w:t>
      </w:r>
    </w:p>
    <w:p w14:paraId="51C42B1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H9. The extent of influence of perceived value on purchase intention is a positive and significant one.</w:t>
      </w:r>
    </w:p>
    <w:p w14:paraId="6DB6A68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Block D: Cultural paths and service quality.</w:t>
      </w:r>
    </w:p>
    <w:p w14:paraId="131EEB8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H10. AI adoption in teaching has a direct positive and significant effect on purchase intention, independent of the mediated pathways.</w:t>
      </w:r>
    </w:p>
    <w:p w14:paraId="243E37F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H11. AI adoption in marketing and communication has a direct positive and significant effect on purchase intention, independent of the mediated pathways.</w:t>
      </w:r>
    </w:p>
    <w:p w14:paraId="01F4DE3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H12. The integrated model has cultural variables conditioning the relationships, that is, the magnitude of the effects of AI adoption, the quality of the provided services, trust, and perceived value on the purchase intention.</w:t>
      </w:r>
    </w:p>
    <w:p w14:paraId="29FE7ACA" w14:textId="59156DD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twelve-hypothesis architecture design of the study allows the integrated model </w:t>
      </w:r>
      <w:r w:rsidR="00706ADD" w:rsidRPr="003D2A76">
        <w:rPr>
          <w:rFonts w:asciiTheme="majorBidi" w:hAnsiTheme="majorBidi" w:cstheme="majorBidi"/>
          <w:lang w:val="en-GB"/>
        </w:rPr>
        <w:t xml:space="preserve">to be tested </w:t>
      </w:r>
      <w:r w:rsidRPr="003D2A76">
        <w:rPr>
          <w:rFonts w:asciiTheme="majorBidi" w:hAnsiTheme="majorBidi" w:cstheme="majorBidi"/>
          <w:lang w:val="en-GB"/>
        </w:rPr>
        <w:t>per se but, simultaneously, isolates the particular mechanisms which convey the effect of AI adoption to purchase intention.</w:t>
      </w:r>
    </w:p>
    <w:p w14:paraId="22B96CCE" w14:textId="77777777" w:rsidR="00885F3C" w:rsidRPr="003D2A76" w:rsidRDefault="00885F3C" w:rsidP="00BD6279">
      <w:pPr>
        <w:pStyle w:val="Heading2"/>
        <w:rPr>
          <w:lang w:val="en-GB"/>
        </w:rPr>
      </w:pPr>
      <w:bookmarkStart w:id="5" w:name="_Toc228056553"/>
      <w:r w:rsidRPr="003D2A76">
        <w:rPr>
          <w:rFonts w:ascii="Times New Roman" w:hAnsi="Times New Roman" w:cs="Times New Roman"/>
          <w:lang w:val="en-GB"/>
        </w:rPr>
        <w:t>1.5 Limitations, Delimitations, and Assumptions</w:t>
      </w:r>
      <w:bookmarkEnd w:id="5"/>
    </w:p>
    <w:p w14:paraId="3E8FE803" w14:textId="5498F04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Limitations</w:t>
      </w:r>
      <w:r w:rsidR="00326324" w:rsidRPr="003D2A76">
        <w:rPr>
          <w:rFonts w:asciiTheme="majorBidi" w:hAnsiTheme="majorBidi" w:cstheme="majorBidi"/>
          <w:lang w:val="en-GB"/>
        </w:rPr>
        <w:t>:</w:t>
      </w:r>
      <w:r w:rsidRPr="003D2A76">
        <w:rPr>
          <w:rFonts w:asciiTheme="majorBidi" w:hAnsiTheme="majorBidi" w:cstheme="majorBidi"/>
          <w:lang w:val="en-GB"/>
        </w:rPr>
        <w:t xml:space="preserve"> The method is based on self-reported data gathered by the use of an online survey instrument; this is susceptible to common-method variance and social-desirability bias as well as recall error that the study has reduced through the design of an instrument; however, it cannot eradicate these. The cross-sectional design limits the power of causal inference, whereas the regression-based mediation and moderation framework (Hayes, 2022) supports the testing of indirect and conditional effects</w:t>
      </w:r>
      <w:r w:rsidR="00326324" w:rsidRPr="003D2A76">
        <w:rPr>
          <w:rFonts w:asciiTheme="majorBidi" w:hAnsiTheme="majorBidi" w:cstheme="majorBidi"/>
          <w:lang w:val="en-GB"/>
        </w:rPr>
        <w:t>;</w:t>
      </w:r>
      <w:r w:rsidRPr="003D2A76">
        <w:rPr>
          <w:rFonts w:asciiTheme="majorBidi" w:hAnsiTheme="majorBidi" w:cstheme="majorBidi"/>
          <w:lang w:val="en-GB"/>
        </w:rPr>
        <w:t xml:space="preserve"> a longitudinal or quasi-experimental design would be more impressive. Operational measurement of AI adoption depends on parental perception of the school's use of AI and not the independent organisational audit; perceived adoption of AI can be in conflict with the actual use of AI.</w:t>
      </w:r>
    </w:p>
    <w:p w14:paraId="31C49860" w14:textId="16702509"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Delimitations</w:t>
      </w:r>
      <w:r w:rsidR="00326324" w:rsidRPr="003D2A76">
        <w:rPr>
          <w:rFonts w:asciiTheme="majorBidi" w:hAnsiTheme="majorBidi" w:cstheme="majorBidi"/>
          <w:lang w:val="en-GB"/>
        </w:rPr>
        <w:t>:</w:t>
      </w:r>
      <w:r w:rsidRPr="003D2A76">
        <w:rPr>
          <w:rFonts w:asciiTheme="majorBidi" w:hAnsiTheme="majorBidi" w:cstheme="majorBidi"/>
          <w:lang w:val="en-GB"/>
        </w:rPr>
        <w:t xml:space="preserve"> This research is confined geographically to the city of Jeddah and does not capture the entire geographical heterogeneity of Saudi private education because this area is not representative, though it is a big city. It is narrowed down sectorally to K-12 private schools and excludes public schools, foreign-only international schools, and institutions of higher learning. It is demographically restrained </w:t>
      </w:r>
      <w:r w:rsidR="00326324" w:rsidRPr="003D2A76">
        <w:rPr>
          <w:rFonts w:asciiTheme="majorBidi" w:hAnsiTheme="majorBidi" w:cstheme="majorBidi"/>
          <w:lang w:val="en-GB"/>
        </w:rPr>
        <w:t xml:space="preserve">by </w:t>
      </w:r>
      <w:r w:rsidRPr="003D2A76">
        <w:rPr>
          <w:rFonts w:asciiTheme="majorBidi" w:hAnsiTheme="majorBidi" w:cstheme="majorBidi"/>
          <w:lang w:val="en-GB"/>
        </w:rPr>
        <w:t xml:space="preserve">the parents, who are the most important decision-makers </w:t>
      </w:r>
      <w:r w:rsidR="00326324" w:rsidRPr="003D2A76">
        <w:rPr>
          <w:rFonts w:asciiTheme="majorBidi" w:hAnsiTheme="majorBidi" w:cstheme="majorBidi"/>
          <w:lang w:val="en-GB"/>
        </w:rPr>
        <w:t xml:space="preserve">for </w:t>
      </w:r>
      <w:r w:rsidRPr="003D2A76">
        <w:rPr>
          <w:rFonts w:asciiTheme="majorBidi" w:hAnsiTheme="majorBidi" w:cstheme="majorBidi"/>
          <w:lang w:val="en-GB"/>
        </w:rPr>
        <w:t xml:space="preserve">enrolment; neither the student point of view nor the school-leader point of view is directly sampled. It is limited in time such that it is restricted to </w:t>
      </w:r>
      <w:r w:rsidR="00326324" w:rsidRPr="003D2A76">
        <w:rPr>
          <w:rFonts w:asciiTheme="majorBidi" w:hAnsiTheme="majorBidi" w:cstheme="majorBidi"/>
          <w:lang w:val="en-GB"/>
        </w:rPr>
        <w:t>the</w:t>
      </w:r>
      <w:r w:rsidRPr="003D2A76">
        <w:rPr>
          <w:rFonts w:asciiTheme="majorBidi" w:hAnsiTheme="majorBidi" w:cstheme="majorBidi"/>
          <w:lang w:val="en-GB"/>
        </w:rPr>
        <w:t xml:space="preserve"> 2025</w:t>
      </w:r>
      <w:r w:rsidR="00326324" w:rsidRPr="003D2A76">
        <w:rPr>
          <w:rFonts w:asciiTheme="majorBidi" w:hAnsiTheme="majorBidi" w:cstheme="majorBidi"/>
          <w:lang w:val="en-GB"/>
        </w:rPr>
        <w:t>/</w:t>
      </w:r>
      <w:r w:rsidRPr="003D2A76">
        <w:rPr>
          <w:rFonts w:asciiTheme="majorBidi" w:hAnsiTheme="majorBidi" w:cstheme="majorBidi"/>
          <w:lang w:val="en-GB"/>
        </w:rPr>
        <w:t>26 academic year and is not trying to trace longitudinal change.</w:t>
      </w:r>
    </w:p>
    <w:p w14:paraId="5E167A2F" w14:textId="603CC735"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Assumptions</w:t>
      </w:r>
      <w:r w:rsidR="00326324" w:rsidRPr="003D2A76">
        <w:rPr>
          <w:rFonts w:asciiTheme="majorBidi" w:hAnsiTheme="majorBidi" w:cstheme="majorBidi"/>
          <w:lang w:val="en-GB"/>
        </w:rPr>
        <w:t>:</w:t>
      </w:r>
      <w:r w:rsidRPr="003D2A76">
        <w:rPr>
          <w:rFonts w:asciiTheme="majorBidi" w:hAnsiTheme="majorBidi" w:cstheme="majorBidi"/>
          <w:lang w:val="en-GB"/>
        </w:rPr>
        <w:t xml:space="preserve"> The study assumed that parents are the key decision-makers in the decision </w:t>
      </w:r>
      <w:r w:rsidR="00326324" w:rsidRPr="003D2A76">
        <w:rPr>
          <w:rFonts w:asciiTheme="majorBidi" w:hAnsiTheme="majorBidi" w:cstheme="majorBidi"/>
          <w:lang w:val="en-GB"/>
        </w:rPr>
        <w:t>about whether to choose</w:t>
      </w:r>
      <w:r w:rsidRPr="003D2A76">
        <w:rPr>
          <w:rFonts w:asciiTheme="majorBidi" w:hAnsiTheme="majorBidi" w:cstheme="majorBidi"/>
          <w:lang w:val="en-GB"/>
        </w:rPr>
        <w:t xml:space="preserve"> privately owned schools in Jeddah, and this is in line with decision-making patterns in the region. It presupposed that the respondents were able to positively discriminate AI-enabled and non-AI-enabled functions of the services provided in their schools, and the pilot test confirmed </w:t>
      </w:r>
      <w:r w:rsidR="00120ACF" w:rsidRPr="003D2A76">
        <w:rPr>
          <w:rFonts w:asciiTheme="majorBidi" w:hAnsiTheme="majorBidi" w:cstheme="majorBidi"/>
          <w:lang w:val="en-GB"/>
        </w:rPr>
        <w:t>this</w:t>
      </w:r>
      <w:r w:rsidRPr="003D2A76">
        <w:rPr>
          <w:rFonts w:asciiTheme="majorBidi" w:hAnsiTheme="majorBidi" w:cstheme="majorBidi"/>
          <w:lang w:val="en-GB"/>
        </w:rPr>
        <w:t xml:space="preserve">. It presupposed that the constructs of the integrated model, adoption of AI, service quality, trust, value, cultural factors, and </w:t>
      </w:r>
      <w:r w:rsidRPr="003D2A76">
        <w:rPr>
          <w:rFonts w:asciiTheme="majorBidi" w:hAnsiTheme="majorBidi" w:cstheme="majorBidi"/>
          <w:lang w:val="en-GB"/>
        </w:rPr>
        <w:lastRenderedPageBreak/>
        <w:t>intention have conceptual consistency in an Arabic-Saudi context, which was facilitated by back-translation and expert assessment of the instrument. Lastly, it was based on the assumption that multiple regression analysis combined with bootstrap-based mediation and moderation testing (PROCESS macro; Hayes, 2022) provides appropriate statistical inferences for the specified direct, indirect, and conditional effects, with the obtained sample size and distributional assumptions.</w:t>
      </w:r>
    </w:p>
    <w:p w14:paraId="1F5A38B7" w14:textId="77777777" w:rsidR="00885F3C" w:rsidRPr="003D2A76" w:rsidRDefault="00885F3C" w:rsidP="00BD6279">
      <w:pPr>
        <w:pStyle w:val="Heading2"/>
        <w:rPr>
          <w:lang w:val="en-GB"/>
        </w:rPr>
      </w:pPr>
      <w:bookmarkStart w:id="6" w:name="_Toc228056554"/>
      <w:r w:rsidRPr="003D2A76">
        <w:rPr>
          <w:rFonts w:ascii="Times New Roman" w:hAnsi="Times New Roman" w:cs="Times New Roman"/>
          <w:lang w:val="en-GB"/>
        </w:rPr>
        <w:t>1.6 Definition of Terms</w:t>
      </w:r>
      <w:bookmarkEnd w:id="6"/>
    </w:p>
    <w:p w14:paraId="633E7D93" w14:textId="3550522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 order to guarantee the relevance of all paragraphs in the study, the important constructs are operationally defined. The concept of artificial intelligence (AI) adoption to which this study relates is defined as the level to which a private school uses AI-enabled tools in pedagogical, administrative, and marketing processes adopted and perceived by parents. The construct is quantified using a multi-item scale that can reflect the visibility, frequency of use, perceived sophistication</w:t>
      </w:r>
      <w:r w:rsidR="00230CF5">
        <w:rPr>
          <w:rFonts w:asciiTheme="majorBidi" w:hAnsiTheme="majorBidi" w:cstheme="majorBidi"/>
          <w:lang w:val="en-GB"/>
        </w:rPr>
        <w:t>,</w:t>
      </w:r>
      <w:r w:rsidRPr="003D2A76">
        <w:rPr>
          <w:rFonts w:asciiTheme="majorBidi" w:hAnsiTheme="majorBidi" w:cstheme="majorBidi"/>
          <w:lang w:val="en-GB"/>
        </w:rPr>
        <w:t xml:space="preserve"> and role of AI in services </w:t>
      </w:r>
      <w:r w:rsidR="00120ACF" w:rsidRPr="003D2A76">
        <w:rPr>
          <w:rFonts w:asciiTheme="majorBidi" w:hAnsiTheme="majorBidi" w:cstheme="majorBidi"/>
          <w:lang w:val="en-GB"/>
        </w:rPr>
        <w:t xml:space="preserve">offered by </w:t>
      </w:r>
      <w:r w:rsidRPr="003D2A76">
        <w:rPr>
          <w:rFonts w:asciiTheme="majorBidi" w:hAnsiTheme="majorBidi" w:cstheme="majorBidi"/>
          <w:lang w:val="en-GB"/>
        </w:rPr>
        <w:t>the school.</w:t>
      </w:r>
    </w:p>
    <w:p w14:paraId="6F6459F9" w14:textId="6EF34D6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service quality is the overall evaluation of the quality of educational services at the school as viewed by parents and operationalised through five SERVQUAL dimensions that have been adapted to the K-12 private-education environment, that is, the tangibles dimension, dimension of reliability, dimension of responsiveness, dimension of assurance, and dimension of empathy (Parasuraman et al., 1988).</w:t>
      </w:r>
    </w:p>
    <w:p w14:paraId="77DCA309" w14:textId="06EE7BF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 also means the assurance of the parents that the school and the AI used in school will act in a reliable</w:t>
      </w:r>
      <w:r w:rsidR="00120ACF" w:rsidRPr="003D2A76">
        <w:rPr>
          <w:rFonts w:asciiTheme="majorBidi" w:hAnsiTheme="majorBidi" w:cstheme="majorBidi"/>
          <w:lang w:val="en-GB"/>
        </w:rPr>
        <w:t xml:space="preserve"> and </w:t>
      </w:r>
      <w:r w:rsidRPr="003D2A76">
        <w:rPr>
          <w:rFonts w:asciiTheme="majorBidi" w:hAnsiTheme="majorBidi" w:cstheme="majorBidi"/>
          <w:lang w:val="en-GB"/>
        </w:rPr>
        <w:t>competent</w:t>
      </w:r>
      <w:r w:rsidR="00120ACF" w:rsidRPr="003D2A76">
        <w:rPr>
          <w:rFonts w:asciiTheme="majorBidi" w:hAnsiTheme="majorBidi" w:cstheme="majorBidi"/>
          <w:lang w:val="en-GB"/>
        </w:rPr>
        <w:t xml:space="preserve"> way</w:t>
      </w:r>
      <w:r w:rsidRPr="003D2A76">
        <w:rPr>
          <w:rFonts w:asciiTheme="majorBidi" w:hAnsiTheme="majorBidi" w:cstheme="majorBidi"/>
          <w:lang w:val="en-GB"/>
        </w:rPr>
        <w:t>, and always in the best interest</w:t>
      </w:r>
      <w:r w:rsidR="00120ACF" w:rsidRPr="003D2A76">
        <w:rPr>
          <w:rFonts w:asciiTheme="majorBidi" w:hAnsiTheme="majorBidi" w:cstheme="majorBidi"/>
          <w:lang w:val="en-GB"/>
        </w:rPr>
        <w:t>s</w:t>
      </w:r>
      <w:r w:rsidRPr="003D2A76">
        <w:rPr>
          <w:rFonts w:asciiTheme="majorBidi" w:hAnsiTheme="majorBidi" w:cstheme="majorBidi"/>
          <w:lang w:val="en-GB"/>
        </w:rPr>
        <w:t xml:space="preserve"> of the child. Trust in the integrated model is considered as a compound of institutional trust in the school and technological trust in AI.</w:t>
      </w:r>
    </w:p>
    <w:p w14:paraId="66677A97" w14:textId="531B320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Perceived value is a scaling of the general evaluation of the benefit of </w:t>
      </w:r>
      <w:r w:rsidR="00120ACF" w:rsidRPr="003D2A76">
        <w:rPr>
          <w:rFonts w:asciiTheme="majorBidi" w:hAnsiTheme="majorBidi" w:cstheme="majorBidi"/>
          <w:lang w:val="en-GB"/>
        </w:rPr>
        <w:t xml:space="preserve">a </w:t>
      </w:r>
      <w:r w:rsidRPr="003D2A76">
        <w:rPr>
          <w:rFonts w:asciiTheme="majorBidi" w:hAnsiTheme="majorBidi" w:cstheme="majorBidi"/>
          <w:lang w:val="en-GB"/>
        </w:rPr>
        <w:t>school in comparison with financial, time</w:t>
      </w:r>
      <w:r w:rsidR="00230CF5">
        <w:rPr>
          <w:rFonts w:asciiTheme="majorBidi" w:hAnsiTheme="majorBidi" w:cstheme="majorBidi"/>
          <w:lang w:val="en-GB"/>
        </w:rPr>
        <w:t>,</w:t>
      </w:r>
      <w:r w:rsidRPr="003D2A76">
        <w:rPr>
          <w:rFonts w:asciiTheme="majorBidi" w:hAnsiTheme="majorBidi" w:cstheme="majorBidi"/>
          <w:lang w:val="en-GB"/>
        </w:rPr>
        <w:t xml:space="preserve"> and psychological costs incurred, which is operationalised through functional, emotional, social</w:t>
      </w:r>
      <w:r w:rsidR="00230CF5">
        <w:rPr>
          <w:rFonts w:asciiTheme="majorBidi" w:hAnsiTheme="majorBidi" w:cstheme="majorBidi"/>
          <w:lang w:val="en-GB"/>
        </w:rPr>
        <w:t>,</w:t>
      </w:r>
      <w:r w:rsidRPr="003D2A76">
        <w:rPr>
          <w:rFonts w:asciiTheme="majorBidi" w:hAnsiTheme="majorBidi" w:cstheme="majorBidi"/>
          <w:lang w:val="en-GB"/>
        </w:rPr>
        <w:t xml:space="preserve"> and monetary elements (Zeithaml, 1988; Sweeney and Soutar, 2001).</w:t>
      </w:r>
    </w:p>
    <w:p w14:paraId="2AD6E97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Cultural factors are family values, religious orientation, and gender-preference considerations, which influence a Saudi context in terms of parental preferences about service features and the use of technology.</w:t>
      </w:r>
    </w:p>
    <w:p w14:paraId="11C768AE" w14:textId="56A9ABA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Purchase intention is the reported </w:t>
      </w:r>
      <w:r w:rsidR="00120ACF" w:rsidRPr="003D2A76">
        <w:rPr>
          <w:rFonts w:asciiTheme="majorBidi" w:hAnsiTheme="majorBidi" w:cstheme="majorBidi"/>
          <w:lang w:val="en-GB"/>
        </w:rPr>
        <w:t xml:space="preserve">likelihood </w:t>
      </w:r>
      <w:r w:rsidRPr="003D2A76">
        <w:rPr>
          <w:rFonts w:asciiTheme="majorBidi" w:hAnsiTheme="majorBidi" w:cstheme="majorBidi"/>
          <w:lang w:val="en-GB"/>
        </w:rPr>
        <w:t xml:space="preserve">of enrolling, remaining enrolled and referring to the school, based upon a multi-item scale </w:t>
      </w:r>
      <w:r w:rsidR="00120ACF" w:rsidRPr="003D2A76">
        <w:rPr>
          <w:rFonts w:asciiTheme="majorBidi" w:hAnsiTheme="majorBidi" w:cstheme="majorBidi"/>
          <w:lang w:val="en-GB"/>
        </w:rPr>
        <w:t xml:space="preserve">based </w:t>
      </w:r>
      <w:r w:rsidRPr="003D2A76">
        <w:rPr>
          <w:rFonts w:asciiTheme="majorBidi" w:hAnsiTheme="majorBidi" w:cstheme="majorBidi"/>
          <w:lang w:val="en-GB"/>
        </w:rPr>
        <w:t xml:space="preserve">on the </w:t>
      </w:r>
      <w:r w:rsidR="00120ACF" w:rsidRPr="003D2A76">
        <w:rPr>
          <w:rFonts w:asciiTheme="majorBidi" w:hAnsiTheme="majorBidi" w:cstheme="majorBidi"/>
          <w:lang w:val="en-GB"/>
        </w:rPr>
        <w:t>TPB</w:t>
      </w:r>
      <w:r w:rsidRPr="003D2A76">
        <w:rPr>
          <w:rFonts w:asciiTheme="majorBidi" w:hAnsiTheme="majorBidi" w:cstheme="majorBidi"/>
          <w:lang w:val="en-GB"/>
        </w:rPr>
        <w:t xml:space="preserve"> and applied in school-choice contexts (Ajzen, 1991).</w:t>
      </w:r>
    </w:p>
    <w:p w14:paraId="2A0784A6" w14:textId="05D3807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 this research paper, the term private school implies a fee-based K-12 school in the city of Jeddah, licensed by the Saudi Ministry of Education and providing either the national curriculum or the international curriculum or both. In this research, a parent is considered the adult parent (father, mother</w:t>
      </w:r>
      <w:r w:rsidR="00230CF5">
        <w:rPr>
          <w:rFonts w:asciiTheme="majorBidi" w:hAnsiTheme="majorBidi" w:cstheme="majorBidi"/>
          <w:lang w:val="en-GB"/>
        </w:rPr>
        <w:t>,</w:t>
      </w:r>
      <w:r w:rsidRPr="003D2A76">
        <w:rPr>
          <w:rFonts w:asciiTheme="majorBidi" w:hAnsiTheme="majorBidi" w:cstheme="majorBidi"/>
          <w:lang w:val="en-GB"/>
        </w:rPr>
        <w:t xml:space="preserve"> or legal guardian) with the main responsibility in the choice of school </w:t>
      </w:r>
      <w:r w:rsidR="00120ACF" w:rsidRPr="003D2A76">
        <w:rPr>
          <w:rFonts w:asciiTheme="majorBidi" w:hAnsiTheme="majorBidi" w:cstheme="majorBidi"/>
          <w:lang w:val="en-GB"/>
        </w:rPr>
        <w:t xml:space="preserve">for </w:t>
      </w:r>
      <w:r w:rsidRPr="003D2A76">
        <w:rPr>
          <w:rFonts w:asciiTheme="majorBidi" w:hAnsiTheme="majorBidi" w:cstheme="majorBidi"/>
          <w:lang w:val="en-GB"/>
        </w:rPr>
        <w:t>one or more children at present attending or wishing to attend a private school in Jeddah.</w:t>
      </w:r>
    </w:p>
    <w:p w14:paraId="7D7898F0" w14:textId="77777777" w:rsidR="00885F3C" w:rsidRPr="003D2A76" w:rsidRDefault="00885F3C" w:rsidP="00BD6279">
      <w:pPr>
        <w:pStyle w:val="Heading2"/>
        <w:rPr>
          <w:lang w:val="en-GB"/>
        </w:rPr>
      </w:pPr>
      <w:bookmarkStart w:id="7" w:name="_Toc228056555"/>
      <w:r w:rsidRPr="003D2A76">
        <w:rPr>
          <w:rFonts w:ascii="Times New Roman" w:hAnsi="Times New Roman" w:cs="Times New Roman"/>
          <w:lang w:val="en-GB"/>
        </w:rPr>
        <w:t>1.7 Background and Context: Jeddah Private-School Market</w:t>
      </w:r>
      <w:bookmarkEnd w:id="7"/>
    </w:p>
    <w:p w14:paraId="169017B7" w14:textId="7563B84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Saudi Arabia has a large and competitive school market in Jeddah, the second largest city and commercial gateway to the Kingdom. The demographic makeup of the city</w:t>
      </w:r>
      <w:r w:rsidR="00120ACF" w:rsidRPr="003D2A76">
        <w:rPr>
          <w:rFonts w:asciiTheme="majorBidi" w:hAnsiTheme="majorBidi" w:cstheme="majorBidi"/>
          <w:lang w:val="en-GB"/>
        </w:rPr>
        <w:t xml:space="preserve"> – </w:t>
      </w:r>
      <w:r w:rsidRPr="003D2A76">
        <w:rPr>
          <w:rFonts w:asciiTheme="majorBidi" w:hAnsiTheme="majorBidi" w:cstheme="majorBidi"/>
          <w:lang w:val="en-GB"/>
        </w:rPr>
        <w:t>including a high proportion of expatriates in families, an increasing Saudi middle-income population, and the soft power of the family network to determine school choice</w:t>
      </w:r>
      <w:r w:rsidR="00120ACF" w:rsidRPr="003D2A76">
        <w:rPr>
          <w:rFonts w:asciiTheme="majorBidi" w:hAnsiTheme="majorBidi" w:cstheme="majorBidi"/>
          <w:lang w:val="en-GB"/>
        </w:rPr>
        <w:t xml:space="preserve"> – </w:t>
      </w:r>
      <w:r w:rsidRPr="003D2A76">
        <w:rPr>
          <w:rFonts w:asciiTheme="majorBidi" w:hAnsiTheme="majorBidi" w:cstheme="majorBidi"/>
          <w:lang w:val="en-GB"/>
        </w:rPr>
        <w:t xml:space="preserve">produces heterogeneous parental preferences and at least a natural difference </w:t>
      </w:r>
      <w:r w:rsidR="00120ACF" w:rsidRPr="003D2A76">
        <w:rPr>
          <w:rFonts w:asciiTheme="majorBidi" w:hAnsiTheme="majorBidi" w:cstheme="majorBidi"/>
          <w:lang w:val="en-GB"/>
        </w:rPr>
        <w:t xml:space="preserve">for </w:t>
      </w:r>
      <w:r w:rsidRPr="003D2A76">
        <w:rPr>
          <w:rFonts w:asciiTheme="majorBidi" w:hAnsiTheme="majorBidi" w:cstheme="majorBidi"/>
          <w:lang w:val="en-GB"/>
        </w:rPr>
        <w:t xml:space="preserve">the main variables of study. It has over 700 licensed private schools operating in the K-12 </w:t>
      </w:r>
      <w:r w:rsidRPr="003D2A76">
        <w:rPr>
          <w:rFonts w:asciiTheme="majorBidi" w:hAnsiTheme="majorBidi" w:cstheme="majorBidi"/>
          <w:lang w:val="en-GB"/>
        </w:rPr>
        <w:lastRenderedPageBreak/>
        <w:t>spectrum and has a population of about 102,000 parents of students attending its private schools, from which the study sample of 409 respondents was drawn.</w:t>
      </w:r>
    </w:p>
    <w:p w14:paraId="30EA89F1" w14:textId="622ED3B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market </w:t>
      </w:r>
      <w:r w:rsidR="00120ACF" w:rsidRPr="003D2A76">
        <w:rPr>
          <w:rFonts w:asciiTheme="majorBidi" w:hAnsiTheme="majorBidi" w:cstheme="majorBidi"/>
          <w:lang w:val="en-GB"/>
        </w:rPr>
        <w:t xml:space="preserve">was </w:t>
      </w:r>
      <w:r w:rsidRPr="003D2A76">
        <w:rPr>
          <w:rFonts w:asciiTheme="majorBidi" w:hAnsiTheme="majorBidi" w:cstheme="majorBidi"/>
          <w:lang w:val="en-GB"/>
        </w:rPr>
        <w:t xml:space="preserve">influenced by two contextual forces during the time of the study. The former </w:t>
      </w:r>
      <w:r w:rsidR="00120ACF" w:rsidRPr="003D2A76">
        <w:rPr>
          <w:rFonts w:asciiTheme="majorBidi" w:hAnsiTheme="majorBidi" w:cstheme="majorBidi"/>
          <w:lang w:val="en-GB"/>
        </w:rPr>
        <w:t xml:space="preserve">was </w:t>
      </w:r>
      <w:r w:rsidRPr="003D2A76">
        <w:rPr>
          <w:rFonts w:asciiTheme="majorBidi" w:hAnsiTheme="majorBidi" w:cstheme="majorBidi"/>
          <w:lang w:val="en-GB"/>
        </w:rPr>
        <w:t xml:space="preserve">Vision 2030, which centres digital transformation and human capital development in national strategy and which has </w:t>
      </w:r>
      <w:r w:rsidR="00120ACF" w:rsidRPr="003D2A76">
        <w:rPr>
          <w:rFonts w:asciiTheme="majorBidi" w:hAnsiTheme="majorBidi" w:cstheme="majorBidi"/>
          <w:lang w:val="en-GB"/>
        </w:rPr>
        <w:t xml:space="preserve">been </w:t>
      </w:r>
      <w:r w:rsidRPr="003D2A76">
        <w:rPr>
          <w:rFonts w:asciiTheme="majorBidi" w:hAnsiTheme="majorBidi" w:cstheme="majorBidi"/>
          <w:lang w:val="en-GB"/>
        </w:rPr>
        <w:t xml:space="preserve">seen to generate direct and indirect incentives to mobilise schools to engage with AI. The second is the diffusion of generative AI post-ChatGPT (Tlili et al., 2023; Dwivedi et al., 2023) that </w:t>
      </w:r>
      <w:r w:rsidR="00120ACF" w:rsidRPr="003D2A76">
        <w:rPr>
          <w:rFonts w:asciiTheme="majorBidi" w:hAnsiTheme="majorBidi" w:cstheme="majorBidi"/>
          <w:lang w:val="en-GB"/>
        </w:rPr>
        <w:t xml:space="preserve">has </w:t>
      </w:r>
      <w:r w:rsidRPr="003D2A76">
        <w:rPr>
          <w:rFonts w:asciiTheme="majorBidi" w:hAnsiTheme="majorBidi" w:cstheme="majorBidi"/>
          <w:lang w:val="en-GB"/>
        </w:rPr>
        <w:t xml:space="preserve">transformed possibilities in </w:t>
      </w:r>
      <w:r w:rsidR="00120ACF" w:rsidRPr="003D2A76">
        <w:rPr>
          <w:rFonts w:asciiTheme="majorBidi" w:hAnsiTheme="majorBidi" w:cstheme="majorBidi"/>
          <w:lang w:val="en-GB"/>
        </w:rPr>
        <w:t>terms of</w:t>
      </w:r>
      <w:r w:rsidR="00B2419F" w:rsidRPr="003D2A76">
        <w:rPr>
          <w:rFonts w:asciiTheme="majorBidi" w:hAnsiTheme="majorBidi" w:cstheme="majorBidi"/>
          <w:lang w:val="en-GB"/>
        </w:rPr>
        <w:t xml:space="preserve"> </w:t>
      </w:r>
      <w:r w:rsidRPr="003D2A76">
        <w:rPr>
          <w:rFonts w:asciiTheme="majorBidi" w:hAnsiTheme="majorBidi" w:cstheme="majorBidi"/>
          <w:lang w:val="en-GB"/>
        </w:rPr>
        <w:t>what schools can do with AI and what parents have adjusted to expect.</w:t>
      </w:r>
    </w:p>
    <w:p w14:paraId="30BAC0D0" w14:textId="1319C9B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 Jeddah</w:t>
      </w:r>
      <w:r w:rsidR="00230CF5">
        <w:rPr>
          <w:rFonts w:asciiTheme="majorBidi" w:hAnsiTheme="majorBidi" w:cstheme="majorBidi"/>
          <w:lang w:val="en-GB"/>
        </w:rPr>
        <w:t>,</w:t>
      </w:r>
      <w:r w:rsidRPr="003D2A76">
        <w:rPr>
          <w:rFonts w:asciiTheme="majorBidi" w:hAnsiTheme="majorBidi" w:cstheme="majorBidi"/>
          <w:lang w:val="en-GB"/>
        </w:rPr>
        <w:t xml:space="preserve"> schools advertise AI-assisted educational journeys, AI-enabled language tutoring, smart chatbots to make applications, and parent-facing analytics dashboards; however, the uptake is disproportionate, and the parental opinion of the services is an open-ended empirical issue. The Jeddah market, which is culturally inclined, amalgamates the features of high family centrality, religious sensitivity towards the content and communication, gender-based tendencies in the service design framework in specific age categories, as well as a growing orientation to modernity in terms of technological use. All these characteristics predetermine the particular significance of the cultural-moderation element of the integrated model: the cultural context is no longer a background aspect but a dynamic modulator of the processes linking AI adoption with purchase intention. This contextual specificity is also one of the reasons the study is located in Jeddah as opposed to </w:t>
      </w:r>
      <w:r w:rsidR="00B2419F" w:rsidRPr="003D2A76">
        <w:rPr>
          <w:rFonts w:asciiTheme="majorBidi" w:hAnsiTheme="majorBidi" w:cstheme="majorBidi"/>
          <w:lang w:val="en-GB"/>
        </w:rPr>
        <w:t xml:space="preserve">taking a </w:t>
      </w:r>
      <w:r w:rsidRPr="003D2A76">
        <w:rPr>
          <w:rFonts w:asciiTheme="majorBidi" w:hAnsiTheme="majorBidi" w:cstheme="majorBidi"/>
          <w:lang w:val="en-GB"/>
        </w:rPr>
        <w:t xml:space="preserve">national </w:t>
      </w:r>
      <w:r w:rsidR="00B2419F" w:rsidRPr="003D2A76">
        <w:rPr>
          <w:rFonts w:asciiTheme="majorBidi" w:hAnsiTheme="majorBidi" w:cstheme="majorBidi"/>
          <w:lang w:val="en-GB"/>
        </w:rPr>
        <w:t>perspective</w:t>
      </w:r>
      <w:r w:rsidRPr="003D2A76">
        <w:rPr>
          <w:rFonts w:asciiTheme="majorBidi" w:hAnsiTheme="majorBidi" w:cstheme="majorBidi"/>
          <w:lang w:val="en-GB"/>
        </w:rPr>
        <w:t xml:space="preserve">, and it is also in accord with the methodological trend in cross-cultural adoption literature of situated, urban-located studies that </w:t>
      </w:r>
      <w:r w:rsidR="00B2419F" w:rsidRPr="003D2A76">
        <w:rPr>
          <w:rFonts w:asciiTheme="majorBidi" w:hAnsiTheme="majorBidi" w:cstheme="majorBidi"/>
          <w:lang w:val="en-GB"/>
        </w:rPr>
        <w:t xml:space="preserve">can </w:t>
      </w:r>
      <w:r w:rsidRPr="003D2A76">
        <w:rPr>
          <w:rFonts w:asciiTheme="majorBidi" w:hAnsiTheme="majorBidi" w:cstheme="majorBidi"/>
          <w:lang w:val="en-GB"/>
        </w:rPr>
        <w:t>model context in detail.</w:t>
      </w:r>
    </w:p>
    <w:p w14:paraId="0783B260" w14:textId="77777777" w:rsidR="00885F3C" w:rsidRPr="003D2A76" w:rsidRDefault="00885F3C" w:rsidP="00BD6279">
      <w:pPr>
        <w:pStyle w:val="Heading2"/>
        <w:rPr>
          <w:lang w:val="en-GB"/>
        </w:rPr>
      </w:pPr>
      <w:bookmarkStart w:id="8" w:name="_Toc228056556"/>
      <w:r w:rsidRPr="003D2A76">
        <w:rPr>
          <w:rFonts w:ascii="Times New Roman" w:hAnsi="Times New Roman" w:cs="Times New Roman"/>
          <w:lang w:val="en-GB"/>
        </w:rPr>
        <w:lastRenderedPageBreak/>
        <w:t>1.8 Chapter Summary</w:t>
      </w:r>
      <w:bookmarkEnd w:id="8"/>
    </w:p>
    <w:p w14:paraId="625EB2F0" w14:textId="23991229"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chapter has presented the study; </w:t>
      </w:r>
      <w:r w:rsidR="00B2419F" w:rsidRPr="003D2A76">
        <w:rPr>
          <w:rFonts w:asciiTheme="majorBidi" w:hAnsiTheme="majorBidi" w:cstheme="majorBidi"/>
          <w:lang w:val="en-GB"/>
        </w:rPr>
        <w:t xml:space="preserve">situated </w:t>
      </w:r>
      <w:r w:rsidRPr="003D2A76">
        <w:rPr>
          <w:rFonts w:asciiTheme="majorBidi" w:hAnsiTheme="majorBidi" w:cstheme="majorBidi"/>
          <w:lang w:val="en-GB"/>
        </w:rPr>
        <w:t xml:space="preserve">it in its theoretical and contextual background; stipulated the problem the study is to </w:t>
      </w:r>
      <w:r w:rsidR="00B2419F" w:rsidRPr="003D2A76">
        <w:rPr>
          <w:rFonts w:asciiTheme="majorBidi" w:hAnsiTheme="majorBidi" w:cstheme="majorBidi"/>
          <w:lang w:val="en-GB"/>
        </w:rPr>
        <w:t>consider</w:t>
      </w:r>
      <w:r w:rsidRPr="003D2A76">
        <w:rPr>
          <w:rFonts w:asciiTheme="majorBidi" w:hAnsiTheme="majorBidi" w:cstheme="majorBidi"/>
          <w:lang w:val="en-GB"/>
        </w:rPr>
        <w:t xml:space="preserve">, outline and </w:t>
      </w:r>
      <w:r w:rsidR="00B2419F" w:rsidRPr="003D2A76">
        <w:rPr>
          <w:rFonts w:asciiTheme="majorBidi" w:hAnsiTheme="majorBidi" w:cstheme="majorBidi"/>
          <w:lang w:val="en-GB"/>
        </w:rPr>
        <w:t>justify</w:t>
      </w:r>
      <w:r w:rsidRPr="003D2A76">
        <w:rPr>
          <w:rFonts w:asciiTheme="majorBidi" w:hAnsiTheme="majorBidi" w:cstheme="majorBidi"/>
          <w:lang w:val="en-GB"/>
        </w:rPr>
        <w:t xml:space="preserve">; </w:t>
      </w:r>
      <w:r w:rsidR="00B2419F" w:rsidRPr="003D2A76">
        <w:rPr>
          <w:rFonts w:asciiTheme="majorBidi" w:hAnsiTheme="majorBidi" w:cstheme="majorBidi"/>
          <w:lang w:val="en-GB"/>
        </w:rPr>
        <w:t xml:space="preserve">described </w:t>
      </w:r>
      <w:r w:rsidRPr="003D2A76">
        <w:rPr>
          <w:rFonts w:asciiTheme="majorBidi" w:hAnsiTheme="majorBidi" w:cstheme="majorBidi"/>
          <w:lang w:val="en-GB"/>
        </w:rPr>
        <w:t xml:space="preserve">its importance; formalised its research questions and twelve hypotheses; and defined its limitations, delimitations, assumptions, key terms and the Jeddah private-school setting in which the empirical work </w:t>
      </w:r>
      <w:r w:rsidR="00B2419F" w:rsidRPr="003D2A76">
        <w:rPr>
          <w:rFonts w:asciiTheme="majorBidi" w:hAnsiTheme="majorBidi" w:cstheme="majorBidi"/>
          <w:lang w:val="en-GB"/>
        </w:rPr>
        <w:t xml:space="preserve">will </w:t>
      </w:r>
      <w:r w:rsidRPr="003D2A76">
        <w:rPr>
          <w:rFonts w:asciiTheme="majorBidi" w:hAnsiTheme="majorBidi" w:cstheme="majorBidi"/>
          <w:lang w:val="en-GB"/>
        </w:rPr>
        <w:t xml:space="preserve">be undertaken. The research brings together four theoretical traditions, namely the </w:t>
      </w:r>
      <w:r w:rsidR="00B2419F" w:rsidRPr="003D2A76">
        <w:rPr>
          <w:rFonts w:asciiTheme="majorBidi" w:hAnsiTheme="majorBidi" w:cstheme="majorBidi"/>
          <w:lang w:val="en-GB"/>
        </w:rPr>
        <w:t>TAM</w:t>
      </w:r>
      <w:r w:rsidRPr="003D2A76">
        <w:rPr>
          <w:rFonts w:asciiTheme="majorBidi" w:hAnsiTheme="majorBidi" w:cstheme="majorBidi"/>
          <w:lang w:val="en-GB"/>
        </w:rPr>
        <w:t xml:space="preserve"> and its variations, SERVQUAL, the </w:t>
      </w:r>
      <w:r w:rsidR="00B2419F" w:rsidRPr="003D2A76">
        <w:rPr>
          <w:rFonts w:asciiTheme="majorBidi" w:hAnsiTheme="majorBidi" w:cstheme="majorBidi"/>
          <w:lang w:val="en-GB"/>
        </w:rPr>
        <w:t>TPB</w:t>
      </w:r>
      <w:r w:rsidRPr="003D2A76">
        <w:rPr>
          <w:rFonts w:asciiTheme="majorBidi" w:hAnsiTheme="majorBidi" w:cstheme="majorBidi"/>
          <w:lang w:val="en-GB"/>
        </w:rPr>
        <w:t xml:space="preserve"> and perceived-value theory, into one structural model that can test the effects of AI adoption by private schools on parental purchase intention and how this effect is mediated (service quality, trust) and moderated (cultural factors). By doing so, the research adds to the theoretical, methodological</w:t>
      </w:r>
      <w:r w:rsidR="00230CF5">
        <w:rPr>
          <w:rFonts w:asciiTheme="majorBidi" w:hAnsiTheme="majorBidi" w:cstheme="majorBidi"/>
          <w:lang w:val="en-GB"/>
        </w:rPr>
        <w:t>,</w:t>
      </w:r>
      <w:r w:rsidRPr="003D2A76">
        <w:rPr>
          <w:rFonts w:asciiTheme="majorBidi" w:hAnsiTheme="majorBidi" w:cstheme="majorBidi"/>
          <w:lang w:val="en-GB"/>
        </w:rPr>
        <w:t xml:space="preserve"> and contextual bridging of the gap in the literature that, so far, has made the parental-decision architecture of AI-enabled private education relatively uncharted territory in the Saudi context. The rest of the dissertation is structured as follows: Chapter 2 elaborates the literature review and conceptual framework; Chapter 3 identifies the research methodology; Chapter 4 outlines the results of the research; Chapter 5 interprets the findings and </w:t>
      </w:r>
      <w:r w:rsidR="00B2419F" w:rsidRPr="003D2A76">
        <w:rPr>
          <w:rFonts w:asciiTheme="majorBidi" w:hAnsiTheme="majorBidi" w:cstheme="majorBidi"/>
          <w:lang w:val="en-GB"/>
        </w:rPr>
        <w:t xml:space="preserve">draws </w:t>
      </w:r>
      <w:r w:rsidRPr="003D2A76">
        <w:rPr>
          <w:rFonts w:asciiTheme="majorBidi" w:hAnsiTheme="majorBidi" w:cstheme="majorBidi"/>
          <w:lang w:val="en-GB"/>
        </w:rPr>
        <w:t xml:space="preserve">conclusions and implications </w:t>
      </w:r>
      <w:r w:rsidR="00B2419F" w:rsidRPr="003D2A76">
        <w:rPr>
          <w:rFonts w:asciiTheme="majorBidi" w:hAnsiTheme="majorBidi" w:cstheme="majorBidi"/>
          <w:lang w:val="en-GB"/>
        </w:rPr>
        <w:t xml:space="preserve">for </w:t>
      </w:r>
      <w:r w:rsidRPr="003D2A76">
        <w:rPr>
          <w:rFonts w:asciiTheme="majorBidi" w:hAnsiTheme="majorBidi" w:cstheme="majorBidi"/>
          <w:lang w:val="en-GB"/>
        </w:rPr>
        <w:t>theory, practice and policy.</w:t>
      </w:r>
    </w:p>
    <w:p w14:paraId="6603858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br w:type="page"/>
      </w:r>
    </w:p>
    <w:p w14:paraId="3025FB1C" w14:textId="77777777" w:rsidR="00885F3C" w:rsidRPr="003D2A76" w:rsidRDefault="00885F3C" w:rsidP="00BD6279">
      <w:pPr>
        <w:pStyle w:val="Heading1"/>
        <w:pageBreakBefore/>
        <w:rPr>
          <w:lang w:val="en-GB"/>
        </w:rPr>
      </w:pPr>
      <w:bookmarkStart w:id="9" w:name="_Toc228056557"/>
      <w:r w:rsidRPr="003D2A76">
        <w:rPr>
          <w:rFonts w:ascii="Times New Roman" w:hAnsi="Times New Roman" w:cs="Times New Roman"/>
          <w:lang w:val="en-GB"/>
        </w:rPr>
        <w:lastRenderedPageBreak/>
        <w:t>CHAPTER 2</w:t>
      </w:r>
      <w:bookmarkEnd w:id="9"/>
    </w:p>
    <w:p w14:paraId="3C1F3910" w14:textId="77777777" w:rsidR="00E2446F" w:rsidRPr="003D2A76" w:rsidRDefault="00CB042E" w:rsidP="00BD6279">
      <w:pPr>
        <w:bidi w:val="0"/>
        <w:jc w:val="center"/>
        <w:rPr>
          <w:lang w:val="en-GB"/>
        </w:rPr>
      </w:pPr>
      <w:r w:rsidRPr="003D2A76">
        <w:rPr>
          <w:b/>
          <w:bCs/>
          <w:lang w:val="en-GB"/>
        </w:rPr>
        <w:t>REVIEW OF THE LITERATURE</w:t>
      </w:r>
    </w:p>
    <w:p w14:paraId="14DCF721" w14:textId="77777777" w:rsidR="00885F3C" w:rsidRPr="003D2A76" w:rsidRDefault="00885F3C" w:rsidP="00BD6279">
      <w:pPr>
        <w:pStyle w:val="Heading2"/>
        <w:rPr>
          <w:lang w:val="en-GB"/>
        </w:rPr>
      </w:pPr>
      <w:bookmarkStart w:id="10" w:name="_Toc228056558"/>
      <w:r w:rsidRPr="003D2A76">
        <w:rPr>
          <w:rFonts w:ascii="Times New Roman" w:hAnsi="Times New Roman" w:cs="Times New Roman"/>
          <w:lang w:val="en-GB"/>
        </w:rPr>
        <w:t>2.1 Introduction</w:t>
      </w:r>
      <w:bookmarkEnd w:id="10"/>
    </w:p>
    <w:p w14:paraId="7C015812" w14:textId="251C5EB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aim of this chapter is </w:t>
      </w:r>
      <w:r w:rsidR="009A0267" w:rsidRPr="003D2A76">
        <w:rPr>
          <w:rFonts w:asciiTheme="majorBidi" w:hAnsiTheme="majorBidi" w:cstheme="majorBidi"/>
          <w:lang w:val="en-GB"/>
        </w:rPr>
        <w:t xml:space="preserve">to build </w:t>
      </w:r>
      <w:r w:rsidRPr="003D2A76">
        <w:rPr>
          <w:rFonts w:asciiTheme="majorBidi" w:hAnsiTheme="majorBidi" w:cstheme="majorBidi"/>
          <w:lang w:val="en-GB"/>
        </w:rPr>
        <w:t xml:space="preserve">a theoretical and empirical framework </w:t>
      </w:r>
      <w:r w:rsidR="009A0267" w:rsidRPr="003D2A76">
        <w:rPr>
          <w:rFonts w:asciiTheme="majorBidi" w:hAnsiTheme="majorBidi" w:cstheme="majorBidi"/>
          <w:lang w:val="en-GB"/>
        </w:rPr>
        <w:t xml:space="preserve">for </w:t>
      </w:r>
      <w:r w:rsidRPr="003D2A76">
        <w:rPr>
          <w:rFonts w:asciiTheme="majorBidi" w:hAnsiTheme="majorBidi" w:cstheme="majorBidi"/>
          <w:lang w:val="en-GB"/>
        </w:rPr>
        <w:t xml:space="preserve">the integrated model on parental purchase intention </w:t>
      </w:r>
      <w:r w:rsidR="009A0267" w:rsidRPr="003D2A76">
        <w:rPr>
          <w:rFonts w:asciiTheme="majorBidi" w:hAnsiTheme="majorBidi" w:cstheme="majorBidi"/>
          <w:lang w:val="en-GB"/>
        </w:rPr>
        <w:t xml:space="preserve">for </w:t>
      </w:r>
      <w:r w:rsidRPr="003D2A76">
        <w:rPr>
          <w:rFonts w:asciiTheme="majorBidi" w:hAnsiTheme="majorBidi" w:cstheme="majorBidi"/>
          <w:lang w:val="en-GB"/>
        </w:rPr>
        <w:t>educational services given the adoption of AI by private school</w:t>
      </w:r>
      <w:r w:rsidR="009A0267" w:rsidRPr="003D2A76">
        <w:rPr>
          <w:rFonts w:asciiTheme="majorBidi" w:hAnsiTheme="majorBidi" w:cstheme="majorBidi"/>
          <w:lang w:val="en-GB"/>
        </w:rPr>
        <w:t>s</w:t>
      </w:r>
      <w:r w:rsidRPr="003D2A76">
        <w:rPr>
          <w:rFonts w:asciiTheme="majorBidi" w:hAnsiTheme="majorBidi" w:cstheme="majorBidi"/>
          <w:lang w:val="en-GB"/>
        </w:rPr>
        <w:t xml:space="preserve">. </w:t>
      </w:r>
      <w:r w:rsidR="009A0267" w:rsidRPr="003D2A76">
        <w:rPr>
          <w:rFonts w:asciiTheme="majorBidi" w:hAnsiTheme="majorBidi" w:cstheme="majorBidi"/>
          <w:lang w:val="en-GB"/>
        </w:rPr>
        <w:t>For this</w:t>
      </w:r>
      <w:r w:rsidRPr="003D2A76">
        <w:rPr>
          <w:rFonts w:asciiTheme="majorBidi" w:hAnsiTheme="majorBidi" w:cstheme="majorBidi"/>
          <w:lang w:val="en-GB"/>
        </w:rPr>
        <w:t xml:space="preserve"> reason</w:t>
      </w:r>
      <w:r w:rsidR="00230CF5">
        <w:rPr>
          <w:rFonts w:asciiTheme="majorBidi" w:hAnsiTheme="majorBidi" w:cstheme="majorBidi"/>
          <w:lang w:val="en-GB"/>
        </w:rPr>
        <w:t>,</w:t>
      </w:r>
      <w:r w:rsidRPr="003D2A76">
        <w:rPr>
          <w:rFonts w:asciiTheme="majorBidi" w:hAnsiTheme="majorBidi" w:cstheme="majorBidi"/>
          <w:lang w:val="en-GB"/>
        </w:rPr>
        <w:t xml:space="preserve"> the chapter is not striving to exhaustively review all papers that have been working on AI, schools and consumer intention. It seeks rather to establish a consistent intellectual stance: to determine the intellectual traditions that frame the phenomenon, to trace its evolution through history, to discriminate between the competing views, and to outline where the current research fits in this intellectual landscape. The review proceeds through six moves. The first step defines the scope of the review and the inclusion criteria of the curated 188-paper corpus upon which the argument is anchored. The second step develops the epistemic map of the domain, differentiating the well-charted, contested, partially covered, and unexplored territories. The third step reframes the theoretical frameworks — </w:t>
      </w:r>
      <w:r w:rsidR="009A0267" w:rsidRPr="003D2A76">
        <w:rPr>
          <w:rFonts w:asciiTheme="majorBidi" w:hAnsiTheme="majorBidi" w:cstheme="majorBidi"/>
          <w:lang w:val="en-GB"/>
        </w:rPr>
        <w:t>TAM</w:t>
      </w:r>
      <w:r w:rsidRPr="003D2A76">
        <w:rPr>
          <w:rFonts w:asciiTheme="majorBidi" w:hAnsiTheme="majorBidi" w:cstheme="majorBidi"/>
          <w:lang w:val="en-GB"/>
        </w:rPr>
        <w:t xml:space="preserve">, Unified Acceptance, </w:t>
      </w:r>
      <w:r w:rsidR="009A0267" w:rsidRPr="003D2A76">
        <w:rPr>
          <w:rFonts w:asciiTheme="majorBidi" w:hAnsiTheme="majorBidi" w:cstheme="majorBidi"/>
          <w:lang w:val="en-GB"/>
        </w:rPr>
        <w:t>TPB</w:t>
      </w:r>
      <w:r w:rsidRPr="003D2A76">
        <w:rPr>
          <w:rFonts w:asciiTheme="majorBidi" w:hAnsiTheme="majorBidi" w:cstheme="majorBidi"/>
          <w:lang w:val="en-GB"/>
        </w:rPr>
        <w:t xml:space="preserve">, SERVQUAL, and Perceived Value — as </w:t>
      </w:r>
      <w:r w:rsidR="009A0267" w:rsidRPr="003D2A76">
        <w:rPr>
          <w:rFonts w:asciiTheme="majorBidi" w:hAnsiTheme="majorBidi" w:cstheme="majorBidi"/>
          <w:lang w:val="en-GB"/>
        </w:rPr>
        <w:t xml:space="preserve">the </w:t>
      </w:r>
      <w:r w:rsidRPr="003D2A76">
        <w:rPr>
          <w:rFonts w:asciiTheme="majorBidi" w:hAnsiTheme="majorBidi" w:cstheme="majorBidi"/>
          <w:lang w:val="en-GB"/>
        </w:rPr>
        <w:t>intellectual lineage rather than as a list of references. The fourth step examines ten thematic domains aligned with the major constructs of the integrated model. The fifth step consolidates the review into a conceptual model and a set of testable propositions mapped onto the twelve hypotheses outlined in Chapter 1. Section 2.6 concludes the review and previews the methodology set out in Chapter 3.</w:t>
      </w:r>
    </w:p>
    <w:p w14:paraId="5A9C9563" w14:textId="25D07CA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Inclusion criteria</w:t>
      </w:r>
      <w:r w:rsidR="009A0267" w:rsidRPr="003D2A76">
        <w:rPr>
          <w:rFonts w:asciiTheme="majorBidi" w:hAnsiTheme="majorBidi" w:cstheme="majorBidi"/>
          <w:lang w:val="en-GB"/>
        </w:rPr>
        <w:t>:</w:t>
      </w:r>
      <w:r w:rsidRPr="003D2A76">
        <w:rPr>
          <w:rFonts w:asciiTheme="majorBidi" w:hAnsiTheme="majorBidi" w:cstheme="majorBidi"/>
          <w:lang w:val="en-GB"/>
        </w:rPr>
        <w:t xml:space="preserve"> The corpus of 188 papers was selected according to ten thematic areas that jointly cover the constructs of the study: AI adoption in teaching; AI adoption in </w:t>
      </w:r>
      <w:r w:rsidRPr="003D2A76">
        <w:rPr>
          <w:rFonts w:asciiTheme="majorBidi" w:hAnsiTheme="majorBidi" w:cstheme="majorBidi"/>
          <w:lang w:val="en-GB"/>
        </w:rPr>
        <w:lastRenderedPageBreak/>
        <w:t xml:space="preserve">marketing; service quality in education (SERVQUAL); trust in AI and institutional trust; perceived value in education; purchase intention and school choice; </w:t>
      </w:r>
      <w:r w:rsidR="009A0267" w:rsidRPr="003D2A76">
        <w:rPr>
          <w:rFonts w:asciiTheme="majorBidi" w:hAnsiTheme="majorBidi" w:cstheme="majorBidi"/>
          <w:lang w:val="en-GB"/>
        </w:rPr>
        <w:t>TPB</w:t>
      </w:r>
      <w:r w:rsidRPr="003D2A76">
        <w:rPr>
          <w:rFonts w:asciiTheme="majorBidi" w:hAnsiTheme="majorBidi" w:cstheme="majorBidi"/>
          <w:lang w:val="en-GB"/>
        </w:rPr>
        <w:t xml:space="preserve"> applied to AI and education; </w:t>
      </w:r>
      <w:r w:rsidR="009A0267" w:rsidRPr="003D2A76">
        <w:rPr>
          <w:rFonts w:asciiTheme="majorBidi" w:hAnsiTheme="majorBidi" w:cstheme="majorBidi"/>
          <w:lang w:val="en-GB"/>
        </w:rPr>
        <w:t>TPB</w:t>
      </w:r>
      <w:r w:rsidRPr="003D2A76">
        <w:rPr>
          <w:rFonts w:asciiTheme="majorBidi" w:hAnsiTheme="majorBidi" w:cstheme="majorBidi"/>
          <w:lang w:val="en-GB"/>
        </w:rPr>
        <w:t xml:space="preserve"> applied to educational choice; cultural factors in AI adoption; and the Saudi educational context. Sources were retrieved from Scopus, Web of Science, ScienceDirect, IEEE Xplore, the ACM Digital Library, ERIC, and Google Scholar, supplemented with a small number of foundational sources outside this window (Davis, 1989; Ajzen, 1991; Parasuraman et al., 1988; Zeithaml, 1988; Sweeney and Soutar, 2001). Priority was given to peer-reviewed journal articles, high-quality conference papers, and systematic reviews. The review blends a critical-synthesis approach with a systematic-mapping logic: papers have been coded by theme, theoretical lens, method, sample, and contribution, and have been integrated into the argument rather than listed. The critique is constructive throughout the chapter: every limitation noted is accompanied by an appreciation of the contribution the paper made at its time and a statement of how the current study seeks to extend it.</w:t>
      </w:r>
    </w:p>
    <w:p w14:paraId="441BD1B4" w14:textId="77777777" w:rsidR="00885F3C" w:rsidRPr="003D2A76" w:rsidRDefault="00885F3C" w:rsidP="00BD6279">
      <w:pPr>
        <w:pStyle w:val="Heading2"/>
        <w:rPr>
          <w:lang w:val="en-GB"/>
        </w:rPr>
      </w:pPr>
      <w:bookmarkStart w:id="11" w:name="_Toc228056559"/>
      <w:r w:rsidRPr="003D2A76">
        <w:rPr>
          <w:rFonts w:ascii="Times New Roman" w:hAnsi="Times New Roman" w:cs="Times New Roman"/>
          <w:lang w:val="en-GB"/>
        </w:rPr>
        <w:t>2.2 Epistemic Map of the Domain</w:t>
      </w:r>
      <w:bookmarkEnd w:id="11"/>
    </w:p>
    <w:p w14:paraId="7A48BEF4" w14:textId="369DFB4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It may help </w:t>
      </w:r>
      <w:r w:rsidR="009A0267" w:rsidRPr="003D2A76">
        <w:rPr>
          <w:rFonts w:asciiTheme="majorBidi" w:hAnsiTheme="majorBidi" w:cstheme="majorBidi"/>
          <w:lang w:val="en-GB"/>
        </w:rPr>
        <w:t xml:space="preserve">to </w:t>
      </w:r>
      <w:r w:rsidRPr="003D2A76">
        <w:rPr>
          <w:rFonts w:asciiTheme="majorBidi" w:hAnsiTheme="majorBidi" w:cstheme="majorBidi"/>
          <w:lang w:val="en-GB"/>
        </w:rPr>
        <w:t>describe the intellectual landscape of adopting AI in privately-oriented education in four zones, a description of which is revisited at the end of the chapter.</w:t>
      </w:r>
    </w:p>
    <w:p w14:paraId="53D28B4E" w14:textId="423F741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initial zone </w:t>
      </w:r>
      <w:r w:rsidR="009A0267" w:rsidRPr="003D2A76">
        <w:rPr>
          <w:rFonts w:asciiTheme="majorBidi" w:hAnsiTheme="majorBidi" w:cstheme="majorBidi"/>
          <w:lang w:val="en-GB"/>
        </w:rPr>
        <w:t xml:space="preserve">is </w:t>
      </w:r>
      <w:r w:rsidRPr="003D2A76">
        <w:rPr>
          <w:rFonts w:asciiTheme="majorBidi" w:hAnsiTheme="majorBidi" w:cstheme="majorBidi"/>
          <w:lang w:val="en-GB"/>
        </w:rPr>
        <w:t xml:space="preserve">well-explored territory </w:t>
      </w:r>
      <w:r w:rsidR="009A0267" w:rsidRPr="003D2A76">
        <w:rPr>
          <w:rFonts w:asciiTheme="majorBidi" w:hAnsiTheme="majorBidi" w:cstheme="majorBidi"/>
          <w:lang w:val="en-GB"/>
        </w:rPr>
        <w:t xml:space="preserve">involving </w:t>
      </w:r>
      <w:r w:rsidRPr="003D2A76">
        <w:rPr>
          <w:rFonts w:asciiTheme="majorBidi" w:hAnsiTheme="majorBidi" w:cstheme="majorBidi"/>
          <w:lang w:val="en-GB"/>
        </w:rPr>
        <w:t xml:space="preserve">two types of discoveries. The first one is the canonical interrelationships among perceived usefulness, perceived ease of use and technology acceptance at </w:t>
      </w:r>
      <w:r w:rsidR="009A0267" w:rsidRPr="003D2A76">
        <w:rPr>
          <w:rFonts w:asciiTheme="majorBidi" w:hAnsiTheme="majorBidi" w:cstheme="majorBidi"/>
          <w:lang w:val="en-GB"/>
        </w:rPr>
        <w:t xml:space="preserve">the </w:t>
      </w:r>
      <w:r w:rsidRPr="003D2A76">
        <w:rPr>
          <w:rFonts w:asciiTheme="majorBidi" w:hAnsiTheme="majorBidi" w:cstheme="majorBidi"/>
          <w:lang w:val="en-GB"/>
        </w:rPr>
        <w:t xml:space="preserve">individual level that </w:t>
      </w:r>
      <w:r w:rsidR="009A0267" w:rsidRPr="003D2A76">
        <w:rPr>
          <w:rFonts w:asciiTheme="majorBidi" w:hAnsiTheme="majorBidi" w:cstheme="majorBidi"/>
          <w:lang w:val="en-GB"/>
        </w:rPr>
        <w:t xml:space="preserve">has </w:t>
      </w:r>
      <w:r w:rsidRPr="003D2A76">
        <w:rPr>
          <w:rFonts w:asciiTheme="majorBidi" w:hAnsiTheme="majorBidi" w:cstheme="majorBidi"/>
          <w:lang w:val="en-GB"/>
        </w:rPr>
        <w:t xml:space="preserve">been repeated in hundreds of studies in information systems since Davis (1989). It also encompasses the </w:t>
      </w:r>
      <w:r w:rsidR="003D2A76" w:rsidRPr="003D2A76">
        <w:rPr>
          <w:rFonts w:asciiTheme="majorBidi" w:hAnsiTheme="majorBidi" w:cstheme="majorBidi"/>
          <w:lang w:val="en-GB"/>
        </w:rPr>
        <w:t>five-dimensional</w:t>
      </w:r>
      <w:r w:rsidRPr="003D2A76">
        <w:rPr>
          <w:rFonts w:asciiTheme="majorBidi" w:hAnsiTheme="majorBidi" w:cstheme="majorBidi"/>
          <w:lang w:val="en-GB"/>
        </w:rPr>
        <w:t xml:space="preserve"> framework of quality in service development that was set </w:t>
      </w:r>
      <w:r w:rsidR="009A0267" w:rsidRPr="003D2A76">
        <w:rPr>
          <w:rFonts w:asciiTheme="majorBidi" w:hAnsiTheme="majorBidi" w:cstheme="majorBidi"/>
          <w:lang w:val="en-GB"/>
        </w:rPr>
        <w:t xml:space="preserve">out </w:t>
      </w:r>
      <w:r w:rsidRPr="003D2A76">
        <w:rPr>
          <w:rFonts w:asciiTheme="majorBidi" w:hAnsiTheme="majorBidi" w:cstheme="majorBidi"/>
          <w:lang w:val="en-GB"/>
        </w:rPr>
        <w:t xml:space="preserve">by </w:t>
      </w:r>
      <w:r w:rsidRPr="003D2A76">
        <w:rPr>
          <w:rFonts w:asciiTheme="majorBidi" w:hAnsiTheme="majorBidi" w:cstheme="majorBidi"/>
          <w:lang w:val="en-GB"/>
        </w:rPr>
        <w:lastRenderedPageBreak/>
        <w:t>Parasuraman et al. (1988) and its reiteration in industries. In the two circumstances</w:t>
      </w:r>
      <w:r w:rsidR="00230CF5">
        <w:rPr>
          <w:rFonts w:asciiTheme="majorBidi" w:hAnsiTheme="majorBidi" w:cstheme="majorBidi"/>
          <w:lang w:val="en-GB"/>
        </w:rPr>
        <w:t>,</w:t>
      </w:r>
      <w:r w:rsidRPr="003D2A76">
        <w:rPr>
          <w:rFonts w:asciiTheme="majorBidi" w:hAnsiTheme="majorBidi" w:cstheme="majorBidi"/>
          <w:lang w:val="en-GB"/>
        </w:rPr>
        <w:t xml:space="preserve"> the foundations are safe</w:t>
      </w:r>
      <w:r w:rsidR="00230CF5">
        <w:rPr>
          <w:rFonts w:asciiTheme="majorBidi" w:hAnsiTheme="majorBidi" w:cstheme="majorBidi"/>
          <w:lang w:val="en-GB"/>
        </w:rPr>
        <w:t>,</w:t>
      </w:r>
      <w:r w:rsidRPr="003D2A76">
        <w:rPr>
          <w:rFonts w:asciiTheme="majorBidi" w:hAnsiTheme="majorBidi" w:cstheme="majorBidi"/>
          <w:lang w:val="en-GB"/>
        </w:rPr>
        <w:t xml:space="preserve"> and the current research is not aimed at re-establishing them.</w:t>
      </w:r>
    </w:p>
    <w:p w14:paraId="4F370222" w14:textId="71C11E4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Several debates are found in the second zone, which is that of contested territory. The first point of contention is whether generative AI specifically and large language models in particular fortify or are a source of diminished user trust when deployed to high-stakes service conditions. The excitement and the scepticism that surrounded the initial adoption of ChatGPT in education and in marketing have been captured by Tlili et al. (2023) and Dwivedi et al. (2023). The second debate is whether the adoption of AI decreases or increases perceived service quality in the areas that are defined as featuring affective service encounters, including education and healthcare: both the prediction of adoption theory and the prediction of service-encounter theory are equally positive and ambivalent, respectively. </w:t>
      </w:r>
      <w:r w:rsidR="009A0267" w:rsidRPr="003D2A76">
        <w:rPr>
          <w:rFonts w:asciiTheme="majorBidi" w:hAnsiTheme="majorBidi" w:cstheme="majorBidi"/>
          <w:lang w:val="en-GB"/>
        </w:rPr>
        <w:t xml:space="preserve">A </w:t>
      </w:r>
      <w:r w:rsidRPr="003D2A76">
        <w:rPr>
          <w:rFonts w:asciiTheme="majorBidi" w:hAnsiTheme="majorBidi" w:cstheme="majorBidi"/>
          <w:lang w:val="en-GB"/>
        </w:rPr>
        <w:t xml:space="preserve">third discussion is the relevant theoretical specification: TAM, UTAUT, or a hybrid are most adequate to conceptualise AI-specific adoption, </w:t>
      </w:r>
      <w:r w:rsidR="009A0267" w:rsidRPr="003D2A76">
        <w:rPr>
          <w:rFonts w:asciiTheme="majorBidi" w:hAnsiTheme="majorBidi" w:cstheme="majorBidi"/>
          <w:lang w:val="en-GB"/>
        </w:rPr>
        <w:t xml:space="preserve">based on </w:t>
      </w:r>
      <w:r w:rsidRPr="003D2A76">
        <w:rPr>
          <w:rFonts w:asciiTheme="majorBidi" w:hAnsiTheme="majorBidi" w:cstheme="majorBidi"/>
          <w:lang w:val="en-GB"/>
        </w:rPr>
        <w:t>the view that AI is not a single technology, but a family of technologies with unique features.</w:t>
      </w:r>
    </w:p>
    <w:p w14:paraId="0C59A12E" w14:textId="38DEE31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third area </w:t>
      </w:r>
      <w:r w:rsidR="009A0267" w:rsidRPr="003D2A76">
        <w:rPr>
          <w:rFonts w:asciiTheme="majorBidi" w:hAnsiTheme="majorBidi" w:cstheme="majorBidi"/>
          <w:lang w:val="en-GB"/>
        </w:rPr>
        <w:t>–</w:t>
      </w:r>
      <w:r w:rsidRPr="003D2A76">
        <w:rPr>
          <w:rFonts w:asciiTheme="majorBidi" w:hAnsiTheme="majorBidi" w:cstheme="majorBidi"/>
          <w:lang w:val="en-GB"/>
        </w:rPr>
        <w:t xml:space="preserve"> partly-charted territory </w:t>
      </w:r>
      <w:r w:rsidR="009A0267" w:rsidRPr="003D2A76">
        <w:rPr>
          <w:rFonts w:asciiTheme="majorBidi" w:hAnsiTheme="majorBidi" w:cstheme="majorBidi"/>
          <w:lang w:val="en-GB"/>
        </w:rPr>
        <w:t>–</w:t>
      </w:r>
      <w:r w:rsidRPr="003D2A76">
        <w:rPr>
          <w:rFonts w:asciiTheme="majorBidi" w:hAnsiTheme="majorBidi" w:cstheme="majorBidi"/>
          <w:lang w:val="en-GB"/>
        </w:rPr>
        <w:t xml:space="preserve"> involves the combination of service quality, trust, and perceived value as one model of AI adoption in education. There is research looking at each pair (service quality to trust, trust to value, value to intention) but little on the entire chain, and none explicitly in K-12 privatised education in the GCC.</w:t>
      </w:r>
    </w:p>
    <w:p w14:paraId="6589187B" w14:textId="5DBDDB1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fourth area</w:t>
      </w:r>
      <w:r w:rsidR="009A0267" w:rsidRPr="003D2A76">
        <w:rPr>
          <w:rFonts w:asciiTheme="majorBidi" w:hAnsiTheme="majorBidi" w:cstheme="majorBidi"/>
          <w:lang w:val="en-GB"/>
        </w:rPr>
        <w:t xml:space="preserve"> – </w:t>
      </w:r>
      <w:r w:rsidRPr="003D2A76">
        <w:rPr>
          <w:rFonts w:asciiTheme="majorBidi" w:hAnsiTheme="majorBidi" w:cstheme="majorBidi"/>
          <w:lang w:val="en-GB"/>
        </w:rPr>
        <w:t xml:space="preserve">unexplored territory </w:t>
      </w:r>
      <w:r w:rsidR="009A0267" w:rsidRPr="003D2A76">
        <w:rPr>
          <w:rFonts w:asciiTheme="majorBidi" w:hAnsiTheme="majorBidi" w:cstheme="majorBidi"/>
          <w:lang w:val="en-GB"/>
        </w:rPr>
        <w:t xml:space="preserve">– </w:t>
      </w:r>
      <w:r w:rsidRPr="003D2A76">
        <w:rPr>
          <w:rFonts w:asciiTheme="majorBidi" w:hAnsiTheme="majorBidi" w:cstheme="majorBidi"/>
          <w:lang w:val="en-GB"/>
        </w:rPr>
        <w:t xml:space="preserve">is </w:t>
      </w:r>
      <w:r w:rsidR="009A0267" w:rsidRPr="003D2A76">
        <w:rPr>
          <w:rFonts w:asciiTheme="majorBidi" w:hAnsiTheme="majorBidi" w:cstheme="majorBidi"/>
          <w:lang w:val="en-GB"/>
        </w:rPr>
        <w:t xml:space="preserve">the one </w:t>
      </w:r>
      <w:r w:rsidRPr="003D2A76">
        <w:rPr>
          <w:rFonts w:asciiTheme="majorBidi" w:hAnsiTheme="majorBidi" w:cstheme="majorBidi"/>
          <w:lang w:val="en-GB"/>
        </w:rPr>
        <w:t xml:space="preserve">this study aims to occupy. It can be characterised in the following three ways: the emphasis on parents as the </w:t>
      </w:r>
      <w:r w:rsidR="009A0267" w:rsidRPr="003D2A76">
        <w:rPr>
          <w:rFonts w:asciiTheme="majorBidi" w:hAnsiTheme="majorBidi" w:cstheme="majorBidi"/>
          <w:lang w:val="en-GB"/>
        </w:rPr>
        <w:t>decision-</w:t>
      </w:r>
      <w:r w:rsidRPr="003D2A76">
        <w:rPr>
          <w:rFonts w:asciiTheme="majorBidi" w:hAnsiTheme="majorBidi" w:cstheme="majorBidi"/>
          <w:lang w:val="en-GB"/>
        </w:rPr>
        <w:t>makers (and not students and teachers); specification of full</w:t>
      </w:r>
      <w:r w:rsidR="009A0267" w:rsidRPr="003D2A76">
        <w:rPr>
          <w:rFonts w:asciiTheme="majorBidi" w:hAnsiTheme="majorBidi" w:cstheme="majorBidi"/>
          <w:lang w:val="en-GB"/>
        </w:rPr>
        <w:t>-</w:t>
      </w:r>
      <w:r w:rsidRPr="003D2A76">
        <w:rPr>
          <w:rFonts w:asciiTheme="majorBidi" w:hAnsiTheme="majorBidi" w:cstheme="majorBidi"/>
          <w:lang w:val="en-GB"/>
        </w:rPr>
        <w:t>chain AI adoption → service quality→ trust → value mediated by cultural influences; and that it is empirically grounded in Jeddah at a time of high diffusion of AI in private schools.</w:t>
      </w:r>
    </w:p>
    <w:p w14:paraId="577D1E6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This is the epistemic map that is the intellectual map of the chapter. Each theme analysed below lies within one of the four zones, providing discipline to the review and making sure that the argument is advancing and not restating a well-known finding.</w:t>
      </w:r>
    </w:p>
    <w:p w14:paraId="7604D2BF" w14:textId="77777777" w:rsidR="00885F3C" w:rsidRPr="003D2A76" w:rsidRDefault="00885F3C" w:rsidP="00BD6279">
      <w:pPr>
        <w:pStyle w:val="Heading2"/>
        <w:rPr>
          <w:lang w:val="en-GB"/>
        </w:rPr>
      </w:pPr>
      <w:bookmarkStart w:id="12" w:name="_Toc228056560"/>
      <w:r w:rsidRPr="003D2A76">
        <w:rPr>
          <w:rFonts w:ascii="Times New Roman" w:hAnsi="Times New Roman" w:cs="Times New Roman"/>
          <w:lang w:val="en-GB"/>
        </w:rPr>
        <w:t>2.3 Theoretical Foundations</w:t>
      </w:r>
      <w:bookmarkEnd w:id="12"/>
    </w:p>
    <w:p w14:paraId="3215EE76" w14:textId="578B7565"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2.3.1 The </w:t>
      </w:r>
      <w:r w:rsidR="001B603C" w:rsidRPr="003D2A76">
        <w:rPr>
          <w:rFonts w:asciiTheme="majorBidi" w:hAnsiTheme="majorBidi" w:cstheme="majorBidi"/>
          <w:b/>
          <w:bCs/>
          <w:i/>
          <w:lang w:val="en-GB"/>
        </w:rPr>
        <w:t>TAM</w:t>
      </w:r>
      <w:r w:rsidRPr="003D2A76">
        <w:rPr>
          <w:rFonts w:asciiTheme="majorBidi" w:hAnsiTheme="majorBidi" w:cstheme="majorBidi"/>
          <w:b/>
          <w:bCs/>
          <w:i/>
          <w:lang w:val="en-GB"/>
        </w:rPr>
        <w:t xml:space="preserve"> and Its Extensions</w:t>
      </w:r>
    </w:p>
    <w:p w14:paraId="0E69EF20" w14:textId="26EFA65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Davis (1989) formulated the </w:t>
      </w:r>
      <w:r w:rsidR="001B603C" w:rsidRPr="003D2A76">
        <w:rPr>
          <w:rFonts w:asciiTheme="majorBidi" w:hAnsiTheme="majorBidi" w:cstheme="majorBidi"/>
          <w:lang w:val="en-GB"/>
        </w:rPr>
        <w:t>TAM</w:t>
      </w:r>
      <w:r w:rsidRPr="003D2A76">
        <w:rPr>
          <w:rFonts w:asciiTheme="majorBidi" w:hAnsiTheme="majorBidi" w:cstheme="majorBidi"/>
          <w:lang w:val="en-GB"/>
        </w:rPr>
        <w:t xml:space="preserve">, which </w:t>
      </w:r>
      <w:r w:rsidR="001B603C" w:rsidRPr="003D2A76">
        <w:rPr>
          <w:rFonts w:asciiTheme="majorBidi" w:hAnsiTheme="majorBidi" w:cstheme="majorBidi"/>
          <w:lang w:val="en-GB"/>
        </w:rPr>
        <w:t xml:space="preserve">is recognised as </w:t>
      </w:r>
      <w:r w:rsidRPr="003D2A76">
        <w:rPr>
          <w:rFonts w:asciiTheme="majorBidi" w:hAnsiTheme="majorBidi" w:cstheme="majorBidi"/>
          <w:lang w:val="en-GB"/>
        </w:rPr>
        <w:t>the most mentioned instrument in the information-systems research field</w:t>
      </w:r>
      <w:r w:rsidR="00230CF5">
        <w:rPr>
          <w:rFonts w:asciiTheme="majorBidi" w:hAnsiTheme="majorBidi" w:cstheme="majorBidi"/>
          <w:lang w:val="en-GB"/>
        </w:rPr>
        <w:t>,</w:t>
      </w:r>
      <w:r w:rsidRPr="003D2A76">
        <w:rPr>
          <w:rFonts w:asciiTheme="majorBidi" w:hAnsiTheme="majorBidi" w:cstheme="majorBidi"/>
          <w:lang w:val="en-GB"/>
        </w:rPr>
        <w:t xml:space="preserve"> </w:t>
      </w:r>
      <w:r w:rsidR="001B603C" w:rsidRPr="003D2A76">
        <w:rPr>
          <w:rFonts w:asciiTheme="majorBidi" w:hAnsiTheme="majorBidi" w:cstheme="majorBidi"/>
          <w:lang w:val="en-GB"/>
        </w:rPr>
        <w:t xml:space="preserve">with </w:t>
      </w:r>
      <w:r w:rsidRPr="003D2A76">
        <w:rPr>
          <w:rFonts w:asciiTheme="majorBidi" w:hAnsiTheme="majorBidi" w:cstheme="majorBidi"/>
          <w:lang w:val="en-GB"/>
        </w:rPr>
        <w:t xml:space="preserve">over </w:t>
      </w:r>
      <w:r w:rsidR="00230CF5">
        <w:rPr>
          <w:rFonts w:asciiTheme="majorBidi" w:hAnsiTheme="majorBidi" w:cstheme="majorBidi"/>
          <w:lang w:val="en-GB"/>
        </w:rPr>
        <w:t>forty thousand citations</w:t>
      </w:r>
      <w:r w:rsidRPr="003D2A76">
        <w:rPr>
          <w:rFonts w:asciiTheme="majorBidi" w:hAnsiTheme="majorBidi" w:cstheme="majorBidi"/>
          <w:lang w:val="en-GB"/>
        </w:rPr>
        <w:t xml:space="preserve"> in over thirty years. Its essence is that two beliefs </w:t>
      </w:r>
      <w:r w:rsidR="001B603C" w:rsidRPr="003D2A76">
        <w:rPr>
          <w:rFonts w:asciiTheme="majorBidi" w:hAnsiTheme="majorBidi" w:cstheme="majorBidi"/>
          <w:lang w:val="en-GB"/>
        </w:rPr>
        <w:t xml:space="preserve">– </w:t>
      </w:r>
      <w:r w:rsidRPr="003D2A76">
        <w:rPr>
          <w:rFonts w:asciiTheme="majorBidi" w:hAnsiTheme="majorBidi" w:cstheme="majorBidi"/>
          <w:lang w:val="en-GB"/>
        </w:rPr>
        <w:t xml:space="preserve">perceived usefulness (the degree to which the use of the technology will lead to performance improvement) and perceived ease of use (the degree to which the use of it will be </w:t>
      </w:r>
      <w:r w:rsidR="00230CF5">
        <w:rPr>
          <w:rFonts w:asciiTheme="majorBidi" w:hAnsiTheme="majorBidi" w:cstheme="majorBidi"/>
          <w:lang w:val="en-GB"/>
        </w:rPr>
        <w:t>pain-free</w:t>
      </w:r>
      <w:r w:rsidRPr="003D2A76">
        <w:rPr>
          <w:rFonts w:asciiTheme="majorBidi" w:hAnsiTheme="majorBidi" w:cstheme="majorBidi"/>
          <w:lang w:val="en-GB"/>
        </w:rPr>
        <w:t xml:space="preserve">) </w:t>
      </w:r>
      <w:r w:rsidR="001B603C" w:rsidRPr="003D2A76">
        <w:rPr>
          <w:rFonts w:asciiTheme="majorBidi" w:hAnsiTheme="majorBidi" w:cstheme="majorBidi"/>
          <w:lang w:val="en-GB"/>
        </w:rPr>
        <w:t xml:space="preserve">– </w:t>
      </w:r>
      <w:r w:rsidRPr="003D2A76">
        <w:rPr>
          <w:rFonts w:asciiTheme="majorBidi" w:hAnsiTheme="majorBidi" w:cstheme="majorBidi"/>
          <w:lang w:val="en-GB"/>
        </w:rPr>
        <w:t xml:space="preserve">explain user acceptance of a technology; the two beliefs in concert determine attitude towards the use, and through attitude, behavioural intention. Its remarkable spread in empirical research can be explained by the parsimony of the model, its clarity of operation, and the fact that a validated measurement tool is available. TAM was initially designed in an </w:t>
      </w:r>
      <w:r w:rsidR="001B603C" w:rsidRPr="003D2A76">
        <w:rPr>
          <w:rFonts w:asciiTheme="majorBidi" w:hAnsiTheme="majorBidi" w:cstheme="majorBidi"/>
          <w:lang w:val="en-GB"/>
        </w:rPr>
        <w:t xml:space="preserve">organisational </w:t>
      </w:r>
      <w:r w:rsidRPr="003D2A76">
        <w:rPr>
          <w:rFonts w:asciiTheme="majorBidi" w:hAnsiTheme="majorBidi" w:cstheme="majorBidi"/>
          <w:lang w:val="en-GB"/>
        </w:rPr>
        <w:t xml:space="preserve">information-system scenario, though </w:t>
      </w:r>
      <w:r w:rsidR="001B603C" w:rsidRPr="003D2A76">
        <w:rPr>
          <w:rFonts w:asciiTheme="majorBidi" w:hAnsiTheme="majorBidi" w:cstheme="majorBidi"/>
          <w:lang w:val="en-GB"/>
        </w:rPr>
        <w:t xml:space="preserve">it </w:t>
      </w:r>
      <w:r w:rsidRPr="003D2A76">
        <w:rPr>
          <w:rFonts w:asciiTheme="majorBidi" w:hAnsiTheme="majorBidi" w:cstheme="majorBidi"/>
          <w:lang w:val="en-GB"/>
        </w:rPr>
        <w:t xml:space="preserve">has since been reconfigured to consumer technologies, e-commerce, mobile banking and, as </w:t>
      </w:r>
      <w:r w:rsidR="001B603C" w:rsidRPr="003D2A76">
        <w:rPr>
          <w:rFonts w:asciiTheme="majorBidi" w:hAnsiTheme="majorBidi" w:cstheme="majorBidi"/>
          <w:lang w:val="en-GB"/>
        </w:rPr>
        <w:t xml:space="preserve">is </w:t>
      </w:r>
      <w:r w:rsidRPr="003D2A76">
        <w:rPr>
          <w:rFonts w:asciiTheme="majorBidi" w:hAnsiTheme="majorBidi" w:cstheme="majorBidi"/>
          <w:lang w:val="en-GB"/>
        </w:rPr>
        <w:t>most</w:t>
      </w:r>
      <w:r w:rsidR="001B603C" w:rsidRPr="003D2A76">
        <w:rPr>
          <w:rFonts w:asciiTheme="majorBidi" w:hAnsiTheme="majorBidi" w:cstheme="majorBidi"/>
          <w:lang w:val="en-GB"/>
        </w:rPr>
        <w:t xml:space="preserve"> of</w:t>
      </w:r>
      <w:r w:rsidRPr="003D2A76">
        <w:rPr>
          <w:rFonts w:asciiTheme="majorBidi" w:hAnsiTheme="majorBidi" w:cstheme="majorBidi"/>
          <w:lang w:val="en-GB"/>
        </w:rPr>
        <w:t xml:space="preserve"> interest to the current study, AI-enabled services.</w:t>
      </w:r>
    </w:p>
    <w:p w14:paraId="11075254" w14:textId="6ADE137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An extension of the model, TAM2 (Venkatesh and Davis, 2000), added social-influence processes, including subjective norm, voluntariness, image, and cognitive-instrumental processes, including job relevance, output quality</w:t>
      </w:r>
      <w:r w:rsidR="00230CF5">
        <w:rPr>
          <w:rFonts w:asciiTheme="majorBidi" w:hAnsiTheme="majorBidi" w:cstheme="majorBidi"/>
          <w:lang w:val="en-GB"/>
        </w:rPr>
        <w:t>,</w:t>
      </w:r>
      <w:r w:rsidRPr="003D2A76">
        <w:rPr>
          <w:rFonts w:asciiTheme="majorBidi" w:hAnsiTheme="majorBidi" w:cstheme="majorBidi"/>
          <w:lang w:val="en-GB"/>
        </w:rPr>
        <w:t xml:space="preserve"> and result demonstrability, as antecedents of perceived usefulness. Four longitudinal field studies involving various organisational contexts established TAM2 and demonstrated that the extended model accounted </w:t>
      </w:r>
      <w:r w:rsidR="00FE537F" w:rsidRPr="003D2A76">
        <w:rPr>
          <w:rFonts w:asciiTheme="majorBidi" w:hAnsiTheme="majorBidi" w:cstheme="majorBidi"/>
          <w:lang w:val="en-GB"/>
        </w:rPr>
        <w:t xml:space="preserve">for </w:t>
      </w:r>
      <w:r w:rsidRPr="003D2A76">
        <w:rPr>
          <w:rFonts w:asciiTheme="majorBidi" w:hAnsiTheme="majorBidi" w:cstheme="majorBidi"/>
          <w:lang w:val="en-GB"/>
        </w:rPr>
        <w:t xml:space="preserve">between thirty-five and sixty per cent of the variation in intention, as opposed to the forty or so per cent ceiling of the original TAM. The social influence </w:t>
      </w:r>
      <w:r w:rsidRPr="003D2A76">
        <w:rPr>
          <w:rFonts w:asciiTheme="majorBidi" w:hAnsiTheme="majorBidi" w:cstheme="majorBidi"/>
          <w:lang w:val="en-GB"/>
        </w:rPr>
        <w:lastRenderedPageBreak/>
        <w:t>addition is relevant to the current study in particular, as the school-choice decision is a highly socially embedded decision where peer family norms, extended-family influence and reputation of the community carry a heavy value.</w:t>
      </w:r>
    </w:p>
    <w:p w14:paraId="03338401" w14:textId="77777777" w:rsidR="004A431D" w:rsidRDefault="00885F3C" w:rsidP="00BD6279">
      <w:pPr>
        <w:bidi w:val="0"/>
        <w:rPr>
          <w:rFonts w:asciiTheme="majorBidi" w:hAnsiTheme="majorBidi" w:cstheme="majorBidi"/>
          <w:lang w:val="en-GB"/>
        </w:rPr>
      </w:pPr>
      <w:r w:rsidRPr="003D2A76">
        <w:rPr>
          <w:rFonts w:asciiTheme="majorBidi" w:hAnsiTheme="majorBidi" w:cstheme="majorBidi"/>
          <w:lang w:val="en-GB"/>
        </w:rPr>
        <w:t>The Unified Theory of Acceptance and Use of Technology</w:t>
      </w:r>
      <w:r w:rsidR="00FE537F" w:rsidRPr="003D2A76">
        <w:rPr>
          <w:rFonts w:asciiTheme="majorBidi" w:hAnsiTheme="majorBidi" w:cstheme="majorBidi"/>
          <w:lang w:val="en-GB"/>
        </w:rPr>
        <w:t xml:space="preserve"> (UTAUT)</w:t>
      </w:r>
      <w:r w:rsidRPr="003D2A76">
        <w:rPr>
          <w:rFonts w:asciiTheme="majorBidi" w:hAnsiTheme="majorBidi" w:cstheme="majorBidi"/>
          <w:lang w:val="en-GB"/>
        </w:rPr>
        <w:t xml:space="preserve"> (Venkatesh et al., 2003) consolidated eight competing hypothesised </w:t>
      </w:r>
      <w:r w:rsidR="00FE537F" w:rsidRPr="003D2A76">
        <w:rPr>
          <w:rFonts w:asciiTheme="majorBidi" w:hAnsiTheme="majorBidi" w:cstheme="majorBidi"/>
          <w:lang w:val="en-GB"/>
        </w:rPr>
        <w:t xml:space="preserve">theories </w:t>
      </w:r>
      <w:r w:rsidRPr="003D2A76">
        <w:rPr>
          <w:rFonts w:asciiTheme="majorBidi" w:hAnsiTheme="majorBidi" w:cstheme="majorBidi"/>
          <w:lang w:val="en-GB"/>
        </w:rPr>
        <w:t>of technology acceptance</w:t>
      </w:r>
      <w:r w:rsidR="00FE537F" w:rsidRPr="003D2A76">
        <w:rPr>
          <w:rFonts w:asciiTheme="majorBidi" w:hAnsiTheme="majorBidi" w:cstheme="majorBidi"/>
          <w:lang w:val="en-GB"/>
        </w:rPr>
        <w:t>:</w:t>
      </w:r>
      <w:r w:rsidRPr="003D2A76">
        <w:rPr>
          <w:rFonts w:asciiTheme="majorBidi" w:hAnsiTheme="majorBidi" w:cstheme="majorBidi"/>
          <w:lang w:val="en-GB"/>
        </w:rPr>
        <w:t xml:space="preserve"> TAM, the Theory of Reasoned Action, the Theory of Planned Behaviour, the Motivational Model, the Model of PC Utilisation, the Innovation Diffusion Theory</w:t>
      </w:r>
      <w:r w:rsidR="0094212B">
        <w:rPr>
          <w:rFonts w:asciiTheme="majorBidi" w:hAnsiTheme="majorBidi" w:cstheme="majorBidi"/>
          <w:lang w:val="en-GB"/>
        </w:rPr>
        <w:t>,</w:t>
      </w:r>
      <w:r w:rsidRPr="003D2A76">
        <w:rPr>
          <w:rFonts w:asciiTheme="majorBidi" w:hAnsiTheme="majorBidi" w:cstheme="majorBidi"/>
          <w:lang w:val="en-GB"/>
        </w:rPr>
        <w:t xml:space="preserve"> the Social-Cognitive Theory</w:t>
      </w:r>
      <w:r w:rsidR="00FE537F" w:rsidRPr="003D2A76">
        <w:rPr>
          <w:rFonts w:asciiTheme="majorBidi" w:hAnsiTheme="majorBidi" w:cstheme="majorBidi"/>
          <w:lang w:val="en-GB"/>
        </w:rPr>
        <w:t xml:space="preserve">, </w:t>
      </w:r>
      <w:r w:rsidR="0094212B">
        <w:rPr>
          <w:rFonts w:asciiTheme="majorBidi" w:hAnsiTheme="majorBidi" w:cstheme="majorBidi"/>
          <w:lang w:val="en-GB"/>
        </w:rPr>
        <w:t>and combined TAM &amp;TPB</w:t>
      </w:r>
      <w:r w:rsidRPr="003D2A76">
        <w:rPr>
          <w:rFonts w:asciiTheme="majorBidi" w:hAnsiTheme="majorBidi" w:cstheme="majorBidi"/>
          <w:lang w:val="en-GB"/>
        </w:rPr>
        <w:t xml:space="preserve"> into a single theory whereby performance expectancy, effort expectancy, social influence, and facilitating conditions predict behavioural intention. </w:t>
      </w:r>
    </w:p>
    <w:p w14:paraId="60EE20BA" w14:textId="6AD186F6" w:rsidR="00885F3C" w:rsidRPr="003D2A76" w:rsidRDefault="00885F3C" w:rsidP="004A431D">
      <w:pPr>
        <w:bidi w:val="0"/>
        <w:rPr>
          <w:rFonts w:asciiTheme="majorBidi" w:hAnsiTheme="majorBidi" w:cstheme="majorBidi"/>
          <w:lang w:val="en-GB"/>
        </w:rPr>
      </w:pPr>
      <w:r w:rsidRPr="003D2A76">
        <w:rPr>
          <w:rFonts w:asciiTheme="majorBidi" w:hAnsiTheme="majorBidi" w:cstheme="majorBidi"/>
          <w:lang w:val="en-GB"/>
        </w:rPr>
        <w:t xml:space="preserve">In its original and UTAUT2 consumer form, UTAUT has been extensively mobilised in e-government, mobile payment, telehealth, and, more recently, AI-enabled service research. In the current study, UTAUT contributes </w:t>
      </w:r>
      <w:r w:rsidR="00FE537F" w:rsidRPr="003D2A76">
        <w:rPr>
          <w:rFonts w:asciiTheme="majorBidi" w:hAnsiTheme="majorBidi" w:cstheme="majorBidi"/>
          <w:lang w:val="en-GB"/>
        </w:rPr>
        <w:t xml:space="preserve">to </w:t>
      </w:r>
      <w:r w:rsidRPr="003D2A76">
        <w:rPr>
          <w:rFonts w:asciiTheme="majorBidi" w:hAnsiTheme="majorBidi" w:cstheme="majorBidi"/>
          <w:lang w:val="en-GB"/>
        </w:rPr>
        <w:t>two aspects: it justifies the integration of acceptance factors with social and contextual factors into one model and provides the moderator logic relied on by the cultural-factors part of UTAUT.</w:t>
      </w:r>
    </w:p>
    <w:p w14:paraId="2A6A72F6" w14:textId="0E82888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TAM3 (Venkatesh &amp; Bala, 2008) expanded this to include determinants of perceived usefulness and perceived ease of use with potential individual differences (computer self-efficacy, computer anxiety, computer playfulness) and system characteristics, social influence, and facilitating conditions. The study is especially interested in TAM3 as it contains a research agenda </w:t>
      </w:r>
      <w:r w:rsidR="00FE537F" w:rsidRPr="003D2A76">
        <w:rPr>
          <w:rFonts w:asciiTheme="majorBidi" w:hAnsiTheme="majorBidi" w:cstheme="majorBidi"/>
          <w:lang w:val="en-GB"/>
        </w:rPr>
        <w:t xml:space="preserve">about </w:t>
      </w:r>
      <w:r w:rsidRPr="003D2A76">
        <w:rPr>
          <w:rFonts w:asciiTheme="majorBidi" w:hAnsiTheme="majorBidi" w:cstheme="majorBidi"/>
          <w:lang w:val="en-GB"/>
        </w:rPr>
        <w:t xml:space="preserve">what can be done by organisations, at various points in the deployment, in order to influence user beliefs. This coincides with the managerial input of the current research that aims </w:t>
      </w:r>
      <w:r w:rsidR="00FE537F" w:rsidRPr="003D2A76">
        <w:rPr>
          <w:rFonts w:asciiTheme="majorBidi" w:hAnsiTheme="majorBidi" w:cstheme="majorBidi"/>
          <w:lang w:val="en-GB"/>
        </w:rPr>
        <w:t>to find</w:t>
      </w:r>
      <w:r w:rsidRPr="003D2A76">
        <w:rPr>
          <w:rFonts w:asciiTheme="majorBidi" w:hAnsiTheme="majorBidi" w:cstheme="majorBidi"/>
          <w:lang w:val="en-GB"/>
        </w:rPr>
        <w:t xml:space="preserve"> the distinct AI-adoption behaviours that are </w:t>
      </w:r>
      <w:r w:rsidRPr="003D2A76">
        <w:rPr>
          <w:rFonts w:asciiTheme="majorBidi" w:hAnsiTheme="majorBidi" w:cstheme="majorBidi"/>
          <w:lang w:val="en-GB"/>
        </w:rPr>
        <w:lastRenderedPageBreak/>
        <w:t xml:space="preserve">followed in Saudi private schools that have the strongest correlation with translation </w:t>
      </w:r>
      <w:r w:rsidR="00FE537F" w:rsidRPr="003D2A76">
        <w:rPr>
          <w:rFonts w:asciiTheme="majorBidi" w:hAnsiTheme="majorBidi" w:cstheme="majorBidi"/>
          <w:lang w:val="en-GB"/>
        </w:rPr>
        <w:t>in</w:t>
      </w:r>
      <w:r w:rsidRPr="003D2A76">
        <w:rPr>
          <w:rFonts w:asciiTheme="majorBidi" w:hAnsiTheme="majorBidi" w:cstheme="majorBidi"/>
          <w:lang w:val="en-GB"/>
        </w:rPr>
        <w:t>to parental purchase intention.</w:t>
      </w:r>
    </w:p>
    <w:p w14:paraId="50C916B7" w14:textId="350364D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TAM</w:t>
      </w:r>
      <w:r w:rsidR="00FE537F" w:rsidRPr="003D2A76">
        <w:rPr>
          <w:rFonts w:asciiTheme="majorBidi" w:hAnsiTheme="majorBidi" w:cstheme="majorBidi"/>
          <w:lang w:val="en-GB"/>
        </w:rPr>
        <w:t>’s</w:t>
      </w:r>
      <w:r w:rsidRPr="003D2A76">
        <w:rPr>
          <w:rFonts w:asciiTheme="majorBidi" w:hAnsiTheme="majorBidi" w:cstheme="majorBidi"/>
          <w:lang w:val="en-GB"/>
        </w:rPr>
        <w:t xml:space="preserve"> lineage contribution then is triple</w:t>
      </w:r>
      <w:r w:rsidR="00FE537F" w:rsidRPr="003D2A76">
        <w:rPr>
          <w:rFonts w:asciiTheme="majorBidi" w:hAnsiTheme="majorBidi" w:cstheme="majorBidi"/>
          <w:lang w:val="en-GB"/>
        </w:rPr>
        <w:t>:</w:t>
      </w:r>
      <w:r w:rsidRPr="003D2A76">
        <w:rPr>
          <w:rFonts w:asciiTheme="majorBidi" w:hAnsiTheme="majorBidi" w:cstheme="majorBidi"/>
          <w:lang w:val="en-GB"/>
        </w:rPr>
        <w:t xml:space="preserve"> a proven centrality of usefulness and ease of use; a multi-level extension of the model that introduces social, organisational and personal variables to the model; and an interventionist agenda that links theory to practice. The constraints are also reported. TAM and its extensions </w:t>
      </w:r>
      <w:r w:rsidR="00FE537F" w:rsidRPr="003D2A76">
        <w:rPr>
          <w:rFonts w:asciiTheme="majorBidi" w:hAnsiTheme="majorBidi" w:cstheme="majorBidi"/>
          <w:lang w:val="en-GB"/>
        </w:rPr>
        <w:t xml:space="preserve">are </w:t>
      </w:r>
      <w:r w:rsidRPr="003D2A76">
        <w:rPr>
          <w:rFonts w:asciiTheme="majorBidi" w:hAnsiTheme="majorBidi" w:cstheme="majorBidi"/>
          <w:lang w:val="en-GB"/>
        </w:rPr>
        <w:t xml:space="preserve">mainly individual-level models, which are more likely to under-theorise organisational capabilities, service-encounter interactions, and culturally-specific decision logic. They are also attitudinal models, and in their primitive description make no distinction between types of technology, which is significant when this technology is AI, which is an ensemble of data-driven systems with probabilistic, opaque and adaptive properties. In the current study, TAM is </w:t>
      </w:r>
      <w:r w:rsidR="00FE537F" w:rsidRPr="003D2A76">
        <w:rPr>
          <w:rFonts w:asciiTheme="majorBidi" w:hAnsiTheme="majorBidi" w:cstheme="majorBidi"/>
          <w:lang w:val="en-GB"/>
        </w:rPr>
        <w:t>retained for its</w:t>
      </w:r>
      <w:r w:rsidRPr="003D2A76">
        <w:rPr>
          <w:rFonts w:asciiTheme="majorBidi" w:hAnsiTheme="majorBidi" w:cstheme="majorBidi"/>
          <w:lang w:val="en-GB"/>
        </w:rPr>
        <w:t xml:space="preserve"> parsimony of measurement but is placed within a larger structural framework that is also endowed with service-quality, trust, value, and cultural-moderation logic.</w:t>
      </w:r>
    </w:p>
    <w:p w14:paraId="4D795208" w14:textId="5E3FE943"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2.3.2 </w:t>
      </w:r>
      <w:r w:rsidR="00FE537F" w:rsidRPr="003D2A76">
        <w:rPr>
          <w:rFonts w:asciiTheme="majorBidi" w:hAnsiTheme="majorBidi" w:cstheme="majorBidi"/>
          <w:b/>
          <w:bCs/>
          <w:i/>
          <w:lang w:val="en-GB"/>
        </w:rPr>
        <w:t>TPB</w:t>
      </w:r>
    </w:p>
    <w:p w14:paraId="424CD7CB" w14:textId="0E17B00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most successful behavioural-intention model in the social sciences is the </w:t>
      </w:r>
      <w:r w:rsidR="00FE537F" w:rsidRPr="003D2A76">
        <w:rPr>
          <w:rFonts w:asciiTheme="majorBidi" w:hAnsiTheme="majorBidi" w:cstheme="majorBidi"/>
          <w:lang w:val="en-GB"/>
        </w:rPr>
        <w:t>TPB</w:t>
      </w:r>
      <w:r w:rsidRPr="003D2A76">
        <w:rPr>
          <w:rFonts w:asciiTheme="majorBidi" w:hAnsiTheme="majorBidi" w:cstheme="majorBidi"/>
          <w:lang w:val="en-GB"/>
        </w:rPr>
        <w:t xml:space="preserve"> (Ajzen, 1991) with over sixty thousand citations. Based on the Theory of Reasoned Action, TPB hypothesises that attitude towards the behaviour (the overall favourableness or unfavourableness of performing the behaviour), subjective norms (the perceived social pressure to perform or not perform the behaviour)</w:t>
      </w:r>
      <w:r w:rsidR="00230CF5">
        <w:rPr>
          <w:rFonts w:asciiTheme="majorBidi" w:hAnsiTheme="majorBidi" w:cstheme="majorBidi"/>
          <w:lang w:val="en-GB"/>
        </w:rPr>
        <w:t>,</w:t>
      </w:r>
      <w:r w:rsidRPr="003D2A76">
        <w:rPr>
          <w:rFonts w:asciiTheme="majorBidi" w:hAnsiTheme="majorBidi" w:cstheme="majorBidi"/>
          <w:lang w:val="en-GB"/>
        </w:rPr>
        <w:t xml:space="preserve"> and perceived behavioural control (the perceived ease or difficulty of performing the behaviour, which reflects both internal and outside resources) lead to behavioural intention. Intention, on the other hand, is the </w:t>
      </w:r>
      <w:r w:rsidRPr="003D2A76">
        <w:rPr>
          <w:rFonts w:asciiTheme="majorBidi" w:hAnsiTheme="majorBidi" w:cstheme="majorBidi"/>
          <w:lang w:val="en-GB"/>
        </w:rPr>
        <w:lastRenderedPageBreak/>
        <w:t>nearest predictor of actual behaviour, and perceived behavioural control also has a direct influence on behaviour where the behaviour is not quite under volitional control.</w:t>
      </w:r>
    </w:p>
    <w:p w14:paraId="18FF6D40" w14:textId="5376368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relation to the current research, TPB has three contributing factors. First, it provides the logical constitution of the dependent variable: purchase intention is not an aimless culmination but a theoretically-based construct with a lengthy heritage of measurement. Second, it contextualises the social influence in a manner that aligns with both the subjective-norm factor of UTAUT and the cultural-moderation factor: the perceived pressures of </w:t>
      </w:r>
      <w:r w:rsidR="00230CF5">
        <w:rPr>
          <w:rFonts w:asciiTheme="majorBidi" w:hAnsiTheme="majorBidi" w:cstheme="majorBidi"/>
          <w:lang w:val="en-GB"/>
        </w:rPr>
        <w:t>social approval</w:t>
      </w:r>
      <w:r w:rsidRPr="003D2A76">
        <w:rPr>
          <w:rFonts w:asciiTheme="majorBidi" w:hAnsiTheme="majorBidi" w:cstheme="majorBidi"/>
          <w:lang w:val="en-GB"/>
        </w:rPr>
        <w:t xml:space="preserve"> and social pressure play a special role in a family-centred market. Third, the separation of intention and behaviour introduced by TPB allows the methodological </w:t>
      </w:r>
      <w:r w:rsidR="00F93084">
        <w:rPr>
          <w:rFonts w:asciiTheme="majorBidi" w:hAnsiTheme="majorBidi" w:cstheme="majorBidi"/>
          <w:lang w:val="en-GB"/>
        </w:rPr>
        <w:t>rigour6</w:t>
      </w:r>
      <w:r w:rsidRPr="003D2A76">
        <w:rPr>
          <w:rFonts w:asciiTheme="majorBidi" w:hAnsiTheme="majorBidi" w:cstheme="majorBidi"/>
          <w:lang w:val="en-GB"/>
        </w:rPr>
        <w:t xml:space="preserve"> of the current test, which operationalises intention as the immediate product but admits that the </w:t>
      </w:r>
      <w:r w:rsidR="00FE537F" w:rsidRPr="003D2A76">
        <w:rPr>
          <w:rFonts w:asciiTheme="majorBidi" w:hAnsiTheme="majorBidi" w:cstheme="majorBidi"/>
          <w:lang w:val="en-GB"/>
        </w:rPr>
        <w:t xml:space="preserve">characterisation </w:t>
      </w:r>
      <w:r w:rsidRPr="003D2A76">
        <w:rPr>
          <w:rFonts w:asciiTheme="majorBidi" w:hAnsiTheme="majorBidi" w:cstheme="majorBidi"/>
          <w:lang w:val="en-GB"/>
        </w:rPr>
        <w:t>of intention into enrolment is based on perceived behavioural control</w:t>
      </w:r>
      <w:r w:rsidR="00FE537F" w:rsidRPr="003D2A76">
        <w:rPr>
          <w:rFonts w:asciiTheme="majorBidi" w:hAnsiTheme="majorBidi" w:cstheme="majorBidi"/>
          <w:lang w:val="en-GB"/>
        </w:rPr>
        <w:t>. There</w:t>
      </w:r>
      <w:r w:rsidRPr="003D2A76">
        <w:rPr>
          <w:rFonts w:asciiTheme="majorBidi" w:hAnsiTheme="majorBidi" w:cstheme="majorBidi"/>
          <w:lang w:val="en-GB"/>
        </w:rPr>
        <w:t xml:space="preserve"> are </w:t>
      </w:r>
      <w:r w:rsidR="00FE537F" w:rsidRPr="003D2A76">
        <w:rPr>
          <w:rFonts w:asciiTheme="majorBidi" w:hAnsiTheme="majorBidi" w:cstheme="majorBidi"/>
          <w:lang w:val="en-GB"/>
        </w:rPr>
        <w:t xml:space="preserve">also </w:t>
      </w:r>
      <w:r w:rsidRPr="003D2A76">
        <w:rPr>
          <w:rFonts w:asciiTheme="majorBidi" w:hAnsiTheme="majorBidi" w:cstheme="majorBidi"/>
          <w:lang w:val="en-GB"/>
        </w:rPr>
        <w:t xml:space="preserve">other factors that the model fails to encompass (school availability, admissions outcomes, tuition affordability, work-related relocation). TPB has been criticised </w:t>
      </w:r>
      <w:r w:rsidR="00FE537F" w:rsidRPr="003D2A76">
        <w:rPr>
          <w:rFonts w:asciiTheme="majorBidi" w:hAnsiTheme="majorBidi" w:cstheme="majorBidi"/>
          <w:lang w:val="en-GB"/>
        </w:rPr>
        <w:t xml:space="preserve">for </w:t>
      </w:r>
      <w:r w:rsidRPr="003D2A76">
        <w:rPr>
          <w:rFonts w:asciiTheme="majorBidi" w:hAnsiTheme="majorBidi" w:cstheme="majorBidi"/>
          <w:lang w:val="en-GB"/>
        </w:rPr>
        <w:t xml:space="preserve">its comparatively poor theorisation of affective and automatic processes, and more recent extensions (such as implementation-intention theory) have attempted to fill these gaps, but modern extensions (the integrated model) have attempted to incorporate </w:t>
      </w:r>
      <w:r w:rsidR="00230CF5">
        <w:rPr>
          <w:rFonts w:asciiTheme="majorBidi" w:hAnsiTheme="majorBidi" w:cstheme="majorBidi"/>
          <w:lang w:val="en-GB"/>
        </w:rPr>
        <w:t>several</w:t>
      </w:r>
      <w:r w:rsidRPr="003D2A76">
        <w:rPr>
          <w:rFonts w:asciiTheme="majorBidi" w:hAnsiTheme="majorBidi" w:cstheme="majorBidi"/>
          <w:lang w:val="en-GB"/>
        </w:rPr>
        <w:t xml:space="preserve"> affective and contextual factors via its other components.</w:t>
      </w:r>
    </w:p>
    <w:p w14:paraId="1A0EF650"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2.3.3 SERVQUAL and Service Quality in Education</w:t>
      </w:r>
    </w:p>
    <w:p w14:paraId="4B0C082B" w14:textId="0184BFA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Service quality</w:t>
      </w:r>
      <w:r w:rsidR="00FE537F" w:rsidRPr="003D2A76">
        <w:rPr>
          <w:rFonts w:asciiTheme="majorBidi" w:hAnsiTheme="majorBidi" w:cstheme="majorBidi"/>
          <w:lang w:val="en-GB"/>
        </w:rPr>
        <w:t>,</w:t>
      </w:r>
      <w:r w:rsidRPr="003D2A76">
        <w:rPr>
          <w:rFonts w:asciiTheme="majorBidi" w:hAnsiTheme="majorBidi" w:cstheme="majorBidi"/>
          <w:lang w:val="en-GB"/>
        </w:rPr>
        <w:t xml:space="preserve"> measured by SERVQUAL (Parasuraman et al., 1988)</w:t>
      </w:r>
      <w:r w:rsidR="00FE537F" w:rsidRPr="003D2A76">
        <w:rPr>
          <w:rFonts w:asciiTheme="majorBidi" w:hAnsiTheme="majorBidi" w:cstheme="majorBidi"/>
          <w:lang w:val="en-GB"/>
        </w:rPr>
        <w:t>,</w:t>
      </w:r>
      <w:r w:rsidRPr="003D2A76">
        <w:rPr>
          <w:rFonts w:asciiTheme="majorBidi" w:hAnsiTheme="majorBidi" w:cstheme="majorBidi"/>
          <w:lang w:val="en-GB"/>
        </w:rPr>
        <w:t xml:space="preserve"> </w:t>
      </w:r>
      <w:r w:rsidR="00FE537F" w:rsidRPr="003D2A76">
        <w:rPr>
          <w:rFonts w:asciiTheme="majorBidi" w:hAnsiTheme="majorBidi" w:cstheme="majorBidi"/>
          <w:lang w:val="en-GB"/>
        </w:rPr>
        <w:t xml:space="preserve">determines </w:t>
      </w:r>
      <w:r w:rsidRPr="003D2A76">
        <w:rPr>
          <w:rFonts w:asciiTheme="majorBidi" w:hAnsiTheme="majorBidi" w:cstheme="majorBidi"/>
          <w:lang w:val="en-GB"/>
        </w:rPr>
        <w:t>the difference between customer expectations and perceptions of service performance operationalised based on five dimensions namely</w:t>
      </w:r>
      <w:r w:rsidR="00FE537F" w:rsidRPr="003D2A76">
        <w:rPr>
          <w:rFonts w:asciiTheme="majorBidi" w:hAnsiTheme="majorBidi" w:cstheme="majorBidi"/>
          <w:lang w:val="en-GB"/>
        </w:rPr>
        <w:t>:</w:t>
      </w:r>
      <w:r w:rsidRPr="003D2A76">
        <w:rPr>
          <w:rFonts w:asciiTheme="majorBidi" w:hAnsiTheme="majorBidi" w:cstheme="majorBidi"/>
          <w:lang w:val="en-GB"/>
        </w:rPr>
        <w:t xml:space="preserve"> tangibles (physical facilities, equipment, and the way employees appear); reliability (capability </w:t>
      </w:r>
      <w:r w:rsidR="00FE537F" w:rsidRPr="003D2A76">
        <w:rPr>
          <w:rFonts w:asciiTheme="majorBidi" w:hAnsiTheme="majorBidi" w:cstheme="majorBidi"/>
          <w:lang w:val="en-GB"/>
        </w:rPr>
        <w:t>to deliver</w:t>
      </w:r>
      <w:r w:rsidRPr="003D2A76">
        <w:rPr>
          <w:rFonts w:asciiTheme="majorBidi" w:hAnsiTheme="majorBidi" w:cstheme="majorBidi"/>
          <w:lang w:val="en-GB"/>
        </w:rPr>
        <w:t xml:space="preserve"> the promised </w:t>
      </w:r>
      <w:r w:rsidRPr="003D2A76">
        <w:rPr>
          <w:rFonts w:asciiTheme="majorBidi" w:hAnsiTheme="majorBidi" w:cstheme="majorBidi"/>
          <w:lang w:val="en-GB"/>
        </w:rPr>
        <w:lastRenderedPageBreak/>
        <w:t>service correctly and in the right way); responsiveness (eager</w:t>
      </w:r>
      <w:r w:rsidR="00FE537F" w:rsidRPr="003D2A76">
        <w:rPr>
          <w:rFonts w:asciiTheme="majorBidi" w:hAnsiTheme="majorBidi" w:cstheme="majorBidi"/>
          <w:lang w:val="en-GB"/>
        </w:rPr>
        <w:t>ness</w:t>
      </w:r>
      <w:r w:rsidRPr="003D2A76">
        <w:rPr>
          <w:rFonts w:asciiTheme="majorBidi" w:hAnsiTheme="majorBidi" w:cstheme="majorBidi"/>
          <w:lang w:val="en-GB"/>
        </w:rPr>
        <w:t xml:space="preserve"> to assist the customer and provide timely service)</w:t>
      </w:r>
      <w:r w:rsidR="00FE537F" w:rsidRPr="003D2A76">
        <w:rPr>
          <w:rFonts w:asciiTheme="majorBidi" w:hAnsiTheme="majorBidi" w:cstheme="majorBidi"/>
          <w:lang w:val="en-GB"/>
        </w:rPr>
        <w:t>;</w:t>
      </w:r>
      <w:r w:rsidRPr="003D2A76">
        <w:rPr>
          <w:rFonts w:asciiTheme="majorBidi" w:hAnsiTheme="majorBidi" w:cstheme="majorBidi"/>
          <w:lang w:val="en-GB"/>
        </w:rPr>
        <w:t xml:space="preserve"> assurance (employee knowledge and courtesy)</w:t>
      </w:r>
      <w:r w:rsidR="00FE537F" w:rsidRPr="003D2A76">
        <w:rPr>
          <w:rFonts w:asciiTheme="majorBidi" w:hAnsiTheme="majorBidi" w:cstheme="majorBidi"/>
          <w:lang w:val="en-GB"/>
        </w:rPr>
        <w:t>;</w:t>
      </w:r>
      <w:r w:rsidRPr="003D2A76">
        <w:rPr>
          <w:rFonts w:asciiTheme="majorBidi" w:hAnsiTheme="majorBidi" w:cstheme="majorBidi"/>
          <w:lang w:val="en-GB"/>
        </w:rPr>
        <w:t xml:space="preserve"> and empathy (individualised attention to customers). This instrument has been recreated in hundreds of industries such as education, healthcare, hospitality, banking</w:t>
      </w:r>
      <w:r w:rsidR="00230CF5">
        <w:rPr>
          <w:rFonts w:asciiTheme="majorBidi" w:hAnsiTheme="majorBidi" w:cstheme="majorBidi"/>
          <w:lang w:val="en-GB"/>
        </w:rPr>
        <w:t>,</w:t>
      </w:r>
      <w:r w:rsidRPr="003D2A76">
        <w:rPr>
          <w:rFonts w:asciiTheme="majorBidi" w:hAnsiTheme="majorBidi" w:cstheme="majorBidi"/>
          <w:lang w:val="en-GB"/>
        </w:rPr>
        <w:t xml:space="preserve"> and the public service, and has been translated into various languages and cultures.</w:t>
      </w:r>
    </w:p>
    <w:p w14:paraId="27A240CD" w14:textId="4CDD076E" w:rsidR="00885F3C"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When applied to education, SERVQUAL has generated abundant adaptation literature: entries on the "tangibles" list are repurposed as concerns </w:t>
      </w:r>
      <w:r w:rsidR="00FE537F" w:rsidRPr="003D2A76">
        <w:rPr>
          <w:rFonts w:asciiTheme="majorBidi" w:hAnsiTheme="majorBidi" w:cstheme="majorBidi"/>
          <w:lang w:val="en-GB"/>
        </w:rPr>
        <w:t xml:space="preserve">about </w:t>
      </w:r>
      <w:r w:rsidRPr="003D2A76">
        <w:rPr>
          <w:rFonts w:asciiTheme="majorBidi" w:hAnsiTheme="majorBidi" w:cstheme="majorBidi"/>
          <w:lang w:val="en-GB"/>
        </w:rPr>
        <w:t xml:space="preserve">school facilities, learning contexts, and learning informatics; on reliability as concerns </w:t>
      </w:r>
      <w:r w:rsidR="00FE537F" w:rsidRPr="003D2A76">
        <w:rPr>
          <w:rFonts w:asciiTheme="majorBidi" w:hAnsiTheme="majorBidi" w:cstheme="majorBidi"/>
          <w:lang w:val="en-GB"/>
        </w:rPr>
        <w:t xml:space="preserve">about </w:t>
      </w:r>
      <w:r w:rsidRPr="003D2A76">
        <w:rPr>
          <w:rFonts w:asciiTheme="majorBidi" w:hAnsiTheme="majorBidi" w:cstheme="majorBidi"/>
          <w:lang w:val="en-GB"/>
        </w:rPr>
        <w:t xml:space="preserve">curriculum delivery and consistency of assessment; on responsiveness as concerns </w:t>
      </w:r>
      <w:r w:rsidR="00FE537F" w:rsidRPr="003D2A76">
        <w:rPr>
          <w:rFonts w:asciiTheme="majorBidi" w:hAnsiTheme="majorBidi" w:cstheme="majorBidi"/>
          <w:lang w:val="en-GB"/>
        </w:rPr>
        <w:t xml:space="preserve">about </w:t>
      </w:r>
      <w:r w:rsidRPr="003D2A76">
        <w:rPr>
          <w:rFonts w:asciiTheme="majorBidi" w:hAnsiTheme="majorBidi" w:cstheme="majorBidi"/>
          <w:lang w:val="en-GB"/>
        </w:rPr>
        <w:t xml:space="preserve">the responsiveness of teachers and administrators to the concerns of parents; on assurance as </w:t>
      </w:r>
      <w:r w:rsidR="00FE537F" w:rsidRPr="003D2A76">
        <w:rPr>
          <w:rFonts w:asciiTheme="majorBidi" w:hAnsiTheme="majorBidi" w:cstheme="majorBidi"/>
          <w:lang w:val="en-GB"/>
        </w:rPr>
        <w:t xml:space="preserve">concerns about </w:t>
      </w:r>
      <w:r w:rsidRPr="003D2A76">
        <w:rPr>
          <w:rFonts w:asciiTheme="majorBidi" w:hAnsiTheme="majorBidi" w:cstheme="majorBidi"/>
          <w:lang w:val="en-GB"/>
        </w:rPr>
        <w:t>the qualifications of teachers and the reputation of the school; and on empathy</w:t>
      </w:r>
      <w:r w:rsidR="00F509B5">
        <w:rPr>
          <w:rFonts w:asciiTheme="majorBidi" w:hAnsiTheme="majorBidi" w:cstheme="majorBidi"/>
          <w:lang w:val="en-GB"/>
        </w:rPr>
        <w:t xml:space="preserve"> as concerns about the degree of caring and individual attention to students and parents considering their unique needs and personal circumstances</w:t>
      </w:r>
      <w:r w:rsidRPr="003D2A76">
        <w:rPr>
          <w:rFonts w:asciiTheme="majorBidi" w:hAnsiTheme="majorBidi" w:cstheme="majorBidi"/>
          <w:lang w:val="en-GB"/>
        </w:rPr>
        <w:t xml:space="preserve">. The adaptation is not without criticism: </w:t>
      </w:r>
      <w:r w:rsidR="00230CF5">
        <w:rPr>
          <w:rFonts w:asciiTheme="majorBidi" w:hAnsiTheme="majorBidi" w:cstheme="majorBidi"/>
          <w:lang w:val="en-GB"/>
        </w:rPr>
        <w:t>several</w:t>
      </w:r>
      <w:r w:rsidRPr="003D2A76">
        <w:rPr>
          <w:rFonts w:asciiTheme="majorBidi" w:hAnsiTheme="majorBidi" w:cstheme="majorBidi"/>
          <w:lang w:val="en-GB"/>
        </w:rPr>
        <w:t xml:space="preserve"> theorists have stated that educational SERVQUAL needs more dimensions (quality of curriculum, safety, and outcomes among the others); some have expressed criticism about the expectations-minus-perceptions format of scoring, in favour of </w:t>
      </w:r>
      <w:r w:rsidR="00FE537F" w:rsidRPr="003D2A76">
        <w:rPr>
          <w:rFonts w:asciiTheme="majorBidi" w:hAnsiTheme="majorBidi" w:cstheme="majorBidi"/>
          <w:lang w:val="en-GB"/>
        </w:rPr>
        <w:t xml:space="preserve">a </w:t>
      </w:r>
      <w:r w:rsidRPr="003D2A76">
        <w:rPr>
          <w:rFonts w:asciiTheme="majorBidi" w:hAnsiTheme="majorBidi" w:cstheme="majorBidi"/>
          <w:lang w:val="en-GB"/>
        </w:rPr>
        <w:t>perceptions-only format. Nevertheless, the SERVQUAL framework is by far the most common operationalisation of service quality in educational research studies, and its conceptual framework is employed in its current study with modifications to incorporate AI-enabled service elements (e.g., the reliability of AI-mediated feedback, responsiveness of AI chatbots, empathy of AI-mediated communication).</w:t>
      </w:r>
    </w:p>
    <w:p w14:paraId="282ECA48" w14:textId="26130373" w:rsidR="00FB207C" w:rsidRDefault="00FB207C" w:rsidP="00FB207C">
      <w:pPr>
        <w:bidi w:val="0"/>
        <w:rPr>
          <w:rFonts w:asciiTheme="majorBidi" w:hAnsiTheme="majorBidi" w:cstheme="majorBidi"/>
          <w:lang w:val="en-GB"/>
        </w:rPr>
      </w:pPr>
    </w:p>
    <w:p w14:paraId="42781DB5" w14:textId="77777777" w:rsidR="00FB207C" w:rsidRPr="003D2A76" w:rsidRDefault="00FB207C" w:rsidP="00FB207C">
      <w:pPr>
        <w:bidi w:val="0"/>
        <w:rPr>
          <w:rFonts w:asciiTheme="majorBidi" w:hAnsiTheme="majorBidi" w:cstheme="majorBidi"/>
          <w:lang w:val="en-GB"/>
        </w:rPr>
      </w:pPr>
    </w:p>
    <w:p w14:paraId="169CB086"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lastRenderedPageBreak/>
        <w:t>2.3.4 Perceived Value</w:t>
      </w:r>
    </w:p>
    <w:p w14:paraId="142CB310" w14:textId="606ABAF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Conceptualised by Zeithaml (1988), the perceived value is the overall evaluation of </w:t>
      </w:r>
      <w:r w:rsidR="00832FEA">
        <w:rPr>
          <w:rFonts w:asciiTheme="majorBidi" w:hAnsiTheme="majorBidi" w:cstheme="majorBidi"/>
          <w:lang w:val="en-GB"/>
        </w:rPr>
        <w:t xml:space="preserve">the </w:t>
      </w:r>
      <w:r w:rsidRPr="003D2A76">
        <w:rPr>
          <w:rFonts w:asciiTheme="majorBidi" w:hAnsiTheme="majorBidi" w:cstheme="majorBidi"/>
          <w:lang w:val="en-GB"/>
        </w:rPr>
        <w:t xml:space="preserve">utility of a commodity or service in the minds of a consumer </w:t>
      </w:r>
      <w:r w:rsidR="00230CF5">
        <w:rPr>
          <w:rFonts w:asciiTheme="majorBidi" w:hAnsiTheme="majorBidi" w:cstheme="majorBidi"/>
          <w:lang w:val="en-GB"/>
        </w:rPr>
        <w:t>based on</w:t>
      </w:r>
      <w:r w:rsidRPr="003D2A76">
        <w:rPr>
          <w:rFonts w:asciiTheme="majorBidi" w:hAnsiTheme="majorBidi" w:cstheme="majorBidi"/>
          <w:lang w:val="en-GB"/>
        </w:rPr>
        <w:t xml:space="preserve"> perception of the received and the given. The means-end model by Zeithaml suggests that perceived value is the higher-order construct that intermediates between the concrete service attributes (including quality) and the behavioural outcomes (including purchase intention and loyalty). Sweeney and Soutar (2001) later came up with operationalisations of perceived value in terms of four sub-dimensions</w:t>
      </w:r>
      <w:r w:rsidR="00BF38C5" w:rsidRPr="003D2A76">
        <w:rPr>
          <w:rFonts w:asciiTheme="majorBidi" w:hAnsiTheme="majorBidi" w:cstheme="majorBidi"/>
          <w:lang w:val="en-GB"/>
        </w:rPr>
        <w:t>:</w:t>
      </w:r>
      <w:r w:rsidRPr="003D2A76">
        <w:rPr>
          <w:rFonts w:asciiTheme="majorBidi" w:hAnsiTheme="majorBidi" w:cstheme="majorBidi"/>
          <w:lang w:val="en-GB"/>
        </w:rPr>
        <w:t xml:space="preserve"> functional value (price-quality), functional value (performance-quality), emotional value, and social value</w:t>
      </w:r>
      <w:r w:rsidR="00BF38C5" w:rsidRPr="003D2A76">
        <w:rPr>
          <w:rFonts w:asciiTheme="majorBidi" w:hAnsiTheme="majorBidi" w:cstheme="majorBidi"/>
          <w:lang w:val="en-GB"/>
        </w:rPr>
        <w:t>; they did this</w:t>
      </w:r>
      <w:r w:rsidRPr="003D2A76">
        <w:rPr>
          <w:rFonts w:asciiTheme="majorBidi" w:hAnsiTheme="majorBidi" w:cstheme="majorBidi"/>
          <w:lang w:val="en-GB"/>
        </w:rPr>
        <w:t xml:space="preserve"> by developing a multi-item scale known as PERVAL. This multidimensionality is significant in that it reflects the fact that value is not merely determined </w:t>
      </w:r>
      <w:r w:rsidR="00BF38C5" w:rsidRPr="003D2A76">
        <w:rPr>
          <w:rFonts w:asciiTheme="majorBidi" w:hAnsiTheme="majorBidi" w:cstheme="majorBidi"/>
          <w:lang w:val="en-GB"/>
        </w:rPr>
        <w:t xml:space="preserve">according to </w:t>
      </w:r>
      <w:r w:rsidRPr="003D2A76">
        <w:rPr>
          <w:rFonts w:asciiTheme="majorBidi" w:hAnsiTheme="majorBidi" w:cstheme="majorBidi"/>
          <w:lang w:val="en-GB"/>
        </w:rPr>
        <w:t xml:space="preserve">its basis </w:t>
      </w:r>
      <w:r w:rsidR="00BF38C5" w:rsidRPr="003D2A76">
        <w:rPr>
          <w:rFonts w:asciiTheme="majorBidi" w:hAnsiTheme="majorBidi" w:cstheme="majorBidi"/>
          <w:lang w:val="en-GB"/>
        </w:rPr>
        <w:t xml:space="preserve">in </w:t>
      </w:r>
      <w:r w:rsidRPr="003D2A76">
        <w:rPr>
          <w:rFonts w:asciiTheme="majorBidi" w:hAnsiTheme="majorBidi" w:cstheme="majorBidi"/>
          <w:lang w:val="en-GB"/>
        </w:rPr>
        <w:t>functional performance against price but also the emotional experience of consumption and the social signalling that the service fulfils.</w:t>
      </w:r>
    </w:p>
    <w:p w14:paraId="11DE3100" w14:textId="2822F6D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role of perceived value is particularly focal in education since the service is intangible, experience-based, long-term and future outcome-focused. Parents do not merely consider the immediate material characteristics of the school, but they take into consideration the projected performance (academic performance), the projected emotional performance (happiness of the child, his or her self-esteem), the social status which the reputation of </w:t>
      </w:r>
      <w:r w:rsidR="00BF38C5" w:rsidRPr="003D2A76">
        <w:rPr>
          <w:rFonts w:asciiTheme="majorBidi" w:hAnsiTheme="majorBidi" w:cstheme="majorBidi"/>
          <w:lang w:val="en-GB"/>
        </w:rPr>
        <w:t xml:space="preserve">the </w:t>
      </w:r>
      <w:r w:rsidRPr="003D2A76">
        <w:rPr>
          <w:rFonts w:asciiTheme="majorBidi" w:hAnsiTheme="majorBidi" w:cstheme="majorBidi"/>
          <w:lang w:val="en-GB"/>
        </w:rPr>
        <w:t xml:space="preserve">school offers, and the financial investment necessary. Perceived value is even more multidimensional in the AI-adoption context: AI-enabled services are judged based on functional benefits (the contribution to personalisation, the fastness of feedback), as well as on the emotional aspects (whether users are confident </w:t>
      </w:r>
      <w:r w:rsidR="00BF38C5" w:rsidRPr="003D2A76">
        <w:rPr>
          <w:rFonts w:asciiTheme="majorBidi" w:hAnsiTheme="majorBidi" w:cstheme="majorBidi"/>
          <w:lang w:val="en-GB"/>
        </w:rPr>
        <w:t xml:space="preserve">with </w:t>
      </w:r>
      <w:r w:rsidRPr="003D2A76">
        <w:rPr>
          <w:rFonts w:asciiTheme="majorBidi" w:hAnsiTheme="majorBidi" w:cstheme="majorBidi"/>
          <w:lang w:val="en-GB"/>
        </w:rPr>
        <w:t xml:space="preserve">AI-enabled services or apprehensive about the changes), on the social factors </w:t>
      </w:r>
      <w:r w:rsidRPr="003D2A76">
        <w:rPr>
          <w:rFonts w:asciiTheme="majorBidi" w:hAnsiTheme="majorBidi" w:cstheme="majorBidi"/>
          <w:lang w:val="en-GB"/>
        </w:rPr>
        <w:lastRenderedPageBreak/>
        <w:t>(whether AI-enabled schools are valued by their social circle), and on the financial factors (whether AI adoption is perceived to justify tuition cost). That is why the integrated model states the perceived value as a focal mediator that takes up the impacts of the quality of services and trust and conveys them to the purchase intention.</w:t>
      </w:r>
    </w:p>
    <w:p w14:paraId="140A8BB8"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2.3.5 Synthesis of Theoretical Foundations</w:t>
      </w:r>
    </w:p>
    <w:p w14:paraId="739EC697" w14:textId="081F4C1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 combination of these four traditions synthesises an analytical framework that is coherent. TAM and its extensions explain the antecedents of acceptance of technology at the individual level and provide the logic </w:t>
      </w:r>
      <w:r w:rsidR="00BF38C5" w:rsidRPr="003D2A76">
        <w:rPr>
          <w:rFonts w:asciiTheme="majorBidi" w:hAnsiTheme="majorBidi" w:cstheme="majorBidi"/>
          <w:lang w:val="en-GB"/>
        </w:rPr>
        <w:t>for</w:t>
      </w:r>
      <w:r w:rsidRPr="003D2A76">
        <w:rPr>
          <w:rFonts w:asciiTheme="majorBidi" w:hAnsiTheme="majorBidi" w:cstheme="majorBidi"/>
          <w:lang w:val="en-GB"/>
        </w:rPr>
        <w:t xml:space="preserve"> the acceptance-intention that regulates the connection between AI adoption and intention to purchase. The social</w:t>
      </w:r>
      <w:r w:rsidR="00BF38C5" w:rsidRPr="003D2A76">
        <w:rPr>
          <w:rFonts w:asciiTheme="majorBidi" w:hAnsiTheme="majorBidi" w:cstheme="majorBidi"/>
          <w:lang w:val="en-GB"/>
        </w:rPr>
        <w:t>-</w:t>
      </w:r>
      <w:r w:rsidRPr="003D2A76">
        <w:rPr>
          <w:rFonts w:asciiTheme="majorBidi" w:hAnsiTheme="majorBidi" w:cstheme="majorBidi"/>
          <w:lang w:val="en-GB"/>
        </w:rPr>
        <w:t xml:space="preserve"> and behavioural-control mechanisms of intention formation are put into perspective by TPB, which is especially salient in a social decision environment like in a family. SERVQUAL provides the construct and the logic </w:t>
      </w:r>
      <w:r w:rsidR="00BF38C5" w:rsidRPr="003D2A76">
        <w:rPr>
          <w:rFonts w:asciiTheme="majorBidi" w:hAnsiTheme="majorBidi" w:cstheme="majorBidi"/>
          <w:lang w:val="en-GB"/>
        </w:rPr>
        <w:t xml:space="preserve">for </w:t>
      </w:r>
      <w:r w:rsidRPr="003D2A76">
        <w:rPr>
          <w:rFonts w:asciiTheme="majorBidi" w:hAnsiTheme="majorBidi" w:cstheme="majorBidi"/>
          <w:lang w:val="en-GB"/>
        </w:rPr>
        <w:t xml:space="preserve">measurement </w:t>
      </w:r>
      <w:r w:rsidR="00BF38C5" w:rsidRPr="003D2A76">
        <w:rPr>
          <w:rFonts w:asciiTheme="majorBidi" w:hAnsiTheme="majorBidi" w:cstheme="majorBidi"/>
          <w:lang w:val="en-GB"/>
        </w:rPr>
        <w:t xml:space="preserve">of </w:t>
      </w:r>
      <w:r w:rsidRPr="003D2A76">
        <w:rPr>
          <w:rFonts w:asciiTheme="majorBidi" w:hAnsiTheme="majorBidi" w:cstheme="majorBidi"/>
          <w:lang w:val="en-GB"/>
        </w:rPr>
        <w:t xml:space="preserve">the perceived quality of service by indicating the dimensions by which AI-mediated service characteristics and human-mediated ones are measured. The perceived-value theory takes into consideration the cognitive (price-quality) and affective (emotional, social) axis in which the judgment is translated into intention. The four traditions are not superfluous; each one of them seals a gap in the others. The combined model suggested in this paper puts them together into one structural apparatus and includes an element of cultural-moderation which appreciates the peculiarities of </w:t>
      </w:r>
      <w:r w:rsidR="00BF38C5" w:rsidRPr="003D2A76">
        <w:rPr>
          <w:rFonts w:asciiTheme="majorBidi" w:hAnsiTheme="majorBidi" w:cstheme="majorBidi"/>
          <w:lang w:val="en-GB"/>
        </w:rPr>
        <w:t xml:space="preserve">the </w:t>
      </w:r>
      <w:r w:rsidRPr="003D2A76">
        <w:rPr>
          <w:rFonts w:asciiTheme="majorBidi" w:hAnsiTheme="majorBidi" w:cstheme="majorBidi"/>
          <w:lang w:val="en-GB"/>
        </w:rPr>
        <w:t>Saudi private-education market. This is the hypothetical contribution proposed in Chapter 1 and realised in Chapter 3.</w:t>
      </w:r>
    </w:p>
    <w:p w14:paraId="2D358A44" w14:textId="77777777" w:rsidR="00885F3C" w:rsidRPr="003D2A76" w:rsidRDefault="00885F3C" w:rsidP="00BD6279">
      <w:pPr>
        <w:pStyle w:val="Heading2"/>
        <w:rPr>
          <w:lang w:val="en-GB"/>
        </w:rPr>
      </w:pPr>
      <w:bookmarkStart w:id="13" w:name="_Toc228056561"/>
      <w:r w:rsidRPr="003D2A76">
        <w:rPr>
          <w:rFonts w:ascii="Times New Roman" w:hAnsi="Times New Roman" w:cs="Times New Roman"/>
          <w:lang w:val="en-GB"/>
        </w:rPr>
        <w:t>2.4 Thematic Review Across the Ten Research Areas</w:t>
      </w:r>
      <w:bookmarkEnd w:id="13"/>
    </w:p>
    <w:p w14:paraId="7ED3DEBD" w14:textId="24D56DDF" w:rsidR="00051989" w:rsidRPr="003D2A76" w:rsidRDefault="00885F3C" w:rsidP="00051989">
      <w:pPr>
        <w:bidi w:val="0"/>
        <w:rPr>
          <w:rFonts w:asciiTheme="majorBidi" w:hAnsiTheme="majorBidi" w:cstheme="majorBidi"/>
          <w:highlight w:val="yellow"/>
          <w:lang w:val="en-GB"/>
        </w:rPr>
      </w:pPr>
      <w:r w:rsidRPr="003D2A76">
        <w:rPr>
          <w:rFonts w:asciiTheme="majorBidi" w:hAnsiTheme="majorBidi" w:cstheme="majorBidi"/>
          <w:lang w:val="en-GB"/>
        </w:rPr>
        <w:t>The thematic review is organised around ten areas that jointly cover the constructs and the context of the integrated model. The review of each area is in the same format</w:t>
      </w:r>
      <w:r w:rsidR="00BF38C5" w:rsidRPr="003D2A76">
        <w:rPr>
          <w:rFonts w:asciiTheme="majorBidi" w:hAnsiTheme="majorBidi" w:cstheme="majorBidi"/>
          <w:lang w:val="en-GB"/>
        </w:rPr>
        <w:t>:</w:t>
      </w:r>
      <w:r w:rsidRPr="003D2A76">
        <w:rPr>
          <w:rFonts w:asciiTheme="majorBidi" w:hAnsiTheme="majorBidi" w:cstheme="majorBidi"/>
          <w:lang w:val="en-GB"/>
        </w:rPr>
        <w:t xml:space="preserve"> a short </w:t>
      </w:r>
      <w:r w:rsidRPr="003D2A76">
        <w:rPr>
          <w:rFonts w:asciiTheme="majorBidi" w:hAnsiTheme="majorBidi" w:cstheme="majorBidi"/>
          <w:lang w:val="en-GB"/>
        </w:rPr>
        <w:lastRenderedPageBreak/>
        <w:t>explanation of the relevance of the area to the study, a re</w:t>
      </w:r>
      <w:r w:rsidR="00BF38C5" w:rsidRPr="003D2A76">
        <w:rPr>
          <w:rFonts w:asciiTheme="majorBidi" w:hAnsiTheme="majorBidi" w:cstheme="majorBidi"/>
          <w:lang w:val="en-GB"/>
        </w:rPr>
        <w:t>-</w:t>
      </w:r>
      <w:r w:rsidRPr="003D2A76">
        <w:rPr>
          <w:rFonts w:asciiTheme="majorBidi" w:hAnsiTheme="majorBidi" w:cstheme="majorBidi"/>
          <w:lang w:val="en-GB"/>
        </w:rPr>
        <w:t>evaluation of the intellectual tradition of the area, a critique of the current methods, and how the current study fits in.</w:t>
      </w:r>
    </w:p>
    <w:p w14:paraId="3BECAFFF" w14:textId="77777777" w:rsidR="00051989" w:rsidRPr="003D2A76" w:rsidRDefault="00051989" w:rsidP="00051989">
      <w:pPr>
        <w:bidi w:val="0"/>
        <w:rPr>
          <w:rFonts w:asciiTheme="majorBidi" w:hAnsiTheme="majorBidi" w:cstheme="majorBidi"/>
          <w:highlight w:val="yellow"/>
          <w:lang w:val="en-GB"/>
        </w:rPr>
      </w:pPr>
    </w:p>
    <w:p w14:paraId="55195985" w14:textId="72E283CE" w:rsidR="00885F3C"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2.4.1 Adoption of AI in Teaching</w:t>
      </w:r>
    </w:p>
    <w:p w14:paraId="76E76613" w14:textId="77777777" w:rsidR="0067772D" w:rsidRPr="003D2A76" w:rsidRDefault="0067772D" w:rsidP="0067772D">
      <w:pPr>
        <w:bidi w:val="0"/>
        <w:rPr>
          <w:rFonts w:asciiTheme="majorBidi" w:hAnsiTheme="majorBidi" w:cstheme="majorBidi"/>
          <w:b/>
          <w:bCs/>
          <w:i/>
          <w:lang w:val="en-GB"/>
        </w:rPr>
      </w:pPr>
    </w:p>
    <w:p w14:paraId="488C1BF5" w14:textId="22AFE40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implementation of AI in teaching passed three visible waves, each of which can be characterised by the specific conceptual signature and the specific dominant in its empirical </w:t>
      </w:r>
      <w:r w:rsidR="00F93084">
        <w:rPr>
          <w:rFonts w:asciiTheme="majorBidi" w:hAnsiTheme="majorBidi" w:cstheme="majorBidi"/>
          <w:lang w:val="en-GB"/>
        </w:rPr>
        <w:t>emphasis</w:t>
      </w:r>
      <w:r w:rsidRPr="003D2A76">
        <w:rPr>
          <w:rFonts w:asciiTheme="majorBidi" w:hAnsiTheme="majorBidi" w:cstheme="majorBidi"/>
          <w:lang w:val="en-GB"/>
        </w:rPr>
        <w:t>. The earliest wave of study was tested by Zawacki-Richter et al. (2019) in a first systematic review that focused on intelligent tutoring systems, adaptive learning, automated essay scoring, and predictive analytics to identify at-risk students. The review conclusions included the omnipresence of computer-science views of research and a relative silence of educators and of the learning sciences</w:t>
      </w:r>
      <w:r w:rsidR="00832FEA">
        <w:rPr>
          <w:rFonts w:asciiTheme="majorBidi" w:hAnsiTheme="majorBidi" w:cstheme="majorBidi"/>
          <w:lang w:val="en-GB"/>
        </w:rPr>
        <w:t>,</w:t>
      </w:r>
      <w:r w:rsidRPr="003D2A76">
        <w:rPr>
          <w:rFonts w:asciiTheme="majorBidi" w:hAnsiTheme="majorBidi" w:cstheme="majorBidi"/>
          <w:lang w:val="en-GB"/>
        </w:rPr>
        <w:t xml:space="preserve"> which they describe as a methodological and normative </w:t>
      </w:r>
      <w:r w:rsidR="00BF38C5" w:rsidRPr="003D2A76">
        <w:rPr>
          <w:rFonts w:asciiTheme="majorBidi" w:hAnsiTheme="majorBidi" w:cstheme="majorBidi"/>
          <w:lang w:val="en-GB"/>
        </w:rPr>
        <w:t>gap in</w:t>
      </w:r>
      <w:r w:rsidRPr="003D2A76">
        <w:rPr>
          <w:rFonts w:asciiTheme="majorBidi" w:hAnsiTheme="majorBidi" w:cstheme="majorBidi"/>
          <w:lang w:val="en-GB"/>
        </w:rPr>
        <w:t xml:space="preserve"> the field at the time. The second wave, reported by Crompton and Burke (2023), was associated with the overall maturation of machine learning and the increasing prevalence of cloud-based AI services; the second wave was associated with diversification of AI application to curriculum design, assessment, student support, and administrative decision support, and the progressive growth </w:t>
      </w:r>
      <w:r w:rsidR="00BF38C5" w:rsidRPr="003D2A76">
        <w:rPr>
          <w:rFonts w:asciiTheme="majorBidi" w:hAnsiTheme="majorBidi" w:cstheme="majorBidi"/>
          <w:lang w:val="en-GB"/>
        </w:rPr>
        <w:t xml:space="preserve">in </w:t>
      </w:r>
      <w:r w:rsidRPr="003D2A76">
        <w:rPr>
          <w:rFonts w:asciiTheme="majorBidi" w:hAnsiTheme="majorBidi" w:cstheme="majorBidi"/>
          <w:lang w:val="en-GB"/>
        </w:rPr>
        <w:t xml:space="preserve">participatory and teacher-led research. A more conceptualised understanding of AI as a socio-technical and not just technical system also defines the second wave, which was in line with the greater information-systems trajectory observed by Dwivedi et al. (2019). A third wave of generative-AI adoption, which was well inaugurated with ChatGPT becoming publicly accessible in late 2022, was reported first by Tlili et al. (2023), who took a structured case-study approach and described the new generative-AI </w:t>
      </w:r>
      <w:r w:rsidRPr="003D2A76">
        <w:rPr>
          <w:rFonts w:asciiTheme="majorBidi" w:hAnsiTheme="majorBidi" w:cstheme="majorBidi"/>
          <w:lang w:val="en-GB"/>
        </w:rPr>
        <w:lastRenderedPageBreak/>
        <w:t xml:space="preserve">moment as both a potential pedagogical </w:t>
      </w:r>
      <w:r w:rsidR="00832FEA" w:rsidRPr="003D2A76">
        <w:rPr>
          <w:rFonts w:asciiTheme="majorBidi" w:hAnsiTheme="majorBidi" w:cstheme="majorBidi"/>
          <w:lang w:val="en-GB"/>
        </w:rPr>
        <w:t>co-pilot</w:t>
      </w:r>
      <w:r w:rsidRPr="003D2A76">
        <w:rPr>
          <w:rFonts w:asciiTheme="majorBidi" w:hAnsiTheme="majorBidi" w:cstheme="majorBidi"/>
          <w:lang w:val="en-GB"/>
        </w:rPr>
        <w:t xml:space="preserve"> and a potential disruptor when artificial output is </w:t>
      </w:r>
      <w:r w:rsidR="00F93084">
        <w:rPr>
          <w:rFonts w:asciiTheme="majorBidi" w:hAnsiTheme="majorBidi" w:cstheme="majorBidi"/>
          <w:lang w:val="en-GB"/>
        </w:rPr>
        <w:t>adopted</w:t>
      </w:r>
      <w:r w:rsidRPr="003D2A76">
        <w:rPr>
          <w:rFonts w:asciiTheme="majorBidi" w:hAnsiTheme="majorBidi" w:cstheme="majorBidi"/>
          <w:lang w:val="en-GB"/>
        </w:rPr>
        <w:t xml:space="preserve"> uncritically. The most</w:t>
      </w:r>
      <w:r w:rsidR="00BF38C5" w:rsidRPr="003D2A76">
        <w:rPr>
          <w:rFonts w:asciiTheme="majorBidi" w:hAnsiTheme="majorBidi" w:cstheme="majorBidi"/>
          <w:lang w:val="en-GB"/>
        </w:rPr>
        <w:t xml:space="preserve"> commonly</w:t>
      </w:r>
      <w:r w:rsidRPr="003D2A76">
        <w:rPr>
          <w:rFonts w:asciiTheme="majorBidi" w:hAnsiTheme="majorBidi" w:cstheme="majorBidi"/>
          <w:lang w:val="en-GB"/>
        </w:rPr>
        <w:t xml:space="preserve"> cited early-response paper on generative AI is by Dwivedi et al. (2023), which extended this ambivalence to marketing, law, and public policy as well as to the creative industries. Of the three waves, </w:t>
      </w:r>
      <w:r w:rsidR="00BF38C5" w:rsidRPr="003D2A76">
        <w:rPr>
          <w:rFonts w:asciiTheme="majorBidi" w:hAnsiTheme="majorBidi" w:cstheme="majorBidi"/>
          <w:lang w:val="en-GB"/>
        </w:rPr>
        <w:t xml:space="preserve">the </w:t>
      </w:r>
      <w:r w:rsidRPr="003D2A76">
        <w:rPr>
          <w:rFonts w:asciiTheme="majorBidi" w:hAnsiTheme="majorBidi" w:cstheme="majorBidi"/>
          <w:lang w:val="en-GB"/>
        </w:rPr>
        <w:t xml:space="preserve">research community has shifted </w:t>
      </w:r>
      <w:r w:rsidR="00BF38C5" w:rsidRPr="003D2A76">
        <w:rPr>
          <w:rFonts w:asciiTheme="majorBidi" w:hAnsiTheme="majorBidi" w:cstheme="majorBidi"/>
          <w:lang w:val="en-GB"/>
        </w:rPr>
        <w:t>its focus</w:t>
      </w:r>
      <w:r w:rsidRPr="003D2A76">
        <w:rPr>
          <w:rFonts w:asciiTheme="majorBidi" w:hAnsiTheme="majorBidi" w:cstheme="majorBidi"/>
          <w:lang w:val="en-GB"/>
        </w:rPr>
        <w:t xml:space="preserve"> towards the socio-technical frame where the unit of interest lies in the human-AI configuration as opposed to centring around the technology.</w:t>
      </w:r>
    </w:p>
    <w:p w14:paraId="42195B46" w14:textId="0421AC7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 more detailed examination of the second and third wave</w:t>
      </w:r>
      <w:r w:rsidR="00BF38C5" w:rsidRPr="003D2A76">
        <w:rPr>
          <w:rFonts w:asciiTheme="majorBidi" w:hAnsiTheme="majorBidi" w:cstheme="majorBidi"/>
          <w:lang w:val="en-GB"/>
        </w:rPr>
        <w:t>s</w:t>
      </w:r>
      <w:r w:rsidRPr="003D2A76">
        <w:rPr>
          <w:rFonts w:asciiTheme="majorBidi" w:hAnsiTheme="majorBidi" w:cstheme="majorBidi"/>
          <w:lang w:val="en-GB"/>
        </w:rPr>
        <w:t xml:space="preserve"> has led to the identification of three research issues that are directly related to the current study. The former one is the integrity of the AI-generated pedagogical outputs: once AI is used to generate explanations, feedback, or assessments, any output is no longer confidence and context-suited, and the risks of hallucinations, risk of bias, and context-mismatch risks have been reported in the literature. The second </w:t>
      </w:r>
      <w:r w:rsidR="00BF38C5" w:rsidRPr="003D2A76">
        <w:rPr>
          <w:rFonts w:asciiTheme="majorBidi" w:hAnsiTheme="majorBidi" w:cstheme="majorBidi"/>
          <w:lang w:val="en-GB"/>
        </w:rPr>
        <w:t xml:space="preserve">issue </w:t>
      </w:r>
      <w:r w:rsidRPr="003D2A76">
        <w:rPr>
          <w:rFonts w:asciiTheme="majorBidi" w:hAnsiTheme="majorBidi" w:cstheme="majorBidi"/>
          <w:lang w:val="en-GB"/>
        </w:rPr>
        <w:t xml:space="preserve">is pedagogical equity: AI tools can increase or decrease achievement disparity based on deployment, training data, and teacher mediation. The third issue is the redefinition of the role of the teacher, </w:t>
      </w:r>
      <w:r w:rsidR="00BF38C5" w:rsidRPr="003D2A76">
        <w:rPr>
          <w:rFonts w:asciiTheme="majorBidi" w:hAnsiTheme="majorBidi" w:cstheme="majorBidi"/>
          <w:lang w:val="en-GB"/>
        </w:rPr>
        <w:t xml:space="preserve">from being </w:t>
      </w:r>
      <w:r w:rsidRPr="003D2A76">
        <w:rPr>
          <w:rFonts w:asciiTheme="majorBidi" w:hAnsiTheme="majorBidi" w:cstheme="majorBidi"/>
          <w:lang w:val="en-GB"/>
        </w:rPr>
        <w:t xml:space="preserve">the main source of the teaching process to </w:t>
      </w:r>
      <w:r w:rsidR="00BF38C5" w:rsidRPr="003D2A76">
        <w:rPr>
          <w:rFonts w:asciiTheme="majorBidi" w:hAnsiTheme="majorBidi" w:cstheme="majorBidi"/>
          <w:lang w:val="en-GB"/>
        </w:rPr>
        <w:t xml:space="preserve">coordinating </w:t>
      </w:r>
      <w:r w:rsidRPr="003D2A76">
        <w:rPr>
          <w:rFonts w:asciiTheme="majorBidi" w:hAnsiTheme="majorBidi" w:cstheme="majorBidi"/>
          <w:lang w:val="en-GB"/>
        </w:rPr>
        <w:t>the work of humans and AI. All these issues impact the perception of positive AI implementation by parents towards the school.</w:t>
      </w:r>
    </w:p>
    <w:p w14:paraId="61CF5B07" w14:textId="73A1A485"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the current research, the topicality of this stream is that the use of AI in education is a substantial superficial </w:t>
      </w:r>
      <w:r w:rsidR="00BF38C5" w:rsidRPr="003D2A76">
        <w:rPr>
          <w:rFonts w:asciiTheme="majorBidi" w:hAnsiTheme="majorBidi" w:cstheme="majorBidi"/>
          <w:lang w:val="en-GB"/>
        </w:rPr>
        <w:t xml:space="preserve">factor by </w:t>
      </w:r>
      <w:r w:rsidRPr="003D2A76">
        <w:rPr>
          <w:rFonts w:asciiTheme="majorBidi" w:hAnsiTheme="majorBidi" w:cstheme="majorBidi"/>
          <w:lang w:val="en-GB"/>
        </w:rPr>
        <w:t>which the parents track the AI stance of their school. The least studied aspect of the purchase intention is how the perceptions of AI used in teaching among parents</w:t>
      </w:r>
      <w:r w:rsidR="00832FEA">
        <w:rPr>
          <w:rFonts w:asciiTheme="majorBidi" w:hAnsiTheme="majorBidi" w:cstheme="majorBidi"/>
          <w:lang w:val="en-GB"/>
        </w:rPr>
        <w:t>,</w:t>
      </w:r>
      <w:r w:rsidRPr="003D2A76">
        <w:rPr>
          <w:rFonts w:asciiTheme="majorBidi" w:hAnsiTheme="majorBidi" w:cstheme="majorBidi"/>
          <w:lang w:val="en-GB"/>
        </w:rPr>
        <w:t xml:space="preserve"> compared to AI use in the back office</w:t>
      </w:r>
      <w:r w:rsidR="00832FEA">
        <w:rPr>
          <w:rFonts w:asciiTheme="majorBidi" w:hAnsiTheme="majorBidi" w:cstheme="majorBidi"/>
          <w:lang w:val="en-GB"/>
        </w:rPr>
        <w:t>,</w:t>
      </w:r>
      <w:r w:rsidRPr="003D2A76">
        <w:rPr>
          <w:rFonts w:asciiTheme="majorBidi" w:hAnsiTheme="majorBidi" w:cstheme="majorBidi"/>
          <w:lang w:val="en-GB"/>
        </w:rPr>
        <w:t xml:space="preserve"> </w:t>
      </w:r>
      <w:r w:rsidR="00832FEA">
        <w:rPr>
          <w:rFonts w:asciiTheme="majorBidi" w:hAnsiTheme="majorBidi" w:cstheme="majorBidi"/>
          <w:lang w:val="en-GB"/>
        </w:rPr>
        <w:t>affect</w:t>
      </w:r>
      <w:r w:rsidRPr="003D2A76">
        <w:rPr>
          <w:rFonts w:asciiTheme="majorBidi" w:hAnsiTheme="majorBidi" w:cstheme="majorBidi"/>
          <w:lang w:val="en-GB"/>
        </w:rPr>
        <w:t xml:space="preserve"> purchase intention. The integrated model operationalises AI adoption in such a manner that </w:t>
      </w:r>
      <w:r w:rsidR="00BF38C5" w:rsidRPr="003D2A76">
        <w:rPr>
          <w:rFonts w:asciiTheme="majorBidi" w:hAnsiTheme="majorBidi" w:cstheme="majorBidi"/>
          <w:lang w:val="en-GB"/>
        </w:rPr>
        <w:t xml:space="preserve">it </w:t>
      </w:r>
      <w:r w:rsidRPr="003D2A76">
        <w:rPr>
          <w:rFonts w:asciiTheme="majorBidi" w:hAnsiTheme="majorBidi" w:cstheme="majorBidi"/>
          <w:lang w:val="en-GB"/>
        </w:rPr>
        <w:t xml:space="preserve">represents parent-visible AI in teaching, parent-visible AI in administration, and parent-visible AI in </w:t>
      </w:r>
      <w:r w:rsidRPr="003D2A76">
        <w:rPr>
          <w:rFonts w:asciiTheme="majorBidi" w:hAnsiTheme="majorBidi" w:cstheme="majorBidi"/>
          <w:lang w:val="en-GB"/>
        </w:rPr>
        <w:lastRenderedPageBreak/>
        <w:t>marketing. Positive criticism of the available literature results in a certain modification of this study: parents, not teachers</w:t>
      </w:r>
      <w:r w:rsidR="00832FEA">
        <w:rPr>
          <w:rFonts w:asciiTheme="majorBidi" w:hAnsiTheme="majorBidi" w:cstheme="majorBidi"/>
          <w:lang w:val="en-GB"/>
        </w:rPr>
        <w:t>,</w:t>
      </w:r>
      <w:r w:rsidRPr="003D2A76">
        <w:rPr>
          <w:rFonts w:asciiTheme="majorBidi" w:hAnsiTheme="majorBidi" w:cstheme="majorBidi"/>
          <w:lang w:val="en-GB"/>
        </w:rPr>
        <w:t xml:space="preserve"> are perceived as the layer of measurement, and the instrument is adopted accordingly. One of the partial limitations of the present literature is that parental perceptions have hardly been rigorously tested in the past; this is </w:t>
      </w:r>
      <w:r w:rsidR="00BF38C5" w:rsidRPr="003D2A76">
        <w:rPr>
          <w:rFonts w:asciiTheme="majorBidi" w:hAnsiTheme="majorBidi" w:cstheme="majorBidi"/>
          <w:lang w:val="en-GB"/>
        </w:rPr>
        <w:t xml:space="preserve">a </w:t>
      </w:r>
      <w:r w:rsidRPr="003D2A76">
        <w:rPr>
          <w:rFonts w:asciiTheme="majorBidi" w:hAnsiTheme="majorBidi" w:cstheme="majorBidi"/>
          <w:lang w:val="en-GB"/>
        </w:rPr>
        <w:t>limitation which is directly tackled by the current study.</w:t>
      </w:r>
    </w:p>
    <w:p w14:paraId="5F0D1105" w14:textId="3C81CB5E" w:rsidR="00300844"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 type of intellectual-historicist framing as constructed in the preceding </w:t>
      </w:r>
      <w:r w:rsidR="00BF38C5" w:rsidRPr="003D2A76">
        <w:rPr>
          <w:rFonts w:asciiTheme="majorBidi" w:hAnsiTheme="majorBidi" w:cstheme="majorBidi"/>
          <w:lang w:val="en-GB"/>
        </w:rPr>
        <w:t>S</w:t>
      </w:r>
      <w:r w:rsidRPr="003D2A76">
        <w:rPr>
          <w:rFonts w:asciiTheme="majorBidi" w:hAnsiTheme="majorBidi" w:cstheme="majorBidi"/>
          <w:lang w:val="en-GB"/>
        </w:rPr>
        <w:t xml:space="preserve">ection 2.3 is especially helpful in this case: it is necessary to comprehend the expectations generated by the earlier two waves to understand the third wave. Parents who had earlier experienced early adaptive-learning platforms approached it with the optimistic scepticism of the first wave; parents who had experienced AI-enabled personalisation in the second wave </w:t>
      </w:r>
      <w:r w:rsidR="00BF38C5" w:rsidRPr="003D2A76">
        <w:rPr>
          <w:rFonts w:asciiTheme="majorBidi" w:hAnsiTheme="majorBidi" w:cstheme="majorBidi"/>
          <w:lang w:val="en-GB"/>
        </w:rPr>
        <w:t xml:space="preserve">had </w:t>
      </w:r>
      <w:r w:rsidRPr="003D2A76">
        <w:rPr>
          <w:rFonts w:asciiTheme="majorBidi" w:hAnsiTheme="majorBidi" w:cstheme="majorBidi"/>
          <w:lang w:val="en-GB"/>
        </w:rPr>
        <w:t xml:space="preserve">a more expectation-evidence balanced view; parents in the third wave approached it with some enthusiasm and discomfort indicative of the public issues surrounding ChatGPT. </w:t>
      </w:r>
      <w:r w:rsidR="00300844" w:rsidRPr="00300844">
        <w:rPr>
          <w:rFonts w:asciiTheme="majorBidi" w:hAnsiTheme="majorBidi" w:cstheme="majorBidi"/>
          <w:lang w:val="en-GB"/>
        </w:rPr>
        <w:t>The integrated model incorporates this temporally stratified perception via its AI-adoption construct</w:t>
      </w:r>
      <w:r w:rsidR="00300844">
        <w:rPr>
          <w:rFonts w:asciiTheme="majorBidi" w:hAnsiTheme="majorBidi" w:cstheme="majorBidi"/>
          <w:lang w:val="en-GB"/>
        </w:rPr>
        <w:t xml:space="preserve">. This approach enhances </w:t>
      </w:r>
      <w:r w:rsidR="00300844" w:rsidRPr="00300844">
        <w:rPr>
          <w:rFonts w:asciiTheme="majorBidi" w:hAnsiTheme="majorBidi" w:cstheme="majorBidi"/>
          <w:lang w:val="en-GB"/>
        </w:rPr>
        <w:t>parsimony</w:t>
      </w:r>
      <w:r w:rsidR="00300844">
        <w:rPr>
          <w:rFonts w:asciiTheme="majorBidi" w:hAnsiTheme="majorBidi" w:cstheme="majorBidi"/>
          <w:lang w:val="en-GB"/>
        </w:rPr>
        <w:t xml:space="preserve"> by reducing conceptual complexity.</w:t>
      </w:r>
    </w:p>
    <w:p w14:paraId="7F36BD1A" w14:textId="42991328" w:rsidR="00300844" w:rsidRDefault="00300844" w:rsidP="00300844">
      <w:pPr>
        <w:bidi w:val="0"/>
        <w:rPr>
          <w:rFonts w:asciiTheme="majorBidi" w:hAnsiTheme="majorBidi" w:cstheme="majorBidi"/>
          <w:b/>
          <w:bCs/>
          <w:i/>
          <w:lang w:val="en-GB"/>
        </w:rPr>
      </w:pPr>
      <w:r w:rsidRPr="00300844">
        <w:rPr>
          <w:rFonts w:asciiTheme="majorBidi" w:hAnsiTheme="majorBidi" w:cstheme="majorBidi"/>
          <w:lang w:val="en-GB"/>
        </w:rPr>
        <w:t xml:space="preserve"> </w:t>
      </w:r>
      <w:bookmarkStart w:id="14" w:name="_Hlk231738360"/>
    </w:p>
    <w:p w14:paraId="403B7CA0" w14:textId="54B357A8" w:rsidR="005C3CDA" w:rsidRPr="005C3CDA" w:rsidRDefault="005C3CDA" w:rsidP="00300844">
      <w:pPr>
        <w:bidi w:val="0"/>
        <w:rPr>
          <w:rFonts w:asciiTheme="majorBidi" w:hAnsiTheme="majorBidi" w:cstheme="majorBidi"/>
          <w:b/>
          <w:bCs/>
          <w:i/>
          <w:lang w:val="en-GB"/>
        </w:rPr>
      </w:pPr>
      <w:r w:rsidRPr="005C3CDA">
        <w:rPr>
          <w:rFonts w:asciiTheme="majorBidi" w:hAnsiTheme="majorBidi" w:cstheme="majorBidi"/>
          <w:b/>
          <w:bCs/>
          <w:i/>
          <w:lang w:val="en-GB"/>
        </w:rPr>
        <w:t>2.4.2 Use of AI in Marketing</w:t>
      </w:r>
    </w:p>
    <w:bookmarkEnd w:id="14"/>
    <w:p w14:paraId="4DFC4331" w14:textId="06B7366B" w:rsidR="005C3CDA" w:rsidRPr="003D2A76" w:rsidRDefault="005C3CDA" w:rsidP="005C3CDA">
      <w:pPr>
        <w:bidi w:val="0"/>
        <w:rPr>
          <w:rFonts w:asciiTheme="majorBidi" w:hAnsiTheme="majorBidi" w:cstheme="majorBidi"/>
          <w:lang w:val="en-GB"/>
        </w:rPr>
      </w:pPr>
      <w:r w:rsidRPr="003D2A76">
        <w:rPr>
          <w:rFonts w:asciiTheme="majorBidi" w:hAnsiTheme="majorBidi" w:cstheme="majorBidi"/>
          <w:lang w:val="en-GB"/>
        </w:rPr>
        <w:t xml:space="preserve">The marketing literature has been following the implications of AI with a sense of urgency. In one of the most popular articles, </w:t>
      </w:r>
      <w:bookmarkStart w:id="15" w:name="_Hlk231559016"/>
      <w:r w:rsidRPr="003D2A76">
        <w:rPr>
          <w:rFonts w:asciiTheme="majorBidi" w:hAnsiTheme="majorBidi" w:cstheme="majorBidi"/>
          <w:lang w:val="en-GB"/>
        </w:rPr>
        <w:t>Verhoef et al. (2019</w:t>
      </w:r>
      <w:bookmarkEnd w:id="15"/>
      <w:r w:rsidRPr="003D2A76">
        <w:rPr>
          <w:rFonts w:asciiTheme="majorBidi" w:hAnsiTheme="majorBidi" w:cstheme="majorBidi"/>
          <w:lang w:val="en-GB"/>
        </w:rPr>
        <w:t>) insisted that digital transformation would reshape marketing organisations and customer-value propositions, as well as measurement systems. Davenport et al. (2019) went even further to suggest that AI would alter the future of marketing by transforming marketing into a process of segmentation of individual interaction</w:t>
      </w:r>
      <w:r w:rsidR="0035238B">
        <w:rPr>
          <w:rFonts w:asciiTheme="majorBidi" w:hAnsiTheme="majorBidi" w:cstheme="majorBidi"/>
          <w:lang w:val="en-GB"/>
        </w:rPr>
        <w:t xml:space="preserve">. </w:t>
      </w:r>
      <w:r w:rsidRPr="003D2A76">
        <w:rPr>
          <w:rFonts w:asciiTheme="majorBidi" w:hAnsiTheme="majorBidi" w:cstheme="majorBidi"/>
          <w:lang w:val="en-GB"/>
        </w:rPr>
        <w:t xml:space="preserve">Multidisciplinary agendas on AI and on digital </w:t>
      </w:r>
      <w:r w:rsidRPr="003D2A76">
        <w:rPr>
          <w:rFonts w:asciiTheme="majorBidi" w:hAnsiTheme="majorBidi" w:cstheme="majorBidi"/>
          <w:lang w:val="en-GB"/>
        </w:rPr>
        <w:lastRenderedPageBreak/>
        <w:t xml:space="preserve">and social-media marketing were developed by </w:t>
      </w:r>
      <w:bookmarkStart w:id="16" w:name="_Hlk231559128"/>
      <w:r w:rsidRPr="003D2A76">
        <w:rPr>
          <w:rFonts w:asciiTheme="majorBidi" w:hAnsiTheme="majorBidi" w:cstheme="majorBidi"/>
          <w:lang w:val="en-GB"/>
        </w:rPr>
        <w:t>Dwivedi et al. (</w:t>
      </w:r>
      <w:bookmarkEnd w:id="16"/>
      <w:r w:rsidRPr="003D2A76">
        <w:rPr>
          <w:rFonts w:asciiTheme="majorBidi" w:hAnsiTheme="majorBidi" w:cstheme="majorBidi"/>
          <w:lang w:val="en-GB"/>
        </w:rPr>
        <w:t xml:space="preserve">2023), which pre-empted opportunities and risks, such as algorithmic bias, erosion of </w:t>
      </w:r>
      <w:r w:rsidR="00832FEA">
        <w:rPr>
          <w:rFonts w:asciiTheme="majorBidi" w:hAnsiTheme="majorBidi" w:cstheme="majorBidi"/>
          <w:lang w:val="en-GB"/>
        </w:rPr>
        <w:t>data privacy,</w:t>
      </w:r>
      <w:r w:rsidRPr="003D2A76">
        <w:rPr>
          <w:rFonts w:asciiTheme="majorBidi" w:hAnsiTheme="majorBidi" w:cstheme="majorBidi"/>
          <w:lang w:val="en-GB"/>
        </w:rPr>
        <w:t xml:space="preserve"> and how marketing is reconfigured. The ChatGPT moment prompted </w:t>
      </w:r>
      <w:r w:rsidR="0035238B">
        <w:rPr>
          <w:rFonts w:asciiTheme="majorBidi" w:hAnsiTheme="majorBidi" w:cstheme="majorBidi"/>
          <w:lang w:val="en-GB"/>
        </w:rPr>
        <w:t>the presentation of</w:t>
      </w:r>
      <w:r w:rsidRPr="003D2A76">
        <w:rPr>
          <w:rFonts w:asciiTheme="majorBidi" w:hAnsiTheme="majorBidi" w:cstheme="majorBidi"/>
          <w:lang w:val="en-GB"/>
        </w:rPr>
        <w:t xml:space="preserve"> an interdisciplinary opinion article that provided a survey of the implications of generative AI in research, practice, and policy</w:t>
      </w:r>
      <w:r w:rsidR="0035238B">
        <w:rPr>
          <w:rFonts w:asciiTheme="majorBidi" w:hAnsiTheme="majorBidi" w:cstheme="majorBidi"/>
          <w:lang w:val="en-GB"/>
        </w:rPr>
        <w:t xml:space="preserve"> (</w:t>
      </w:r>
      <w:r w:rsidR="0035238B" w:rsidRPr="0035238B">
        <w:rPr>
          <w:rFonts w:asciiTheme="majorBidi" w:hAnsiTheme="majorBidi" w:cstheme="majorBidi"/>
          <w:lang w:val="en-GB"/>
        </w:rPr>
        <w:t>Dwivedi et al. 2023</w:t>
      </w:r>
      <w:r w:rsidR="0035238B">
        <w:rPr>
          <w:rFonts w:asciiTheme="majorBidi" w:hAnsiTheme="majorBidi" w:cstheme="majorBidi"/>
          <w:lang w:val="en-GB"/>
        </w:rPr>
        <w:t>)</w:t>
      </w:r>
      <w:r w:rsidRPr="003D2A76">
        <w:rPr>
          <w:rFonts w:asciiTheme="majorBidi" w:hAnsiTheme="majorBidi" w:cstheme="majorBidi"/>
          <w:lang w:val="en-GB"/>
        </w:rPr>
        <w:t xml:space="preserve">. </w:t>
      </w:r>
      <w:bookmarkStart w:id="17" w:name="_Hlk231559178"/>
      <w:r w:rsidRPr="003D2A76">
        <w:rPr>
          <w:rFonts w:asciiTheme="majorBidi" w:hAnsiTheme="majorBidi" w:cstheme="majorBidi"/>
          <w:lang w:val="en-GB"/>
        </w:rPr>
        <w:t>Appel et al. (2019</w:t>
      </w:r>
      <w:bookmarkEnd w:id="17"/>
      <w:r w:rsidRPr="003D2A76">
        <w:rPr>
          <w:rFonts w:asciiTheme="majorBidi" w:hAnsiTheme="majorBidi" w:cstheme="majorBidi"/>
          <w:lang w:val="en-GB"/>
        </w:rPr>
        <w:t>) mapped the anticipations of the social-media marketing trajectories of which the targeting that is powered by AI is a key component. These contributions, when combined, create a field-level agenda, but not a consensus, and they suggest, but do not answer, the narrower question of the performance of AI-enabled marketing in the context of high-involvement marketing services like private education.</w:t>
      </w:r>
    </w:p>
    <w:p w14:paraId="61AA96E0" w14:textId="351BC52B" w:rsidR="005C3CDA" w:rsidRPr="003D2A76" w:rsidRDefault="005C3CDA" w:rsidP="005C3CDA">
      <w:pPr>
        <w:bidi w:val="0"/>
        <w:rPr>
          <w:rFonts w:asciiTheme="majorBidi" w:hAnsiTheme="majorBidi" w:cstheme="majorBidi"/>
          <w:lang w:val="en-GB"/>
        </w:rPr>
      </w:pPr>
      <w:r w:rsidRPr="003D2A76">
        <w:rPr>
          <w:rFonts w:asciiTheme="majorBidi" w:hAnsiTheme="majorBidi" w:cstheme="majorBidi"/>
          <w:lang w:val="en-GB"/>
        </w:rPr>
        <w:t xml:space="preserve">A significant intellectual difference arises out of this literature on AI as a marketing tool and AI as a marketing indicator. AI as an instrument relates to operational implementation of predictive analytics, recommendation engines and/or conversation agents to enhance efficiency and relevancy in marketing communications. AI as signal </w:t>
      </w:r>
      <w:r w:rsidR="004A1C6D">
        <w:rPr>
          <w:rFonts w:asciiTheme="majorBidi" w:hAnsiTheme="majorBidi" w:cstheme="majorBidi"/>
          <w:lang w:val="en-GB"/>
        </w:rPr>
        <w:t>is</w:t>
      </w:r>
      <w:r w:rsidRPr="003D2A76">
        <w:rPr>
          <w:rFonts w:asciiTheme="majorBidi" w:hAnsiTheme="majorBidi" w:cstheme="majorBidi"/>
          <w:lang w:val="en-GB"/>
        </w:rPr>
        <w:t xml:space="preserve"> the communicative worth that the visible use of AI expresses towards the modernity, sophistication and competence of the organisation. The two roles are co-extensive</w:t>
      </w:r>
      <w:r w:rsidR="004A1C6D">
        <w:rPr>
          <w:rFonts w:asciiTheme="majorBidi" w:hAnsiTheme="majorBidi" w:cstheme="majorBidi"/>
          <w:lang w:val="en-GB"/>
        </w:rPr>
        <w:t>,</w:t>
      </w:r>
      <w:r w:rsidRPr="003D2A76">
        <w:rPr>
          <w:rFonts w:asciiTheme="majorBidi" w:hAnsiTheme="majorBidi" w:cstheme="majorBidi"/>
          <w:lang w:val="en-GB"/>
        </w:rPr>
        <w:t xml:space="preserve"> with each having varied implications with regard to purchase intention</w:t>
      </w:r>
      <w:r w:rsidR="004A1C6D">
        <w:rPr>
          <w:rFonts w:asciiTheme="majorBidi" w:hAnsiTheme="majorBidi" w:cstheme="majorBidi"/>
          <w:lang w:val="en-GB"/>
        </w:rPr>
        <w:t>,</w:t>
      </w:r>
      <w:r w:rsidRPr="003D2A76">
        <w:rPr>
          <w:rFonts w:asciiTheme="majorBidi" w:hAnsiTheme="majorBidi" w:cstheme="majorBidi"/>
          <w:lang w:val="en-GB"/>
        </w:rPr>
        <w:t xml:space="preserve"> whereby the instrumental role influences the quality of information and personalisation, whereas the signal role influences brand perception and perceived value. In the case of private schools, the signal role is disproportionately consequential since the modernity of the school is a desired trait in itself which parents check up on when they consider the school a suitable place to send their children.</w:t>
      </w:r>
    </w:p>
    <w:p w14:paraId="686AF4AD" w14:textId="1382FF65" w:rsidR="005C3CDA" w:rsidRPr="003D2A76" w:rsidRDefault="005C3CDA" w:rsidP="005C3CDA">
      <w:pPr>
        <w:bidi w:val="0"/>
        <w:rPr>
          <w:rFonts w:asciiTheme="majorBidi" w:hAnsiTheme="majorBidi" w:cstheme="majorBidi"/>
          <w:lang w:val="en-GB"/>
        </w:rPr>
      </w:pPr>
      <w:r w:rsidRPr="003D2A76">
        <w:rPr>
          <w:rFonts w:asciiTheme="majorBidi" w:hAnsiTheme="majorBidi" w:cstheme="majorBidi"/>
          <w:lang w:val="en-GB"/>
        </w:rPr>
        <w:lastRenderedPageBreak/>
        <w:t xml:space="preserve">The second difference is related to the time nature of the customer journey in education. The process of marketing </w:t>
      </w:r>
      <w:r w:rsidR="00832FEA">
        <w:rPr>
          <w:rFonts w:asciiTheme="majorBidi" w:hAnsiTheme="majorBidi" w:cstheme="majorBidi"/>
          <w:lang w:val="en-GB"/>
        </w:rPr>
        <w:t>consumer goods</w:t>
      </w:r>
      <w:r w:rsidRPr="003D2A76">
        <w:rPr>
          <w:rFonts w:asciiTheme="majorBidi" w:hAnsiTheme="majorBidi" w:cstheme="majorBidi"/>
          <w:lang w:val="en-GB"/>
        </w:rPr>
        <w:t xml:space="preserve"> is usually short</w:t>
      </w:r>
      <w:r w:rsidR="00832FEA">
        <w:rPr>
          <w:rFonts w:asciiTheme="majorBidi" w:hAnsiTheme="majorBidi" w:cstheme="majorBidi"/>
          <w:lang w:val="en-GB"/>
        </w:rPr>
        <w:t>,</w:t>
      </w:r>
      <w:r w:rsidRPr="003D2A76">
        <w:rPr>
          <w:rFonts w:asciiTheme="majorBidi" w:hAnsiTheme="majorBidi" w:cstheme="majorBidi"/>
          <w:lang w:val="en-GB"/>
        </w:rPr>
        <w:t xml:space="preserve"> and evaluation and purchase can be made within minutes or days. Marketing education processes are long and spread over a school-year process or beyond, and require a repeated process of information collection, family discussion</w:t>
      </w:r>
      <w:r w:rsidR="00832FEA">
        <w:rPr>
          <w:rFonts w:asciiTheme="majorBidi" w:hAnsiTheme="majorBidi" w:cstheme="majorBidi"/>
          <w:lang w:val="en-GB"/>
        </w:rPr>
        <w:t>,</w:t>
      </w:r>
      <w:r w:rsidRPr="003D2A76">
        <w:rPr>
          <w:rFonts w:asciiTheme="majorBidi" w:hAnsiTheme="majorBidi" w:cstheme="majorBidi"/>
          <w:lang w:val="en-GB"/>
        </w:rPr>
        <w:t xml:space="preserve"> and community consultation. An effective AI-powered recruitment experience, which needs to occur in this environment, should be relevant and be trusted over months instead of seconds. It is a phenomenon about which the broader marketing literature has had little theorisation or in which direct empirical data on the K-12 market is limited.</w:t>
      </w:r>
    </w:p>
    <w:p w14:paraId="6A3980DD" w14:textId="77777777" w:rsidR="005C3CDA" w:rsidRPr="003D2A76" w:rsidRDefault="005C3CDA" w:rsidP="005C3CDA">
      <w:pPr>
        <w:bidi w:val="0"/>
        <w:rPr>
          <w:rFonts w:asciiTheme="majorBidi" w:hAnsiTheme="majorBidi" w:cstheme="majorBidi"/>
          <w:lang w:val="en-GB"/>
        </w:rPr>
      </w:pPr>
      <w:r w:rsidRPr="003D2A76">
        <w:rPr>
          <w:rFonts w:asciiTheme="majorBidi" w:hAnsiTheme="majorBidi" w:cstheme="majorBidi"/>
          <w:lang w:val="en-GB"/>
        </w:rPr>
        <w:t xml:space="preserve">These insights are not evenly applied to the marketing of private schools. Schools have embraced personalised recruitment paths, AI-based admissions chatbots, predictive analytics over prospective-school data, and target ads; but the empirical evidence on parental reactions to AI-powered school advertising is sparse. The bulk of the research in the broader marketing literature relies on consumer-goods samples or on online-native services and does not necessarily carry over to family-centred, high-involvement educational selection. The contribution of the present research is its focus on isolating AI-enabled marketing as one of the elements in the AI-adoption construct and testing its impact on both the perception of value and intention in a culturally distinct market. Criticism of the current literature continues in the spirit of recognition of the main accomplishments of that theme, namely the mapping of opportunities and threats, the agenda-setting activity on the topic of digital transformation, and passes to the identification of the particular gap which the given study fills: a parent-centred, </w:t>
      </w:r>
      <w:r w:rsidRPr="003D2A76">
        <w:rPr>
          <w:rFonts w:asciiTheme="majorBidi" w:hAnsiTheme="majorBidi" w:cstheme="majorBidi"/>
          <w:lang w:val="en-GB"/>
        </w:rPr>
        <w:lastRenderedPageBreak/>
        <w:t>combined-model specification which regards AI-enabled marketing as one visible form of a more profound AI-adoption construct.</w:t>
      </w:r>
    </w:p>
    <w:p w14:paraId="5DA73054" w14:textId="77777777" w:rsidR="0067772D" w:rsidRDefault="0067772D" w:rsidP="00BD6279">
      <w:pPr>
        <w:bidi w:val="0"/>
        <w:rPr>
          <w:rFonts w:asciiTheme="majorBidi" w:hAnsiTheme="majorBidi" w:cstheme="majorBidi"/>
          <w:b/>
          <w:bCs/>
          <w:i/>
          <w:lang w:val="en-GB"/>
        </w:rPr>
      </w:pPr>
    </w:p>
    <w:p w14:paraId="1B7740D8" w14:textId="294BD7EC" w:rsidR="00885F3C" w:rsidRPr="003D2A76" w:rsidRDefault="00885F3C" w:rsidP="0067772D">
      <w:pPr>
        <w:bidi w:val="0"/>
        <w:rPr>
          <w:rFonts w:asciiTheme="majorBidi" w:hAnsiTheme="majorBidi" w:cstheme="majorBidi"/>
          <w:b/>
          <w:bCs/>
          <w:i/>
          <w:lang w:val="en-GB"/>
        </w:rPr>
      </w:pPr>
      <w:r w:rsidRPr="005C3CDA">
        <w:rPr>
          <w:rFonts w:asciiTheme="majorBidi" w:hAnsiTheme="majorBidi" w:cstheme="majorBidi"/>
          <w:b/>
          <w:bCs/>
          <w:i/>
          <w:lang w:val="en-GB"/>
        </w:rPr>
        <w:t>2.4.3 Service Quality in Education</w:t>
      </w:r>
    </w:p>
    <w:p w14:paraId="48FF54F1" w14:textId="7CE145D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Applications of SERVQUAL and its variations to education have been widely used, but four limitations have been noted repeatedly. To begin with, the original dimensions of SERVQUAL were developed with discrete, frequently transactional service experiences in mind; education is a long term, relational service and multiple studies have proposed that reliability and assurance is a </w:t>
      </w:r>
      <w:r w:rsidR="0017113C" w:rsidRPr="003D2A76">
        <w:rPr>
          <w:rFonts w:asciiTheme="majorBidi" w:hAnsiTheme="majorBidi" w:cstheme="majorBidi"/>
          <w:lang w:val="en-GB"/>
        </w:rPr>
        <w:t>time-based</w:t>
      </w:r>
      <w:r w:rsidRPr="003D2A76">
        <w:rPr>
          <w:rFonts w:asciiTheme="majorBidi" w:hAnsiTheme="majorBidi" w:cstheme="majorBidi"/>
          <w:lang w:val="en-GB"/>
        </w:rPr>
        <w:t xml:space="preserve"> dimension as opposed to a per encounter dimension. The time-dependent nature of service implies that one negative experience can be smoothed over when the larger trend is trustworthy, whereas a sequence of minor incongruities can add up to feeling that the trend is </w:t>
      </w:r>
      <w:r w:rsidR="00832FEA">
        <w:rPr>
          <w:rFonts w:asciiTheme="majorBidi" w:hAnsiTheme="majorBidi" w:cstheme="majorBidi"/>
          <w:lang w:val="en-GB"/>
        </w:rPr>
        <w:t>unattractive</w:t>
      </w:r>
      <w:r w:rsidRPr="003D2A76">
        <w:rPr>
          <w:rFonts w:asciiTheme="majorBidi" w:hAnsiTheme="majorBidi" w:cstheme="majorBidi"/>
          <w:lang w:val="en-GB"/>
        </w:rPr>
        <w:t xml:space="preserve"> and cannot be fixed with a single spectacular experience. This is the temporal logic which is under-operationalised in standard SERVQUAL. Second, the gap-score (expectations minus perceptions) on which the original instrument is based has been questioned statistically and a perceptions-alone specification now and generally is advocated because it is believed that perceptions already capture the effects of expectations implicitly and because the gap between perceptions and expectations is an unstable measure with lower reliability. Third, the tool does emphasise quality of outcomes (e. g., academic achievement, personal growth, skills learned) less than process quality, which might be counterproductive in the education industry where process and outcome are closely intertwined, which is the inheritance of SERVQUAL</w:t>
      </w:r>
      <w:r w:rsidR="00832FEA">
        <w:rPr>
          <w:rFonts w:asciiTheme="majorBidi" w:hAnsiTheme="majorBidi" w:cstheme="majorBidi"/>
          <w:lang w:val="en-GB"/>
        </w:rPr>
        <w:t>,</w:t>
      </w:r>
      <w:r w:rsidRPr="003D2A76">
        <w:rPr>
          <w:rFonts w:asciiTheme="majorBidi" w:hAnsiTheme="majorBidi" w:cstheme="majorBidi"/>
          <w:lang w:val="en-GB"/>
        </w:rPr>
        <w:t xml:space="preserve"> which has its roots in service industries where outcome and process are highly interdependent. Fourth, more pertinent to the current research, little research has </w:t>
      </w:r>
      <w:r w:rsidRPr="003D2A76">
        <w:rPr>
          <w:rFonts w:asciiTheme="majorBidi" w:hAnsiTheme="majorBidi" w:cstheme="majorBidi"/>
          <w:lang w:val="en-GB"/>
        </w:rPr>
        <w:lastRenderedPageBreak/>
        <w:t xml:space="preserve">taken AI-mediated aspects of service and incorporated them into </w:t>
      </w:r>
      <w:r w:rsidR="004E685F" w:rsidRPr="003D2A76">
        <w:rPr>
          <w:rFonts w:asciiTheme="majorBidi" w:hAnsiTheme="majorBidi" w:cstheme="majorBidi"/>
          <w:lang w:val="en-GB"/>
        </w:rPr>
        <w:t xml:space="preserve">a </w:t>
      </w:r>
      <w:r w:rsidRPr="003D2A76">
        <w:rPr>
          <w:rFonts w:asciiTheme="majorBidi" w:hAnsiTheme="majorBidi" w:cstheme="majorBidi"/>
          <w:lang w:val="en-GB"/>
        </w:rPr>
        <w:t xml:space="preserve">SERVQUAL-type measurement; even when incorporated, </w:t>
      </w:r>
      <w:r w:rsidR="004E685F" w:rsidRPr="003D2A76">
        <w:rPr>
          <w:rFonts w:asciiTheme="majorBidi" w:hAnsiTheme="majorBidi" w:cstheme="majorBidi"/>
          <w:lang w:val="en-GB"/>
        </w:rPr>
        <w:t xml:space="preserve">they are </w:t>
      </w:r>
      <w:r w:rsidRPr="003D2A76">
        <w:rPr>
          <w:rFonts w:asciiTheme="majorBidi" w:hAnsiTheme="majorBidi" w:cstheme="majorBidi"/>
          <w:lang w:val="en-GB"/>
        </w:rPr>
        <w:t>usually incompletely and unproven in non-Western contexts.</w:t>
      </w:r>
    </w:p>
    <w:p w14:paraId="066A7D6B" w14:textId="364506E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Positive criticism of SERVQUAL usage in education therefore provides </w:t>
      </w:r>
      <w:r w:rsidR="004E685F" w:rsidRPr="003D2A76">
        <w:rPr>
          <w:rFonts w:asciiTheme="majorBidi" w:hAnsiTheme="majorBidi" w:cstheme="majorBidi"/>
          <w:lang w:val="en-GB"/>
        </w:rPr>
        <w:t xml:space="preserve">the </w:t>
      </w:r>
      <w:r w:rsidRPr="003D2A76">
        <w:rPr>
          <w:rFonts w:asciiTheme="majorBidi" w:hAnsiTheme="majorBidi" w:cstheme="majorBidi"/>
          <w:lang w:val="en-GB"/>
        </w:rPr>
        <w:t>historical contribution of the instrument, namely, the offering of a strong, theoretically based, comparatively portable measurement tool</w:t>
      </w:r>
      <w:r w:rsidR="004E685F" w:rsidRPr="003D2A76">
        <w:rPr>
          <w:rFonts w:asciiTheme="majorBidi" w:hAnsiTheme="majorBidi" w:cstheme="majorBidi"/>
          <w:lang w:val="en-GB"/>
        </w:rPr>
        <w:t>. However, it</w:t>
      </w:r>
      <w:r w:rsidRPr="003D2A76">
        <w:rPr>
          <w:rFonts w:asciiTheme="majorBidi" w:hAnsiTheme="majorBidi" w:cstheme="majorBidi"/>
          <w:lang w:val="en-GB"/>
        </w:rPr>
        <w:t xml:space="preserve"> points out the so-called refinements that the AI-friendly K12-based Arabic-Saudi setting needs. The refinement strategy, which is pursued in this case, has three principles. The former is parsimony: the five original dimensions are maintained as the backbone</w:t>
      </w:r>
      <w:r w:rsidR="00832FEA">
        <w:rPr>
          <w:rFonts w:asciiTheme="majorBidi" w:hAnsiTheme="majorBidi" w:cstheme="majorBidi"/>
          <w:lang w:val="en-GB"/>
        </w:rPr>
        <w:t>,</w:t>
      </w:r>
      <w:r w:rsidRPr="003D2A76">
        <w:rPr>
          <w:rFonts w:asciiTheme="majorBidi" w:hAnsiTheme="majorBidi" w:cstheme="majorBidi"/>
          <w:lang w:val="en-GB"/>
        </w:rPr>
        <w:t xml:space="preserve"> as their replicability in an empirical sense is wide and because substitutions would drastically decrease comparability with previous evidence. The second one is specificity: every dimension is customised with items that are appropriate to AI (such as the reliability dimension</w:t>
      </w:r>
      <w:r w:rsidR="00832FEA">
        <w:rPr>
          <w:rFonts w:asciiTheme="majorBidi" w:hAnsiTheme="majorBidi" w:cstheme="majorBidi"/>
          <w:lang w:val="en-GB"/>
        </w:rPr>
        <w:t>,</w:t>
      </w:r>
      <w:r w:rsidRPr="003D2A76">
        <w:rPr>
          <w:rFonts w:asciiTheme="majorBidi" w:hAnsiTheme="majorBidi" w:cstheme="majorBidi"/>
          <w:lang w:val="en-GB"/>
        </w:rPr>
        <w:t xml:space="preserve"> </w:t>
      </w:r>
      <w:r w:rsidR="00371E1E" w:rsidRPr="003D2A76">
        <w:rPr>
          <w:rFonts w:asciiTheme="majorBidi" w:hAnsiTheme="majorBidi" w:cstheme="majorBidi"/>
          <w:lang w:val="en-GB"/>
        </w:rPr>
        <w:t xml:space="preserve">which </w:t>
      </w:r>
      <w:r w:rsidRPr="003D2A76">
        <w:rPr>
          <w:rFonts w:asciiTheme="majorBidi" w:hAnsiTheme="majorBidi" w:cstheme="majorBidi"/>
          <w:lang w:val="en-GB"/>
        </w:rPr>
        <w:t>has items on consistency of feedback mediated by AI</w:t>
      </w:r>
      <w:r w:rsidR="00371E1E" w:rsidRPr="003D2A76">
        <w:rPr>
          <w:rFonts w:asciiTheme="majorBidi" w:hAnsiTheme="majorBidi" w:cstheme="majorBidi"/>
          <w:lang w:val="en-GB"/>
        </w:rPr>
        <w:t>;</w:t>
      </w:r>
      <w:r w:rsidRPr="003D2A76">
        <w:rPr>
          <w:rFonts w:asciiTheme="majorBidi" w:hAnsiTheme="majorBidi" w:cstheme="majorBidi"/>
          <w:lang w:val="en-GB"/>
        </w:rPr>
        <w:t xml:space="preserve"> the responsiveness dimension has items on AI chatbot responsiveness</w:t>
      </w:r>
      <w:r w:rsidR="00371E1E" w:rsidRPr="003D2A76">
        <w:rPr>
          <w:rFonts w:asciiTheme="majorBidi" w:hAnsiTheme="majorBidi" w:cstheme="majorBidi"/>
          <w:lang w:val="en-GB"/>
        </w:rPr>
        <w:t>;</w:t>
      </w:r>
      <w:r w:rsidRPr="003D2A76">
        <w:rPr>
          <w:rFonts w:asciiTheme="majorBidi" w:hAnsiTheme="majorBidi" w:cstheme="majorBidi"/>
          <w:lang w:val="en-GB"/>
        </w:rPr>
        <w:t xml:space="preserve"> and the empathy dimension has items on AI-mediated personalised communication). The third is differentiation: the perception of quality of service is distinguished in a careful way, and items that are outcome-related are transferred to the perceived-value part.</w:t>
      </w:r>
    </w:p>
    <w:p w14:paraId="3E5A1982" w14:textId="6621E84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This paper mitigates these limitations with three design options: a perceptions-only specification; a set of items which entails service-quality-mediated use of AI (AI reliability, AI responsiveness, AI-mediated empathy); and a cautious distinction between service-quality perception and outcome perception, with items involving the latter confined to the perceived-value section of the model. Such division permits the model to test the hypothesis that the adoption of AI raises the perceived quality of the service (H2) </w:t>
      </w:r>
      <w:r w:rsidRPr="003D2A76">
        <w:rPr>
          <w:rFonts w:asciiTheme="majorBidi" w:hAnsiTheme="majorBidi" w:cstheme="majorBidi"/>
          <w:lang w:val="en-GB"/>
        </w:rPr>
        <w:lastRenderedPageBreak/>
        <w:t>without confounding this effect with outcome-level effects, addressed in terms of perceived value. The secondary methodological advantage is that it enables the model to differentiate during the regression-based estimation between the coefficient of quality on intention (H10) and the coefficient of value on intention (H9), which would not be possible had outcome items been loaded on both constructs.</w:t>
      </w:r>
    </w:p>
    <w:p w14:paraId="3DD8ABA2" w14:textId="77777777" w:rsidR="0068628A" w:rsidRPr="003D2A76" w:rsidRDefault="0068628A" w:rsidP="0068628A">
      <w:pPr>
        <w:bidi w:val="0"/>
        <w:rPr>
          <w:rFonts w:asciiTheme="majorBidi" w:hAnsiTheme="majorBidi" w:cstheme="majorBidi"/>
          <w:lang w:val="en-GB"/>
        </w:rPr>
      </w:pPr>
    </w:p>
    <w:p w14:paraId="21916D71"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2.4.4 Trust in AI and Institutional Trust</w:t>
      </w:r>
    </w:p>
    <w:p w14:paraId="63203A07" w14:textId="156E6F9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role of trust plays a significant, central</w:t>
      </w:r>
      <w:r w:rsidR="00832FEA">
        <w:rPr>
          <w:rFonts w:asciiTheme="majorBidi" w:hAnsiTheme="majorBidi" w:cstheme="majorBidi"/>
          <w:lang w:val="en-GB"/>
        </w:rPr>
        <w:t>,</w:t>
      </w:r>
      <w:r w:rsidRPr="003D2A76">
        <w:rPr>
          <w:rFonts w:asciiTheme="majorBidi" w:hAnsiTheme="majorBidi" w:cstheme="majorBidi"/>
          <w:lang w:val="en-GB"/>
        </w:rPr>
        <w:t xml:space="preserve"> and more debated role in the literature on AI adoption. The most common conceptual difference is institutional versus technological trust: institutional trust (the organisation implementing AI) and technological trust (the AI system) itself. An increasing body of research on explainable AI (Arrieta et al., 2019) has claimed that transparency and interpretability are preconditions of trust in AI systems that are used in high-stakes decisions. In education, confidence in AI translates to confidence in AI-mediated assessment, AI-mediated feedback, AI chatbots, and AI decision-support tools, all </w:t>
      </w:r>
      <w:r w:rsidR="00371E1E" w:rsidRPr="003D2A76">
        <w:rPr>
          <w:rFonts w:asciiTheme="majorBidi" w:hAnsiTheme="majorBidi" w:cstheme="majorBidi"/>
          <w:lang w:val="en-GB"/>
        </w:rPr>
        <w:t xml:space="preserve">with </w:t>
      </w:r>
      <w:r w:rsidRPr="003D2A76">
        <w:rPr>
          <w:rFonts w:asciiTheme="majorBidi" w:hAnsiTheme="majorBidi" w:cstheme="majorBidi"/>
          <w:lang w:val="en-GB"/>
        </w:rPr>
        <w:t>varying levels of transparency and varying ramifications when that trust is broken. The human-AI alignment frame focuses on the human-AI collaboration frame, where trust is not binary or fixed but is tuned to specified tasks, risk, and explanation, and has been highlighted in the literature on AI decision-making in the era of big data (Duan et al., 2019). One characteristic that distinguishes trust in AI from generic institutional trust is the dynamic calibration involved: the object of trust is a system whose behaviour is probabilistic and whose performance is sensitive to the alignment between its training data, the input it receives, and the context in which it is applied.</w:t>
      </w:r>
    </w:p>
    <w:p w14:paraId="665EFE4D" w14:textId="5391F41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Various mechanisms have emerged in the literature to develop or destroy trust. Trust can be established by providing reliability to users over an extended period, transparency regarding the working of the AI, observable human control, and providing recovery measures in case of any failure. Mistrust is caused by unclear mistakes, secrecy about what went wrong, and inconsistency between the AI's apparent aims and the user's. In education these processes have particular forms: parents </w:t>
      </w:r>
      <w:r w:rsidR="00371E1E" w:rsidRPr="003D2A76">
        <w:rPr>
          <w:rFonts w:asciiTheme="majorBidi" w:hAnsiTheme="majorBidi" w:cstheme="majorBidi"/>
          <w:lang w:val="en-GB"/>
        </w:rPr>
        <w:t xml:space="preserve">feel more </w:t>
      </w:r>
      <w:r w:rsidRPr="003D2A76">
        <w:rPr>
          <w:rFonts w:asciiTheme="majorBidi" w:hAnsiTheme="majorBidi" w:cstheme="majorBidi"/>
          <w:lang w:val="en-GB"/>
        </w:rPr>
        <w:t xml:space="preserve">trust when AI-mediated judgements about work by their child are consistent with teacher judgements; parents lose trust when AI systems </w:t>
      </w:r>
      <w:r w:rsidR="00371E1E" w:rsidRPr="003D2A76">
        <w:rPr>
          <w:rFonts w:asciiTheme="majorBidi" w:hAnsiTheme="majorBidi" w:cstheme="majorBidi"/>
          <w:lang w:val="en-GB"/>
        </w:rPr>
        <w:t xml:space="preserve">review </w:t>
      </w:r>
      <w:r w:rsidRPr="003D2A76">
        <w:rPr>
          <w:rFonts w:asciiTheme="majorBidi" w:hAnsiTheme="majorBidi" w:cstheme="majorBidi"/>
          <w:lang w:val="en-GB"/>
        </w:rPr>
        <w:t>their child in ways that do not reflect teacher judgements; parents gain confidence when the school makes visible the role played by the teacher in overseeing AI decisions; parents panic when they feel their child has been outsourced to systems they do not understand.</w:t>
      </w:r>
    </w:p>
    <w:p w14:paraId="654EAF0E" w14:textId="2952642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Another difference, which is essential in the case of the Saudi private-school environment, is the difference between trust as </w:t>
      </w:r>
      <w:r w:rsidR="00214F0A" w:rsidRPr="003D2A76">
        <w:rPr>
          <w:rFonts w:asciiTheme="majorBidi" w:hAnsiTheme="majorBidi" w:cstheme="majorBidi"/>
          <w:lang w:val="en-GB"/>
        </w:rPr>
        <w:t xml:space="preserve">a </w:t>
      </w:r>
      <w:r w:rsidRPr="003D2A76">
        <w:rPr>
          <w:rFonts w:asciiTheme="majorBidi" w:hAnsiTheme="majorBidi" w:cstheme="majorBidi"/>
          <w:lang w:val="en-GB"/>
        </w:rPr>
        <w:t xml:space="preserve">disposition and trust as </w:t>
      </w:r>
      <w:r w:rsidR="00214F0A" w:rsidRPr="003D2A76">
        <w:rPr>
          <w:rFonts w:asciiTheme="majorBidi" w:hAnsiTheme="majorBidi" w:cstheme="majorBidi"/>
          <w:lang w:val="en-GB"/>
        </w:rPr>
        <w:t xml:space="preserve">a </w:t>
      </w:r>
      <w:r w:rsidRPr="003D2A76">
        <w:rPr>
          <w:rFonts w:asciiTheme="majorBidi" w:hAnsiTheme="majorBidi" w:cstheme="majorBidi"/>
          <w:lang w:val="en-GB"/>
        </w:rPr>
        <w:t>calculation. Dispositional trust is the tendency to trust the institution and technologies; calculative trust is the judgement in a specific situation that the performance of a particular system merits the commitment. Dispositional trust in relationally orientated, collectivist markets is more heavily influenced by social-network endorsements and by the institution's reputation, and calculative trust is influenced by direct experience. In the case of private schools using AI, it means that the initial trust among parents is extremely sensitive to signs of social and reputational inequality, whereas secondary signs rely on the first-hand experience related to AI-mediated services.</w:t>
      </w:r>
    </w:p>
    <w:p w14:paraId="169E992F" w14:textId="63B18E6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 is further complicated in the case of those parents who have young children. The child is the eventual beneficiary</w:t>
      </w:r>
      <w:r w:rsidR="00832FEA">
        <w:rPr>
          <w:rFonts w:asciiTheme="majorBidi" w:hAnsiTheme="majorBidi" w:cstheme="majorBidi"/>
          <w:lang w:val="en-GB"/>
        </w:rPr>
        <w:t>,</w:t>
      </w:r>
      <w:r w:rsidRPr="003D2A76">
        <w:rPr>
          <w:rFonts w:asciiTheme="majorBidi" w:hAnsiTheme="majorBidi" w:cstheme="majorBidi"/>
          <w:lang w:val="en-GB"/>
        </w:rPr>
        <w:t xml:space="preserve"> and the choice on whether AI will be used in the </w:t>
      </w:r>
      <w:r w:rsidRPr="003D2A76">
        <w:rPr>
          <w:rFonts w:asciiTheme="majorBidi" w:hAnsiTheme="majorBidi" w:cstheme="majorBidi"/>
          <w:lang w:val="en-GB"/>
        </w:rPr>
        <w:lastRenderedPageBreak/>
        <w:t>learning environment of the child is made on behalf of the child. Parental trust in AI in education is an emergent literature</w:t>
      </w:r>
      <w:r w:rsidR="00832FEA">
        <w:rPr>
          <w:rFonts w:asciiTheme="majorBidi" w:hAnsiTheme="majorBidi" w:cstheme="majorBidi"/>
          <w:lang w:val="en-GB"/>
        </w:rPr>
        <w:t>,</w:t>
      </w:r>
      <w:r w:rsidRPr="003D2A76">
        <w:rPr>
          <w:rFonts w:asciiTheme="majorBidi" w:hAnsiTheme="majorBidi" w:cstheme="majorBidi"/>
          <w:lang w:val="en-GB"/>
        </w:rPr>
        <w:t xml:space="preserve"> and a majority of the published studies revolve around teacher or student perceptions. The current work thus fills </w:t>
      </w:r>
      <w:r w:rsidR="00214F0A" w:rsidRPr="003D2A76">
        <w:rPr>
          <w:rFonts w:asciiTheme="majorBidi" w:hAnsiTheme="majorBidi" w:cstheme="majorBidi"/>
          <w:lang w:val="en-GB"/>
        </w:rPr>
        <w:t xml:space="preserve">the </w:t>
      </w:r>
      <w:r w:rsidRPr="003D2A76">
        <w:rPr>
          <w:rFonts w:asciiTheme="majorBidi" w:hAnsiTheme="majorBidi" w:cstheme="majorBidi"/>
          <w:lang w:val="en-GB"/>
        </w:rPr>
        <w:t>gap by both mode</w:t>
      </w:r>
      <w:r w:rsidR="00214F0A" w:rsidRPr="003D2A76">
        <w:rPr>
          <w:rFonts w:asciiTheme="majorBidi" w:hAnsiTheme="majorBidi" w:cstheme="majorBidi"/>
          <w:lang w:val="en-GB"/>
        </w:rPr>
        <w:t>l</w:t>
      </w:r>
      <w:r w:rsidRPr="003D2A76">
        <w:rPr>
          <w:rFonts w:asciiTheme="majorBidi" w:hAnsiTheme="majorBidi" w:cstheme="majorBidi"/>
          <w:lang w:val="en-GB"/>
        </w:rPr>
        <w:t xml:space="preserve">ling parental trust as the product of institutional trust in the school and technological trust in AI, and testing whether perceived service quality as an indicator of competence and reliability predicts trust (H4), and whether trust predicts purchase intention (H5) and perceived value (H8). It is in line with the human-AI-collaboration frame offered by Duan et al. (2019), and with the </w:t>
      </w:r>
      <w:r w:rsidR="00832FEA">
        <w:rPr>
          <w:rFonts w:asciiTheme="majorBidi" w:hAnsiTheme="majorBidi" w:cstheme="majorBidi"/>
          <w:lang w:val="en-GB"/>
        </w:rPr>
        <w:t>explainability-preconditions</w:t>
      </w:r>
      <w:r w:rsidRPr="003D2A76">
        <w:rPr>
          <w:rFonts w:asciiTheme="majorBidi" w:hAnsiTheme="majorBidi" w:cstheme="majorBidi"/>
          <w:lang w:val="en-GB"/>
        </w:rPr>
        <w:t xml:space="preserve"> argument offered by Arrieta et al. (2019): this specification is operationalised here using items that represent both institutional and technological trust aspects.</w:t>
      </w:r>
    </w:p>
    <w:p w14:paraId="135CCB03" w14:textId="77777777" w:rsidR="0068628A" w:rsidRPr="003D2A76" w:rsidRDefault="0068628A" w:rsidP="0068628A">
      <w:pPr>
        <w:bidi w:val="0"/>
        <w:rPr>
          <w:rFonts w:asciiTheme="majorBidi" w:hAnsiTheme="majorBidi" w:cstheme="majorBidi"/>
          <w:lang w:val="en-GB"/>
        </w:rPr>
      </w:pPr>
    </w:p>
    <w:p w14:paraId="5D676588"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2.4.5 Perceived Value in Education</w:t>
      </w:r>
    </w:p>
    <w:p w14:paraId="62AEFADB" w14:textId="1AACA39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Multi-dimensional specification (the functional, emotional, social, and monetary components to be measured together) has gained popularity in the empirical literature on perceived value in education. </w:t>
      </w:r>
      <w:r w:rsidR="00832FEA">
        <w:rPr>
          <w:rFonts w:asciiTheme="majorBidi" w:hAnsiTheme="majorBidi" w:cstheme="majorBidi"/>
          <w:lang w:val="en-GB"/>
        </w:rPr>
        <w:t>Several</w:t>
      </w:r>
      <w:r w:rsidRPr="003D2A76">
        <w:rPr>
          <w:rFonts w:asciiTheme="majorBidi" w:hAnsiTheme="majorBidi" w:cstheme="majorBidi"/>
          <w:lang w:val="en-GB"/>
        </w:rPr>
        <w:t xml:space="preserve"> studies have established that the best driver in the case of cost sensitivity is functional value, whereas emotional and social value are more salient in the premium segments. In the case of AI-enabled private schools, these segments are important: the schools that cater to higher-income families will be in a market where emotional comfort with AI and status provided by the school being modern can be more important than the theoretical functional utility of AI-specific functionality. This multi-dimensional specification </w:t>
      </w:r>
      <w:r w:rsidR="00214F0A" w:rsidRPr="003D2A76">
        <w:rPr>
          <w:rFonts w:asciiTheme="majorBidi" w:hAnsiTheme="majorBidi" w:cstheme="majorBidi"/>
          <w:lang w:val="en-GB"/>
        </w:rPr>
        <w:t>depends on</w:t>
      </w:r>
      <w:r w:rsidRPr="003D2A76">
        <w:rPr>
          <w:rFonts w:asciiTheme="majorBidi" w:hAnsiTheme="majorBidi" w:cstheme="majorBidi"/>
          <w:lang w:val="en-GB"/>
        </w:rPr>
        <w:t xml:space="preserve"> its theoretical basis </w:t>
      </w:r>
      <w:r w:rsidR="00214F0A" w:rsidRPr="003D2A76">
        <w:rPr>
          <w:rFonts w:asciiTheme="majorBidi" w:hAnsiTheme="majorBidi" w:cstheme="majorBidi"/>
          <w:lang w:val="en-GB"/>
        </w:rPr>
        <w:t xml:space="preserve">in </w:t>
      </w:r>
      <w:r w:rsidRPr="003D2A76">
        <w:rPr>
          <w:rFonts w:asciiTheme="majorBidi" w:hAnsiTheme="majorBidi" w:cstheme="majorBidi"/>
          <w:lang w:val="en-GB"/>
        </w:rPr>
        <w:t>Zeithaml</w:t>
      </w:r>
      <w:r w:rsidR="00214F0A" w:rsidRPr="003D2A76">
        <w:rPr>
          <w:rFonts w:asciiTheme="majorBidi" w:hAnsiTheme="majorBidi" w:cstheme="majorBidi"/>
          <w:lang w:val="en-GB"/>
        </w:rPr>
        <w:t>’s</w:t>
      </w:r>
      <w:r w:rsidRPr="003D2A76">
        <w:rPr>
          <w:rFonts w:asciiTheme="majorBidi" w:hAnsiTheme="majorBidi" w:cstheme="majorBidi"/>
          <w:lang w:val="en-GB"/>
        </w:rPr>
        <w:t xml:space="preserve"> (1988) means-end model, which provides the central role of a higher-order mediator (value-construct) between concrete attributes and behavioural outcomes. Sweeney and Soutar </w:t>
      </w:r>
      <w:r w:rsidRPr="003D2A76">
        <w:rPr>
          <w:rFonts w:asciiTheme="majorBidi" w:hAnsiTheme="majorBidi" w:cstheme="majorBidi"/>
          <w:lang w:val="en-GB"/>
        </w:rPr>
        <w:lastRenderedPageBreak/>
        <w:t xml:space="preserve">(2001) operationalised this higher-order mediator using a scale that included functional (price), functional (quality/performance), emotional, and social dimensions, measuring each separately and finding that the ratio varies based on </w:t>
      </w:r>
      <w:r w:rsidR="00214F0A" w:rsidRPr="003D2A76">
        <w:rPr>
          <w:rFonts w:asciiTheme="majorBidi" w:hAnsiTheme="majorBidi" w:cstheme="majorBidi"/>
          <w:lang w:val="en-GB"/>
        </w:rPr>
        <w:t xml:space="preserve">the </w:t>
      </w:r>
      <w:r w:rsidRPr="003D2A76">
        <w:rPr>
          <w:rFonts w:asciiTheme="majorBidi" w:hAnsiTheme="majorBidi" w:cstheme="majorBidi"/>
          <w:lang w:val="en-GB"/>
        </w:rPr>
        <w:t>product category, context of consumption, and individual attributes.</w:t>
      </w:r>
    </w:p>
    <w:p w14:paraId="6DDA8556" w14:textId="5529170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fifth dimension </w:t>
      </w:r>
      <w:r w:rsidR="00214F0A" w:rsidRPr="003D2A76">
        <w:rPr>
          <w:rFonts w:asciiTheme="majorBidi" w:hAnsiTheme="majorBidi" w:cstheme="majorBidi"/>
          <w:lang w:val="en-GB"/>
        </w:rPr>
        <w:t xml:space="preserve">arising </w:t>
      </w:r>
      <w:r w:rsidRPr="003D2A76">
        <w:rPr>
          <w:rFonts w:asciiTheme="majorBidi" w:hAnsiTheme="majorBidi" w:cstheme="majorBidi"/>
          <w:lang w:val="en-GB"/>
        </w:rPr>
        <w:t>in education that has been generally overlooked in the consumer-goods literature</w:t>
      </w:r>
      <w:r w:rsidR="00214F0A" w:rsidRPr="003D2A76">
        <w:rPr>
          <w:rFonts w:asciiTheme="majorBidi" w:hAnsiTheme="majorBidi" w:cstheme="majorBidi"/>
          <w:lang w:val="en-GB"/>
        </w:rPr>
        <w:t xml:space="preserve"> is </w:t>
      </w:r>
      <w:r w:rsidRPr="003D2A76">
        <w:rPr>
          <w:rFonts w:asciiTheme="majorBidi" w:hAnsiTheme="majorBidi" w:cstheme="majorBidi"/>
          <w:lang w:val="en-GB"/>
        </w:rPr>
        <w:t xml:space="preserve">developmental or </w:t>
      </w:r>
      <w:r w:rsidR="00832FEA">
        <w:rPr>
          <w:rFonts w:asciiTheme="majorBidi" w:hAnsiTheme="majorBidi" w:cstheme="majorBidi"/>
          <w:lang w:val="en-GB"/>
        </w:rPr>
        <w:t>future-oriented</w:t>
      </w:r>
      <w:r w:rsidRPr="003D2A76">
        <w:rPr>
          <w:rFonts w:asciiTheme="majorBidi" w:hAnsiTheme="majorBidi" w:cstheme="majorBidi"/>
          <w:lang w:val="en-GB"/>
        </w:rPr>
        <w:t xml:space="preserve"> value – the expected long-run payoff in the form of career preparation, cognitive growth, character building, as well as social capital. The dimension is especially relevant in the context of private education, where tuition is an important financial investment </w:t>
      </w:r>
      <w:r w:rsidR="006773CC" w:rsidRPr="003D2A76">
        <w:rPr>
          <w:rFonts w:asciiTheme="majorBidi" w:hAnsiTheme="majorBidi" w:cstheme="majorBidi"/>
          <w:lang w:val="en-GB"/>
        </w:rPr>
        <w:t xml:space="preserve">on </w:t>
      </w:r>
      <w:r w:rsidRPr="003D2A76">
        <w:rPr>
          <w:rFonts w:asciiTheme="majorBidi" w:hAnsiTheme="majorBidi" w:cstheme="majorBidi"/>
          <w:lang w:val="en-GB"/>
        </w:rPr>
        <w:t>returns in the future. Parents consider schools based on apparent performance and projected improvement, and AI adoption falls into both categories: current performance (adaptive feedback, personalised learning) and projected trajectory (AI literacy formation in the workforce of tomorrow).</w:t>
      </w:r>
    </w:p>
    <w:p w14:paraId="733A3604" w14:textId="5ACB438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Another associated controversy relates to the connection between value and loyalty. One of the studies believes that the strongest predictor of the repurchase intention is value, and others believe that once trust is formed, the value dominates. The combined model of the current study assumes a middle ground: both value and trust are postulated to have a direct impact on intention (H5, H9), and it is value that mediates the impact of quality on intention (H11). This specification enables an empirical test of the relative importance of value and trust in the situation regarding Saudi private education. Another controversy has to do with which causation between satisfaction and value takes place: there are studies where satisfaction is a cause of value and vice versa. The current model avoids this discussion by not invoking satisfaction as a construct; rather, the mediating constructs (quality, trust, value) are viewed as the cognitive-affective states that relay the </w:t>
      </w:r>
      <w:r w:rsidRPr="003D2A76">
        <w:rPr>
          <w:rFonts w:asciiTheme="majorBidi" w:hAnsiTheme="majorBidi" w:cstheme="majorBidi"/>
          <w:lang w:val="en-GB"/>
        </w:rPr>
        <w:lastRenderedPageBreak/>
        <w:t xml:space="preserve">impact of AI adoption </w:t>
      </w:r>
      <w:r w:rsidR="006773CC" w:rsidRPr="003D2A76">
        <w:rPr>
          <w:rFonts w:asciiTheme="majorBidi" w:hAnsiTheme="majorBidi" w:cstheme="majorBidi"/>
          <w:lang w:val="en-GB"/>
        </w:rPr>
        <w:t xml:space="preserve">on </w:t>
      </w:r>
      <w:r w:rsidRPr="003D2A76">
        <w:rPr>
          <w:rFonts w:asciiTheme="majorBidi" w:hAnsiTheme="majorBidi" w:cstheme="majorBidi"/>
          <w:lang w:val="en-GB"/>
        </w:rPr>
        <w:t xml:space="preserve">intention. This option minimises the proliferation of constructs and retains the parsimony that an approach </w:t>
      </w:r>
      <w:r w:rsidR="006773CC" w:rsidRPr="003D2A76">
        <w:rPr>
          <w:rFonts w:asciiTheme="majorBidi" w:hAnsiTheme="majorBidi" w:cstheme="majorBidi"/>
          <w:lang w:val="en-GB"/>
        </w:rPr>
        <w:t xml:space="preserve">such </w:t>
      </w:r>
      <w:r w:rsidRPr="003D2A76">
        <w:rPr>
          <w:rFonts w:asciiTheme="majorBidi" w:hAnsiTheme="majorBidi" w:cstheme="majorBidi"/>
          <w:lang w:val="en-GB"/>
        </w:rPr>
        <w:t>as regression-based path analysis requires in the case of the required sample size.</w:t>
      </w:r>
    </w:p>
    <w:p w14:paraId="1B37285F" w14:textId="08057DD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Another factor </w:t>
      </w:r>
      <w:r w:rsidR="006773CC" w:rsidRPr="003D2A76">
        <w:rPr>
          <w:rFonts w:asciiTheme="majorBidi" w:hAnsiTheme="majorBidi" w:cstheme="majorBidi"/>
          <w:lang w:val="en-GB"/>
        </w:rPr>
        <w:t xml:space="preserve">that </w:t>
      </w:r>
      <w:r w:rsidRPr="003D2A76">
        <w:rPr>
          <w:rFonts w:asciiTheme="majorBidi" w:hAnsiTheme="majorBidi" w:cstheme="majorBidi"/>
          <w:lang w:val="en-GB"/>
        </w:rPr>
        <w:t>the Saudi private-education system offers is consideration of perceived value regarding a background of high tuition expenses, relatively low numbers of alternative</w:t>
      </w:r>
      <w:r w:rsidR="006773CC" w:rsidRPr="003D2A76">
        <w:rPr>
          <w:rFonts w:asciiTheme="majorBidi" w:hAnsiTheme="majorBidi" w:cstheme="majorBidi"/>
          <w:lang w:val="en-GB"/>
        </w:rPr>
        <w:t xml:space="preserve"> </w:t>
      </w:r>
      <w:r w:rsidRPr="003D2A76">
        <w:rPr>
          <w:rFonts w:asciiTheme="majorBidi" w:hAnsiTheme="majorBidi" w:cstheme="majorBidi"/>
          <w:lang w:val="en-GB"/>
        </w:rPr>
        <w:t xml:space="preserve">parental </w:t>
      </w:r>
      <w:r w:rsidR="006773CC" w:rsidRPr="003D2A76">
        <w:rPr>
          <w:rFonts w:asciiTheme="majorBidi" w:hAnsiTheme="majorBidi" w:cstheme="majorBidi"/>
          <w:lang w:val="en-GB"/>
        </w:rPr>
        <w:t>choices for</w:t>
      </w:r>
      <w:r w:rsidRPr="003D2A76">
        <w:rPr>
          <w:rFonts w:asciiTheme="majorBidi" w:hAnsiTheme="majorBidi" w:cstheme="majorBidi"/>
          <w:lang w:val="en-GB"/>
        </w:rPr>
        <w:t xml:space="preserve"> bilingual and international programmes in the public sector, and a long-term family-planning profile. These characteristics enhance monetary-value dimension salience compared to mainstream PERVAL applications, and they augment </w:t>
      </w:r>
      <w:r w:rsidR="006773CC" w:rsidRPr="003D2A76">
        <w:rPr>
          <w:rFonts w:asciiTheme="majorBidi" w:hAnsiTheme="majorBidi" w:cstheme="majorBidi"/>
          <w:lang w:val="en-GB"/>
        </w:rPr>
        <w:t xml:space="preserve">the </w:t>
      </w:r>
      <w:r w:rsidRPr="003D2A76">
        <w:rPr>
          <w:rFonts w:asciiTheme="majorBidi" w:hAnsiTheme="majorBidi" w:cstheme="majorBidi"/>
          <w:lang w:val="en-GB"/>
        </w:rPr>
        <w:t>interplay between value and trust: parents who invest large long-term resources must have confidence that the school will fulfil the value proposition across numerous years, but not transactions.</w:t>
      </w:r>
    </w:p>
    <w:p w14:paraId="469B7F78" w14:textId="77777777" w:rsidR="0068628A" w:rsidRPr="003D2A76" w:rsidRDefault="0068628A" w:rsidP="0068628A">
      <w:pPr>
        <w:bidi w:val="0"/>
        <w:rPr>
          <w:rFonts w:asciiTheme="majorBidi" w:hAnsiTheme="majorBidi" w:cstheme="majorBidi"/>
          <w:lang w:val="en-GB"/>
        </w:rPr>
      </w:pPr>
    </w:p>
    <w:p w14:paraId="2E149429"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2.4.6 School Choice and Purchase Intention</w:t>
      </w:r>
    </w:p>
    <w:p w14:paraId="6684C5F4" w14:textId="55B9358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Two schools of thought have existed in the school-choice literature: an economics-of-education tradition that structures choice as a utility optimisation subject to budget and information constraints and a behavioural tradition which builds on TPB, TAM and service-quality theories. This study integrated model is based on the behavioural tradition but can be consistent with the economic tradition </w:t>
      </w:r>
      <w:r w:rsidR="006773CC" w:rsidRPr="003D2A76">
        <w:rPr>
          <w:rFonts w:asciiTheme="majorBidi" w:hAnsiTheme="majorBidi" w:cstheme="majorBidi"/>
          <w:lang w:val="en-GB"/>
        </w:rPr>
        <w:t xml:space="preserve">embedded in </w:t>
      </w:r>
      <w:r w:rsidRPr="003D2A76">
        <w:rPr>
          <w:rFonts w:asciiTheme="majorBidi" w:hAnsiTheme="majorBidi" w:cstheme="majorBidi"/>
          <w:lang w:val="en-GB"/>
        </w:rPr>
        <w:t>the economic element of perceived value. Empirical research in the GCC setting has reported that academic rank, religious and cultural orientation, language of study, alignment to proximity, affordability of tuition, and social network are all sources of school choice, but AI use as a school-choice variable has recently gained prominence.</w:t>
      </w:r>
    </w:p>
    <w:p w14:paraId="0EAB1269" w14:textId="7CBF641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A number of characteristics make the school-choice decision </w:t>
      </w:r>
      <w:r w:rsidR="00505ADB" w:rsidRPr="003D2A76">
        <w:rPr>
          <w:rFonts w:asciiTheme="majorBidi" w:hAnsiTheme="majorBidi" w:cstheme="majorBidi"/>
          <w:lang w:val="en-GB"/>
        </w:rPr>
        <w:t>similar</w:t>
      </w:r>
      <w:r w:rsidRPr="003D2A76">
        <w:rPr>
          <w:rFonts w:asciiTheme="majorBidi" w:hAnsiTheme="majorBidi" w:cstheme="majorBidi"/>
          <w:lang w:val="en-GB"/>
        </w:rPr>
        <w:t xml:space="preserve"> compared to managerial consumer decisions</w:t>
      </w:r>
      <w:r w:rsidR="00832FEA">
        <w:rPr>
          <w:rFonts w:asciiTheme="majorBidi" w:hAnsiTheme="majorBidi" w:cstheme="majorBidi"/>
          <w:lang w:val="en-GB"/>
        </w:rPr>
        <w:t>,</w:t>
      </w:r>
      <w:r w:rsidRPr="003D2A76">
        <w:rPr>
          <w:rFonts w:asciiTheme="majorBidi" w:hAnsiTheme="majorBidi" w:cstheme="majorBidi"/>
          <w:lang w:val="en-GB"/>
        </w:rPr>
        <w:t xml:space="preserve"> </w:t>
      </w:r>
      <w:r w:rsidR="00505ADB" w:rsidRPr="003D2A76">
        <w:rPr>
          <w:rFonts w:asciiTheme="majorBidi" w:hAnsiTheme="majorBidi" w:cstheme="majorBidi"/>
          <w:lang w:val="en-GB"/>
        </w:rPr>
        <w:t xml:space="preserve">though it can be singled out as it </w:t>
      </w:r>
      <w:r w:rsidRPr="003D2A76">
        <w:rPr>
          <w:rFonts w:asciiTheme="majorBidi" w:hAnsiTheme="majorBidi" w:cstheme="majorBidi"/>
          <w:lang w:val="en-GB"/>
        </w:rPr>
        <w:t>warrant</w:t>
      </w:r>
      <w:r w:rsidR="00505ADB" w:rsidRPr="003D2A76">
        <w:rPr>
          <w:rFonts w:asciiTheme="majorBidi" w:hAnsiTheme="majorBidi" w:cstheme="majorBidi"/>
          <w:lang w:val="en-GB"/>
        </w:rPr>
        <w:t>s</w:t>
      </w:r>
      <w:r w:rsidRPr="003D2A76">
        <w:rPr>
          <w:rFonts w:asciiTheme="majorBidi" w:hAnsiTheme="majorBidi" w:cstheme="majorBidi"/>
          <w:lang w:val="en-GB"/>
        </w:rPr>
        <w:t xml:space="preserve"> special theoretical treatment. One, it is a high-stakes decision that entails significant and long-term financial, emotional, and developmental resources. Second, it is a long-term decision </w:t>
      </w:r>
      <w:r w:rsidR="00832FEA">
        <w:rPr>
          <w:rFonts w:asciiTheme="majorBidi" w:hAnsiTheme="majorBidi" w:cstheme="majorBidi"/>
          <w:lang w:val="en-GB"/>
        </w:rPr>
        <w:t>that</w:t>
      </w:r>
      <w:r w:rsidRPr="003D2A76">
        <w:rPr>
          <w:rFonts w:asciiTheme="majorBidi" w:hAnsiTheme="majorBidi" w:cstheme="majorBidi"/>
          <w:lang w:val="en-GB"/>
        </w:rPr>
        <w:t xml:space="preserve"> is implemented in a matter of weeks or months. Third, it is not an individual decision but a family decision where more than one decision-maker is involved, where, in most cases, </w:t>
      </w:r>
      <w:r w:rsidR="00505ADB" w:rsidRPr="003D2A76">
        <w:rPr>
          <w:rFonts w:asciiTheme="majorBidi" w:hAnsiTheme="majorBidi" w:cstheme="majorBidi"/>
          <w:lang w:val="en-GB"/>
        </w:rPr>
        <w:t xml:space="preserve">decision-makers </w:t>
      </w:r>
      <w:r w:rsidRPr="003D2A76">
        <w:rPr>
          <w:rFonts w:asciiTheme="majorBidi" w:hAnsiTheme="majorBidi" w:cstheme="majorBidi"/>
          <w:lang w:val="en-GB"/>
        </w:rPr>
        <w:t xml:space="preserve">would be the parents and, at times, even the extended family. Fourth, it is a highly social decision: the school selection expresses family identity, education values, and social status. Fifth, it is an institutionally conditioned decision (through institutional gatekeepers: </w:t>
      </w:r>
      <w:r w:rsidR="002C33FE">
        <w:rPr>
          <w:rFonts w:asciiTheme="majorBidi" w:hAnsiTheme="majorBidi" w:cstheme="majorBidi"/>
          <w:lang w:val="en-GB"/>
        </w:rPr>
        <w:t>improvement</w:t>
      </w:r>
      <w:r w:rsidRPr="003D2A76">
        <w:rPr>
          <w:rFonts w:asciiTheme="majorBidi" w:hAnsiTheme="majorBidi" w:cstheme="majorBidi"/>
          <w:lang w:val="en-GB"/>
        </w:rPr>
        <w:t xml:space="preserve">, tuition, capacity, etc.) where intention and behaviour do not necessarily relate one-to-one. Although each of these features has consequences </w:t>
      </w:r>
      <w:r w:rsidR="00505ADB" w:rsidRPr="003D2A76">
        <w:rPr>
          <w:rFonts w:asciiTheme="majorBidi" w:hAnsiTheme="majorBidi" w:cstheme="majorBidi"/>
          <w:lang w:val="en-GB"/>
        </w:rPr>
        <w:t xml:space="preserve">for </w:t>
      </w:r>
      <w:r w:rsidRPr="003D2A76">
        <w:rPr>
          <w:rFonts w:asciiTheme="majorBidi" w:hAnsiTheme="majorBidi" w:cstheme="majorBidi"/>
          <w:lang w:val="en-GB"/>
        </w:rPr>
        <w:t xml:space="preserve">the specification of the model of the present study, high involvement suggests that cognitive mediators (quality, value) is relevant; extended evaluation suggests that trust is relevant; family decision suggests that social norms are relevant; social signalling suggests that reputational, cultural-fit dimensions </w:t>
      </w:r>
      <w:r w:rsidR="00505ADB" w:rsidRPr="003D2A76">
        <w:rPr>
          <w:rFonts w:asciiTheme="majorBidi" w:hAnsiTheme="majorBidi" w:cstheme="majorBidi"/>
          <w:lang w:val="en-GB"/>
        </w:rPr>
        <w:t>are</w:t>
      </w:r>
      <w:r w:rsidRPr="003D2A76">
        <w:rPr>
          <w:rFonts w:asciiTheme="majorBidi" w:hAnsiTheme="majorBidi" w:cstheme="majorBidi"/>
          <w:lang w:val="en-GB"/>
        </w:rPr>
        <w:t xml:space="preserve"> relevant; and institutional gatekeeping suggests that the outcome of interest </w:t>
      </w:r>
      <w:r w:rsidR="00505ADB" w:rsidRPr="003D2A76">
        <w:rPr>
          <w:rFonts w:asciiTheme="majorBidi" w:hAnsiTheme="majorBidi" w:cstheme="majorBidi"/>
          <w:lang w:val="en-GB"/>
        </w:rPr>
        <w:t>is</w:t>
      </w:r>
      <w:r w:rsidRPr="003D2A76">
        <w:rPr>
          <w:rFonts w:asciiTheme="majorBidi" w:hAnsiTheme="majorBidi" w:cstheme="majorBidi"/>
          <w:lang w:val="en-GB"/>
        </w:rPr>
        <w:t xml:space="preserve"> intention and not enrolment.</w:t>
      </w:r>
    </w:p>
    <w:p w14:paraId="53EE07C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Another problem is the operationalisation of intentions. The TPB specification of intention measures by Ajzen (1991) was based on the likelihood of performing the target behaviour, and in a school-choice context this may include the likelihood of enrolling, the likelihood of remaining, the likelihood of recommending the school, and the likelihood of considering the school to be among the first-choice schools. The current research operationalises intention with the use of items that reflect all four aspects, as they align </w:t>
      </w:r>
      <w:r w:rsidRPr="003D2A76">
        <w:rPr>
          <w:rFonts w:asciiTheme="majorBidi" w:hAnsiTheme="majorBidi" w:cstheme="majorBidi"/>
          <w:lang w:val="en-GB"/>
        </w:rPr>
        <w:lastRenderedPageBreak/>
        <w:t>with the larger literature on the TPB and are also valid in the real-world context teachers face, where parents make a series of related choices across time.</w:t>
      </w:r>
    </w:p>
    <w:p w14:paraId="6DAD61FD" w14:textId="420C6D7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current research has value, as it operationalises the concept of AI adoption as a school-choice strength and examines its interactions with the classic factors in the built-in model. The contribution provides a valuable addition to the gap in the current market: schools compete on AI more, and the literature on behavioural intentions requires a model that will help determine whether AI adoption translates into the intention or mediate</w:t>
      </w:r>
      <w:r w:rsidR="00826365" w:rsidRPr="003D2A76">
        <w:rPr>
          <w:rFonts w:asciiTheme="majorBidi" w:hAnsiTheme="majorBidi" w:cstheme="majorBidi"/>
          <w:lang w:val="en-GB"/>
        </w:rPr>
        <w:t>s</w:t>
      </w:r>
      <w:r w:rsidRPr="003D2A76">
        <w:rPr>
          <w:rFonts w:asciiTheme="majorBidi" w:hAnsiTheme="majorBidi" w:cstheme="majorBidi"/>
          <w:lang w:val="en-GB"/>
        </w:rPr>
        <w:t xml:space="preserve"> the traditional school-choice factors. The regression-based specification permits this type of relative-importance analysis.</w:t>
      </w:r>
    </w:p>
    <w:p w14:paraId="2F951B0D" w14:textId="43880DD5"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2.4.7 The </w:t>
      </w:r>
      <w:r w:rsidR="00826365" w:rsidRPr="003D2A76">
        <w:rPr>
          <w:rFonts w:asciiTheme="majorBidi" w:hAnsiTheme="majorBidi" w:cstheme="majorBidi"/>
          <w:b/>
          <w:bCs/>
          <w:i/>
          <w:lang w:val="en-GB"/>
        </w:rPr>
        <w:t>TAM</w:t>
      </w:r>
      <w:r w:rsidRPr="003D2A76">
        <w:rPr>
          <w:rFonts w:asciiTheme="majorBidi" w:hAnsiTheme="majorBidi" w:cstheme="majorBidi"/>
          <w:b/>
          <w:bCs/>
          <w:i/>
          <w:lang w:val="en-GB"/>
        </w:rPr>
        <w:t xml:space="preserve"> for AI in Education</w:t>
      </w:r>
    </w:p>
    <w:p w14:paraId="063B8A2F" w14:textId="55876C9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AI-adoption construct of the study is based on the theoretical background of TAM, though various recent writings have modified it to fit AI in particular. In their synthesis of AI in higher education, Crompton and Burke (2023) found that the explanatory power of the canonical TAM is more likely to decline in AI environments due to the adaptive, probabilistic, and opaque nature of AI that changes the cognitive foundation of usefulness and of ease-of-use judgements. The adaptive nature implies that the usefulness of something changes as the system is learnt; the probabilistic nature lays emphasis on the relevance of a particular output to determine its ease of use; and the opaque nature implies that users find it difficult to develop conditioned mental models about how the system will behave. These violations of the premises of the original TAM of a steady, deterministic, and verifiable system introduce a gap that has been filled in only to a partial extent in the literature. Such studies </w:t>
      </w:r>
      <w:r w:rsidR="00826365" w:rsidRPr="003D2A76">
        <w:rPr>
          <w:rFonts w:asciiTheme="majorBidi" w:hAnsiTheme="majorBidi" w:cstheme="majorBidi"/>
          <w:lang w:val="en-GB"/>
        </w:rPr>
        <w:t xml:space="preserve">on </w:t>
      </w:r>
      <w:r w:rsidRPr="003D2A76">
        <w:rPr>
          <w:rFonts w:asciiTheme="majorBidi" w:hAnsiTheme="majorBidi" w:cstheme="majorBidi"/>
          <w:lang w:val="en-GB"/>
        </w:rPr>
        <w:t xml:space="preserve">generative AI, based on Tlili et al. (2023) and Dwivedi et al. (2023), have suggested the addition of other antecedents like </w:t>
      </w:r>
      <w:r w:rsidRPr="003D2A76">
        <w:rPr>
          <w:rFonts w:asciiTheme="majorBidi" w:hAnsiTheme="majorBidi" w:cstheme="majorBidi"/>
          <w:lang w:val="en-GB"/>
        </w:rPr>
        <w:lastRenderedPageBreak/>
        <w:t>perceived data-privacy risk, perceived hallucination risk, perceived image quality, and perceived opacity. Other recent studies have also proposed that the UTAUT constructs of social influence and facilitating conditions are becoming more significant in AI contexts specifically because they address some of the complexities associated with AI.</w:t>
      </w:r>
    </w:p>
    <w:p w14:paraId="3530D2FD" w14:textId="045EFF4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current research paper keeps the canonical logic of TAM at the measurement level of perceived usefulness and perceived ease of use but implicitly extends it since it introduces trust as an independent variable (contemplating the dynamics of </w:t>
      </w:r>
      <w:r w:rsidR="00832FEA">
        <w:rPr>
          <w:rFonts w:asciiTheme="majorBidi" w:hAnsiTheme="majorBidi" w:cstheme="majorBidi"/>
          <w:lang w:val="en-GB"/>
        </w:rPr>
        <w:t>opacity</w:t>
      </w:r>
      <w:r w:rsidRPr="003D2A76">
        <w:rPr>
          <w:rFonts w:asciiTheme="majorBidi" w:hAnsiTheme="majorBidi" w:cstheme="majorBidi"/>
          <w:lang w:val="en-GB"/>
        </w:rPr>
        <w:t xml:space="preserve"> and risk) and partially replaces these AI-specific antecedents. There are three reasons why this design is warranted. First, it maintains the parsimony of the original TAM structure, which has proved to be a robust structure in numerous situations. Second, it does not introduce AI-specific antecedents, which would increase the measurement load </w:t>
      </w:r>
      <w:r w:rsidR="00826365" w:rsidRPr="003D2A76">
        <w:rPr>
          <w:rFonts w:asciiTheme="majorBidi" w:hAnsiTheme="majorBidi" w:cstheme="majorBidi"/>
          <w:lang w:val="en-GB"/>
        </w:rPr>
        <w:t>in</w:t>
      </w:r>
      <w:r w:rsidRPr="003D2A76">
        <w:rPr>
          <w:rFonts w:asciiTheme="majorBidi" w:hAnsiTheme="majorBidi" w:cstheme="majorBidi"/>
          <w:lang w:val="en-GB"/>
        </w:rPr>
        <w:t xml:space="preserve"> excess of their cognitive focus, which is a real issue in large-N survey research. Third, it incorporates both the issue of ambiguity and risk in the trust construct, a construct that has been thoroughly validated with its own measure of tradition, instead of diffusing the issue throughout the various AI-specific antecedents.</w:t>
      </w:r>
    </w:p>
    <w:p w14:paraId="2D1B0A4E" w14:textId="05152EB5"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 dialectical note is warranted. The field of TAM adaptation </w:t>
      </w:r>
      <w:r w:rsidR="00826365" w:rsidRPr="003D2A76">
        <w:rPr>
          <w:rFonts w:asciiTheme="majorBidi" w:hAnsiTheme="majorBidi" w:cstheme="majorBidi"/>
          <w:lang w:val="en-GB"/>
        </w:rPr>
        <w:t xml:space="preserve">for </w:t>
      </w:r>
      <w:r w:rsidRPr="003D2A76">
        <w:rPr>
          <w:rFonts w:asciiTheme="majorBidi" w:hAnsiTheme="majorBidi" w:cstheme="majorBidi"/>
          <w:lang w:val="en-GB"/>
        </w:rPr>
        <w:t xml:space="preserve">AI </w:t>
      </w:r>
      <w:r w:rsidR="00826365" w:rsidRPr="003D2A76">
        <w:rPr>
          <w:rFonts w:asciiTheme="majorBidi" w:hAnsiTheme="majorBidi" w:cstheme="majorBidi"/>
          <w:lang w:val="en-GB"/>
        </w:rPr>
        <w:t>has two approaches</w:t>
      </w:r>
      <w:r w:rsidRPr="003D2A76">
        <w:rPr>
          <w:rFonts w:asciiTheme="majorBidi" w:hAnsiTheme="majorBidi" w:cstheme="majorBidi"/>
          <w:lang w:val="en-GB"/>
        </w:rPr>
        <w:t>: extenders – the proponents of the addition of AI-specific constructs – and parsimonists – the proponents of the idea that the fundamental TAM already describes what is important when understood in an AI-specific manner. The current study is a compromise: all the core TAM antecedents remain on the measurement level, but the concerns of AI are measured using trust and through the cultural-moderation aspect. This can be aligned with the strategy of TAM3 (Venkatesh and Bala, 2008) to add more antecedents on an as-needed basis instead of making an exhaustive commitment towards a single specification.</w:t>
      </w:r>
    </w:p>
    <w:p w14:paraId="01BB7B28" w14:textId="77777777" w:rsidR="0068628A" w:rsidRPr="003D2A76" w:rsidRDefault="0068628A" w:rsidP="0068628A">
      <w:pPr>
        <w:bidi w:val="0"/>
        <w:rPr>
          <w:rFonts w:asciiTheme="majorBidi" w:hAnsiTheme="majorBidi" w:cstheme="majorBidi"/>
          <w:lang w:val="en-GB"/>
        </w:rPr>
      </w:pPr>
    </w:p>
    <w:p w14:paraId="01671660" w14:textId="18AD83D6"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2.4.8 Educational Choice and the </w:t>
      </w:r>
      <w:r w:rsidR="00826365" w:rsidRPr="003D2A76">
        <w:rPr>
          <w:rFonts w:asciiTheme="majorBidi" w:hAnsiTheme="majorBidi" w:cstheme="majorBidi"/>
          <w:b/>
          <w:bCs/>
          <w:i/>
          <w:lang w:val="en-GB"/>
        </w:rPr>
        <w:t>TPB</w:t>
      </w:r>
    </w:p>
    <w:p w14:paraId="6AD211A7" w14:textId="1C19D4C9"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educational choice literature based on TPB has tended to model the choice decision as an intention that is created by school attitudes, subjective norms (family and peer influence)</w:t>
      </w:r>
      <w:r w:rsidR="00832FEA">
        <w:rPr>
          <w:rFonts w:asciiTheme="majorBidi" w:hAnsiTheme="majorBidi" w:cstheme="majorBidi"/>
          <w:lang w:val="en-GB"/>
        </w:rPr>
        <w:t>,</w:t>
      </w:r>
      <w:r w:rsidRPr="003D2A76">
        <w:rPr>
          <w:rFonts w:asciiTheme="majorBidi" w:hAnsiTheme="majorBidi" w:cstheme="majorBidi"/>
          <w:lang w:val="en-GB"/>
        </w:rPr>
        <w:t xml:space="preserve"> and perceived behavioural control (affordability and accessibility). The Saudi context provides some details: the subjective-norm element is enhanced by extended-family circles</w:t>
      </w:r>
      <w:r w:rsidR="00832FEA">
        <w:rPr>
          <w:rFonts w:asciiTheme="majorBidi" w:hAnsiTheme="majorBidi" w:cstheme="majorBidi"/>
          <w:lang w:val="en-GB"/>
        </w:rPr>
        <w:t xml:space="preserve"> and</w:t>
      </w:r>
      <w:r w:rsidRPr="003D2A76">
        <w:rPr>
          <w:rFonts w:asciiTheme="majorBidi" w:hAnsiTheme="majorBidi" w:cstheme="majorBidi"/>
          <w:lang w:val="en-GB"/>
        </w:rPr>
        <w:t xml:space="preserve"> religious-community advice. Admissions processes; affordability of tuition in comparison with household income; transport logistics in the dispersed Jeddah metropolitan area; and, more and more, the digital and AI-literacy resources at home to facilitate the interaction of the child with the AI-enabled school services add to the perceived-behavioural-control component. The attitude component, in turn, is conditioned not only by the observations of the parents on the academic quality of the school but also by their judgement of the school in terms of its modernity, the level of cultural fit, and the ethical profile, which, again, are altered during the adoption of AI in a manner the literature on TPB was not expected to address or manage.</w:t>
      </w:r>
    </w:p>
    <w:p w14:paraId="17FC1707" w14:textId="3601296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Among the effectively described empirical tendencies in the published TPB literature is the fact that different contexts and populations have different degrees of relative weight of attitude, subjective norms</w:t>
      </w:r>
      <w:r w:rsidR="00832FEA">
        <w:rPr>
          <w:rFonts w:asciiTheme="majorBidi" w:hAnsiTheme="majorBidi" w:cstheme="majorBidi"/>
          <w:lang w:val="en-GB"/>
        </w:rPr>
        <w:t>,</w:t>
      </w:r>
      <w:r w:rsidRPr="003D2A76">
        <w:rPr>
          <w:rFonts w:asciiTheme="majorBidi" w:hAnsiTheme="majorBidi" w:cstheme="majorBidi"/>
          <w:lang w:val="en-GB"/>
        </w:rPr>
        <w:t xml:space="preserve"> and perceived behavioural control. Attitude prevails in individualistic low-involvement situations; subjective norms are somewhat more potent in collectivist high-involvement situations. Saudi choice in private schools is a high-involvement, collectivist choice, resulting in an expected comparatively strong influence of subjective norms. The integrated model observes the subjective-norm dynamics, in </w:t>
      </w:r>
      <w:r w:rsidRPr="003D2A76">
        <w:rPr>
          <w:rFonts w:asciiTheme="majorBidi" w:hAnsiTheme="majorBidi" w:cstheme="majorBidi"/>
          <w:lang w:val="en-GB"/>
        </w:rPr>
        <w:lastRenderedPageBreak/>
        <w:t>part, as the cultural-factors moderator and, in part, as the trust construct, in which institutional trust encodes reputational information that is conveyed via social networks.</w:t>
      </w:r>
    </w:p>
    <w:p w14:paraId="3D0C2103" w14:textId="53A7776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current research uses TPB measurement of purchase intention; however, it integrates it into a bigger framework where the three TPB antecedents are absorbed</w:t>
      </w:r>
      <w:r w:rsidR="00826365" w:rsidRPr="003D2A76">
        <w:rPr>
          <w:rFonts w:asciiTheme="majorBidi" w:hAnsiTheme="majorBidi" w:cstheme="majorBidi"/>
          <w:lang w:val="en-GB"/>
        </w:rPr>
        <w:t>,</w:t>
      </w:r>
      <w:r w:rsidRPr="003D2A76">
        <w:rPr>
          <w:rFonts w:asciiTheme="majorBidi" w:hAnsiTheme="majorBidi" w:cstheme="majorBidi"/>
          <w:lang w:val="en-GB"/>
        </w:rPr>
        <w:t xml:space="preserve"> to some extent</w:t>
      </w:r>
      <w:r w:rsidR="00826365" w:rsidRPr="003D2A76">
        <w:rPr>
          <w:rFonts w:asciiTheme="majorBidi" w:hAnsiTheme="majorBidi" w:cstheme="majorBidi"/>
          <w:lang w:val="en-GB"/>
        </w:rPr>
        <w:t>,</w:t>
      </w:r>
      <w:r w:rsidRPr="003D2A76">
        <w:rPr>
          <w:rFonts w:asciiTheme="majorBidi" w:hAnsiTheme="majorBidi" w:cstheme="majorBidi"/>
          <w:lang w:val="en-GB"/>
        </w:rPr>
        <w:t xml:space="preserve"> by the combined model elements of trust, service quality, and cultural moderation. This structure maintains the predictive value of TPB and the enriched architecture of the integrated model. In particular, the attitude towards the school is operationalised indirectly with the help of the perceived quality and the perceived value; subjective norms are operationalised with the help of the cultural-factors component; and perceived behavioural control is addressed through the fact that the research is restricted to parents as the main decision-makers with the capability to enrol their children </w:t>
      </w:r>
      <w:r w:rsidR="00826365" w:rsidRPr="003D2A76">
        <w:rPr>
          <w:rFonts w:asciiTheme="majorBidi" w:hAnsiTheme="majorBidi" w:cstheme="majorBidi"/>
          <w:lang w:val="en-GB"/>
        </w:rPr>
        <w:t xml:space="preserve">in practice </w:t>
      </w:r>
      <w:r w:rsidRPr="003D2A76">
        <w:rPr>
          <w:rFonts w:asciiTheme="majorBidi" w:hAnsiTheme="majorBidi" w:cstheme="majorBidi"/>
          <w:lang w:val="en-GB"/>
        </w:rPr>
        <w:t xml:space="preserve">(except </w:t>
      </w:r>
      <w:r w:rsidR="00826365" w:rsidRPr="003D2A76">
        <w:rPr>
          <w:rFonts w:asciiTheme="majorBidi" w:hAnsiTheme="majorBidi" w:cstheme="majorBidi"/>
          <w:lang w:val="en-GB"/>
        </w:rPr>
        <w:t xml:space="preserve">in </w:t>
      </w:r>
      <w:r w:rsidRPr="003D2A76">
        <w:rPr>
          <w:rFonts w:asciiTheme="majorBidi" w:hAnsiTheme="majorBidi" w:cstheme="majorBidi"/>
          <w:lang w:val="en-GB"/>
        </w:rPr>
        <w:t>cases when the cultural-factors component is substantially externalised to other household members). This specification is in line with the more general approach to the TPB, found in the broader path-analysis literature, to incorporate the TPB into larger decision models and not attempt to estimate it separately.</w:t>
      </w:r>
    </w:p>
    <w:p w14:paraId="3FD3B798" w14:textId="77777777" w:rsidR="0068628A" w:rsidRPr="003D2A76" w:rsidRDefault="0068628A" w:rsidP="0068628A">
      <w:pPr>
        <w:bidi w:val="0"/>
        <w:rPr>
          <w:rFonts w:asciiTheme="majorBidi" w:hAnsiTheme="majorBidi" w:cstheme="majorBidi"/>
          <w:lang w:val="en-GB"/>
        </w:rPr>
      </w:pPr>
    </w:p>
    <w:p w14:paraId="155B5625"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2.4.9 Saudi Culture and the Saudi Context</w:t>
      </w:r>
    </w:p>
    <w:p w14:paraId="6C048C0D" w14:textId="0A45263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This study does not address cultural factors as a residual variable but does view them as an active moderator of the mechanisms between adoption of AI and purchase intention. The Saudi private-education market is rather sensitive to three cultural dimensions. The initial one is family centrality: all decisions regarding the education of a child are usually negotiated by parents and, in many situations, extended-family members, which results in subjective norms that are anomalously influential (in line with the UTAUT social-</w:t>
      </w:r>
      <w:r w:rsidRPr="003D2A76">
        <w:rPr>
          <w:rFonts w:asciiTheme="majorBidi" w:hAnsiTheme="majorBidi" w:cstheme="majorBidi"/>
          <w:lang w:val="en-GB"/>
        </w:rPr>
        <w:lastRenderedPageBreak/>
        <w:t>influence construct in collectivist contexts). The second is religious alignment: AI content of any type in terms of curriculum, communications</w:t>
      </w:r>
      <w:r w:rsidR="00832FEA">
        <w:rPr>
          <w:rFonts w:asciiTheme="majorBidi" w:hAnsiTheme="majorBidi" w:cstheme="majorBidi"/>
          <w:lang w:val="en-GB"/>
        </w:rPr>
        <w:t>,</w:t>
      </w:r>
      <w:r w:rsidRPr="003D2A76">
        <w:rPr>
          <w:rFonts w:asciiTheme="majorBidi" w:hAnsiTheme="majorBidi" w:cstheme="majorBidi"/>
          <w:lang w:val="en-GB"/>
        </w:rPr>
        <w:t xml:space="preserve"> and marketing is compared against a religious construct, and the use of AI in schools is within legal bounds so long as the use does not compromise that construct. The third is the gender-sensitive service design: the features of a service, especially in late K-12 stages, are considered through the lens of their suitability to the arrangement of gender. Vision 2030 has introduced the top-down cultural vector by placing AI as a national development priority; a national narrative can be used both </w:t>
      </w:r>
      <w:r w:rsidR="00826365" w:rsidRPr="003D2A76">
        <w:rPr>
          <w:rFonts w:asciiTheme="majorBidi" w:hAnsiTheme="majorBidi" w:cstheme="majorBidi"/>
          <w:lang w:val="en-GB"/>
        </w:rPr>
        <w:t xml:space="preserve">to </w:t>
      </w:r>
      <w:r w:rsidRPr="003D2A76">
        <w:rPr>
          <w:rFonts w:asciiTheme="majorBidi" w:hAnsiTheme="majorBidi" w:cstheme="majorBidi"/>
          <w:lang w:val="en-GB"/>
        </w:rPr>
        <w:t>increase the base of legitimacy of AI in schools and increase parental expectations at the same time.</w:t>
      </w:r>
    </w:p>
    <w:p w14:paraId="057DBAEC" w14:textId="07DB824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cultural-dimensions tradition is a more sophisticated analytical prism, having long espoused the view that collectivist, high-context, high-uncertainty-avoidance societies have a methodologically different evaluation of technology than that of individualist, low-context, low-uncertainty-avoidance societies. Collectivism and family centrality in Saudi Arabia suggest that social endorsement is a strong antecedent of individual intention and thus point to the argument that the social-influence path in the integrated model may be stronger than in similar studies conducted in Europe. High uncertainty avoidance, in its turn, means that trust and risk-reducing cues, such as transparency, human control, and reputation, are disproportionately influential </w:t>
      </w:r>
      <w:r w:rsidR="00826365" w:rsidRPr="003D2A76">
        <w:rPr>
          <w:rFonts w:asciiTheme="majorBidi" w:hAnsiTheme="majorBidi" w:cstheme="majorBidi"/>
          <w:lang w:val="en-GB"/>
        </w:rPr>
        <w:t xml:space="preserve">in relation to </w:t>
      </w:r>
      <w:r w:rsidRPr="003D2A76">
        <w:rPr>
          <w:rFonts w:asciiTheme="majorBidi" w:hAnsiTheme="majorBidi" w:cstheme="majorBidi"/>
          <w:lang w:val="en-GB"/>
        </w:rPr>
        <w:t>AI adoption. These assumptions produce certain predictions concerning how the moderation of the model is expected to work: the trust-to-intention path is to be reinforced and the direct AI-adoption-to-intention path to be weakened by cultural factors, as cultural mediation moderates the impact of AI adoption via social and trust means, instead of via direct utility.</w:t>
      </w:r>
    </w:p>
    <w:p w14:paraId="4378AE4D" w14:textId="461653E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One characteristic of the Saudi situation is the rapid top-down modernisation that is intertwined with strong family continuity and religious continuity, all based on Vision 2030. This cohesion forms a market where both AI at the national level and conflict at the family level can exist simultaneously and where the work of private schools has to be on both the registers when communicating with parents. The successfully implemented AI schools are schools which operationalise the validity of both registers in their work – linking AI investments to the national development discourse and displaying respect to family and religious factors at the operation</w:t>
      </w:r>
      <w:r w:rsidR="004A1DA3" w:rsidRPr="003D2A76">
        <w:rPr>
          <w:rFonts w:asciiTheme="majorBidi" w:hAnsiTheme="majorBidi" w:cstheme="majorBidi"/>
          <w:lang w:val="en-GB"/>
        </w:rPr>
        <w:t>al</w:t>
      </w:r>
      <w:r w:rsidRPr="003D2A76">
        <w:rPr>
          <w:rFonts w:asciiTheme="majorBidi" w:hAnsiTheme="majorBidi" w:cstheme="majorBidi"/>
          <w:lang w:val="en-GB"/>
        </w:rPr>
        <w:t xml:space="preserve"> level. This dual-register dynamic has not been well-captured so far in the empirical literature, and the current research </w:t>
      </w:r>
      <w:r w:rsidR="004A1DA3" w:rsidRPr="003D2A76">
        <w:rPr>
          <w:rFonts w:asciiTheme="majorBidi" w:hAnsiTheme="majorBidi" w:cstheme="majorBidi"/>
          <w:lang w:val="en-GB"/>
        </w:rPr>
        <w:t>aims</w:t>
      </w:r>
      <w:r w:rsidRPr="003D2A76">
        <w:rPr>
          <w:rFonts w:asciiTheme="majorBidi" w:hAnsiTheme="majorBidi" w:cstheme="majorBidi"/>
          <w:lang w:val="en-GB"/>
        </w:rPr>
        <w:t xml:space="preserve"> to start </w:t>
      </w:r>
      <w:r w:rsidR="004A1DA3" w:rsidRPr="003D2A76">
        <w:rPr>
          <w:rFonts w:asciiTheme="majorBidi" w:hAnsiTheme="majorBidi" w:cstheme="majorBidi"/>
          <w:lang w:val="en-GB"/>
        </w:rPr>
        <w:t>addressing this</w:t>
      </w:r>
      <w:r w:rsidRPr="003D2A76">
        <w:rPr>
          <w:rFonts w:asciiTheme="majorBidi" w:hAnsiTheme="majorBidi" w:cstheme="majorBidi"/>
          <w:lang w:val="en-GB"/>
        </w:rPr>
        <w:t xml:space="preserve"> in detail by incorporating cultural-fit items that cite the national-development story as well as the family-religious story.</w:t>
      </w:r>
    </w:p>
    <w:p w14:paraId="07C38D27" w14:textId="45DDF3A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cultural-moderation aspect of the integrated model (H12) is intended to reveal whether these cultural variables reinforce, weaken</w:t>
      </w:r>
      <w:r w:rsidR="00832FEA">
        <w:rPr>
          <w:rFonts w:asciiTheme="majorBidi" w:hAnsiTheme="majorBidi" w:cstheme="majorBidi"/>
          <w:lang w:val="en-GB"/>
        </w:rPr>
        <w:t>,</w:t>
      </w:r>
      <w:r w:rsidRPr="003D2A76">
        <w:rPr>
          <w:rFonts w:asciiTheme="majorBidi" w:hAnsiTheme="majorBidi" w:cstheme="majorBidi"/>
          <w:lang w:val="en-GB"/>
        </w:rPr>
        <w:t xml:space="preserve"> or overturn the mechanisms of the model. It fits a cumulative argument pattern that, until now, has shown that moderators generally do not reverse the effect but tend to soften it: the hypotheses of the current study are that the cultural moderation of TAM and UTAUT across markets </w:t>
      </w:r>
      <w:r w:rsidR="00832FEA">
        <w:rPr>
          <w:rFonts w:asciiTheme="majorBidi" w:hAnsiTheme="majorBidi" w:cstheme="majorBidi"/>
          <w:lang w:val="en-GB"/>
        </w:rPr>
        <w:t>behaves</w:t>
      </w:r>
      <w:r w:rsidRPr="003D2A76">
        <w:rPr>
          <w:rFonts w:asciiTheme="majorBidi" w:hAnsiTheme="majorBidi" w:cstheme="majorBidi"/>
          <w:lang w:val="en-GB"/>
        </w:rPr>
        <w:t xml:space="preserve"> </w:t>
      </w:r>
      <w:r w:rsidR="00832FEA" w:rsidRPr="003D2A76">
        <w:rPr>
          <w:rFonts w:asciiTheme="majorBidi" w:hAnsiTheme="majorBidi" w:cstheme="majorBidi"/>
          <w:lang w:val="en-GB"/>
        </w:rPr>
        <w:t>attenuating</w:t>
      </w:r>
      <w:r w:rsidRPr="003D2A76">
        <w:rPr>
          <w:rFonts w:asciiTheme="majorBidi" w:hAnsiTheme="majorBidi" w:cstheme="majorBidi"/>
          <w:lang w:val="en-GB"/>
        </w:rPr>
        <w:t xml:space="preserve"> (not oppositely), and the current study tested whether they do so in the Saudi context. A dialectical footnote must</w:t>
      </w:r>
      <w:r w:rsidR="004A1DA3" w:rsidRPr="003D2A76">
        <w:rPr>
          <w:rFonts w:asciiTheme="majorBidi" w:hAnsiTheme="majorBidi" w:cstheme="majorBidi"/>
          <w:lang w:val="en-GB"/>
        </w:rPr>
        <w:t xml:space="preserve"> also be considered</w:t>
      </w:r>
      <w:r w:rsidRPr="003D2A76">
        <w:rPr>
          <w:rFonts w:asciiTheme="majorBidi" w:hAnsiTheme="majorBidi" w:cstheme="majorBidi"/>
          <w:lang w:val="en-GB"/>
        </w:rPr>
        <w:t xml:space="preserve">: </w:t>
      </w:r>
      <w:r w:rsidR="004A1DA3" w:rsidRPr="003D2A76">
        <w:rPr>
          <w:rFonts w:asciiTheme="majorBidi" w:hAnsiTheme="majorBidi" w:cstheme="majorBidi"/>
          <w:lang w:val="en-GB"/>
        </w:rPr>
        <w:t>t</w:t>
      </w:r>
      <w:r w:rsidRPr="003D2A76">
        <w:rPr>
          <w:rFonts w:asciiTheme="majorBidi" w:hAnsiTheme="majorBidi" w:cstheme="majorBidi"/>
          <w:lang w:val="en-GB"/>
        </w:rPr>
        <w:t>he literature o</w:t>
      </w:r>
      <w:r w:rsidR="004A1DA3" w:rsidRPr="003D2A76">
        <w:rPr>
          <w:rFonts w:asciiTheme="majorBidi" w:hAnsiTheme="majorBidi" w:cstheme="majorBidi"/>
          <w:lang w:val="en-GB"/>
        </w:rPr>
        <w:t>n</w:t>
      </w:r>
      <w:r w:rsidRPr="003D2A76">
        <w:rPr>
          <w:rFonts w:asciiTheme="majorBidi" w:hAnsiTheme="majorBidi" w:cstheme="majorBidi"/>
          <w:lang w:val="en-GB"/>
        </w:rPr>
        <w:t xml:space="preserve"> cultural moderation is not universal, and individual studies have detected inversions in highly gender-sensitive or highly religiously differentiated sub-samples. The current research will thus involve making comparisons in multi-groups based on culturally relevant sub-samples in order not only </w:t>
      </w:r>
      <w:r w:rsidR="004A1DA3" w:rsidRPr="003D2A76">
        <w:rPr>
          <w:rFonts w:asciiTheme="majorBidi" w:hAnsiTheme="majorBidi" w:cstheme="majorBidi"/>
          <w:lang w:val="en-GB"/>
        </w:rPr>
        <w:t xml:space="preserve">to </w:t>
      </w:r>
      <w:r w:rsidRPr="003D2A76">
        <w:rPr>
          <w:rFonts w:asciiTheme="majorBidi" w:hAnsiTheme="majorBidi" w:cstheme="majorBidi"/>
          <w:lang w:val="en-GB"/>
        </w:rPr>
        <w:t>investigate the average moderating effect but also the heterogeneity of the same.</w:t>
      </w:r>
    </w:p>
    <w:p w14:paraId="3544DCBC" w14:textId="77777777" w:rsidR="0068628A" w:rsidRPr="003D2A76" w:rsidRDefault="0068628A" w:rsidP="0068628A">
      <w:pPr>
        <w:bidi w:val="0"/>
        <w:rPr>
          <w:rFonts w:asciiTheme="majorBidi" w:hAnsiTheme="majorBidi" w:cstheme="majorBidi"/>
          <w:lang w:val="en-GB"/>
        </w:rPr>
      </w:pPr>
    </w:p>
    <w:p w14:paraId="740AC816"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2.4.10 AI-Driven Student Satisfaction</w:t>
      </w:r>
    </w:p>
    <w:p w14:paraId="5CAAF9AA" w14:textId="1DD12BB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Although the end result of the study is parental purchase intention, current research on AI-driven student satisfaction </w:t>
      </w:r>
      <w:r w:rsidR="00832FEA">
        <w:rPr>
          <w:rFonts w:asciiTheme="majorBidi" w:hAnsiTheme="majorBidi" w:cstheme="majorBidi"/>
          <w:lang w:val="en-GB"/>
        </w:rPr>
        <w:t>applies</w:t>
      </w:r>
      <w:r w:rsidRPr="003D2A76">
        <w:rPr>
          <w:rFonts w:asciiTheme="majorBidi" w:hAnsiTheme="majorBidi" w:cstheme="majorBidi"/>
          <w:lang w:val="en-GB"/>
        </w:rPr>
        <w:t xml:space="preserve"> to the source since student satisfaction is a proxy outcome, which influences parental perceptions in the long run. The literature indicates that AI personalisation, feedback responsiveness</w:t>
      </w:r>
      <w:r w:rsidR="00832FEA">
        <w:rPr>
          <w:rFonts w:asciiTheme="majorBidi" w:hAnsiTheme="majorBidi" w:cstheme="majorBidi"/>
          <w:lang w:val="en-GB"/>
        </w:rPr>
        <w:t>,</w:t>
      </w:r>
      <w:r w:rsidRPr="003D2A76">
        <w:rPr>
          <w:rFonts w:asciiTheme="majorBidi" w:hAnsiTheme="majorBidi" w:cstheme="majorBidi"/>
          <w:lang w:val="en-GB"/>
        </w:rPr>
        <w:t xml:space="preserve"> and the significance of AI explanations are the most effective predictors of student satisfaction with AI-enabled learning. Intelligent tutoring systems</w:t>
      </w:r>
      <w:r w:rsidR="004A1DA3" w:rsidRPr="003D2A76">
        <w:rPr>
          <w:rFonts w:asciiTheme="majorBidi" w:hAnsiTheme="majorBidi" w:cstheme="majorBidi"/>
          <w:lang w:val="en-GB"/>
        </w:rPr>
        <w:t>’</w:t>
      </w:r>
      <w:r w:rsidRPr="003D2A76">
        <w:rPr>
          <w:rFonts w:asciiTheme="majorBidi" w:hAnsiTheme="majorBidi" w:cstheme="majorBidi"/>
          <w:lang w:val="en-GB"/>
        </w:rPr>
        <w:t xml:space="preserve"> research programmes have long claimed positive average effects </w:t>
      </w:r>
      <w:r w:rsidR="004A1DA3" w:rsidRPr="003D2A76">
        <w:rPr>
          <w:rFonts w:asciiTheme="majorBidi" w:hAnsiTheme="majorBidi" w:cstheme="majorBidi"/>
          <w:lang w:val="en-GB"/>
        </w:rPr>
        <w:t xml:space="preserve">for </w:t>
      </w:r>
      <w:r w:rsidRPr="003D2A76">
        <w:rPr>
          <w:rFonts w:asciiTheme="majorBidi" w:hAnsiTheme="majorBidi" w:cstheme="majorBidi"/>
          <w:lang w:val="en-GB"/>
        </w:rPr>
        <w:t xml:space="preserve">student engagement and student </w:t>
      </w:r>
      <w:r w:rsidR="00832FEA">
        <w:rPr>
          <w:rFonts w:asciiTheme="majorBidi" w:hAnsiTheme="majorBidi" w:cstheme="majorBidi"/>
          <w:lang w:val="en-GB"/>
        </w:rPr>
        <w:t>outcomes</w:t>
      </w:r>
      <w:r w:rsidRPr="003D2A76">
        <w:rPr>
          <w:rFonts w:asciiTheme="majorBidi" w:hAnsiTheme="majorBidi" w:cstheme="majorBidi"/>
          <w:lang w:val="en-GB"/>
        </w:rPr>
        <w:t>, with the heterogeneity based on the subject under investigation, student characteristics, and implementation quality. Generative AI and chatbots (more recent work) have added an additional dimension (student satisfaction) based on the perceived correctness of the AI's communicative style, the correctness of its factual content, and the degree to which it supplements, as opposed to replaces, teacher interaction.</w:t>
      </w:r>
    </w:p>
    <w:p w14:paraId="2638CA66" w14:textId="29DCDD9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the case of parents, the satisfaction of the students is hardly directly observed but is determined based on child reports, domestic observed engagement, and school communication on learning progress. The chain of inference is AI-enabled learning to student satisfaction to child reports and engagement to parental perception of the school service provided, trust, and value. This is an extended, noisy chain, and that is one of the reasons why the current study directly quantifies quality, trust, and value at the parental level instead of trying to formulate a model of student satisfaction as a definable construct. This suggestion </w:t>
      </w:r>
      <w:r w:rsidR="004A1DA3" w:rsidRPr="003D2A76">
        <w:rPr>
          <w:rFonts w:asciiTheme="majorBidi" w:hAnsiTheme="majorBidi" w:cstheme="majorBidi"/>
          <w:lang w:val="en-GB"/>
        </w:rPr>
        <w:t xml:space="preserve">about </w:t>
      </w:r>
      <w:r w:rsidRPr="003D2A76">
        <w:rPr>
          <w:rFonts w:asciiTheme="majorBidi" w:hAnsiTheme="majorBidi" w:cstheme="majorBidi"/>
          <w:lang w:val="en-GB"/>
        </w:rPr>
        <w:t xml:space="preserve">the design is that parental perception is not a proxy of </w:t>
      </w:r>
      <w:r w:rsidRPr="003D2A76">
        <w:rPr>
          <w:rFonts w:asciiTheme="majorBidi" w:hAnsiTheme="majorBidi" w:cstheme="majorBidi"/>
          <w:lang w:val="en-GB"/>
        </w:rPr>
        <w:lastRenderedPageBreak/>
        <w:t>when students are satisfied but a theoretically meaningful construct that mediates the outcome of the decision.</w:t>
      </w:r>
    </w:p>
    <w:p w14:paraId="6BB96426" w14:textId="2BADD582"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Further studies may develop the model with student-reported satisfaction as another antecedent of parental trust and student-perceived value, especially in longitudinal studies, to clarify how student reports change parental perceptions in one complete school year. This is represented in the present study as a limitation of the model, but constructively critically, like the review, the boundary is a trade-off which sacrifices scope in favour of measurement accuracy at the parental level, where the decision outcome of interest lies.</w:t>
      </w:r>
    </w:p>
    <w:p w14:paraId="5B6E7080" w14:textId="77777777" w:rsidR="0068628A" w:rsidRPr="003D2A76" w:rsidRDefault="0068628A" w:rsidP="0068628A">
      <w:pPr>
        <w:bidi w:val="0"/>
        <w:rPr>
          <w:rFonts w:asciiTheme="majorBidi" w:hAnsiTheme="majorBidi" w:cstheme="majorBidi"/>
          <w:lang w:val="en-GB"/>
        </w:rPr>
      </w:pPr>
    </w:p>
    <w:p w14:paraId="4243EF61" w14:textId="6A5406D7" w:rsidR="00885F3C" w:rsidRPr="003D2A76" w:rsidRDefault="00885F3C" w:rsidP="00BD6279">
      <w:pPr>
        <w:pStyle w:val="Heading2"/>
        <w:rPr>
          <w:lang w:val="en-GB"/>
        </w:rPr>
      </w:pPr>
      <w:bookmarkStart w:id="18" w:name="_Toc228056562"/>
      <w:r w:rsidRPr="003D2A76">
        <w:rPr>
          <w:rFonts w:ascii="Times New Roman" w:hAnsi="Times New Roman" w:cs="Times New Roman"/>
          <w:lang w:val="en-GB"/>
        </w:rPr>
        <w:t>2.</w:t>
      </w:r>
      <w:r w:rsidR="005C3CDA">
        <w:rPr>
          <w:rFonts w:ascii="Times New Roman" w:hAnsi="Times New Roman" w:cs="Times New Roman"/>
          <w:lang w:val="en-GB"/>
        </w:rPr>
        <w:t xml:space="preserve">5 </w:t>
      </w:r>
      <w:r w:rsidRPr="003D2A76">
        <w:rPr>
          <w:rFonts w:ascii="Times New Roman" w:hAnsi="Times New Roman" w:cs="Times New Roman"/>
          <w:lang w:val="en-GB"/>
        </w:rPr>
        <w:t>Integration and Conceptual Framework</w:t>
      </w:r>
      <w:bookmarkEnd w:id="18"/>
    </w:p>
    <w:p w14:paraId="43433388" w14:textId="2A4B87E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synthesis of the theoretical background with the review of the themes provides the conceptual framework of the study. The framework defines five endogenous constructs, i.e., AI adoption, perceived service quality, trust, perceived value, purchase intention, and a single cultural-moderator construct that provides the conditions under which the relations between them occur. The conceptual framework can be read as a causal narrative which traces the progression between an antecedent and an outcome in four blocks of analysis, each of which can be traced to a subset of the twelve hypotheses presented in Chapter 1.</w:t>
      </w:r>
    </w:p>
    <w:p w14:paraId="041CB357" w14:textId="0E79428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lang w:val="en-GB"/>
        </w:rPr>
        <w:t xml:space="preserve">Block A: The direct impact of AI adoption. </w:t>
      </w:r>
      <w:r w:rsidRPr="003D2A76">
        <w:rPr>
          <w:rFonts w:asciiTheme="majorBidi" w:hAnsiTheme="majorBidi" w:cstheme="majorBidi"/>
          <w:lang w:val="en-GB"/>
        </w:rPr>
        <w:t>The integrated model initially outlines three direct implications of AI adoption: for the purchase intention (H1), perceived service quality (H2)</w:t>
      </w:r>
      <w:r w:rsidR="003A20EC">
        <w:rPr>
          <w:rFonts w:asciiTheme="majorBidi" w:hAnsiTheme="majorBidi" w:cstheme="majorBidi"/>
          <w:lang w:val="en-GB"/>
        </w:rPr>
        <w:t>,</w:t>
      </w:r>
      <w:r w:rsidRPr="003D2A76">
        <w:rPr>
          <w:rFonts w:asciiTheme="majorBidi" w:hAnsiTheme="majorBidi" w:cstheme="majorBidi"/>
          <w:lang w:val="en-GB"/>
        </w:rPr>
        <w:t xml:space="preserve"> and trust (H3). The H1 theoretical supporting rationale is based on the acceptance-intention logic of TAM and its propositions (Davis, 1989; Venkatesh et </w:t>
      </w:r>
      <w:r w:rsidRPr="003D2A76">
        <w:rPr>
          <w:rFonts w:asciiTheme="majorBidi" w:hAnsiTheme="majorBidi" w:cstheme="majorBidi"/>
          <w:lang w:val="en-GB"/>
        </w:rPr>
        <w:lastRenderedPageBreak/>
        <w:t xml:space="preserve">al., 2003; Venkatesh and Bala, 2008): the perception of parents that a school uses AI in a useful and friendly way leads to a better evaluation of the school and their desire to </w:t>
      </w:r>
      <w:r w:rsidR="00A14C88" w:rsidRPr="003D2A76">
        <w:rPr>
          <w:rFonts w:asciiTheme="majorBidi" w:hAnsiTheme="majorBidi" w:cstheme="majorBidi"/>
          <w:lang w:val="en-GB"/>
        </w:rPr>
        <w:t>enrol</w:t>
      </w:r>
      <w:r w:rsidRPr="003D2A76">
        <w:rPr>
          <w:rFonts w:asciiTheme="majorBidi" w:hAnsiTheme="majorBidi" w:cstheme="majorBidi"/>
          <w:lang w:val="en-GB"/>
        </w:rPr>
        <w:t xml:space="preserve"> or renew enrolment. The H2 is theoretically justified based on signalling service quality and the role of AI: AI-enabling features (timely feedback, adaptive learning, and responsive chatbots) enhance the SERVQUAL dimensions that include reliability, responsiveness, assurance, and empathy (Parasuraman et al., 1988). H3 has a theoretical rationale: the institutional-signalling role of evident, capable AI adoption. When deployed competently and transparently, schools demonstrate institutional competency, which leads to parental trust</w:t>
      </w:r>
      <w:r w:rsidR="003A20EC">
        <w:rPr>
          <w:rFonts w:asciiTheme="majorBidi" w:hAnsiTheme="majorBidi" w:cstheme="majorBidi"/>
          <w:lang w:val="en-GB"/>
        </w:rPr>
        <w:t>,</w:t>
      </w:r>
      <w:r w:rsidRPr="003D2A76">
        <w:rPr>
          <w:rFonts w:asciiTheme="majorBidi" w:hAnsiTheme="majorBidi" w:cstheme="majorBidi"/>
          <w:lang w:val="en-GB"/>
        </w:rPr>
        <w:t xml:space="preserve"> which is consistent with the human-AI collaboration frame (Duan et al., 2019; Arrieta et al., 2019).</w:t>
      </w:r>
    </w:p>
    <w:p w14:paraId="5C18B64B" w14:textId="6812981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lang w:val="en-GB"/>
        </w:rPr>
        <w:t xml:space="preserve">Block B: Trust as a mediating factor. </w:t>
      </w:r>
      <w:r w:rsidRPr="003D2A76">
        <w:rPr>
          <w:rFonts w:asciiTheme="majorBidi" w:hAnsiTheme="majorBidi" w:cstheme="majorBidi"/>
          <w:lang w:val="en-GB"/>
        </w:rPr>
        <w:t xml:space="preserve">The model then defines the channel through which perceived service quality gives rise to trust (H4), through which trust translates into purchase intention (H5), and through which AI adoption shapes purchase intention indirectly via trust (H6). The reason why H4 is supported by the nature of </w:t>
      </w:r>
      <w:r w:rsidR="004A1C6D">
        <w:rPr>
          <w:rFonts w:asciiTheme="majorBidi" w:hAnsiTheme="majorBidi" w:cstheme="majorBidi"/>
          <w:lang w:val="en-GB"/>
        </w:rPr>
        <w:t xml:space="preserve">most </w:t>
      </w:r>
      <w:r w:rsidRPr="003D2A76">
        <w:rPr>
          <w:rFonts w:asciiTheme="majorBidi" w:hAnsiTheme="majorBidi" w:cstheme="majorBidi"/>
          <w:lang w:val="en-GB"/>
        </w:rPr>
        <w:t>literature on service quality is that quality is a stable antecedent of trust; high-quality services, being indicators of competence and reliability, are preconditions of trust. The consumer-trust literature supports H5 in that trust decreases perceived risk and enhances the desire to enter into a purchase relationship. The H6 supposition is based on the combination of these two directions: it is assumed that AI adoption will influence intention both directly (H1) and indirectly, via the influence on trust.</w:t>
      </w:r>
    </w:p>
    <w:p w14:paraId="3B164319" w14:textId="6620F9D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lang w:val="en-GB"/>
        </w:rPr>
        <w:t xml:space="preserve">Block C: Perceived value as a second mediator. </w:t>
      </w:r>
      <w:r w:rsidRPr="003D2A76">
        <w:rPr>
          <w:rFonts w:asciiTheme="majorBidi" w:hAnsiTheme="majorBidi" w:cstheme="majorBidi"/>
          <w:lang w:val="en-GB"/>
        </w:rPr>
        <w:t xml:space="preserve">Perceived value is defined as a second mediating variable in the model: it is affected by perceived service quality (H7) and by trust (H8), and in turn influences purchase intention (H9). H7 is based on the means-end </w:t>
      </w:r>
      <w:r w:rsidRPr="003D2A76">
        <w:rPr>
          <w:rFonts w:asciiTheme="majorBidi" w:hAnsiTheme="majorBidi" w:cstheme="majorBidi"/>
          <w:lang w:val="en-GB"/>
        </w:rPr>
        <w:lastRenderedPageBreak/>
        <w:t xml:space="preserve">theory of Zeithaml (1988), where the higher-order construct that neutralises the effects of real quality attributes is perceived value. H8 is based on the fact that trust decreases the psychological cost element of the value calculation; </w:t>
      </w:r>
      <w:r w:rsidR="00A14C88" w:rsidRPr="003D2A76">
        <w:rPr>
          <w:rFonts w:asciiTheme="majorBidi" w:hAnsiTheme="majorBidi" w:cstheme="majorBidi"/>
          <w:lang w:val="en-GB"/>
        </w:rPr>
        <w:t xml:space="preserve">a </w:t>
      </w:r>
      <w:r w:rsidRPr="003D2A76">
        <w:rPr>
          <w:rFonts w:asciiTheme="majorBidi" w:hAnsiTheme="majorBidi" w:cstheme="majorBidi"/>
          <w:lang w:val="en-GB"/>
        </w:rPr>
        <w:t xml:space="preserve">similar bundle of attributes </w:t>
      </w:r>
      <w:r w:rsidR="00A14C88" w:rsidRPr="003D2A76">
        <w:rPr>
          <w:rFonts w:asciiTheme="majorBidi" w:hAnsiTheme="majorBidi" w:cstheme="majorBidi"/>
          <w:lang w:val="en-GB"/>
        </w:rPr>
        <w:t xml:space="preserve">is </w:t>
      </w:r>
      <w:r w:rsidRPr="003D2A76">
        <w:rPr>
          <w:rFonts w:asciiTheme="majorBidi" w:hAnsiTheme="majorBidi" w:cstheme="majorBidi"/>
          <w:lang w:val="en-GB"/>
        </w:rPr>
        <w:t xml:space="preserve">offered at a </w:t>
      </w:r>
      <w:r w:rsidR="004A1C6D">
        <w:rPr>
          <w:rFonts w:asciiTheme="majorBidi" w:hAnsiTheme="majorBidi" w:cstheme="majorBidi"/>
          <w:lang w:val="en-GB"/>
        </w:rPr>
        <w:t>high perceived</w:t>
      </w:r>
      <w:r w:rsidRPr="003D2A76">
        <w:rPr>
          <w:rFonts w:asciiTheme="majorBidi" w:hAnsiTheme="majorBidi" w:cstheme="majorBidi"/>
          <w:lang w:val="en-GB"/>
        </w:rPr>
        <w:t xml:space="preserve"> value when parents trust the school and the AI. H9 is the canonical value-intention relationship, </w:t>
      </w:r>
      <w:r w:rsidR="004A1C6D">
        <w:rPr>
          <w:rFonts w:asciiTheme="majorBidi" w:hAnsiTheme="majorBidi" w:cstheme="majorBidi"/>
          <w:lang w:val="en-GB"/>
        </w:rPr>
        <w:t>according to</w:t>
      </w:r>
      <w:r w:rsidRPr="003D2A76">
        <w:rPr>
          <w:rFonts w:asciiTheme="majorBidi" w:hAnsiTheme="majorBidi" w:cstheme="majorBidi"/>
          <w:lang w:val="en-GB"/>
        </w:rPr>
        <w:t xml:space="preserve"> Zeithaml </w:t>
      </w:r>
      <w:r w:rsidR="004A1C6D">
        <w:rPr>
          <w:rFonts w:asciiTheme="majorBidi" w:hAnsiTheme="majorBidi" w:cstheme="majorBidi"/>
          <w:lang w:val="en-GB"/>
        </w:rPr>
        <w:t>and</w:t>
      </w:r>
      <w:r w:rsidRPr="003D2A76">
        <w:rPr>
          <w:rFonts w:asciiTheme="majorBidi" w:hAnsiTheme="majorBidi" w:cstheme="majorBidi"/>
          <w:lang w:val="en-GB"/>
        </w:rPr>
        <w:t xml:space="preserve"> the PERVAL favours (Sweeney and Soutar, 2001).</w:t>
      </w:r>
    </w:p>
    <w:p w14:paraId="6018E67A" w14:textId="795A9C3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lang w:val="en-GB"/>
        </w:rPr>
        <w:t xml:space="preserve">Block D: Service quality and cultural paths. </w:t>
      </w:r>
      <w:r w:rsidRPr="003D2A76">
        <w:rPr>
          <w:rFonts w:asciiTheme="majorBidi" w:hAnsiTheme="majorBidi" w:cstheme="majorBidi"/>
          <w:lang w:val="en-GB"/>
        </w:rPr>
        <w:t>The model gives the perceived service quality a direct impact on purchase intention (H10) and the quality-intention mediation by value (H11) and the cultural-factors moderation of the integrated-model paths (H12). H10: Canonical quality-intention relationship in services marketing.</w:t>
      </w:r>
      <w:r w:rsidR="004A1C6D">
        <w:rPr>
          <w:rFonts w:asciiTheme="majorBidi" w:hAnsiTheme="majorBidi" w:cstheme="majorBidi"/>
          <w:lang w:val="en-GB"/>
        </w:rPr>
        <w:t xml:space="preserve"> </w:t>
      </w:r>
      <w:r w:rsidR="00097953">
        <w:rPr>
          <w:rFonts w:asciiTheme="majorBidi" w:hAnsiTheme="majorBidi" w:cstheme="majorBidi"/>
          <w:lang w:val="en-GB"/>
        </w:rPr>
        <w:t>This means t</w:t>
      </w:r>
      <w:r w:rsidR="004A1C6D">
        <w:rPr>
          <w:rFonts w:asciiTheme="majorBidi" w:hAnsiTheme="majorBidi" w:cstheme="majorBidi"/>
          <w:lang w:val="en-GB"/>
        </w:rPr>
        <w:t xml:space="preserve">he service quality relationship intension clarify the improvement in </w:t>
      </w:r>
      <w:r w:rsidR="00097953">
        <w:rPr>
          <w:rFonts w:asciiTheme="majorBidi" w:hAnsiTheme="majorBidi" w:cstheme="majorBidi"/>
          <w:lang w:val="en-GB"/>
        </w:rPr>
        <w:t>perceived</w:t>
      </w:r>
      <w:r w:rsidR="004A1C6D">
        <w:rPr>
          <w:rFonts w:asciiTheme="majorBidi" w:hAnsiTheme="majorBidi" w:cstheme="majorBidi"/>
          <w:lang w:val="en-GB"/>
        </w:rPr>
        <w:t xml:space="preserve"> service quality influences </w:t>
      </w:r>
      <w:r w:rsidR="00097953">
        <w:rPr>
          <w:rFonts w:asciiTheme="majorBidi" w:hAnsiTheme="majorBidi" w:cstheme="majorBidi"/>
          <w:lang w:val="en-GB"/>
        </w:rPr>
        <w:t>customer behaviour positively.</w:t>
      </w:r>
      <w:r w:rsidRPr="003D2A76">
        <w:rPr>
          <w:rFonts w:asciiTheme="majorBidi" w:hAnsiTheme="majorBidi" w:cstheme="majorBidi"/>
          <w:lang w:val="en-GB"/>
        </w:rPr>
        <w:t xml:space="preserve"> H11 is an improvement that splits the overall effect of quality on intention into a direct and value-mediated (sub) effect. H12 is the cultural-context hypothesis of the study: cultural </w:t>
      </w:r>
      <w:r w:rsidR="003A20EC">
        <w:rPr>
          <w:rFonts w:asciiTheme="majorBidi" w:hAnsiTheme="majorBidi" w:cstheme="majorBidi"/>
          <w:lang w:val="en-GB"/>
        </w:rPr>
        <w:t>considerations</w:t>
      </w:r>
      <w:r w:rsidRPr="003D2A76">
        <w:rPr>
          <w:rFonts w:asciiTheme="majorBidi" w:hAnsiTheme="majorBidi" w:cstheme="majorBidi"/>
          <w:lang w:val="en-GB"/>
        </w:rPr>
        <w:t xml:space="preserve">, such as family centrality, religious alignment, and gender-sensitive service design, </w:t>
      </w:r>
      <w:r w:rsidR="003A20EC">
        <w:rPr>
          <w:rFonts w:asciiTheme="majorBidi" w:hAnsiTheme="majorBidi" w:cstheme="majorBidi"/>
          <w:lang w:val="en-GB"/>
        </w:rPr>
        <w:t>are</w:t>
      </w:r>
      <w:r w:rsidRPr="003D2A76">
        <w:rPr>
          <w:rFonts w:asciiTheme="majorBidi" w:hAnsiTheme="majorBidi" w:cstheme="majorBidi"/>
          <w:lang w:val="en-GB"/>
        </w:rPr>
        <w:t xml:space="preserve"> intended to moderate the model paths, and the trust- and social-influence-related model paths are expected to reinforce, and the direct AI-to-intention may be </w:t>
      </w:r>
      <w:r w:rsidR="00A14C88" w:rsidRPr="003D2A76">
        <w:rPr>
          <w:rFonts w:asciiTheme="majorBidi" w:hAnsiTheme="majorBidi" w:cstheme="majorBidi"/>
          <w:lang w:val="en-GB"/>
        </w:rPr>
        <w:t xml:space="preserve">neutralised </w:t>
      </w:r>
      <w:r w:rsidRPr="003D2A76">
        <w:rPr>
          <w:rFonts w:asciiTheme="majorBidi" w:hAnsiTheme="majorBidi" w:cstheme="majorBidi"/>
          <w:lang w:val="en-GB"/>
        </w:rPr>
        <w:t xml:space="preserve">by the interactions of these </w:t>
      </w:r>
      <w:r w:rsidR="003A20EC">
        <w:rPr>
          <w:rFonts w:asciiTheme="majorBidi" w:hAnsiTheme="majorBidi" w:cstheme="majorBidi"/>
          <w:lang w:val="en-GB"/>
        </w:rPr>
        <w:t>cultural-consideration</w:t>
      </w:r>
      <w:r w:rsidRPr="003D2A76">
        <w:rPr>
          <w:rFonts w:asciiTheme="majorBidi" w:hAnsiTheme="majorBidi" w:cstheme="majorBidi"/>
          <w:lang w:val="en-GB"/>
        </w:rPr>
        <w:t xml:space="preserve"> variables with the perceived-risk and perceived-appropriateness constituents.</w:t>
      </w:r>
    </w:p>
    <w:p w14:paraId="364ED2B4" w14:textId="27D48C17" w:rsidR="00885F3C" w:rsidRPr="003D2A76" w:rsidRDefault="006A4A5D" w:rsidP="00BD6279">
      <w:pPr>
        <w:bidi w:val="0"/>
        <w:rPr>
          <w:rFonts w:asciiTheme="majorBidi" w:hAnsiTheme="majorBidi" w:cstheme="majorBidi"/>
          <w:lang w:val="en-GB"/>
        </w:rPr>
      </w:pPr>
      <w:r w:rsidRPr="003D2A76">
        <w:rPr>
          <w:rFonts w:asciiTheme="majorBidi" w:hAnsiTheme="majorBidi" w:cstheme="majorBidi"/>
          <w:noProof/>
          <w:lang w:val="en-GB"/>
        </w:rPr>
        <w:t xml:space="preserve">Combined, the four blocks represent a causal chain: AI use → service quality, trust → perceived value → purchase intention, mediated by the cultural factors. The chain embodies the intellectual input of the research listed in Chapter 1: it integrates four traditions (TAM, TPB, SERVQUAL, and perceived value) into one structural model that </w:t>
      </w:r>
      <w:r w:rsidRPr="003D2A76">
        <w:rPr>
          <w:rFonts w:asciiTheme="majorBidi" w:hAnsiTheme="majorBidi" w:cstheme="majorBidi"/>
          <w:noProof/>
          <w:lang w:val="en-GB"/>
        </w:rPr>
        <w:lastRenderedPageBreak/>
        <w:t>can be estimated using regression-based path analysis and locates them within a culturally and empirically detailed environment.</w:t>
      </w:r>
    </w:p>
    <w:p w14:paraId="52630C29" w14:textId="28820802" w:rsidR="00F134E2" w:rsidRPr="003D2A76" w:rsidRDefault="007C3F12" w:rsidP="00BD6279">
      <w:pPr>
        <w:bidi w:val="0"/>
        <w:rPr>
          <w:rFonts w:asciiTheme="majorBidi" w:hAnsiTheme="majorBidi" w:cstheme="majorBidi"/>
          <w:b/>
          <w:i/>
          <w:lang w:val="en-GB"/>
        </w:rPr>
      </w:pPr>
      <w:r w:rsidRPr="003D2A76">
        <w:rPr>
          <w:noProof/>
          <w:lang w:val="en-GB"/>
        </w:rPr>
        <mc:AlternateContent>
          <mc:Choice Requires="wpg">
            <w:drawing>
              <wp:inline distT="0" distB="0" distL="0" distR="0" wp14:anchorId="1F79FCBC" wp14:editId="7ACCFF30">
                <wp:extent cx="5364178" cy="3344681"/>
                <wp:effectExtent l="0" t="0" r="0" b="0"/>
                <wp:docPr id="1" name="Graphic 2"/>
                <wp:cNvGraphicFramePr/>
                <a:graphic xmlns:a="http://schemas.openxmlformats.org/drawingml/2006/main">
                  <a:graphicData uri="http://schemas.microsoft.com/office/word/2010/wordprocessingGroup">
                    <wpg:wgp>
                      <wpg:cNvGrpSpPr/>
                      <wpg:grpSpPr>
                        <a:xfrm>
                          <a:off x="0" y="0"/>
                          <a:ext cx="5364178" cy="3344681"/>
                          <a:chOff x="121023" y="500248"/>
                          <a:chExt cx="4510639" cy="3344681"/>
                        </a:xfrm>
                      </wpg:grpSpPr>
                      <wps:wsp>
                        <wps:cNvPr id="1795605068" name="Freeform: Shape 1795605068"/>
                        <wps:cNvSpPr/>
                        <wps:spPr>
                          <a:xfrm>
                            <a:off x="1290917" y="1194142"/>
                            <a:ext cx="2614108" cy="548660"/>
                          </a:xfrm>
                          <a:custGeom>
                            <a:avLst/>
                            <a:gdLst>
                              <a:gd name="csX0" fmla="*/ 0 w 2614108"/>
                              <a:gd name="csY0" fmla="*/ 0 h 548660"/>
                              <a:gd name="csX1" fmla="*/ 2614108 w 2614108"/>
                              <a:gd name="csY1" fmla="*/ 548660 h 548660"/>
                            </a:gdLst>
                            <a:ahLst/>
                            <a:cxnLst>
                              <a:cxn ang="0">
                                <a:pos x="csX0" y="csY0"/>
                              </a:cxn>
                              <a:cxn ang="0">
                                <a:pos x="csX1" y="csY1"/>
                              </a:cxn>
                            </a:cxnLst>
                            <a:rect l="l" t="t" r="r" b="b"/>
                            <a:pathLst>
                              <a:path w="2614108" h="548660">
                                <a:moveTo>
                                  <a:pt x="0" y="0"/>
                                </a:moveTo>
                                <a:lnTo>
                                  <a:pt x="2614108" y="548660"/>
                                </a:lnTo>
                              </a:path>
                            </a:pathLst>
                          </a:custGeom>
                          <a:ln w="12102" cap="flat">
                            <a:solidFill>
                              <a:srgbClr val="888780"/>
                            </a:solidFill>
                            <a:custDash>
                              <a:ds d="375000" sp="225000"/>
                            </a:custDash>
                            <a:miter/>
                          </a:ln>
                        </wps:spPr>
                        <wps:bodyPr/>
                      </wps:wsp>
                      <wps:wsp>
                        <wps:cNvPr id="1510212432" name="Text Box 3"/>
                        <wps:cNvSpPr txBox="1"/>
                        <wps:spPr>
                          <a:xfrm>
                            <a:off x="2387698" y="1229517"/>
                            <a:ext cx="387350" cy="395605"/>
                          </a:xfrm>
                          <a:prstGeom prst="rect">
                            <a:avLst/>
                          </a:prstGeom>
                          <a:noFill/>
                        </wps:spPr>
                        <wps:txbx>
                          <w:txbxContent>
                            <w:p w14:paraId="6B2A8096"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H10</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968405038" name="Freeform: Shape 1968405038"/>
                        <wps:cNvSpPr/>
                        <wps:spPr>
                          <a:xfrm>
                            <a:off x="1290917" y="2000995"/>
                            <a:ext cx="2614108" cy="597071"/>
                          </a:xfrm>
                          <a:custGeom>
                            <a:avLst/>
                            <a:gdLst>
                              <a:gd name="csX0" fmla="*/ 0 w 2614108"/>
                              <a:gd name="csY0" fmla="*/ 597071 h 597071"/>
                              <a:gd name="csX1" fmla="*/ 2614108 w 2614108"/>
                              <a:gd name="csY1" fmla="*/ 0 h 597071"/>
                            </a:gdLst>
                            <a:ahLst/>
                            <a:cxnLst>
                              <a:cxn ang="0">
                                <a:pos x="csX0" y="csY0"/>
                              </a:cxn>
                              <a:cxn ang="0">
                                <a:pos x="csX1" y="csY1"/>
                              </a:cxn>
                            </a:cxnLst>
                            <a:rect l="l" t="t" r="r" b="b"/>
                            <a:pathLst>
                              <a:path w="2614108" h="597071">
                                <a:moveTo>
                                  <a:pt x="0" y="597071"/>
                                </a:moveTo>
                                <a:lnTo>
                                  <a:pt x="2614108" y="0"/>
                                </a:lnTo>
                              </a:path>
                            </a:pathLst>
                          </a:custGeom>
                          <a:ln w="12102" cap="flat">
                            <a:solidFill>
                              <a:srgbClr val="888780"/>
                            </a:solidFill>
                            <a:custDash>
                              <a:ds d="375000" sp="225000"/>
                            </a:custDash>
                            <a:miter/>
                          </a:ln>
                        </wps:spPr>
                        <wps:bodyPr/>
                      </wps:wsp>
                      <wps:wsp>
                        <wps:cNvPr id="1583861546" name="Text Box 5"/>
                        <wps:cNvSpPr txBox="1"/>
                        <wps:spPr>
                          <a:xfrm>
                            <a:off x="2387453" y="2286401"/>
                            <a:ext cx="387350" cy="395605"/>
                          </a:xfrm>
                          <a:prstGeom prst="rect">
                            <a:avLst/>
                          </a:prstGeom>
                          <a:noFill/>
                        </wps:spPr>
                        <wps:txbx>
                          <w:txbxContent>
                            <w:p w14:paraId="3D02F312"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H11</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239446499" name="Freeform: Shape 239446499"/>
                        <wps:cNvSpPr/>
                        <wps:spPr>
                          <a:xfrm>
                            <a:off x="701936" y="855264"/>
                            <a:ext cx="1532964" cy="290467"/>
                          </a:xfrm>
                          <a:custGeom>
                            <a:avLst/>
                            <a:gdLst>
                              <a:gd name="csX0" fmla="*/ 0 w 1532964"/>
                              <a:gd name="csY0" fmla="*/ 290467 h 290467"/>
                              <a:gd name="csX1" fmla="*/ 1532965 w 1532964"/>
                              <a:gd name="csY1" fmla="*/ 0 h 290467"/>
                            </a:gdLst>
                            <a:ahLst/>
                            <a:cxnLst>
                              <a:cxn ang="0">
                                <a:pos x="csX0" y="csY0"/>
                              </a:cxn>
                              <a:cxn ang="0">
                                <a:pos x="csX1" y="csY1"/>
                              </a:cxn>
                            </a:cxnLst>
                            <a:rect l="l" t="t" r="r" b="b"/>
                            <a:pathLst>
                              <a:path w="1532964" h="290467">
                                <a:moveTo>
                                  <a:pt x="0" y="290467"/>
                                </a:moveTo>
                                <a:lnTo>
                                  <a:pt x="1532965" y="0"/>
                                </a:lnTo>
                              </a:path>
                            </a:pathLst>
                          </a:custGeom>
                          <a:ln w="12102" cap="flat">
                            <a:solidFill>
                              <a:srgbClr val="7F77DD"/>
                            </a:solidFill>
                            <a:prstDash val="solid"/>
                            <a:miter/>
                          </a:ln>
                        </wps:spPr>
                        <wps:bodyPr/>
                      </wps:wsp>
                      <wps:wsp>
                        <wps:cNvPr id="2008752907" name="Text Box 7"/>
                        <wps:cNvSpPr txBox="1"/>
                        <wps:spPr>
                          <a:xfrm>
                            <a:off x="1235711" y="785733"/>
                            <a:ext cx="325755" cy="395605"/>
                          </a:xfrm>
                          <a:prstGeom prst="rect">
                            <a:avLst/>
                          </a:prstGeom>
                          <a:noFill/>
                        </wps:spPr>
                        <wps:txbx>
                          <w:txbxContent>
                            <w:p w14:paraId="2004A4A1"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H4</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616734713" name="Freeform: Shape 616734713"/>
                        <wps:cNvSpPr/>
                        <wps:spPr>
                          <a:xfrm>
                            <a:off x="701936" y="855264"/>
                            <a:ext cx="1532964" cy="1500746"/>
                          </a:xfrm>
                          <a:custGeom>
                            <a:avLst/>
                            <a:gdLst>
                              <a:gd name="csX0" fmla="*/ 0 w 1532964"/>
                              <a:gd name="csY0" fmla="*/ 1500747 h 1500746"/>
                              <a:gd name="csX1" fmla="*/ 1532965 w 1532964"/>
                              <a:gd name="csY1" fmla="*/ 0 h 1500746"/>
                            </a:gdLst>
                            <a:ahLst/>
                            <a:cxnLst>
                              <a:cxn ang="0">
                                <a:pos x="csX0" y="csY0"/>
                              </a:cxn>
                              <a:cxn ang="0">
                                <a:pos x="csX1" y="csY1"/>
                              </a:cxn>
                            </a:cxnLst>
                            <a:rect l="l" t="t" r="r" b="b"/>
                            <a:pathLst>
                              <a:path w="1532964" h="1500746">
                                <a:moveTo>
                                  <a:pt x="0" y="1500747"/>
                                </a:moveTo>
                                <a:lnTo>
                                  <a:pt x="1532965" y="0"/>
                                </a:lnTo>
                              </a:path>
                            </a:pathLst>
                          </a:custGeom>
                          <a:ln w="12102" cap="flat">
                            <a:solidFill>
                              <a:srgbClr val="7F77DD"/>
                            </a:solidFill>
                            <a:prstDash val="solid"/>
                            <a:miter/>
                          </a:ln>
                        </wps:spPr>
                        <wps:bodyPr/>
                      </wps:wsp>
                      <wps:wsp>
                        <wps:cNvPr id="530785759" name="Text Box 9"/>
                        <wps:cNvSpPr txBox="1"/>
                        <wps:spPr>
                          <a:xfrm>
                            <a:off x="981636" y="1624816"/>
                            <a:ext cx="325755" cy="395605"/>
                          </a:xfrm>
                          <a:prstGeom prst="rect">
                            <a:avLst/>
                          </a:prstGeom>
                          <a:noFill/>
                        </wps:spPr>
                        <wps:txbx>
                          <w:txbxContent>
                            <w:p w14:paraId="5D04903C"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H5</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094089868" name="Freeform: Shape 1094089868"/>
                        <wps:cNvSpPr/>
                        <wps:spPr>
                          <a:xfrm>
                            <a:off x="1290917" y="1436198"/>
                            <a:ext cx="500230" cy="1484609"/>
                          </a:xfrm>
                          <a:custGeom>
                            <a:avLst/>
                            <a:gdLst>
                              <a:gd name="csX0" fmla="*/ 0 w 500230"/>
                              <a:gd name="csY0" fmla="*/ 0 h 1484609"/>
                              <a:gd name="csX1" fmla="*/ 500231 w 500230"/>
                              <a:gd name="csY1" fmla="*/ 1484610 h 1484609"/>
                            </a:gdLst>
                            <a:ahLst/>
                            <a:cxnLst>
                              <a:cxn ang="0">
                                <a:pos x="csX0" y="csY0"/>
                              </a:cxn>
                              <a:cxn ang="0">
                                <a:pos x="csX1" y="csY1"/>
                              </a:cxn>
                            </a:cxnLst>
                            <a:rect l="l" t="t" r="r" b="b"/>
                            <a:pathLst>
                              <a:path w="500230" h="1484609">
                                <a:moveTo>
                                  <a:pt x="0" y="0"/>
                                </a:moveTo>
                                <a:lnTo>
                                  <a:pt x="500231" y="1484610"/>
                                </a:lnTo>
                              </a:path>
                            </a:pathLst>
                          </a:custGeom>
                          <a:ln w="12102" cap="flat">
                            <a:solidFill>
                              <a:srgbClr val="D4537E"/>
                            </a:solidFill>
                            <a:prstDash val="solid"/>
                            <a:miter/>
                          </a:ln>
                        </wps:spPr>
                        <wps:bodyPr/>
                      </wps:wsp>
                      <wps:wsp>
                        <wps:cNvPr id="138230623" name="Text Box 11"/>
                        <wps:cNvSpPr txBox="1"/>
                        <wps:spPr>
                          <a:xfrm>
                            <a:off x="1376842" y="2068563"/>
                            <a:ext cx="325755" cy="395605"/>
                          </a:xfrm>
                          <a:prstGeom prst="rect">
                            <a:avLst/>
                          </a:prstGeom>
                          <a:noFill/>
                        </wps:spPr>
                        <wps:txbx>
                          <w:txbxContent>
                            <w:p w14:paraId="0A1F44A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H7</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662259627" name="Freeform: Shape 662259627"/>
                        <wps:cNvSpPr/>
                        <wps:spPr>
                          <a:xfrm>
                            <a:off x="701936" y="2727163"/>
                            <a:ext cx="1089211" cy="193644"/>
                          </a:xfrm>
                          <a:custGeom>
                            <a:avLst/>
                            <a:gdLst>
                              <a:gd name="csX0" fmla="*/ 0 w 1089211"/>
                              <a:gd name="csY0" fmla="*/ 0 h 193644"/>
                              <a:gd name="csX1" fmla="*/ 1089212 w 1089211"/>
                              <a:gd name="csY1" fmla="*/ 193645 h 193644"/>
                            </a:gdLst>
                            <a:ahLst/>
                            <a:cxnLst>
                              <a:cxn ang="0">
                                <a:pos x="csX0" y="csY0"/>
                              </a:cxn>
                              <a:cxn ang="0">
                                <a:pos x="csX1" y="csY1"/>
                              </a:cxn>
                            </a:cxnLst>
                            <a:rect l="l" t="t" r="r" b="b"/>
                            <a:pathLst>
                              <a:path w="1089211" h="193644">
                                <a:moveTo>
                                  <a:pt x="0" y="0"/>
                                </a:moveTo>
                                <a:lnTo>
                                  <a:pt x="1089212" y="193645"/>
                                </a:lnTo>
                              </a:path>
                            </a:pathLst>
                          </a:custGeom>
                          <a:ln w="12102" cap="flat">
                            <a:solidFill>
                              <a:srgbClr val="D4537E"/>
                            </a:solidFill>
                            <a:prstDash val="solid"/>
                            <a:miter/>
                          </a:ln>
                        </wps:spPr>
                        <wps:bodyPr/>
                      </wps:wsp>
                      <wps:wsp>
                        <wps:cNvPr id="247261267" name="Text Box 13"/>
                        <wps:cNvSpPr txBox="1"/>
                        <wps:spPr>
                          <a:xfrm>
                            <a:off x="1074364" y="2802760"/>
                            <a:ext cx="325755" cy="395605"/>
                          </a:xfrm>
                          <a:prstGeom prst="rect">
                            <a:avLst/>
                          </a:prstGeom>
                          <a:noFill/>
                        </wps:spPr>
                        <wps:txbx>
                          <w:txbxContent>
                            <w:p w14:paraId="49EE942E"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H8</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654215216" name="Freeform: Shape 654215216"/>
                        <wps:cNvSpPr/>
                        <wps:spPr>
                          <a:xfrm>
                            <a:off x="1290917" y="1331307"/>
                            <a:ext cx="419548" cy="524454"/>
                          </a:xfrm>
                          <a:custGeom>
                            <a:avLst/>
                            <a:gdLst>
                              <a:gd name="csX0" fmla="*/ 0 w 419548"/>
                              <a:gd name="csY0" fmla="*/ 0 h 524454"/>
                              <a:gd name="csX1" fmla="*/ 419548 w 419548"/>
                              <a:gd name="csY1" fmla="*/ 524455 h 524454"/>
                            </a:gdLst>
                            <a:ahLst/>
                            <a:cxnLst>
                              <a:cxn ang="0">
                                <a:pos x="csX0" y="csY0"/>
                              </a:cxn>
                              <a:cxn ang="0">
                                <a:pos x="csX1" y="csY1"/>
                              </a:cxn>
                            </a:cxnLst>
                            <a:rect l="l" t="t" r="r" b="b"/>
                            <a:pathLst>
                              <a:path w="419548" h="524454">
                                <a:moveTo>
                                  <a:pt x="0" y="0"/>
                                </a:moveTo>
                                <a:lnTo>
                                  <a:pt x="419548" y="524455"/>
                                </a:lnTo>
                              </a:path>
                            </a:pathLst>
                          </a:custGeom>
                          <a:ln w="16136" cap="flat">
                            <a:solidFill>
                              <a:srgbClr val="1D9E75"/>
                            </a:solidFill>
                            <a:prstDash val="solid"/>
                            <a:miter/>
                          </a:ln>
                        </wps:spPr>
                        <wps:bodyPr/>
                      </wps:wsp>
                      <wps:wsp>
                        <wps:cNvPr id="606235190" name="Text Box 15"/>
                        <wps:cNvSpPr txBox="1"/>
                        <wps:spPr>
                          <a:xfrm>
                            <a:off x="1284115" y="1406977"/>
                            <a:ext cx="325755" cy="395605"/>
                          </a:xfrm>
                          <a:prstGeom prst="rect">
                            <a:avLst/>
                          </a:prstGeom>
                          <a:noFill/>
                        </wps:spPr>
                        <wps:txbx>
                          <w:txbxContent>
                            <w:p w14:paraId="7C379FF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735308452" name="Freeform: Shape 1735308452"/>
                        <wps:cNvSpPr/>
                        <wps:spPr>
                          <a:xfrm>
                            <a:off x="1290917" y="2017132"/>
                            <a:ext cx="419548" cy="524454"/>
                          </a:xfrm>
                          <a:custGeom>
                            <a:avLst/>
                            <a:gdLst>
                              <a:gd name="csX0" fmla="*/ 0 w 419548"/>
                              <a:gd name="csY0" fmla="*/ 524455 h 524454"/>
                              <a:gd name="csX1" fmla="*/ 419548 w 419548"/>
                              <a:gd name="csY1" fmla="*/ 0 h 524454"/>
                            </a:gdLst>
                            <a:ahLst/>
                            <a:cxnLst>
                              <a:cxn ang="0">
                                <a:pos x="csX0" y="csY0"/>
                              </a:cxn>
                              <a:cxn ang="0">
                                <a:pos x="csX1" y="csY1"/>
                              </a:cxn>
                            </a:cxnLst>
                            <a:rect l="l" t="t" r="r" b="b"/>
                            <a:pathLst>
                              <a:path w="419548" h="524454">
                                <a:moveTo>
                                  <a:pt x="0" y="524455"/>
                                </a:moveTo>
                                <a:lnTo>
                                  <a:pt x="419548" y="0"/>
                                </a:lnTo>
                              </a:path>
                            </a:pathLst>
                          </a:custGeom>
                          <a:ln w="16136" cap="flat">
                            <a:solidFill>
                              <a:srgbClr val="1D9E75"/>
                            </a:solidFill>
                            <a:prstDash val="solid"/>
                            <a:miter/>
                          </a:ln>
                        </wps:spPr>
                        <wps:bodyPr/>
                      </wps:wsp>
                      <wps:wsp>
                        <wps:cNvPr id="927707793" name="Text Box 17"/>
                        <wps:cNvSpPr txBox="1"/>
                        <wps:spPr>
                          <a:xfrm>
                            <a:off x="1284115" y="2084699"/>
                            <a:ext cx="325755" cy="395605"/>
                          </a:xfrm>
                          <a:prstGeom prst="rect">
                            <a:avLst/>
                          </a:prstGeom>
                          <a:noFill/>
                        </wps:spPr>
                        <wps:txbx>
                          <w:txbxContent>
                            <w:p w14:paraId="17C744B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H2</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231011045" name="Freeform: Shape 1231011045"/>
                        <wps:cNvSpPr/>
                        <wps:spPr>
                          <a:xfrm>
                            <a:off x="2961042" y="1920310"/>
                            <a:ext cx="943983" cy="8068"/>
                          </a:xfrm>
                          <a:custGeom>
                            <a:avLst/>
                            <a:gdLst>
                              <a:gd name="csX0" fmla="*/ 0 w 943983"/>
                              <a:gd name="csY0" fmla="*/ 0 h 8068"/>
                              <a:gd name="csX1" fmla="*/ 943984 w 943983"/>
                              <a:gd name="csY1" fmla="*/ 0 h 8068"/>
                            </a:gdLst>
                            <a:ahLst/>
                            <a:cxnLst>
                              <a:cxn ang="0">
                                <a:pos x="csX0" y="csY0"/>
                              </a:cxn>
                              <a:cxn ang="0">
                                <a:pos x="csX1" y="csY1"/>
                              </a:cxn>
                            </a:cxnLst>
                            <a:rect l="l" t="t" r="r" b="b"/>
                            <a:pathLst>
                              <a:path w="943983" h="8068">
                                <a:moveTo>
                                  <a:pt x="0" y="0"/>
                                </a:moveTo>
                                <a:lnTo>
                                  <a:pt x="943984" y="0"/>
                                </a:lnTo>
                              </a:path>
                            </a:pathLst>
                          </a:custGeom>
                          <a:ln w="16136" cap="flat">
                            <a:solidFill>
                              <a:srgbClr val="993C1D"/>
                            </a:solidFill>
                            <a:prstDash val="solid"/>
                            <a:miter/>
                          </a:ln>
                        </wps:spPr>
                        <wps:bodyPr/>
                      </wps:wsp>
                      <wps:wsp>
                        <wps:cNvPr id="1762914995" name="Text Box 19"/>
                        <wps:cNvSpPr txBox="1"/>
                        <wps:spPr>
                          <a:xfrm>
                            <a:off x="3276754" y="1689362"/>
                            <a:ext cx="325755" cy="395605"/>
                          </a:xfrm>
                          <a:prstGeom prst="rect">
                            <a:avLst/>
                          </a:prstGeom>
                          <a:noFill/>
                        </wps:spPr>
                        <wps:txbx>
                          <w:txbxContent>
                            <w:p w14:paraId="6A30C9F1"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H3</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862823841" name="Freeform: Shape 862823841"/>
                        <wps:cNvSpPr/>
                        <wps:spPr>
                          <a:xfrm>
                            <a:off x="2234901" y="855264"/>
                            <a:ext cx="80682" cy="863332"/>
                          </a:xfrm>
                          <a:custGeom>
                            <a:avLst/>
                            <a:gdLst>
                              <a:gd name="csX0" fmla="*/ 80682 w 80682"/>
                              <a:gd name="csY0" fmla="*/ 863333 h 863332"/>
                              <a:gd name="csX1" fmla="*/ 0 w 80682"/>
                              <a:gd name="csY1" fmla="*/ 0 h 863332"/>
                            </a:gdLst>
                            <a:ahLst/>
                            <a:cxnLst>
                              <a:cxn ang="0">
                                <a:pos x="csX0" y="csY0"/>
                              </a:cxn>
                              <a:cxn ang="0">
                                <a:pos x="csX1" y="csY1"/>
                              </a:cxn>
                            </a:cxnLst>
                            <a:rect l="l" t="t" r="r" b="b"/>
                            <a:pathLst>
                              <a:path w="80682" h="863332">
                                <a:moveTo>
                                  <a:pt x="80682" y="863333"/>
                                </a:moveTo>
                                <a:lnTo>
                                  <a:pt x="0" y="0"/>
                                </a:lnTo>
                              </a:path>
                            </a:pathLst>
                          </a:custGeom>
                          <a:ln w="12102" cap="flat">
                            <a:solidFill>
                              <a:srgbClr val="7F77DD"/>
                            </a:solidFill>
                            <a:prstDash val="solid"/>
                            <a:miter/>
                          </a:ln>
                        </wps:spPr>
                        <wps:bodyPr/>
                      </wps:wsp>
                      <wps:wsp>
                        <wps:cNvPr id="2014110240" name="Text Box 21"/>
                        <wps:cNvSpPr txBox="1"/>
                        <wps:spPr>
                          <a:xfrm>
                            <a:off x="2312657" y="1156866"/>
                            <a:ext cx="325755" cy="395605"/>
                          </a:xfrm>
                          <a:prstGeom prst="rect">
                            <a:avLst/>
                          </a:prstGeom>
                          <a:noFill/>
                        </wps:spPr>
                        <wps:txbx>
                          <w:txbxContent>
                            <w:p w14:paraId="21D419DB"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H6</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579277962" name="Freeform: Shape 579277962"/>
                        <wps:cNvSpPr/>
                        <wps:spPr>
                          <a:xfrm>
                            <a:off x="2234901" y="2089749"/>
                            <a:ext cx="80682" cy="831058"/>
                          </a:xfrm>
                          <a:custGeom>
                            <a:avLst/>
                            <a:gdLst>
                              <a:gd name="csX0" fmla="*/ 80682 w 80682"/>
                              <a:gd name="csY0" fmla="*/ 0 h 831058"/>
                              <a:gd name="csX1" fmla="*/ 0 w 80682"/>
                              <a:gd name="csY1" fmla="*/ 831059 h 831058"/>
                            </a:gdLst>
                            <a:ahLst/>
                            <a:cxnLst>
                              <a:cxn ang="0">
                                <a:pos x="csX0" y="csY0"/>
                              </a:cxn>
                              <a:cxn ang="0">
                                <a:pos x="csX1" y="csY1"/>
                              </a:cxn>
                            </a:cxnLst>
                            <a:rect l="l" t="t" r="r" b="b"/>
                            <a:pathLst>
                              <a:path w="80682" h="831058">
                                <a:moveTo>
                                  <a:pt x="80682" y="0"/>
                                </a:moveTo>
                                <a:lnTo>
                                  <a:pt x="0" y="831059"/>
                                </a:lnTo>
                              </a:path>
                            </a:pathLst>
                          </a:custGeom>
                          <a:ln w="12102" cap="flat">
                            <a:solidFill>
                              <a:srgbClr val="D4537E"/>
                            </a:solidFill>
                            <a:prstDash val="solid"/>
                            <a:miter/>
                          </a:ln>
                        </wps:spPr>
                        <wps:bodyPr/>
                      </wps:wsp>
                      <wps:wsp>
                        <wps:cNvPr id="1324070346" name="Text Box 23"/>
                        <wps:cNvSpPr txBox="1"/>
                        <wps:spPr>
                          <a:xfrm>
                            <a:off x="2296522" y="2383218"/>
                            <a:ext cx="325755" cy="395605"/>
                          </a:xfrm>
                          <a:prstGeom prst="rect">
                            <a:avLst/>
                          </a:prstGeom>
                          <a:noFill/>
                        </wps:spPr>
                        <wps:txbx>
                          <w:txbxContent>
                            <w:p w14:paraId="0D686DDF"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H9</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369896125" name="Freeform: Shape 1369896125"/>
                        <wps:cNvSpPr/>
                        <wps:spPr>
                          <a:xfrm>
                            <a:off x="2718995" y="669688"/>
                            <a:ext cx="1186030" cy="1137662"/>
                          </a:xfrm>
                          <a:custGeom>
                            <a:avLst/>
                            <a:gdLst>
                              <a:gd name="csX0" fmla="*/ 0 w 1186030"/>
                              <a:gd name="csY0" fmla="*/ 0 h 1137662"/>
                              <a:gd name="csX1" fmla="*/ 1186031 w 1186030"/>
                              <a:gd name="csY1" fmla="*/ 1137663 h 1137662"/>
                            </a:gdLst>
                            <a:ahLst/>
                            <a:cxnLst>
                              <a:cxn ang="0">
                                <a:pos x="csX0" y="csY0"/>
                              </a:cxn>
                              <a:cxn ang="0">
                                <a:pos x="csX1" y="csY1"/>
                              </a:cxn>
                            </a:cxnLst>
                            <a:rect l="l" t="t" r="r" b="b"/>
                            <a:pathLst>
                              <a:path w="1186030" h="1137662">
                                <a:moveTo>
                                  <a:pt x="0" y="0"/>
                                </a:moveTo>
                                <a:lnTo>
                                  <a:pt x="1186031" y="1137663"/>
                                </a:lnTo>
                              </a:path>
                            </a:pathLst>
                          </a:custGeom>
                          <a:ln w="12102" cap="flat">
                            <a:solidFill>
                              <a:srgbClr val="7F77DD"/>
                            </a:solidFill>
                            <a:prstDash val="solid"/>
                            <a:miter/>
                          </a:ln>
                        </wps:spPr>
                        <wps:bodyPr/>
                      </wps:wsp>
                      <wps:wsp>
                        <wps:cNvPr id="626045596" name="Freeform: Shape 626045596"/>
                        <wps:cNvSpPr/>
                        <wps:spPr>
                          <a:xfrm>
                            <a:off x="2718995" y="2033270"/>
                            <a:ext cx="1186030" cy="1056977"/>
                          </a:xfrm>
                          <a:custGeom>
                            <a:avLst/>
                            <a:gdLst>
                              <a:gd name="csX0" fmla="*/ 0 w 1186030"/>
                              <a:gd name="csY0" fmla="*/ 1056978 h 1056977"/>
                              <a:gd name="csX1" fmla="*/ 1186031 w 1186030"/>
                              <a:gd name="csY1" fmla="*/ 0 h 1056977"/>
                            </a:gdLst>
                            <a:ahLst/>
                            <a:cxnLst>
                              <a:cxn ang="0">
                                <a:pos x="csX0" y="csY0"/>
                              </a:cxn>
                              <a:cxn ang="0">
                                <a:pos x="csX1" y="csY1"/>
                              </a:cxn>
                            </a:cxnLst>
                            <a:rect l="l" t="t" r="r" b="b"/>
                            <a:pathLst>
                              <a:path w="1186030" h="1056977">
                                <a:moveTo>
                                  <a:pt x="0" y="1056978"/>
                                </a:moveTo>
                                <a:lnTo>
                                  <a:pt x="1186031" y="0"/>
                                </a:lnTo>
                              </a:path>
                            </a:pathLst>
                          </a:custGeom>
                          <a:ln w="12102" cap="flat">
                            <a:solidFill>
                              <a:srgbClr val="D4537E"/>
                            </a:solidFill>
                            <a:prstDash val="solid"/>
                            <a:miter/>
                          </a:ln>
                        </wps:spPr>
                        <wps:bodyPr/>
                      </wps:wsp>
                      <wps:wsp>
                        <wps:cNvPr id="834467859" name="Freeform: Shape 834467859"/>
                        <wps:cNvSpPr/>
                        <wps:spPr>
                          <a:xfrm>
                            <a:off x="1194098" y="1629843"/>
                            <a:ext cx="356454" cy="1775076"/>
                          </a:xfrm>
                          <a:custGeom>
                            <a:avLst/>
                            <a:gdLst>
                              <a:gd name="csX0" fmla="*/ 0 w 356454"/>
                              <a:gd name="csY0" fmla="*/ 1775077 h 1775076"/>
                              <a:gd name="csX1" fmla="*/ 355002 w 356454"/>
                              <a:gd name="csY1" fmla="*/ 0 h 1775076"/>
                            </a:gdLst>
                            <a:ahLst/>
                            <a:cxnLst>
                              <a:cxn ang="0">
                                <a:pos x="csX0" y="csY0"/>
                              </a:cxn>
                              <a:cxn ang="0">
                                <a:pos x="csX1" y="csY1"/>
                              </a:cxn>
                            </a:cxnLst>
                            <a:rect l="l" t="t" r="r" b="b"/>
                            <a:pathLst>
                              <a:path w="356454" h="1775076">
                                <a:moveTo>
                                  <a:pt x="0" y="1775077"/>
                                </a:moveTo>
                                <a:cubicBezTo>
                                  <a:pt x="252805" y="1333997"/>
                                  <a:pt x="371139" y="742305"/>
                                  <a:pt x="355002" y="0"/>
                                </a:cubicBezTo>
                              </a:path>
                            </a:pathLst>
                          </a:custGeom>
                          <a:noFill/>
                          <a:ln w="12102" cap="flat">
                            <a:solidFill>
                              <a:srgbClr val="BA7517"/>
                            </a:solidFill>
                            <a:custDash>
                              <a:ds d="300000" sp="225000"/>
                            </a:custDash>
                            <a:miter/>
                          </a:ln>
                        </wps:spPr>
                        <wps:bodyPr/>
                      </wps:wsp>
                      <wps:wsp>
                        <wps:cNvPr id="995099023" name="Text Box 27"/>
                        <wps:cNvSpPr txBox="1"/>
                        <wps:spPr>
                          <a:xfrm>
                            <a:off x="1320372" y="2415491"/>
                            <a:ext cx="387350" cy="395605"/>
                          </a:xfrm>
                          <a:prstGeom prst="rect">
                            <a:avLst/>
                          </a:prstGeom>
                          <a:noFill/>
                        </wps:spPr>
                        <wps:txbx>
                          <w:txbxContent>
                            <w:p w14:paraId="45244F9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H12</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cNvPr id="1412066966" name="Graphic 2"/>
                        <wpg:cNvGrpSpPr/>
                        <wpg:grpSpPr>
                          <a:xfrm>
                            <a:off x="121023" y="1115249"/>
                            <a:ext cx="1169894" cy="558243"/>
                            <a:chOff x="121023" y="1115249"/>
                            <a:chExt cx="1169894" cy="558243"/>
                          </a:xfrm>
                        </wpg:grpSpPr>
                        <wps:wsp>
                          <wps:cNvPr id="872493375" name="Rectangle: Rounded Corners 872493375"/>
                          <wps:cNvSpPr/>
                          <wps:spPr>
                            <a:xfrm>
                              <a:off x="121023" y="1145731"/>
                              <a:ext cx="1169894" cy="371152"/>
                            </a:xfrm>
                            <a:prstGeom prst="roundRect">
                              <a:avLst>
                                <a:gd name="adj" fmla="val 17390"/>
                              </a:avLst>
                            </a:prstGeom>
                            <a:solidFill>
                              <a:srgbClr val="E6F1FB"/>
                            </a:solidFill>
                            <a:ln w="4034" cap="flat">
                              <a:solidFill>
                                <a:srgbClr val="185FA5"/>
                              </a:solidFill>
                              <a:prstDash val="solid"/>
                              <a:miter/>
                            </a:ln>
                          </wps:spPr>
                          <wps:bodyPr/>
                        </wps:wsp>
                        <wps:wsp>
                          <wps:cNvPr id="1700047428" name="Text Box 30"/>
                          <wps:cNvSpPr txBox="1"/>
                          <wps:spPr>
                            <a:xfrm>
                              <a:off x="309694" y="1115249"/>
                              <a:ext cx="893445" cy="446405"/>
                            </a:xfrm>
                            <a:prstGeom prst="rect">
                              <a:avLst/>
                            </a:prstGeom>
                            <a:noFill/>
                          </wps:spPr>
                          <wps:txbx>
                            <w:txbxContent>
                              <w:p w14:paraId="39BE4D48" w14:textId="77777777" w:rsidR="007C3F12" w:rsidRDefault="007C3F12" w:rsidP="00D50A3D">
                                <w:pPr>
                                  <w:bidi w:val="0"/>
                                  <w:textAlignment w:val="baseline"/>
                                  <w:rPr>
                                    <w:rFonts w:ascii="Segoe UI" w:hAnsi="Segoe UI" w:cs="Segoe UI"/>
                                    <w:color w:val="0C447C"/>
                                    <w:kern w:val="0"/>
                                    <w:sz w:val="21"/>
                                    <w:szCs w:val="21"/>
                                    <w14:ligatures w14:val="none"/>
                                  </w:rPr>
                                </w:pPr>
                                <w:r>
                                  <w:rPr>
                                    <w:rFonts w:ascii="Segoe UI" w:hAnsi="Segoe UI" w:cs="Segoe UI"/>
                                    <w:color w:val="0C447C"/>
                                    <w:sz w:val="21"/>
                                    <w:szCs w:val="21"/>
                                  </w:rPr>
                                  <w:t>AI</w:t>
                                </w:r>
                                <w:r>
                                  <w:rPr>
                                    <w:rFonts w:ascii="Segoe UI" w:hAnsi="Segoe UI" w:cs="Segoe UI"/>
                                    <w:color w:val="0C447C"/>
                                    <w:sz w:val="21"/>
                                    <w:szCs w:val="21"/>
                                    <w:rtl/>
                                  </w:rPr>
                                  <w:t xml:space="preserve"> </w:t>
                                </w:r>
                                <w:r>
                                  <w:rPr>
                                    <w:rFonts w:ascii="Segoe UI" w:hAnsi="Segoe UI" w:cs="Segoe UI"/>
                                    <w:color w:val="0C447C"/>
                                    <w:sz w:val="21"/>
                                    <w:szCs w:val="21"/>
                                  </w:rPr>
                                  <w:t>Adoption</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746661589" name="Text Box 31"/>
                          <wps:cNvSpPr txBox="1"/>
                          <wps:spPr>
                            <a:xfrm>
                              <a:off x="370124" y="1277887"/>
                              <a:ext cx="750570" cy="395605"/>
                            </a:xfrm>
                            <a:prstGeom prst="rect">
                              <a:avLst/>
                            </a:prstGeom>
                            <a:noFill/>
                          </wps:spPr>
                          <wps:txbx>
                            <w:txbxContent>
                              <w:p w14:paraId="3CFF7727" w14:textId="77777777" w:rsidR="007C3F12" w:rsidRDefault="007C3F12" w:rsidP="00D50A3D">
                                <w:pPr>
                                  <w:bidi w:val="0"/>
                                  <w:textAlignment w:val="baseline"/>
                                  <w:rPr>
                                    <w:rFonts w:ascii="Segoe UI" w:hAnsi="Segoe UI" w:cs="Segoe UI"/>
                                    <w:color w:val="185FA5"/>
                                    <w:kern w:val="0"/>
                                    <w:sz w:val="18"/>
                                    <w:szCs w:val="18"/>
                                    <w14:ligatures w14:val="none"/>
                                  </w:rPr>
                                </w:pPr>
                                <w:r>
                                  <w:rPr>
                                    <w:rFonts w:ascii="Segoe UI" w:hAnsi="Segoe UI" w:cs="Segoe UI"/>
                                    <w:color w:val="185FA5"/>
                                    <w:sz w:val="18"/>
                                    <w:szCs w:val="18"/>
                                  </w:rPr>
                                  <w:t>in</w:t>
                                </w:r>
                                <w:r>
                                  <w:rPr>
                                    <w:rFonts w:ascii="Segoe UI" w:hAnsi="Segoe UI" w:cs="Segoe UI"/>
                                    <w:color w:val="185FA5"/>
                                    <w:sz w:val="18"/>
                                    <w:szCs w:val="18"/>
                                    <w:rtl/>
                                  </w:rPr>
                                  <w:t xml:space="preserve"> </w:t>
                                </w:r>
                                <w:r>
                                  <w:rPr>
                                    <w:rFonts w:ascii="Segoe UI" w:hAnsi="Segoe UI" w:cs="Segoe UI"/>
                                    <w:color w:val="185FA5"/>
                                    <w:sz w:val="18"/>
                                    <w:szCs w:val="18"/>
                                  </w:rPr>
                                  <w:t>Teaching</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grpSp>
                        <wpg:cNvPr id="1785276090" name="Graphic 2"/>
                        <wpg:cNvGrpSpPr/>
                        <wpg:grpSpPr>
                          <a:xfrm>
                            <a:off x="121023" y="2325465"/>
                            <a:ext cx="1169894" cy="558244"/>
                            <a:chOff x="121023" y="2325465"/>
                            <a:chExt cx="1169894" cy="558244"/>
                          </a:xfrm>
                        </wpg:grpSpPr>
                        <wps:wsp>
                          <wps:cNvPr id="1833629363" name="Rectangle: Rounded Corners 1833629363"/>
                          <wps:cNvSpPr/>
                          <wps:spPr>
                            <a:xfrm>
                              <a:off x="121023" y="2356011"/>
                              <a:ext cx="1169894" cy="371152"/>
                            </a:xfrm>
                            <a:prstGeom prst="roundRect">
                              <a:avLst>
                                <a:gd name="adj" fmla="val 17390"/>
                              </a:avLst>
                            </a:prstGeom>
                            <a:solidFill>
                              <a:srgbClr val="E6F1FB"/>
                            </a:solidFill>
                            <a:ln w="4034" cap="flat">
                              <a:solidFill>
                                <a:srgbClr val="185FA5"/>
                              </a:solidFill>
                              <a:prstDash val="solid"/>
                              <a:miter/>
                            </a:ln>
                          </wps:spPr>
                          <wps:bodyPr/>
                        </wps:wsp>
                        <wps:wsp>
                          <wps:cNvPr id="1611734451" name="Text Box 34"/>
                          <wps:cNvSpPr txBox="1"/>
                          <wps:spPr>
                            <a:xfrm>
                              <a:off x="309694" y="2325465"/>
                              <a:ext cx="893445" cy="446405"/>
                            </a:xfrm>
                            <a:prstGeom prst="rect">
                              <a:avLst/>
                            </a:prstGeom>
                            <a:noFill/>
                          </wps:spPr>
                          <wps:txbx>
                            <w:txbxContent>
                              <w:p w14:paraId="01B8A020" w14:textId="77777777" w:rsidR="007C3F12" w:rsidRDefault="007C3F12" w:rsidP="00D50A3D">
                                <w:pPr>
                                  <w:bidi w:val="0"/>
                                  <w:textAlignment w:val="baseline"/>
                                  <w:rPr>
                                    <w:rFonts w:ascii="Segoe UI" w:hAnsi="Segoe UI" w:cs="Segoe UI"/>
                                    <w:color w:val="0C447C"/>
                                    <w:kern w:val="0"/>
                                    <w:sz w:val="21"/>
                                    <w:szCs w:val="21"/>
                                    <w14:ligatures w14:val="none"/>
                                  </w:rPr>
                                </w:pPr>
                                <w:r>
                                  <w:rPr>
                                    <w:rFonts w:ascii="Segoe UI" w:hAnsi="Segoe UI" w:cs="Segoe UI"/>
                                    <w:color w:val="0C447C"/>
                                    <w:sz w:val="21"/>
                                    <w:szCs w:val="21"/>
                                  </w:rPr>
                                  <w:t>AI</w:t>
                                </w:r>
                                <w:r>
                                  <w:rPr>
                                    <w:rFonts w:ascii="Segoe UI" w:hAnsi="Segoe UI" w:cs="Segoe UI"/>
                                    <w:color w:val="0C447C"/>
                                    <w:sz w:val="21"/>
                                    <w:szCs w:val="21"/>
                                    <w:rtl/>
                                  </w:rPr>
                                  <w:t xml:space="preserve"> </w:t>
                                </w:r>
                                <w:r>
                                  <w:rPr>
                                    <w:rFonts w:ascii="Segoe UI" w:hAnsi="Segoe UI" w:cs="Segoe UI"/>
                                    <w:color w:val="0C447C"/>
                                    <w:sz w:val="21"/>
                                    <w:szCs w:val="21"/>
                                  </w:rPr>
                                  <w:t>Adoption</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618863239" name="Text Box 35"/>
                          <wps:cNvSpPr txBox="1"/>
                          <wps:spPr>
                            <a:xfrm>
                              <a:off x="339753" y="2488104"/>
                              <a:ext cx="822325" cy="395605"/>
                            </a:xfrm>
                            <a:prstGeom prst="rect">
                              <a:avLst/>
                            </a:prstGeom>
                            <a:noFill/>
                          </wps:spPr>
                          <wps:txbx>
                            <w:txbxContent>
                              <w:p w14:paraId="0F5BD125" w14:textId="77777777" w:rsidR="007C3F12" w:rsidRDefault="007C3F12" w:rsidP="00D50A3D">
                                <w:pPr>
                                  <w:bidi w:val="0"/>
                                  <w:textAlignment w:val="baseline"/>
                                  <w:rPr>
                                    <w:rFonts w:ascii="Segoe UI" w:hAnsi="Segoe UI" w:cs="Segoe UI"/>
                                    <w:color w:val="185FA5"/>
                                    <w:kern w:val="0"/>
                                    <w:sz w:val="18"/>
                                    <w:szCs w:val="18"/>
                                    <w14:ligatures w14:val="none"/>
                                  </w:rPr>
                                </w:pPr>
                                <w:r>
                                  <w:rPr>
                                    <w:rFonts w:ascii="Segoe UI" w:hAnsi="Segoe UI" w:cs="Segoe UI"/>
                                    <w:color w:val="185FA5"/>
                                    <w:sz w:val="18"/>
                                    <w:szCs w:val="18"/>
                                  </w:rPr>
                                  <w:t>in</w:t>
                                </w:r>
                                <w:r>
                                  <w:rPr>
                                    <w:rFonts w:ascii="Segoe UI" w:hAnsi="Segoe UI" w:cs="Segoe UI"/>
                                    <w:color w:val="185FA5"/>
                                    <w:sz w:val="18"/>
                                    <w:szCs w:val="18"/>
                                    <w:rtl/>
                                  </w:rPr>
                                  <w:t xml:space="preserve"> </w:t>
                                </w:r>
                                <w:r>
                                  <w:rPr>
                                    <w:rFonts w:ascii="Segoe UI" w:hAnsi="Segoe UI" w:cs="Segoe UI"/>
                                    <w:color w:val="185FA5"/>
                                    <w:sz w:val="18"/>
                                    <w:szCs w:val="18"/>
                                  </w:rPr>
                                  <w:t>Marketing</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grpSp>
                        <wpg:cNvPr id="2120000374" name="Graphic 2"/>
                        <wpg:cNvGrpSpPr/>
                        <wpg:grpSpPr>
                          <a:xfrm>
                            <a:off x="1791148" y="500248"/>
                            <a:ext cx="927847" cy="456297"/>
                            <a:chOff x="1791148" y="500248"/>
                            <a:chExt cx="927847" cy="456297"/>
                          </a:xfrm>
                        </wpg:grpSpPr>
                        <wps:wsp>
                          <wps:cNvPr id="1465857808" name="Rectangle: Rounded Corners 1465857808"/>
                          <wps:cNvSpPr/>
                          <wps:spPr>
                            <a:xfrm>
                              <a:off x="1791148" y="500248"/>
                              <a:ext cx="927847" cy="355015"/>
                            </a:xfrm>
                            <a:prstGeom prst="roundRect">
                              <a:avLst>
                                <a:gd name="adj" fmla="val 18181"/>
                              </a:avLst>
                            </a:prstGeom>
                            <a:solidFill>
                              <a:srgbClr val="EEEDFE"/>
                            </a:solidFill>
                            <a:ln w="4034" cap="flat">
                              <a:solidFill>
                                <a:srgbClr val="534AB7"/>
                              </a:solidFill>
                              <a:prstDash val="solid"/>
                              <a:miter/>
                            </a:ln>
                          </wps:spPr>
                          <wps:bodyPr/>
                        </wps:wsp>
                        <wps:wsp>
                          <wps:cNvPr id="213869244" name="Text Box 38"/>
                          <wps:cNvSpPr txBox="1"/>
                          <wps:spPr>
                            <a:xfrm>
                              <a:off x="2040009" y="510140"/>
                              <a:ext cx="464820" cy="446405"/>
                            </a:xfrm>
                            <a:prstGeom prst="rect">
                              <a:avLst/>
                            </a:prstGeom>
                            <a:noFill/>
                          </wps:spPr>
                          <wps:txbx>
                            <w:txbxContent>
                              <w:p w14:paraId="6BBC5B4F" w14:textId="77777777" w:rsidR="007C3F12" w:rsidRDefault="007C3F12" w:rsidP="00D50A3D">
                                <w:pPr>
                                  <w:bidi w:val="0"/>
                                  <w:textAlignment w:val="baseline"/>
                                  <w:rPr>
                                    <w:rFonts w:ascii="Segoe UI" w:hAnsi="Segoe UI" w:cs="Segoe UI"/>
                                    <w:color w:val="3C3489"/>
                                    <w:kern w:val="0"/>
                                    <w:sz w:val="21"/>
                                    <w:szCs w:val="21"/>
                                    <w14:ligatures w14:val="none"/>
                                  </w:rPr>
                                </w:pPr>
                                <w:r>
                                  <w:rPr>
                                    <w:rFonts w:ascii="Segoe UI" w:hAnsi="Segoe UI" w:cs="Segoe UI"/>
                                    <w:color w:val="3C3489"/>
                                    <w:sz w:val="21"/>
                                    <w:szCs w:val="21"/>
                                  </w:rPr>
                                  <w:t>Trust</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grpSp>
                        <wpg:cNvPr id="975408162" name="Graphic 2"/>
                        <wpg:cNvGrpSpPr/>
                        <wpg:grpSpPr>
                          <a:xfrm>
                            <a:off x="1710465" y="1688085"/>
                            <a:ext cx="1296488" cy="558243"/>
                            <a:chOff x="1710465" y="1688085"/>
                            <a:chExt cx="1296488" cy="558243"/>
                          </a:xfrm>
                        </wpg:grpSpPr>
                        <wps:wsp>
                          <wps:cNvPr id="542672409" name="Rectangle: Rounded Corners 542672409"/>
                          <wps:cNvSpPr/>
                          <wps:spPr>
                            <a:xfrm>
                              <a:off x="1710465" y="1718597"/>
                              <a:ext cx="1250576" cy="371152"/>
                            </a:xfrm>
                            <a:prstGeom prst="roundRect">
                              <a:avLst>
                                <a:gd name="adj" fmla="val 17390"/>
                              </a:avLst>
                            </a:prstGeom>
                            <a:solidFill>
                              <a:srgbClr val="E1F5EE"/>
                            </a:solidFill>
                            <a:ln w="4034" cap="flat">
                              <a:solidFill>
                                <a:srgbClr val="0F6E56"/>
                              </a:solidFill>
                              <a:prstDash val="solid"/>
                              <a:miter/>
                            </a:ln>
                          </wps:spPr>
                          <wps:bodyPr/>
                        </wps:wsp>
                        <wps:wsp>
                          <wps:cNvPr id="151400781" name="Text Box 41"/>
                          <wps:cNvSpPr txBox="1"/>
                          <wps:spPr>
                            <a:xfrm>
                              <a:off x="1811248" y="1688085"/>
                              <a:ext cx="1195705" cy="446405"/>
                            </a:xfrm>
                            <a:prstGeom prst="rect">
                              <a:avLst/>
                            </a:prstGeom>
                            <a:noFill/>
                          </wps:spPr>
                          <wps:txbx>
                            <w:txbxContent>
                              <w:p w14:paraId="2E0300FB" w14:textId="77777777" w:rsidR="007C3F12" w:rsidRDefault="007C3F12" w:rsidP="00D50A3D">
                                <w:pPr>
                                  <w:bidi w:val="0"/>
                                  <w:textAlignment w:val="baseline"/>
                                  <w:rPr>
                                    <w:rFonts w:ascii="Segoe UI" w:hAnsi="Segoe UI" w:cs="Segoe UI"/>
                                    <w:color w:val="085041"/>
                                    <w:kern w:val="0"/>
                                    <w:sz w:val="21"/>
                                    <w:szCs w:val="21"/>
                                    <w14:ligatures w14:val="none"/>
                                  </w:rPr>
                                </w:pPr>
                                <w:r>
                                  <w:rPr>
                                    <w:rFonts w:ascii="Segoe UI" w:hAnsi="Segoe UI" w:cs="Segoe UI"/>
                                    <w:color w:val="085041"/>
                                    <w:sz w:val="21"/>
                                    <w:szCs w:val="21"/>
                                  </w:rPr>
                                  <w:t>Perceived</w:t>
                                </w:r>
                                <w:r>
                                  <w:rPr>
                                    <w:rFonts w:ascii="Segoe UI" w:hAnsi="Segoe UI" w:cs="Segoe UI"/>
                                    <w:color w:val="085041"/>
                                    <w:sz w:val="21"/>
                                    <w:szCs w:val="21"/>
                                    <w:rtl/>
                                  </w:rPr>
                                  <w:t xml:space="preserve"> </w:t>
                                </w:r>
                                <w:r>
                                  <w:rPr>
                                    <w:rFonts w:ascii="Segoe UI" w:hAnsi="Segoe UI" w:cs="Segoe UI"/>
                                    <w:color w:val="085041"/>
                                    <w:sz w:val="21"/>
                                    <w:szCs w:val="21"/>
                                  </w:rPr>
                                  <w:t>Service</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708544712" name="Text Box 42"/>
                          <wps:cNvSpPr txBox="1"/>
                          <wps:spPr>
                            <a:xfrm>
                              <a:off x="2088268" y="1850723"/>
                              <a:ext cx="541655" cy="395605"/>
                            </a:xfrm>
                            <a:prstGeom prst="rect">
                              <a:avLst/>
                            </a:prstGeom>
                            <a:noFill/>
                          </wps:spPr>
                          <wps:txbx>
                            <w:txbxContent>
                              <w:p w14:paraId="4D714081" w14:textId="77777777" w:rsidR="007C3F12" w:rsidRDefault="007C3F12" w:rsidP="00D50A3D">
                                <w:pPr>
                                  <w:bidi w:val="0"/>
                                  <w:textAlignment w:val="baseline"/>
                                  <w:rPr>
                                    <w:rFonts w:ascii="Segoe UI" w:hAnsi="Segoe UI" w:cs="Segoe UI"/>
                                    <w:color w:val="0F6E56"/>
                                    <w:kern w:val="0"/>
                                    <w:sz w:val="18"/>
                                    <w:szCs w:val="18"/>
                                    <w14:ligatures w14:val="none"/>
                                  </w:rPr>
                                </w:pPr>
                                <w:r>
                                  <w:rPr>
                                    <w:rFonts w:ascii="Segoe UI" w:hAnsi="Segoe UI" w:cs="Segoe UI"/>
                                    <w:color w:val="0F6E56"/>
                                    <w:sz w:val="18"/>
                                    <w:szCs w:val="18"/>
                                  </w:rPr>
                                  <w:t>Quality</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grpSp>
                        <wpg:cNvPr id="701194582" name="Graphic 2"/>
                        <wpg:cNvGrpSpPr/>
                        <wpg:grpSpPr>
                          <a:xfrm>
                            <a:off x="1791148" y="2890233"/>
                            <a:ext cx="927847" cy="550176"/>
                            <a:chOff x="1791148" y="2890233"/>
                            <a:chExt cx="927847" cy="550176"/>
                          </a:xfrm>
                        </wpg:grpSpPr>
                        <wps:wsp>
                          <wps:cNvPr id="668155750" name="Rectangle: Rounded Corners 668155750"/>
                          <wps:cNvSpPr/>
                          <wps:spPr>
                            <a:xfrm>
                              <a:off x="1791148" y="2920808"/>
                              <a:ext cx="927847" cy="355015"/>
                            </a:xfrm>
                            <a:prstGeom prst="roundRect">
                              <a:avLst>
                                <a:gd name="adj" fmla="val 18181"/>
                              </a:avLst>
                            </a:prstGeom>
                            <a:solidFill>
                              <a:srgbClr val="EEEDFE"/>
                            </a:solidFill>
                            <a:ln w="4034" cap="flat">
                              <a:solidFill>
                                <a:srgbClr val="534AB7"/>
                              </a:solidFill>
                              <a:prstDash val="solid"/>
                              <a:miter/>
                            </a:ln>
                          </wps:spPr>
                          <wps:bodyPr/>
                        </wps:wsp>
                        <wps:wsp>
                          <wps:cNvPr id="670524902" name="Text Box 45"/>
                          <wps:cNvSpPr txBox="1"/>
                          <wps:spPr>
                            <a:xfrm>
                              <a:off x="1921552" y="2890233"/>
                              <a:ext cx="744855" cy="446405"/>
                            </a:xfrm>
                            <a:prstGeom prst="rect">
                              <a:avLst/>
                            </a:prstGeom>
                            <a:noFill/>
                          </wps:spPr>
                          <wps:txbx>
                            <w:txbxContent>
                              <w:p w14:paraId="6650A724" w14:textId="77777777" w:rsidR="007C3F12" w:rsidRDefault="007C3F12" w:rsidP="00D50A3D">
                                <w:pPr>
                                  <w:bidi w:val="0"/>
                                  <w:textAlignment w:val="baseline"/>
                                  <w:rPr>
                                    <w:rFonts w:ascii="Segoe UI" w:hAnsi="Segoe UI" w:cs="Segoe UI"/>
                                    <w:color w:val="3C3489"/>
                                    <w:kern w:val="0"/>
                                    <w:sz w:val="21"/>
                                    <w:szCs w:val="21"/>
                                    <w14:ligatures w14:val="none"/>
                                  </w:rPr>
                                </w:pPr>
                                <w:r>
                                  <w:rPr>
                                    <w:rFonts w:ascii="Segoe UI" w:hAnsi="Segoe UI" w:cs="Segoe UI"/>
                                    <w:color w:val="3C3489"/>
                                    <w:sz w:val="21"/>
                                    <w:szCs w:val="21"/>
                                  </w:rPr>
                                  <w:t>Perceived</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1470680171" name="Text Box 46"/>
                          <wps:cNvSpPr txBox="1"/>
                          <wps:spPr>
                            <a:xfrm>
                              <a:off x="2043802" y="3044804"/>
                              <a:ext cx="455930" cy="395605"/>
                            </a:xfrm>
                            <a:prstGeom prst="rect">
                              <a:avLst/>
                            </a:prstGeom>
                            <a:noFill/>
                          </wps:spPr>
                          <wps:txbx>
                            <w:txbxContent>
                              <w:p w14:paraId="1FD94B97" w14:textId="77777777" w:rsidR="007C3F12" w:rsidRDefault="007C3F12" w:rsidP="00D50A3D">
                                <w:pPr>
                                  <w:bidi w:val="0"/>
                                  <w:textAlignment w:val="baseline"/>
                                  <w:rPr>
                                    <w:rFonts w:ascii="Segoe UI" w:hAnsi="Segoe UI" w:cs="Segoe UI"/>
                                    <w:color w:val="534AB7"/>
                                    <w:kern w:val="0"/>
                                    <w:sz w:val="18"/>
                                    <w:szCs w:val="18"/>
                                    <w14:ligatures w14:val="none"/>
                                  </w:rPr>
                                </w:pPr>
                                <w:r>
                                  <w:rPr>
                                    <w:rFonts w:ascii="Segoe UI" w:hAnsi="Segoe UI" w:cs="Segoe UI"/>
                                    <w:color w:val="534AB7"/>
                                    <w:sz w:val="18"/>
                                    <w:szCs w:val="18"/>
                                  </w:rPr>
                                  <w:t>Value</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grpSp>
                        <wpg:cNvPr id="186155544" name="Graphic 2"/>
                        <wpg:cNvGrpSpPr/>
                        <wpg:grpSpPr>
                          <a:xfrm>
                            <a:off x="3905025" y="1696153"/>
                            <a:ext cx="726637" cy="566311"/>
                            <a:chOff x="3905025" y="1696153"/>
                            <a:chExt cx="726637" cy="566311"/>
                          </a:xfrm>
                        </wpg:grpSpPr>
                        <wps:wsp>
                          <wps:cNvPr id="2079175479" name="Rectangle: Rounded Corners 2079175479"/>
                          <wps:cNvSpPr/>
                          <wps:spPr>
                            <a:xfrm>
                              <a:off x="3905025" y="1718597"/>
                              <a:ext cx="661595" cy="403426"/>
                            </a:xfrm>
                            <a:prstGeom prst="roundRect">
                              <a:avLst>
                                <a:gd name="adj" fmla="val 15999"/>
                              </a:avLst>
                            </a:prstGeom>
                            <a:solidFill>
                              <a:srgbClr val="FAECE7"/>
                            </a:solidFill>
                            <a:ln w="4034" cap="flat">
                              <a:solidFill>
                                <a:srgbClr val="993C1D"/>
                              </a:solidFill>
                              <a:prstDash val="solid"/>
                              <a:miter/>
                            </a:ln>
                          </wps:spPr>
                          <wps:bodyPr/>
                        </wps:wsp>
                        <wps:wsp>
                          <wps:cNvPr id="495773693" name="Text Box 49"/>
                          <wps:cNvSpPr txBox="1"/>
                          <wps:spPr>
                            <a:xfrm>
                              <a:off x="3920462" y="1696153"/>
                              <a:ext cx="711200" cy="446405"/>
                            </a:xfrm>
                            <a:prstGeom prst="rect">
                              <a:avLst/>
                            </a:prstGeom>
                            <a:noFill/>
                          </wps:spPr>
                          <wps:txbx>
                            <w:txbxContent>
                              <w:p w14:paraId="1814590C" w14:textId="77777777" w:rsidR="007C3F12" w:rsidRDefault="007C3F12" w:rsidP="00D50A3D">
                                <w:pPr>
                                  <w:bidi w:val="0"/>
                                  <w:textAlignment w:val="baseline"/>
                                  <w:rPr>
                                    <w:rFonts w:ascii="Segoe UI" w:hAnsi="Segoe UI" w:cs="Segoe UI"/>
                                    <w:color w:val="712B13"/>
                                    <w:kern w:val="0"/>
                                    <w:sz w:val="21"/>
                                    <w:szCs w:val="21"/>
                                    <w14:ligatures w14:val="none"/>
                                  </w:rPr>
                                </w:pPr>
                                <w:r>
                                  <w:rPr>
                                    <w:rFonts w:ascii="Segoe UI" w:hAnsi="Segoe UI" w:cs="Segoe UI"/>
                                    <w:color w:val="712B13"/>
                                    <w:sz w:val="21"/>
                                    <w:szCs w:val="21"/>
                                  </w:rPr>
                                  <w:t>Purchase</w:t>
                                </w:r>
                              </w:p>
                            </w:txbxContent>
                          </wps:txbx>
                          <wps:bodyPr rot="0" spcFirstLastPara="0" vert="horz" wrap="square" lIns="91440" tIns="45720" rIns="91440" bIns="45720" numCol="1" spcCol="0" rtlCol="1" fromWordArt="0" anchor="t" anchorCtr="0" forceAA="0" compatLnSpc="1">
                            <a:prstTxWarp prst="textNoShape">
                              <a:avLst/>
                            </a:prstTxWarp>
                            <a:noAutofit/>
                          </wps:bodyPr>
                        </wps:wsp>
                        <wps:wsp>
                          <wps:cNvPr id="41321882" name="Text Box 50"/>
                          <wps:cNvSpPr txBox="1"/>
                          <wps:spPr>
                            <a:xfrm>
                              <a:off x="3950687" y="1866859"/>
                              <a:ext cx="639445" cy="395605"/>
                            </a:xfrm>
                            <a:prstGeom prst="rect">
                              <a:avLst/>
                            </a:prstGeom>
                            <a:noFill/>
                          </wps:spPr>
                          <wps:txbx>
                            <w:txbxContent>
                              <w:p w14:paraId="6A58EEA7" w14:textId="77777777" w:rsidR="007C3F12" w:rsidRDefault="007C3F12" w:rsidP="00D50A3D">
                                <w:pPr>
                                  <w:bidi w:val="0"/>
                                  <w:textAlignment w:val="baseline"/>
                                  <w:rPr>
                                    <w:rFonts w:ascii="Segoe UI" w:hAnsi="Segoe UI" w:cs="Segoe UI"/>
                                    <w:color w:val="993C1D"/>
                                    <w:kern w:val="0"/>
                                    <w:sz w:val="18"/>
                                    <w:szCs w:val="18"/>
                                    <w14:ligatures w14:val="none"/>
                                  </w:rPr>
                                </w:pPr>
                                <w:r>
                                  <w:rPr>
                                    <w:rFonts w:ascii="Segoe UI" w:hAnsi="Segoe UI" w:cs="Segoe UI"/>
                                    <w:color w:val="993C1D"/>
                                    <w:sz w:val="18"/>
                                    <w:szCs w:val="18"/>
                                  </w:rPr>
                                  <w:t>Intention</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grpSp>
                        <wpg:cNvPr id="1049754195" name="Graphic 2"/>
                        <wpg:cNvGrpSpPr/>
                        <wpg:grpSpPr>
                          <a:xfrm>
                            <a:off x="121023" y="3388783"/>
                            <a:ext cx="1371600" cy="456146"/>
                            <a:chOff x="121023" y="3388783"/>
                            <a:chExt cx="1371600" cy="456146"/>
                          </a:xfrm>
                        </wpg:grpSpPr>
                        <wps:wsp>
                          <wps:cNvPr id="101280308" name="Rectangle: Rounded Corners 101280308"/>
                          <wps:cNvSpPr/>
                          <wps:spPr>
                            <a:xfrm>
                              <a:off x="121023" y="3388783"/>
                              <a:ext cx="1371600" cy="355015"/>
                            </a:xfrm>
                            <a:prstGeom prst="roundRect">
                              <a:avLst>
                                <a:gd name="adj" fmla="val 18181"/>
                              </a:avLst>
                            </a:prstGeom>
                            <a:solidFill>
                              <a:srgbClr val="FAEEDA"/>
                            </a:solidFill>
                            <a:ln w="4034" cap="flat">
                              <a:solidFill>
                                <a:srgbClr val="854F0B"/>
                              </a:solidFill>
                              <a:prstDash val="solid"/>
                              <a:miter/>
                            </a:ln>
                          </wps:spPr>
                          <wps:bodyPr/>
                        </wps:wsp>
                        <wps:wsp>
                          <wps:cNvPr id="1604027233" name="Text Box 53"/>
                          <wps:cNvSpPr txBox="1"/>
                          <wps:spPr>
                            <a:xfrm>
                              <a:off x="329834" y="3398524"/>
                              <a:ext cx="1093470" cy="446405"/>
                            </a:xfrm>
                            <a:prstGeom prst="rect">
                              <a:avLst/>
                            </a:prstGeom>
                            <a:noFill/>
                          </wps:spPr>
                          <wps:txbx>
                            <w:txbxContent>
                              <w:p w14:paraId="5671086D" w14:textId="77777777" w:rsidR="007C3F12" w:rsidRDefault="007C3F12" w:rsidP="00D50A3D">
                                <w:pPr>
                                  <w:bidi w:val="0"/>
                                  <w:textAlignment w:val="baseline"/>
                                  <w:rPr>
                                    <w:rFonts w:ascii="Segoe UI" w:hAnsi="Segoe UI" w:cs="Segoe UI"/>
                                    <w:color w:val="633806"/>
                                    <w:kern w:val="0"/>
                                    <w:sz w:val="21"/>
                                    <w:szCs w:val="21"/>
                                    <w14:ligatures w14:val="none"/>
                                  </w:rPr>
                                </w:pPr>
                                <w:r>
                                  <w:rPr>
                                    <w:rFonts w:ascii="Segoe UI" w:hAnsi="Segoe UI" w:cs="Segoe UI"/>
                                    <w:color w:val="633806"/>
                                    <w:sz w:val="21"/>
                                    <w:szCs w:val="21"/>
                                  </w:rPr>
                                  <w:t>Cultural</w:t>
                                </w:r>
                                <w:r>
                                  <w:rPr>
                                    <w:rFonts w:ascii="Segoe UI" w:hAnsi="Segoe UI" w:cs="Segoe UI"/>
                                    <w:color w:val="633806"/>
                                    <w:sz w:val="21"/>
                                    <w:szCs w:val="21"/>
                                    <w:rtl/>
                                  </w:rPr>
                                  <w:t xml:space="preserve"> </w:t>
                                </w:r>
                                <w:r>
                                  <w:rPr>
                                    <w:rFonts w:ascii="Segoe UI" w:hAnsi="Segoe UI" w:cs="Segoe UI"/>
                                    <w:color w:val="633806"/>
                                    <w:sz w:val="21"/>
                                    <w:szCs w:val="21"/>
                                  </w:rPr>
                                  <w:t>Factors</w:t>
                                </w:r>
                              </w:p>
                            </w:txbxContent>
                          </wps:txbx>
                          <wps:bodyPr rot="0" spcFirstLastPara="0" vert="horz" wrap="square" lIns="91440" tIns="45720" rIns="91440" bIns="45720" numCol="1" spcCol="0" rtlCol="1" fromWordArt="0" anchor="t" anchorCtr="0" forceAA="0" compatLnSpc="1">
                            <a:prstTxWarp prst="textNoShape">
                              <a:avLst/>
                            </a:prstTxWarp>
                            <a:noAutofit/>
                          </wps:bodyPr>
                        </wps:wsp>
                      </wpg:grpSp>
                    </wpg:wgp>
                  </a:graphicData>
                </a:graphic>
              </wp:inline>
            </w:drawing>
          </mc:Choice>
          <mc:Fallback>
            <w:pict>
              <v:group w14:anchorId="1F79FCBC" id="Graphic 2" o:spid="_x0000_s1026" style="width:422.4pt;height:263.35pt;mso-position-horizontal-relative:char;mso-position-vertical-relative:line" coordorigin="1210,5002" coordsize="45106,33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">
                <v:shape id="Freeform: Shape 1795605068" o:spid="_x0000_s1027" style="position:absolute;left:12909;top:11941;width:26141;height:5487;visibility:visible;mso-wrap-style:square;v-text-anchor:top" coordsize="2614108,548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" path="m,l2614108,548660e" filled="f" strokecolor="#888780" strokeweight=".33617mm">
                  <v:stroke joinstyle="miter"/>
                  <v:path arrowok="t" o:connecttype="custom" o:connectlocs="0,0;2614108,548660" o:connectangles="0,0"/>
                </v:shape>
                <v:shapetype id="_x0000_t202" coordsize="21600,21600" o:spt="202" path="m,l,21600r21600,l21600,xe">
                  <v:stroke joinstyle="miter"/>
                  <v:path gradientshapeok="t" o:connecttype="rect"/>
                </v:shapetype>
                <v:shape id="Text Box 3" o:spid="_x0000_s1028" type="#_x0000_t202" style="position:absolute;left:23876;top:12295;width:3874;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" filled="f" stroked="f">
                  <v:textbox>
                    <w:txbxContent>
                      <w:p w14:paraId="6B2A8096"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H10</w:t>
                        </w:r>
                      </w:p>
                    </w:txbxContent>
                  </v:textbox>
                </v:shape>
                <v:shape id="Freeform: Shape 1968405038" o:spid="_x0000_s1029" style="position:absolute;left:12909;top:20009;width:26141;height:5971;visibility:visible;mso-wrap-style:square;v-text-anchor:top" coordsize="2614108,597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" path="m,597071l2614108,e" filled="f" strokecolor="#888780" strokeweight=".33617mm">
                  <v:stroke joinstyle="miter"/>
                  <v:path arrowok="t" o:connecttype="custom" o:connectlocs="0,597071;2614108,0" o:connectangles="0,0"/>
                </v:shape>
                <v:shape id="Text Box 5" o:spid="_x0000_s1030" type="#_x0000_t202" style="position:absolute;left:23874;top:22864;width:3874;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" filled="f" stroked="f">
                  <v:textbox>
                    <w:txbxContent>
                      <w:p w14:paraId="3D02F312"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H11</w:t>
                        </w:r>
                      </w:p>
                    </w:txbxContent>
                  </v:textbox>
                </v:shape>
                <v:shape id="Freeform: Shape 239446499" o:spid="_x0000_s1031" style="position:absolute;left:7019;top:8552;width:15330;height:2905;visibility:visible;mso-wrap-style:square;v-text-anchor:top" coordsize="1532964,290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" path="m,290467l1532965,e" filled="f" strokecolor="#7f77dd" strokeweight=".33617mm">
                  <v:stroke joinstyle="miter"/>
                  <v:path arrowok="t" o:connecttype="custom" o:connectlocs="0,290467;1532965,0" o:connectangles="0,0"/>
                </v:shape>
                <v:shape id="Text Box 7" o:spid="_x0000_s1032" type="#_x0000_t202" style="position:absolute;left:12357;top:7857;width:3257;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" filled="f" stroked="f">
                  <v:textbox>
                    <w:txbxContent>
                      <w:p w14:paraId="2004A4A1"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H4</w:t>
                        </w:r>
                      </w:p>
                    </w:txbxContent>
                  </v:textbox>
                </v:shape>
                <v:shape id="Freeform: Shape 616734713" o:spid="_x0000_s1033" style="position:absolute;left:7019;top:8552;width:15330;height:15008;visibility:visible;mso-wrap-style:square;v-text-anchor:top" coordsize="1532964,1500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" path="m,1500747l1532965,e" filled="f" strokecolor="#7f77dd" strokeweight=".33617mm">
                  <v:stroke joinstyle="miter"/>
                  <v:path arrowok="t" o:connecttype="custom" o:connectlocs="0,1500747;1532965,0" o:connectangles="0,0"/>
                </v:shape>
                <v:shape id="Text Box 9" o:spid="_x0000_s1034" type="#_x0000_t202" style="position:absolute;left:9816;top:16248;width:3257;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" filled="f" stroked="f">
                  <v:textbox>
                    <w:txbxContent>
                      <w:p w14:paraId="5D04903C"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H5</w:t>
                        </w:r>
                      </w:p>
                    </w:txbxContent>
                  </v:textbox>
                </v:shape>
                <v:shape id="Freeform: Shape 1094089868" o:spid="_x0000_s1035" style="position:absolute;left:12909;top:14361;width:5002;height:14847;visibility:visible;mso-wrap-style:square;v-text-anchor:top" coordsize="500230,1484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" path="m,l500231,1484610e" filled="f" strokecolor="#d4537e" strokeweight=".33617mm">
                  <v:stroke joinstyle="miter"/>
                  <v:path arrowok="t" o:connecttype="custom" o:connectlocs="0,0;500231,1484610" o:connectangles="0,0"/>
                </v:shape>
                <v:shape id="Text Box 11" o:spid="_x0000_s1036" type="#_x0000_t202" style="position:absolute;left:13768;top:20685;width:3257;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" filled="f" stroked="f">
                  <v:textbox>
                    <w:txbxContent>
                      <w:p w14:paraId="0A1F44A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H7</w:t>
                        </w:r>
                      </w:p>
                    </w:txbxContent>
                  </v:textbox>
                </v:shape>
                <v:shape id="Freeform: Shape 662259627" o:spid="_x0000_s1037" style="position:absolute;left:7019;top:27271;width:10892;height:1937;visibility:visible;mso-wrap-style:square;v-text-anchor:top" coordsize="1089211,19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" path="m,l1089212,193645e" filled="f" strokecolor="#d4537e" strokeweight=".33617mm">
                  <v:stroke joinstyle="miter"/>
                  <v:path arrowok="t" o:connecttype="custom" o:connectlocs="0,0;1089212,193645" o:connectangles="0,0"/>
                </v:shape>
                <v:shape id="Text Box 13" o:spid="_x0000_s1038" type="#_x0000_t202" style="position:absolute;left:10743;top:28027;width:3258;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" filled="f" stroked="f">
                  <v:textbox>
                    <w:txbxContent>
                      <w:p w14:paraId="49EE942E"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H8</w:t>
                        </w:r>
                      </w:p>
                    </w:txbxContent>
                  </v:textbox>
                </v:shape>
                <v:shape id="Freeform: Shape 654215216" o:spid="_x0000_s1039" style="position:absolute;left:12909;top:13313;width:4195;height:5244;visibility:visible;mso-wrap-style:square;v-text-anchor:top" coordsize="419548,52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" path="m,l419548,524455e" filled="f" strokecolor="#1d9e75" strokeweight=".44822mm">
                  <v:stroke joinstyle="miter"/>
                  <v:path arrowok="t" o:connecttype="custom" o:connectlocs="0,0;419548,524455" o:connectangles="0,0"/>
                </v:shape>
                <v:shape id="Text Box 15" o:spid="_x0000_s1040" type="#_x0000_t202" style="position:absolute;left:12841;top:14069;width:3257;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" filled="f" stroked="f">
                  <v:textbox>
                    <w:txbxContent>
                      <w:p w14:paraId="7C379FF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w:t>
                        </w:r>
                      </w:p>
                    </w:txbxContent>
                  </v:textbox>
                </v:shape>
                <v:shape id="Freeform: Shape 1735308452" o:spid="_x0000_s1041" style="position:absolute;left:12909;top:20171;width:4195;height:5244;visibility:visible;mso-wrap-style:square;v-text-anchor:top" coordsize="419548,52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" path="m,524455l419548,e" filled="f" strokecolor="#1d9e75" strokeweight=".44822mm">
                  <v:stroke joinstyle="miter"/>
                  <v:path arrowok="t" o:connecttype="custom" o:connectlocs="0,524455;419548,0" o:connectangles="0,0"/>
                </v:shape>
                <v:shape id="Text Box 17" o:spid="_x0000_s1042" type="#_x0000_t202" style="position:absolute;left:12841;top:20846;width:3257;height:3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" filled="f" stroked="f">
                  <v:textbox>
                    <w:txbxContent>
                      <w:p w14:paraId="17C744B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H2</w:t>
                        </w:r>
                      </w:p>
                    </w:txbxContent>
                  </v:textbox>
                </v:shape>
                <v:shape id="Freeform: Shape 1231011045" o:spid="_x0000_s1043" style="position:absolute;left:29610;top:19203;width:9440;height:80;visibility:visible;mso-wrap-style:square;v-text-anchor:top" coordsize="943983,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" path="m,l943984,e" filled="f" strokecolor="#993c1d" strokeweight=".44822mm">
                  <v:stroke joinstyle="miter"/>
                  <v:path arrowok="t" o:connecttype="custom" o:connectlocs="0,0;943984,0" o:connectangles="0,0"/>
                </v:shape>
                <v:shape id="Text Box 19" o:spid="_x0000_s1044" type="#_x0000_t202" style="position:absolute;left:32767;top:16893;width:3258;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" filled="f" stroked="f">
                  <v:textbox>
                    <w:txbxContent>
                      <w:p w14:paraId="6A30C9F1"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H3</w:t>
                        </w:r>
                      </w:p>
                    </w:txbxContent>
                  </v:textbox>
                </v:shape>
                <v:shape id="Freeform: Shape 862823841" o:spid="_x0000_s1045" style="position:absolute;left:22349;top:8552;width:806;height:8633;visibility:visible;mso-wrap-style:square;v-text-anchor:top" coordsize="80682,86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" path="m80682,863333l,e" filled="f" strokecolor="#7f77dd" strokeweight=".33617mm">
                  <v:stroke joinstyle="miter"/>
                  <v:path arrowok="t" o:connecttype="custom" o:connectlocs="80682,863333;0,0" o:connectangles="0,0"/>
                </v:shape>
                <v:shape id="Text Box 21" o:spid="_x0000_s1046" type="#_x0000_t202" style="position:absolute;left:23126;top:11568;width:3258;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" filled="f" stroked="f">
                  <v:textbox>
                    <w:txbxContent>
                      <w:p w14:paraId="21D419DB"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H6</w:t>
                        </w:r>
                      </w:p>
                    </w:txbxContent>
                  </v:textbox>
                </v:shape>
                <v:shape id="Freeform: Shape 579277962" o:spid="_x0000_s1047" style="position:absolute;left:22349;top:20897;width:806;height:8311;visibility:visible;mso-wrap-style:square;v-text-anchor:top" coordsize="80682,831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" path="m80682,l,831059e" filled="f" strokecolor="#d4537e" strokeweight=".33617mm">
                  <v:stroke joinstyle="miter"/>
                  <v:path arrowok="t" o:connecttype="custom" o:connectlocs="80682,0;0,831059" o:connectangles="0,0"/>
                </v:shape>
                <v:shape id="Text Box 23" o:spid="_x0000_s1048" type="#_x0000_t202" style="position:absolute;left:22965;top:23832;width:3257;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" filled="f" stroked="f">
                  <v:textbox>
                    <w:txbxContent>
                      <w:p w14:paraId="0D686DDF"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H9</w:t>
                        </w:r>
                      </w:p>
                    </w:txbxContent>
                  </v:textbox>
                </v:shape>
                <v:shape id="Freeform: Shape 1369896125" o:spid="_x0000_s1049" style="position:absolute;left:27189;top:6696;width:11861;height:11377;visibility:visible;mso-wrap-style:square;v-text-anchor:top" coordsize="1186030,1137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" path="m,l1186031,1137663e" filled="f" strokecolor="#7f77dd" strokeweight=".33617mm">
                  <v:stroke joinstyle="miter"/>
                  <v:path arrowok="t" o:connecttype="custom" o:connectlocs="0,0;1186031,1137663" o:connectangles="0,0"/>
                </v:shape>
                <v:shape id="Freeform: Shape 626045596" o:spid="_x0000_s1050" style="position:absolute;left:27189;top:20332;width:11861;height:10570;visibility:visible;mso-wrap-style:square;v-text-anchor:top" coordsize="1186030,1056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" path="m,1056978l1186031,e" filled="f" strokecolor="#d4537e" strokeweight=".33617mm">
                  <v:stroke joinstyle="miter"/>
                  <v:path arrowok="t" o:connecttype="custom" o:connectlocs="0,1056978;1186031,0" o:connectangles="0,0"/>
                </v:shape>
                <v:shape id="Freeform: Shape 834467859" o:spid="_x0000_s1051" style="position:absolute;left:11940;top:16298;width:3565;height:17751;visibility:visible;mso-wrap-style:square;v-text-anchor:top" coordsize="356454,1775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" path="m,1775077c252805,1333997,371139,742305,355002,e" filled="f" strokecolor="#ba7517" strokeweight=".33617mm">
                  <v:stroke joinstyle="miter"/>
                  <v:path arrowok="t" o:connecttype="custom" o:connectlocs="0,1775077;355002,0" o:connectangles="0,0"/>
                </v:shape>
                <v:shape id="Text Box 27" o:spid="_x0000_s1052" type="#_x0000_t202" style="position:absolute;left:13203;top:24154;width:3874;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" filled="f" stroked="f">
                  <v:textbox>
                    <w:txbxContent>
                      <w:p w14:paraId="45244F95" w14:textId="77777777" w:rsidR="007C3F12" w:rsidRDefault="007C3F12" w:rsidP="00D50A3D">
                        <w:pPr>
                          <w:bidi w:val="0"/>
                          <w:textAlignment w:val="baseline"/>
                          <w:rPr>
                            <w:rFonts w:ascii="Segoe UI" w:hAnsi="Segoe UI" w:cs="Segoe UI"/>
                            <w:color w:val="3D3D3A"/>
                            <w:kern w:val="0"/>
                            <w:sz w:val="18"/>
                            <w:szCs w:val="18"/>
                            <w14:ligatures w14:val="none"/>
                          </w:rPr>
                        </w:pPr>
                        <w:r>
                          <w:rPr>
                            <w:rFonts w:ascii="Segoe UI" w:hAnsi="Segoe UI" w:cs="Segoe UI"/>
                            <w:color w:val="3D3D3A"/>
                            <w:sz w:val="18"/>
                            <w:szCs w:val="18"/>
                          </w:rPr>
                          <w:t>H12</w:t>
                        </w:r>
                      </w:p>
                    </w:txbxContent>
                  </v:textbox>
                </v:shape>
                <v:group id="_x0000_s1053" style="position:absolute;left:1210;top:11152;width:11699;height:5582" coordorigin="1210,11152" coordsize="11698,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">
                  <v:roundrect id="Rectangle: Rounded Corners 872493375" o:spid="_x0000_s1054" style="position:absolute;left:1210;top:11457;width:11699;height:3711;visibility:visible;mso-wrap-style:square;v-text-anchor:top" arcsize="1139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" fillcolor="#e6f1fb" strokecolor="#185fa5" strokeweight=".1121mm">
                    <v:stroke joinstyle="miter"/>
                  </v:roundrect>
                  <v:shape id="Text Box 30" o:spid="_x0000_s1055" type="#_x0000_t202" style="position:absolute;left:3096;top:11152;width:8935;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" filled="f" stroked="f">
                    <v:textbox>
                      <w:txbxContent>
                        <w:p w14:paraId="39BE4D48" w14:textId="77777777" w:rsidR="007C3F12" w:rsidRDefault="007C3F12" w:rsidP="00D50A3D">
                          <w:pPr>
                            <w:bidi w:val="0"/>
                            <w:textAlignment w:val="baseline"/>
                            <w:rPr>
                              <w:rFonts w:ascii="Segoe UI" w:hAnsi="Segoe UI" w:cs="Segoe UI"/>
                              <w:color w:val="0C447C"/>
                              <w:kern w:val="0"/>
                              <w:sz w:val="21"/>
                              <w:szCs w:val="21"/>
                              <w14:ligatures w14:val="none"/>
                            </w:rPr>
                          </w:pPr>
                          <w:r>
                            <w:rPr>
                              <w:rFonts w:ascii="Segoe UI" w:hAnsi="Segoe UI" w:cs="Segoe UI"/>
                              <w:color w:val="0C447C"/>
                              <w:sz w:val="21"/>
                              <w:szCs w:val="21"/>
                            </w:rPr>
                            <w:t>AI</w:t>
                          </w:r>
                          <w:r>
                            <w:rPr>
                              <w:rFonts w:ascii="Segoe UI" w:hAnsi="Segoe UI" w:cs="Segoe UI"/>
                              <w:color w:val="0C447C"/>
                              <w:sz w:val="21"/>
                              <w:szCs w:val="21"/>
                              <w:rtl/>
                            </w:rPr>
                            <w:t xml:space="preserve"> </w:t>
                          </w:r>
                          <w:r>
                            <w:rPr>
                              <w:rFonts w:ascii="Segoe UI" w:hAnsi="Segoe UI" w:cs="Segoe UI"/>
                              <w:color w:val="0C447C"/>
                              <w:sz w:val="21"/>
                              <w:szCs w:val="21"/>
                            </w:rPr>
                            <w:t>Adoption</w:t>
                          </w:r>
                        </w:p>
                      </w:txbxContent>
                    </v:textbox>
                  </v:shape>
                  <v:shape id="Text Box 31" o:spid="_x0000_s1056" type="#_x0000_t202" style="position:absolute;left:3701;top:12778;width:7505;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" filled="f" stroked="f">
                    <v:textbox>
                      <w:txbxContent>
                        <w:p w14:paraId="3CFF7727" w14:textId="77777777" w:rsidR="007C3F12" w:rsidRDefault="007C3F12" w:rsidP="00D50A3D">
                          <w:pPr>
                            <w:bidi w:val="0"/>
                            <w:textAlignment w:val="baseline"/>
                            <w:rPr>
                              <w:rFonts w:ascii="Segoe UI" w:hAnsi="Segoe UI" w:cs="Segoe UI"/>
                              <w:color w:val="185FA5"/>
                              <w:kern w:val="0"/>
                              <w:sz w:val="18"/>
                              <w:szCs w:val="18"/>
                              <w14:ligatures w14:val="none"/>
                            </w:rPr>
                          </w:pPr>
                          <w:r>
                            <w:rPr>
                              <w:rFonts w:ascii="Segoe UI" w:hAnsi="Segoe UI" w:cs="Segoe UI"/>
                              <w:color w:val="185FA5"/>
                              <w:sz w:val="18"/>
                              <w:szCs w:val="18"/>
                            </w:rPr>
                            <w:t>in</w:t>
                          </w:r>
                          <w:r>
                            <w:rPr>
                              <w:rFonts w:ascii="Segoe UI" w:hAnsi="Segoe UI" w:cs="Segoe UI"/>
                              <w:color w:val="185FA5"/>
                              <w:sz w:val="18"/>
                              <w:szCs w:val="18"/>
                              <w:rtl/>
                            </w:rPr>
                            <w:t xml:space="preserve"> </w:t>
                          </w:r>
                          <w:r>
                            <w:rPr>
                              <w:rFonts w:ascii="Segoe UI" w:hAnsi="Segoe UI" w:cs="Segoe UI"/>
                              <w:color w:val="185FA5"/>
                              <w:sz w:val="18"/>
                              <w:szCs w:val="18"/>
                            </w:rPr>
                            <w:t>Teaching</w:t>
                          </w:r>
                        </w:p>
                      </w:txbxContent>
                    </v:textbox>
                  </v:shape>
                </v:group>
                <v:group id="_x0000_s1057" style="position:absolute;left:1210;top:23254;width:11699;height:5583" coordorigin="1210,23254" coordsize="11698,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">
                  <v:roundrect id="Rectangle: Rounded Corners 1833629363" o:spid="_x0000_s1058" style="position:absolute;left:1210;top:23560;width:11699;height:3711;visibility:visible;mso-wrap-style:square;v-text-anchor:top" arcsize="1139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" fillcolor="#e6f1fb" strokecolor="#185fa5" strokeweight=".1121mm">
                    <v:stroke joinstyle="miter"/>
                  </v:roundrect>
                  <v:shape id="Text Box 34" o:spid="_x0000_s1059" type="#_x0000_t202" style="position:absolute;left:3096;top:23254;width:8935;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" filled="f" stroked="f">
                    <v:textbox>
                      <w:txbxContent>
                        <w:p w14:paraId="01B8A020" w14:textId="77777777" w:rsidR="007C3F12" w:rsidRDefault="007C3F12" w:rsidP="00D50A3D">
                          <w:pPr>
                            <w:bidi w:val="0"/>
                            <w:textAlignment w:val="baseline"/>
                            <w:rPr>
                              <w:rFonts w:ascii="Segoe UI" w:hAnsi="Segoe UI" w:cs="Segoe UI"/>
                              <w:color w:val="0C447C"/>
                              <w:kern w:val="0"/>
                              <w:sz w:val="21"/>
                              <w:szCs w:val="21"/>
                              <w14:ligatures w14:val="none"/>
                            </w:rPr>
                          </w:pPr>
                          <w:r>
                            <w:rPr>
                              <w:rFonts w:ascii="Segoe UI" w:hAnsi="Segoe UI" w:cs="Segoe UI"/>
                              <w:color w:val="0C447C"/>
                              <w:sz w:val="21"/>
                              <w:szCs w:val="21"/>
                            </w:rPr>
                            <w:t>AI</w:t>
                          </w:r>
                          <w:r>
                            <w:rPr>
                              <w:rFonts w:ascii="Segoe UI" w:hAnsi="Segoe UI" w:cs="Segoe UI"/>
                              <w:color w:val="0C447C"/>
                              <w:sz w:val="21"/>
                              <w:szCs w:val="21"/>
                              <w:rtl/>
                            </w:rPr>
                            <w:t xml:space="preserve"> </w:t>
                          </w:r>
                          <w:r>
                            <w:rPr>
                              <w:rFonts w:ascii="Segoe UI" w:hAnsi="Segoe UI" w:cs="Segoe UI"/>
                              <w:color w:val="0C447C"/>
                              <w:sz w:val="21"/>
                              <w:szCs w:val="21"/>
                            </w:rPr>
                            <w:t>Adoption</w:t>
                          </w:r>
                        </w:p>
                      </w:txbxContent>
                    </v:textbox>
                  </v:shape>
                  <v:shape id="Text Box 35" o:spid="_x0000_s1060" type="#_x0000_t202" style="position:absolute;left:3397;top:24881;width:8223;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" filled="f" stroked="f">
                    <v:textbox>
                      <w:txbxContent>
                        <w:p w14:paraId="0F5BD125" w14:textId="77777777" w:rsidR="007C3F12" w:rsidRDefault="007C3F12" w:rsidP="00D50A3D">
                          <w:pPr>
                            <w:bidi w:val="0"/>
                            <w:textAlignment w:val="baseline"/>
                            <w:rPr>
                              <w:rFonts w:ascii="Segoe UI" w:hAnsi="Segoe UI" w:cs="Segoe UI"/>
                              <w:color w:val="185FA5"/>
                              <w:kern w:val="0"/>
                              <w:sz w:val="18"/>
                              <w:szCs w:val="18"/>
                              <w14:ligatures w14:val="none"/>
                            </w:rPr>
                          </w:pPr>
                          <w:r>
                            <w:rPr>
                              <w:rFonts w:ascii="Segoe UI" w:hAnsi="Segoe UI" w:cs="Segoe UI"/>
                              <w:color w:val="185FA5"/>
                              <w:sz w:val="18"/>
                              <w:szCs w:val="18"/>
                            </w:rPr>
                            <w:t>in</w:t>
                          </w:r>
                          <w:r>
                            <w:rPr>
                              <w:rFonts w:ascii="Segoe UI" w:hAnsi="Segoe UI" w:cs="Segoe UI"/>
                              <w:color w:val="185FA5"/>
                              <w:sz w:val="18"/>
                              <w:szCs w:val="18"/>
                              <w:rtl/>
                            </w:rPr>
                            <w:t xml:space="preserve"> </w:t>
                          </w:r>
                          <w:r>
                            <w:rPr>
                              <w:rFonts w:ascii="Segoe UI" w:hAnsi="Segoe UI" w:cs="Segoe UI"/>
                              <w:color w:val="185FA5"/>
                              <w:sz w:val="18"/>
                              <w:szCs w:val="18"/>
                            </w:rPr>
                            <w:t>Marketing</w:t>
                          </w:r>
                        </w:p>
                      </w:txbxContent>
                    </v:textbox>
                  </v:shape>
                </v:group>
                <v:group id="_x0000_s1061" style="position:absolute;left:17911;top:5002;width:9278;height:4563" coordorigin="17911,5002" coordsize="9278,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">
                  <v:roundrect id="Rectangle: Rounded Corners 1465857808" o:spid="_x0000_s1062" style="position:absolute;left:17911;top:5002;width:9278;height:3550;visibility:visible;mso-wrap-style:square;v-text-anchor:top" arcsize="11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" fillcolor="#eeedfe" strokecolor="#534ab7" strokeweight=".1121mm">
                    <v:stroke joinstyle="miter"/>
                  </v:roundrect>
                  <v:shape id="Text Box 38" o:spid="_x0000_s1063" type="#_x0000_t202" style="position:absolute;left:20400;top:5101;width:4648;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" filled="f" stroked="f">
                    <v:textbox>
                      <w:txbxContent>
                        <w:p w14:paraId="6BBC5B4F" w14:textId="77777777" w:rsidR="007C3F12" w:rsidRDefault="007C3F12" w:rsidP="00D50A3D">
                          <w:pPr>
                            <w:bidi w:val="0"/>
                            <w:textAlignment w:val="baseline"/>
                            <w:rPr>
                              <w:rFonts w:ascii="Segoe UI" w:hAnsi="Segoe UI" w:cs="Segoe UI"/>
                              <w:color w:val="3C3489"/>
                              <w:kern w:val="0"/>
                              <w:sz w:val="21"/>
                              <w:szCs w:val="21"/>
                              <w14:ligatures w14:val="none"/>
                            </w:rPr>
                          </w:pPr>
                          <w:r>
                            <w:rPr>
                              <w:rFonts w:ascii="Segoe UI" w:hAnsi="Segoe UI" w:cs="Segoe UI"/>
                              <w:color w:val="3C3489"/>
                              <w:sz w:val="21"/>
                              <w:szCs w:val="21"/>
                            </w:rPr>
                            <w:t>Trust</w:t>
                          </w:r>
                        </w:p>
                      </w:txbxContent>
                    </v:textbox>
                  </v:shape>
                </v:group>
                <v:group id="_x0000_s1064" style="position:absolute;left:17104;top:16880;width:12965;height:5583" coordorigin="17104,16880" coordsize="12964,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">
                  <v:roundrect id="Rectangle: Rounded Corners 542672409" o:spid="_x0000_s1065" style="position:absolute;left:17104;top:17185;width:12506;height:3712;visibility:visible;mso-wrap-style:square;v-text-anchor:top" arcsize="1139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" fillcolor="#e1f5ee" strokecolor="#0f6e56" strokeweight=".1121mm">
                    <v:stroke joinstyle="miter"/>
                  </v:roundrect>
                  <v:shape id="Text Box 41" o:spid="_x0000_s1066" type="#_x0000_t202" style="position:absolute;left:18112;top:16880;width:11957;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" filled="f" stroked="f">
                    <v:textbox>
                      <w:txbxContent>
                        <w:p w14:paraId="2E0300FB" w14:textId="77777777" w:rsidR="007C3F12" w:rsidRDefault="007C3F12" w:rsidP="00D50A3D">
                          <w:pPr>
                            <w:bidi w:val="0"/>
                            <w:textAlignment w:val="baseline"/>
                            <w:rPr>
                              <w:rFonts w:ascii="Segoe UI" w:hAnsi="Segoe UI" w:cs="Segoe UI"/>
                              <w:color w:val="085041"/>
                              <w:kern w:val="0"/>
                              <w:sz w:val="21"/>
                              <w:szCs w:val="21"/>
                              <w14:ligatures w14:val="none"/>
                            </w:rPr>
                          </w:pPr>
                          <w:r>
                            <w:rPr>
                              <w:rFonts w:ascii="Segoe UI" w:hAnsi="Segoe UI" w:cs="Segoe UI"/>
                              <w:color w:val="085041"/>
                              <w:sz w:val="21"/>
                              <w:szCs w:val="21"/>
                            </w:rPr>
                            <w:t>Perceived</w:t>
                          </w:r>
                          <w:r>
                            <w:rPr>
                              <w:rFonts w:ascii="Segoe UI" w:hAnsi="Segoe UI" w:cs="Segoe UI"/>
                              <w:color w:val="085041"/>
                              <w:sz w:val="21"/>
                              <w:szCs w:val="21"/>
                              <w:rtl/>
                            </w:rPr>
                            <w:t xml:space="preserve"> </w:t>
                          </w:r>
                          <w:r>
                            <w:rPr>
                              <w:rFonts w:ascii="Segoe UI" w:hAnsi="Segoe UI" w:cs="Segoe UI"/>
                              <w:color w:val="085041"/>
                              <w:sz w:val="21"/>
                              <w:szCs w:val="21"/>
                            </w:rPr>
                            <w:t>Service</w:t>
                          </w:r>
                        </w:p>
                      </w:txbxContent>
                    </v:textbox>
                  </v:shape>
                  <v:shape id="Text Box 42" o:spid="_x0000_s1067" type="#_x0000_t202" style="position:absolute;left:20882;top:18507;width:5417;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" filled="f" stroked="f">
                    <v:textbox>
                      <w:txbxContent>
                        <w:p w14:paraId="4D714081" w14:textId="77777777" w:rsidR="007C3F12" w:rsidRDefault="007C3F12" w:rsidP="00D50A3D">
                          <w:pPr>
                            <w:bidi w:val="0"/>
                            <w:textAlignment w:val="baseline"/>
                            <w:rPr>
                              <w:rFonts w:ascii="Segoe UI" w:hAnsi="Segoe UI" w:cs="Segoe UI"/>
                              <w:color w:val="0F6E56"/>
                              <w:kern w:val="0"/>
                              <w:sz w:val="18"/>
                              <w:szCs w:val="18"/>
                              <w14:ligatures w14:val="none"/>
                            </w:rPr>
                          </w:pPr>
                          <w:r>
                            <w:rPr>
                              <w:rFonts w:ascii="Segoe UI" w:hAnsi="Segoe UI" w:cs="Segoe UI"/>
                              <w:color w:val="0F6E56"/>
                              <w:sz w:val="18"/>
                              <w:szCs w:val="18"/>
                            </w:rPr>
                            <w:t>Quality</w:t>
                          </w:r>
                        </w:p>
                      </w:txbxContent>
                    </v:textbox>
                  </v:shape>
                </v:group>
                <v:group id="_x0000_s1068" style="position:absolute;left:17911;top:28902;width:9278;height:5502" coordorigin="17911,28902" coordsize="9278,5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">
                  <v:roundrect id="Rectangle: Rounded Corners 668155750" o:spid="_x0000_s1069" style="position:absolute;left:17911;top:29208;width:9278;height:3550;visibility:visible;mso-wrap-style:square;v-text-anchor:top" arcsize="11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" fillcolor="#eeedfe" strokecolor="#534ab7" strokeweight=".1121mm">
                    <v:stroke joinstyle="miter"/>
                  </v:roundrect>
                  <v:shape id="Text Box 45" o:spid="_x0000_s1070" type="#_x0000_t202" style="position:absolute;left:19215;top:28902;width:7449;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" filled="f" stroked="f">
                    <v:textbox>
                      <w:txbxContent>
                        <w:p w14:paraId="6650A724" w14:textId="77777777" w:rsidR="007C3F12" w:rsidRDefault="007C3F12" w:rsidP="00D50A3D">
                          <w:pPr>
                            <w:bidi w:val="0"/>
                            <w:textAlignment w:val="baseline"/>
                            <w:rPr>
                              <w:rFonts w:ascii="Segoe UI" w:hAnsi="Segoe UI" w:cs="Segoe UI"/>
                              <w:color w:val="3C3489"/>
                              <w:kern w:val="0"/>
                              <w:sz w:val="21"/>
                              <w:szCs w:val="21"/>
                              <w14:ligatures w14:val="none"/>
                            </w:rPr>
                          </w:pPr>
                          <w:r>
                            <w:rPr>
                              <w:rFonts w:ascii="Segoe UI" w:hAnsi="Segoe UI" w:cs="Segoe UI"/>
                              <w:color w:val="3C3489"/>
                              <w:sz w:val="21"/>
                              <w:szCs w:val="21"/>
                            </w:rPr>
                            <w:t>Perceived</w:t>
                          </w:r>
                        </w:p>
                      </w:txbxContent>
                    </v:textbox>
                  </v:shape>
                  <v:shape id="Text Box 46" o:spid="_x0000_s1071" type="#_x0000_t202" style="position:absolute;left:20438;top:30448;width:4559;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" filled="f" stroked="f">
                    <v:textbox>
                      <w:txbxContent>
                        <w:p w14:paraId="1FD94B97" w14:textId="77777777" w:rsidR="007C3F12" w:rsidRDefault="007C3F12" w:rsidP="00D50A3D">
                          <w:pPr>
                            <w:bidi w:val="0"/>
                            <w:textAlignment w:val="baseline"/>
                            <w:rPr>
                              <w:rFonts w:ascii="Segoe UI" w:hAnsi="Segoe UI" w:cs="Segoe UI"/>
                              <w:color w:val="534AB7"/>
                              <w:kern w:val="0"/>
                              <w:sz w:val="18"/>
                              <w:szCs w:val="18"/>
                              <w14:ligatures w14:val="none"/>
                            </w:rPr>
                          </w:pPr>
                          <w:r>
                            <w:rPr>
                              <w:rFonts w:ascii="Segoe UI" w:hAnsi="Segoe UI" w:cs="Segoe UI"/>
                              <w:color w:val="534AB7"/>
                              <w:sz w:val="18"/>
                              <w:szCs w:val="18"/>
                            </w:rPr>
                            <w:t>Value</w:t>
                          </w:r>
                        </w:p>
                      </w:txbxContent>
                    </v:textbox>
                  </v:shape>
                </v:group>
                <v:group id="_x0000_s1072" style="position:absolute;left:39050;top:16961;width:7266;height:5663" coordorigin="39050,16961" coordsize="7266,5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">
                  <v:roundrect id="Rectangle: Rounded Corners 2079175479" o:spid="_x0000_s1073" style="position:absolute;left:39050;top:17185;width:6616;height:4035;visibility:visible;mso-wrap-style:square;v-text-anchor:top" arcsize="1048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" fillcolor="#faece7" strokecolor="#993c1d" strokeweight=".1121mm">
                    <v:stroke joinstyle="miter"/>
                  </v:roundrect>
                  <v:shape id="Text Box 49" o:spid="_x0000_s1074" type="#_x0000_t202" style="position:absolute;left:39204;top:16961;width:7112;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" filled="f" stroked="f">
                    <v:textbox>
                      <w:txbxContent>
                        <w:p w14:paraId="1814590C" w14:textId="77777777" w:rsidR="007C3F12" w:rsidRDefault="007C3F12" w:rsidP="00D50A3D">
                          <w:pPr>
                            <w:bidi w:val="0"/>
                            <w:textAlignment w:val="baseline"/>
                            <w:rPr>
                              <w:rFonts w:ascii="Segoe UI" w:hAnsi="Segoe UI" w:cs="Segoe UI"/>
                              <w:color w:val="712B13"/>
                              <w:kern w:val="0"/>
                              <w:sz w:val="21"/>
                              <w:szCs w:val="21"/>
                              <w14:ligatures w14:val="none"/>
                            </w:rPr>
                          </w:pPr>
                          <w:r>
                            <w:rPr>
                              <w:rFonts w:ascii="Segoe UI" w:hAnsi="Segoe UI" w:cs="Segoe UI"/>
                              <w:color w:val="712B13"/>
                              <w:sz w:val="21"/>
                              <w:szCs w:val="21"/>
                            </w:rPr>
                            <w:t>Purchase</w:t>
                          </w:r>
                        </w:p>
                      </w:txbxContent>
                    </v:textbox>
                  </v:shape>
                  <v:shape id="Text Box 50" o:spid="_x0000_s1075" type="#_x0000_t202" style="position:absolute;left:39506;top:18668;width:6395;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" filled="f" stroked="f">
                    <v:textbox>
                      <w:txbxContent>
                        <w:p w14:paraId="6A58EEA7" w14:textId="77777777" w:rsidR="007C3F12" w:rsidRDefault="007C3F12" w:rsidP="00D50A3D">
                          <w:pPr>
                            <w:bidi w:val="0"/>
                            <w:textAlignment w:val="baseline"/>
                            <w:rPr>
                              <w:rFonts w:ascii="Segoe UI" w:hAnsi="Segoe UI" w:cs="Segoe UI"/>
                              <w:color w:val="993C1D"/>
                              <w:kern w:val="0"/>
                              <w:sz w:val="18"/>
                              <w:szCs w:val="18"/>
                              <w14:ligatures w14:val="none"/>
                            </w:rPr>
                          </w:pPr>
                          <w:r>
                            <w:rPr>
                              <w:rFonts w:ascii="Segoe UI" w:hAnsi="Segoe UI" w:cs="Segoe UI"/>
                              <w:color w:val="993C1D"/>
                              <w:sz w:val="18"/>
                              <w:szCs w:val="18"/>
                            </w:rPr>
                            <w:t>Intention</w:t>
                          </w:r>
                        </w:p>
                      </w:txbxContent>
                    </v:textbox>
                  </v:shape>
                </v:group>
                <v:group id="_x0000_s1076" style="position:absolute;left:1210;top:33887;width:13716;height:4562" coordorigin="1210,33887" coordsize="13716,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">
                  <v:roundrect id="Rectangle: Rounded Corners 101280308" o:spid="_x0000_s1077" style="position:absolute;left:1210;top:33887;width:13716;height:3550;visibility:visible;mso-wrap-style:square;v-text-anchor:top" arcsize="11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" fillcolor="#faeeda" strokecolor="#854f0b" strokeweight=".1121mm">
                    <v:stroke joinstyle="miter"/>
                  </v:roundrect>
                  <v:shape id="Text Box 53" o:spid="_x0000_s1078" type="#_x0000_t202" style="position:absolute;left:3298;top:33985;width:10935;height:4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" filled="f" stroked="f">
                    <v:textbox>
                      <w:txbxContent>
                        <w:p w14:paraId="5671086D" w14:textId="77777777" w:rsidR="007C3F12" w:rsidRDefault="007C3F12" w:rsidP="00D50A3D">
                          <w:pPr>
                            <w:bidi w:val="0"/>
                            <w:textAlignment w:val="baseline"/>
                            <w:rPr>
                              <w:rFonts w:ascii="Segoe UI" w:hAnsi="Segoe UI" w:cs="Segoe UI"/>
                              <w:color w:val="633806"/>
                              <w:kern w:val="0"/>
                              <w:sz w:val="21"/>
                              <w:szCs w:val="21"/>
                              <w14:ligatures w14:val="none"/>
                            </w:rPr>
                          </w:pPr>
                          <w:r>
                            <w:rPr>
                              <w:rFonts w:ascii="Segoe UI" w:hAnsi="Segoe UI" w:cs="Segoe UI"/>
                              <w:color w:val="633806"/>
                              <w:sz w:val="21"/>
                              <w:szCs w:val="21"/>
                            </w:rPr>
                            <w:t>Cultural</w:t>
                          </w:r>
                          <w:r>
                            <w:rPr>
                              <w:rFonts w:ascii="Segoe UI" w:hAnsi="Segoe UI" w:cs="Segoe UI"/>
                              <w:color w:val="633806"/>
                              <w:sz w:val="21"/>
                              <w:szCs w:val="21"/>
                              <w:rtl/>
                            </w:rPr>
                            <w:t xml:space="preserve"> </w:t>
                          </w:r>
                          <w:r>
                            <w:rPr>
                              <w:rFonts w:ascii="Segoe UI" w:hAnsi="Segoe UI" w:cs="Segoe UI"/>
                              <w:color w:val="633806"/>
                              <w:sz w:val="21"/>
                              <w:szCs w:val="21"/>
                            </w:rPr>
                            <w:t>Factors</w:t>
                          </w:r>
                        </w:p>
                      </w:txbxContent>
                    </v:textbox>
                  </v:shape>
                </v:group>
                <w10:anchorlock/>
              </v:group>
            </w:pict>
          </mc:Fallback>
        </mc:AlternateContent>
      </w:r>
    </w:p>
    <w:p w14:paraId="08F60AF3" w14:textId="4410C504" w:rsidR="006A4A5D" w:rsidRPr="003D2A76" w:rsidRDefault="006A4A5D" w:rsidP="00F134E2">
      <w:pPr>
        <w:bidi w:val="0"/>
        <w:rPr>
          <w:rFonts w:asciiTheme="majorBidi" w:hAnsiTheme="majorBidi" w:cstheme="majorBidi"/>
          <w:b/>
          <w:lang w:val="en-GB"/>
        </w:rPr>
      </w:pPr>
      <w:bookmarkStart w:id="19" w:name="_Hlk232867066"/>
      <w:r w:rsidRPr="003D2A76">
        <w:rPr>
          <w:rFonts w:asciiTheme="majorBidi" w:hAnsiTheme="majorBidi" w:cstheme="majorBidi"/>
          <w:b/>
          <w:i/>
          <w:lang w:val="en-GB"/>
        </w:rPr>
        <w:t>Figure 1. Proposed Conceptual Framework</w:t>
      </w:r>
      <w:bookmarkEnd w:id="19"/>
      <w:r w:rsidRPr="003D2A76">
        <w:rPr>
          <w:rFonts w:asciiTheme="majorBidi" w:hAnsiTheme="majorBidi" w:cstheme="majorBidi"/>
          <w:b/>
          <w:i/>
          <w:lang w:val="en-GB"/>
        </w:rPr>
        <w:t>: AI Adoption, Service Quality, Trust, Perceived Value, Cultural Moderation, and Parental Purchase Intention</w:t>
      </w:r>
      <w:r w:rsidRPr="003D2A76">
        <w:rPr>
          <w:rFonts w:asciiTheme="majorBidi" w:hAnsiTheme="majorBidi" w:cstheme="majorBidi"/>
          <w:b/>
          <w:lang w:val="en-GB"/>
        </w:rPr>
        <w:t xml:space="preserve"> </w:t>
      </w:r>
    </w:p>
    <w:p w14:paraId="620ED1A9" w14:textId="576913F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lang w:val="en-GB"/>
        </w:rPr>
        <w:t xml:space="preserve">Propositions summary. </w:t>
      </w:r>
      <w:r w:rsidRPr="003D2A76">
        <w:rPr>
          <w:rFonts w:asciiTheme="majorBidi" w:hAnsiTheme="majorBidi" w:cstheme="majorBidi"/>
          <w:lang w:val="en-GB"/>
        </w:rPr>
        <w:t xml:space="preserve">These </w:t>
      </w:r>
      <w:r w:rsidR="00A14C88" w:rsidRPr="003D2A76">
        <w:rPr>
          <w:rFonts w:asciiTheme="majorBidi" w:hAnsiTheme="majorBidi" w:cstheme="majorBidi"/>
          <w:lang w:val="en-GB"/>
        </w:rPr>
        <w:t xml:space="preserve">12 </w:t>
      </w:r>
      <w:r w:rsidRPr="003D2A76">
        <w:rPr>
          <w:rFonts w:asciiTheme="majorBidi" w:hAnsiTheme="majorBidi" w:cstheme="majorBidi"/>
          <w:lang w:val="en-GB"/>
        </w:rPr>
        <w:t xml:space="preserve">hypotheses may be </w:t>
      </w:r>
      <w:r w:rsidR="00A14C88" w:rsidRPr="003D2A76">
        <w:rPr>
          <w:rFonts w:asciiTheme="majorBidi" w:hAnsiTheme="majorBidi" w:cstheme="majorBidi"/>
          <w:lang w:val="en-GB"/>
        </w:rPr>
        <w:t xml:space="preserve">summarised </w:t>
      </w:r>
      <w:r w:rsidRPr="003D2A76">
        <w:rPr>
          <w:rFonts w:asciiTheme="majorBidi" w:hAnsiTheme="majorBidi" w:cstheme="majorBidi"/>
          <w:lang w:val="en-GB"/>
        </w:rPr>
        <w:t>in the form of propositions that are mapped:</w:t>
      </w:r>
    </w:p>
    <w:p w14:paraId="6D8E21E0" w14:textId="2C962F4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P1 (H1–H3): The direct positive effects of AI adoption are on intention, quality</w:t>
      </w:r>
      <w:r w:rsidR="003A20EC">
        <w:rPr>
          <w:rFonts w:asciiTheme="majorBidi" w:hAnsiTheme="majorBidi" w:cstheme="majorBidi"/>
          <w:lang w:val="en-GB"/>
        </w:rPr>
        <w:t>,</w:t>
      </w:r>
      <w:r w:rsidRPr="003D2A76">
        <w:rPr>
          <w:rFonts w:asciiTheme="majorBidi" w:hAnsiTheme="majorBidi" w:cstheme="majorBidi"/>
          <w:lang w:val="en-GB"/>
        </w:rPr>
        <w:t xml:space="preserve"> and trust.</w:t>
      </w:r>
    </w:p>
    <w:p w14:paraId="00B67448" w14:textId="583B3FF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P2 (H4–H6): Quality </w:t>
      </w:r>
      <w:r w:rsidR="003A20EC">
        <w:rPr>
          <w:rFonts w:asciiTheme="majorBidi" w:hAnsiTheme="majorBidi" w:cstheme="majorBidi"/>
          <w:lang w:val="en-GB"/>
        </w:rPr>
        <w:t>affects</w:t>
      </w:r>
      <w:r w:rsidRPr="003D2A76">
        <w:rPr>
          <w:rFonts w:asciiTheme="majorBidi" w:hAnsiTheme="majorBidi" w:cstheme="majorBidi"/>
          <w:lang w:val="en-GB"/>
        </w:rPr>
        <w:t xml:space="preserve"> trust; trust </w:t>
      </w:r>
      <w:r w:rsidR="003A20EC">
        <w:rPr>
          <w:rFonts w:asciiTheme="majorBidi" w:hAnsiTheme="majorBidi" w:cstheme="majorBidi"/>
          <w:lang w:val="en-GB"/>
        </w:rPr>
        <w:t>affects</w:t>
      </w:r>
      <w:r w:rsidRPr="003D2A76">
        <w:rPr>
          <w:rFonts w:asciiTheme="majorBidi" w:hAnsiTheme="majorBidi" w:cstheme="majorBidi"/>
          <w:lang w:val="en-GB"/>
        </w:rPr>
        <w:t xml:space="preserve"> intention; quality facilitates AI adoption to intention.</w:t>
      </w:r>
    </w:p>
    <w:p w14:paraId="7297A2D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P3 (H7–H9): Quality predicts value; trust predicts value; value predicts intention.</w:t>
      </w:r>
    </w:p>
    <w:p w14:paraId="3E4E937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P4 (H10–H11): Quality predicts intention both directly and indirectly via value.</w:t>
      </w:r>
    </w:p>
    <w:p w14:paraId="677BB8D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P5 (H12): The paths are moderated by cultural factors in the integrated model.</w:t>
      </w:r>
    </w:p>
    <w:p w14:paraId="106FA31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Both propositions can be measured using the instrument stated in Chapter 3 and tested statistically using hierarchical regression, mediation analysis (PROCESS Models 4 and 6), and moderation analysis (PROCESS Models 1 and 7).</w:t>
      </w:r>
    </w:p>
    <w:p w14:paraId="25D09B06" w14:textId="7530AB7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Chapter 3 </w:t>
      </w:r>
      <w:r w:rsidR="00E1215F" w:rsidRPr="003D2A76">
        <w:rPr>
          <w:rFonts w:asciiTheme="majorBidi" w:hAnsiTheme="majorBidi" w:cstheme="majorBidi"/>
          <w:lang w:val="en-GB"/>
        </w:rPr>
        <w:t xml:space="preserve">operationalises </w:t>
      </w:r>
      <w:r w:rsidRPr="003D2A76">
        <w:rPr>
          <w:rFonts w:asciiTheme="majorBidi" w:hAnsiTheme="majorBidi" w:cstheme="majorBidi"/>
          <w:lang w:val="en-GB"/>
        </w:rPr>
        <w:t>the framework (measures every construct), describes the analytical strategy which employs hierarchical regression and Hayes' PROCESS macro (Models 4, 6, 1, and 7) to test direct effects, mediation chains, and cultural moderation through bootstrap confidence intervals and interaction-term specification.</w:t>
      </w:r>
    </w:p>
    <w:p w14:paraId="23F31AE8" w14:textId="77777777" w:rsidR="00B3749C" w:rsidRPr="003D2A76" w:rsidRDefault="00B3749C" w:rsidP="00B3749C">
      <w:pPr>
        <w:bidi w:val="0"/>
        <w:rPr>
          <w:rFonts w:asciiTheme="majorBidi" w:hAnsiTheme="majorBidi" w:cstheme="majorBidi"/>
          <w:lang w:val="en-GB"/>
        </w:rPr>
      </w:pPr>
    </w:p>
    <w:p w14:paraId="4ED7FDB6" w14:textId="2C9934C4" w:rsidR="00885F3C" w:rsidRPr="003D2A76" w:rsidRDefault="00885F3C" w:rsidP="00BD6279">
      <w:pPr>
        <w:pStyle w:val="Heading2"/>
        <w:rPr>
          <w:lang w:val="en-GB"/>
        </w:rPr>
      </w:pPr>
      <w:bookmarkStart w:id="20" w:name="_Toc228056563"/>
      <w:r w:rsidRPr="003D2A76">
        <w:rPr>
          <w:rFonts w:ascii="Times New Roman" w:hAnsi="Times New Roman" w:cs="Times New Roman"/>
          <w:lang w:val="en-GB"/>
        </w:rPr>
        <w:t>2.</w:t>
      </w:r>
      <w:r w:rsidR="005C3CDA">
        <w:rPr>
          <w:rFonts w:ascii="Times New Roman" w:hAnsi="Times New Roman" w:cs="Times New Roman"/>
          <w:lang w:val="en-GB"/>
        </w:rPr>
        <w:t>6</w:t>
      </w:r>
      <w:r w:rsidRPr="003D2A76">
        <w:rPr>
          <w:rFonts w:ascii="Times New Roman" w:hAnsi="Times New Roman" w:cs="Times New Roman"/>
          <w:lang w:val="en-GB"/>
        </w:rPr>
        <w:t xml:space="preserve"> Chapter Summary</w:t>
      </w:r>
      <w:bookmarkEnd w:id="20"/>
    </w:p>
    <w:p w14:paraId="4F2D025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chapter has built on the theoretical and empirical background of the integrated model of AI adoption, service quality, trust, perceived value, and purchase intention within the Saudi context in the field of private K-12 education. It started with a specification of the inclusion criteria and the review-grounding corpus; moved to an epistemic map that positions the study within the unexplored area of the field, re-balancing the four theoretical traditions as an intellectual lineage as opposed to a list of references; and then focused on ten areas of the model that denote the major constructs and the situation. Throughout these moves, the chapter has interspersed cumulative, dialectical and, at some points, deconstructive patterns of argument in the cause of one intellectual position, which is that the parental decision architecture of AI-enabled private education is a complex cognitively, affectively and culturally rich phenomenon that is not solitary and can be explained solely by the incorporation of four traditions into one model and its testing in a culturally specific, empirically rich setting.</w:t>
      </w:r>
    </w:p>
    <w:p w14:paraId="0CC07C0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The review has three overriding conclusions. First, the four theoretical traditions — TAM, TPB, SERVQUAL, and perceived value — are complementary and not competing, and the synthesis of these concepts is scientifically justified and yields fruit. Second, the third wave of AI in education has introduced new concerns of trust, opacity, and cultural validity that the previous waves had not foreseen; they are key questions in the parental choice architecture of a high-involvement, collectivist, uncertainty-averse market like Saudi Arabia. Third, the gap, which the current study will fill, is not a gap of curiosity but rather a gap of consequence: the absence of a parental-decision model that balances AI adoption and service quality, trust, perceived value, and cultural considerations means practitioners cannot identify the aspects of the system in which the enrolment intention is won and lost, and policymakers cannot target the guidance where it is most needed.</w:t>
      </w:r>
    </w:p>
    <w:p w14:paraId="4F640FDC" w14:textId="7C4ADD4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 the next chapter, the framework is translated into a strict research design, outlining population, sampling, instrument, data collection</w:t>
      </w:r>
      <w:r w:rsidR="003A20EC">
        <w:rPr>
          <w:rFonts w:asciiTheme="majorBidi" w:hAnsiTheme="majorBidi" w:cstheme="majorBidi"/>
          <w:lang w:val="en-GB"/>
        </w:rPr>
        <w:t>,</w:t>
      </w:r>
      <w:r w:rsidRPr="003D2A76">
        <w:rPr>
          <w:rFonts w:asciiTheme="majorBidi" w:hAnsiTheme="majorBidi" w:cstheme="majorBidi"/>
          <w:lang w:val="en-GB"/>
        </w:rPr>
        <w:t xml:space="preserve"> and </w:t>
      </w:r>
      <w:r w:rsidR="003D2A76" w:rsidRPr="003D2A76">
        <w:rPr>
          <w:rFonts w:asciiTheme="majorBidi" w:hAnsiTheme="majorBidi" w:cstheme="majorBidi"/>
          <w:lang w:val="en-GB"/>
        </w:rPr>
        <w:t>an analysis</w:t>
      </w:r>
      <w:r w:rsidRPr="003D2A76">
        <w:rPr>
          <w:rFonts w:asciiTheme="majorBidi" w:hAnsiTheme="majorBidi" w:cstheme="majorBidi"/>
          <w:lang w:val="en-GB"/>
        </w:rPr>
        <w:t xml:space="preserve"> plan. Chapter 3 operationalises each construct using the validated items customised to the Arabic-Saudi setting in the measurement section; defines the target population, frame, and Thompson-formula sample size of approximately 383 respondents (with 409 ultimately obtained), who were sampled from an approximated population of 102,000 private-school stakeholders in Jeddah, in the sampling section; and outlines the regression-based analytical processes, assumption checks (normality, multicollinearity, homoscedasticity), and robustness tests that were used to estimate the integrated model and test the </w:t>
      </w:r>
      <w:r w:rsidR="00A82809" w:rsidRPr="003D2A76">
        <w:rPr>
          <w:rFonts w:asciiTheme="majorBidi" w:hAnsiTheme="majorBidi" w:cstheme="majorBidi"/>
          <w:lang w:val="en-GB"/>
        </w:rPr>
        <w:t xml:space="preserve">12 </w:t>
      </w:r>
      <w:r w:rsidRPr="003D2A76">
        <w:rPr>
          <w:rFonts w:asciiTheme="majorBidi" w:hAnsiTheme="majorBidi" w:cstheme="majorBidi"/>
          <w:lang w:val="en-GB"/>
        </w:rPr>
        <w:t>hypotheses using PROCESS macro (Hayes, 2022).</w:t>
      </w:r>
    </w:p>
    <w:p w14:paraId="4CC13E8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br w:type="page"/>
      </w:r>
    </w:p>
    <w:p w14:paraId="2C89293F" w14:textId="77777777" w:rsidR="00885F3C" w:rsidRPr="003D2A76" w:rsidRDefault="00885F3C" w:rsidP="00BD6279">
      <w:pPr>
        <w:pStyle w:val="Heading1"/>
        <w:pageBreakBefore/>
        <w:rPr>
          <w:lang w:val="en-GB"/>
        </w:rPr>
      </w:pPr>
      <w:bookmarkStart w:id="21" w:name="_Toc228056564"/>
      <w:r w:rsidRPr="003D2A76">
        <w:rPr>
          <w:rFonts w:ascii="Times New Roman" w:hAnsi="Times New Roman" w:cs="Times New Roman"/>
          <w:lang w:val="en-GB"/>
        </w:rPr>
        <w:lastRenderedPageBreak/>
        <w:t>CHAPTER 3</w:t>
      </w:r>
      <w:bookmarkEnd w:id="21"/>
    </w:p>
    <w:p w14:paraId="25002C0E" w14:textId="77777777" w:rsidR="00E2446F" w:rsidRPr="003D2A76" w:rsidRDefault="00CB042E" w:rsidP="00BD6279">
      <w:pPr>
        <w:bidi w:val="0"/>
        <w:jc w:val="center"/>
        <w:rPr>
          <w:lang w:val="en-GB"/>
        </w:rPr>
      </w:pPr>
      <w:r w:rsidRPr="003D2A76">
        <w:rPr>
          <w:b/>
          <w:bCs/>
          <w:lang w:val="en-GB"/>
        </w:rPr>
        <w:t>METHODOLOGY</w:t>
      </w:r>
    </w:p>
    <w:p w14:paraId="12A6EA95" w14:textId="77777777" w:rsidR="00885F3C" w:rsidRPr="003D2A76" w:rsidRDefault="006A4A5D" w:rsidP="00BD6279">
      <w:pPr>
        <w:pStyle w:val="Heading2"/>
        <w:rPr>
          <w:lang w:val="en-GB"/>
        </w:rPr>
      </w:pPr>
      <w:bookmarkStart w:id="22" w:name="_Toc228056565"/>
      <w:r w:rsidRPr="003D2A76">
        <w:rPr>
          <w:rFonts w:ascii="Times New Roman" w:hAnsi="Times New Roman" w:cs="Times New Roman"/>
          <w:lang w:val="en-GB"/>
        </w:rPr>
        <w:t xml:space="preserve">3.1 </w:t>
      </w:r>
      <w:r w:rsidR="00885F3C" w:rsidRPr="003D2A76">
        <w:rPr>
          <w:rFonts w:ascii="Times New Roman" w:hAnsi="Times New Roman" w:cs="Times New Roman"/>
          <w:lang w:val="en-GB"/>
        </w:rPr>
        <w:t>Introduction</w:t>
      </w:r>
      <w:bookmarkEnd w:id="22"/>
    </w:p>
    <w:p w14:paraId="28821346" w14:textId="567612B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This chapter introduces the methodology of the research that was used to explore </w:t>
      </w:r>
      <w:r w:rsidR="00A82809" w:rsidRPr="003D2A76">
        <w:rPr>
          <w:rFonts w:asciiTheme="majorBidi" w:hAnsiTheme="majorBidi" w:cstheme="majorBidi"/>
          <w:lang w:val="en-GB"/>
        </w:rPr>
        <w:t xml:space="preserve">the </w:t>
      </w:r>
      <w:r w:rsidRPr="003D2A76">
        <w:rPr>
          <w:rFonts w:asciiTheme="majorBidi" w:hAnsiTheme="majorBidi" w:cstheme="majorBidi"/>
          <w:lang w:val="en-GB"/>
        </w:rPr>
        <w:t xml:space="preserve">use of </w:t>
      </w:r>
      <w:r w:rsidR="00A82809" w:rsidRPr="003D2A76">
        <w:rPr>
          <w:rFonts w:asciiTheme="majorBidi" w:hAnsiTheme="majorBidi" w:cstheme="majorBidi"/>
          <w:lang w:val="en-GB"/>
        </w:rPr>
        <w:t>AI</w:t>
      </w:r>
      <w:r w:rsidRPr="003D2A76">
        <w:rPr>
          <w:rFonts w:asciiTheme="majorBidi" w:hAnsiTheme="majorBidi" w:cstheme="majorBidi"/>
          <w:lang w:val="en-GB"/>
        </w:rPr>
        <w:t xml:space="preserve"> in private schools and its effect on intention </w:t>
      </w:r>
      <w:r w:rsidR="00A82809" w:rsidRPr="003D2A76">
        <w:rPr>
          <w:rFonts w:asciiTheme="majorBidi" w:hAnsiTheme="majorBidi" w:cstheme="majorBidi"/>
          <w:lang w:val="en-GB"/>
        </w:rPr>
        <w:t xml:space="preserve">in </w:t>
      </w:r>
      <w:r w:rsidRPr="003D2A76">
        <w:rPr>
          <w:rFonts w:asciiTheme="majorBidi" w:hAnsiTheme="majorBidi" w:cstheme="majorBidi"/>
          <w:lang w:val="en-GB"/>
        </w:rPr>
        <w:t xml:space="preserve">educational services purchase in Jeddah, Saudi Arabia. The analysis of the effects of AI application in teaching and marketing activities on the perceived quality of services, trust, perceived value, and finally, purchase intent </w:t>
      </w:r>
      <w:r w:rsidR="00A82809" w:rsidRPr="003D2A76">
        <w:rPr>
          <w:rFonts w:asciiTheme="majorBidi" w:hAnsiTheme="majorBidi" w:cstheme="majorBidi"/>
          <w:lang w:val="en-GB"/>
        </w:rPr>
        <w:t xml:space="preserve">for </w:t>
      </w:r>
      <w:r w:rsidRPr="003D2A76">
        <w:rPr>
          <w:rFonts w:asciiTheme="majorBidi" w:hAnsiTheme="majorBidi" w:cstheme="majorBidi"/>
          <w:lang w:val="en-GB"/>
        </w:rPr>
        <w:t xml:space="preserve">educational services among students and parents was conducted. The study covered </w:t>
      </w:r>
      <w:r w:rsidR="00A82809" w:rsidRPr="003D2A76">
        <w:rPr>
          <w:rFonts w:asciiTheme="majorBidi" w:hAnsiTheme="majorBidi" w:cstheme="majorBidi"/>
          <w:lang w:val="en-GB"/>
        </w:rPr>
        <w:t xml:space="preserve">12 </w:t>
      </w:r>
      <w:r w:rsidRPr="003D2A76">
        <w:rPr>
          <w:rFonts w:asciiTheme="majorBidi" w:hAnsiTheme="majorBidi" w:cstheme="majorBidi"/>
          <w:lang w:val="en-GB"/>
        </w:rPr>
        <w:t xml:space="preserve">hypotheses based on a </w:t>
      </w:r>
      <w:r w:rsidR="00A82809" w:rsidRPr="003D2A76">
        <w:rPr>
          <w:rFonts w:asciiTheme="majorBidi" w:hAnsiTheme="majorBidi" w:cstheme="majorBidi"/>
          <w:lang w:val="en-GB"/>
        </w:rPr>
        <w:t xml:space="preserve">synthesised </w:t>
      </w:r>
      <w:r w:rsidRPr="003D2A76">
        <w:rPr>
          <w:rFonts w:asciiTheme="majorBidi" w:hAnsiTheme="majorBidi" w:cstheme="majorBidi"/>
          <w:lang w:val="en-GB"/>
        </w:rPr>
        <w:t xml:space="preserve">theoretical framework which incorporated the TAM, SERVQUAL service quality model, </w:t>
      </w:r>
      <w:r w:rsidR="00A82809" w:rsidRPr="003D2A76">
        <w:rPr>
          <w:rFonts w:asciiTheme="majorBidi" w:hAnsiTheme="majorBidi" w:cstheme="majorBidi"/>
          <w:lang w:val="en-GB"/>
        </w:rPr>
        <w:t>TPB</w:t>
      </w:r>
      <w:r w:rsidRPr="003D2A76">
        <w:rPr>
          <w:rFonts w:asciiTheme="majorBidi" w:hAnsiTheme="majorBidi" w:cstheme="majorBidi"/>
          <w:lang w:val="en-GB"/>
        </w:rPr>
        <w:t xml:space="preserve">, and Perceived Value Theory. The main research questions that guided the study </w:t>
      </w:r>
      <w:r w:rsidR="00A82809" w:rsidRPr="003D2A76">
        <w:rPr>
          <w:rFonts w:asciiTheme="majorBidi" w:hAnsiTheme="majorBidi" w:cstheme="majorBidi"/>
          <w:lang w:val="en-GB"/>
        </w:rPr>
        <w:t>were</w:t>
      </w:r>
      <w:r w:rsidRPr="003D2A76">
        <w:rPr>
          <w:rFonts w:asciiTheme="majorBidi" w:hAnsiTheme="majorBidi" w:cstheme="majorBidi"/>
          <w:lang w:val="en-GB"/>
        </w:rPr>
        <w:t xml:space="preserve">: (1) How </w:t>
      </w:r>
      <w:r w:rsidR="00A82809" w:rsidRPr="003D2A76">
        <w:rPr>
          <w:rFonts w:asciiTheme="majorBidi" w:hAnsiTheme="majorBidi" w:cstheme="majorBidi"/>
          <w:lang w:val="en-GB"/>
        </w:rPr>
        <w:t xml:space="preserve">does </w:t>
      </w:r>
      <w:r w:rsidRPr="003D2A76">
        <w:rPr>
          <w:rFonts w:asciiTheme="majorBidi" w:hAnsiTheme="majorBidi" w:cstheme="majorBidi"/>
          <w:lang w:val="en-GB"/>
        </w:rPr>
        <w:t>the adoption of AI in teaching affect the perceived quality of service in private schools? (2) What effect does the adoption of AI in marketing have on the perceived service quality in school</w:t>
      </w:r>
      <w:r w:rsidR="00A82809" w:rsidRPr="003D2A76">
        <w:rPr>
          <w:rFonts w:asciiTheme="majorBidi" w:hAnsiTheme="majorBidi" w:cstheme="majorBidi"/>
          <w:lang w:val="en-GB"/>
        </w:rPr>
        <w:t>s</w:t>
      </w:r>
      <w:r w:rsidRPr="003D2A76">
        <w:rPr>
          <w:rFonts w:asciiTheme="majorBidi" w:hAnsiTheme="majorBidi" w:cstheme="majorBidi"/>
          <w:lang w:val="en-GB"/>
        </w:rPr>
        <w:t xml:space="preserve"> in the private sector? (3) How does the quality of perceived service relate to educational service purchase intention? (4) What is the mediation of trust and value perception between AI adoption and purchase intention? (5) How does culture mediate these associations? These questions required a strict quantitative methodology to validate the </w:t>
      </w:r>
      <w:r w:rsidR="00A82809" w:rsidRPr="003D2A76">
        <w:rPr>
          <w:rFonts w:asciiTheme="majorBidi" w:hAnsiTheme="majorBidi" w:cstheme="majorBidi"/>
          <w:lang w:val="en-GB"/>
        </w:rPr>
        <w:t xml:space="preserve">hypothesised </w:t>
      </w:r>
      <w:r w:rsidRPr="003D2A76">
        <w:rPr>
          <w:rFonts w:asciiTheme="majorBidi" w:hAnsiTheme="majorBidi" w:cstheme="majorBidi"/>
          <w:lang w:val="en-GB"/>
        </w:rPr>
        <w:t xml:space="preserve">theoretical relationships and be able to test the conceptual model using empirical data. This chapter starts with </w:t>
      </w:r>
      <w:r w:rsidR="00A82809" w:rsidRPr="003D2A76">
        <w:rPr>
          <w:rFonts w:asciiTheme="majorBidi" w:hAnsiTheme="majorBidi" w:cstheme="majorBidi"/>
          <w:lang w:val="en-GB"/>
        </w:rPr>
        <w:t xml:space="preserve">a </w:t>
      </w:r>
      <w:r w:rsidRPr="003D2A76">
        <w:rPr>
          <w:rFonts w:asciiTheme="majorBidi" w:hAnsiTheme="majorBidi" w:cstheme="majorBidi"/>
          <w:lang w:val="en-GB"/>
        </w:rPr>
        <w:t xml:space="preserve">description of the research philosophy and methodology, and then proceeds to describe the research design, population and sampling methods, development of the instrument and its validation and reliability, data collection methods, methods of analysis and ethical aspects. The methodological choices made were discussed in detail to guarantee the rigor, reliability, </w:t>
      </w:r>
      <w:r w:rsidRPr="003D2A76">
        <w:rPr>
          <w:rFonts w:asciiTheme="majorBidi" w:hAnsiTheme="majorBidi" w:cstheme="majorBidi"/>
          <w:lang w:val="en-GB"/>
        </w:rPr>
        <w:lastRenderedPageBreak/>
        <w:t>and validity of the study and the need to cover the context of Saudi Arabia-based private education.</w:t>
      </w:r>
    </w:p>
    <w:p w14:paraId="212A204D" w14:textId="77777777" w:rsidR="006A4A5D" w:rsidRPr="003D2A76" w:rsidRDefault="006A4A5D" w:rsidP="00BD6279">
      <w:pPr>
        <w:bidi w:val="0"/>
        <w:rPr>
          <w:rFonts w:asciiTheme="majorBidi" w:hAnsiTheme="majorBidi" w:cstheme="majorBidi"/>
          <w:lang w:val="en-GB"/>
        </w:rPr>
      </w:pPr>
    </w:p>
    <w:p w14:paraId="6825E277" w14:textId="77777777" w:rsidR="00885F3C" w:rsidRPr="003D2A76" w:rsidRDefault="006A4A5D" w:rsidP="00BD6279">
      <w:pPr>
        <w:pStyle w:val="Heading2"/>
        <w:rPr>
          <w:lang w:val="en-GB"/>
        </w:rPr>
      </w:pPr>
      <w:bookmarkStart w:id="23" w:name="_Toc228056566"/>
      <w:r w:rsidRPr="003D2A76">
        <w:rPr>
          <w:rFonts w:ascii="Times New Roman" w:hAnsi="Times New Roman" w:cs="Times New Roman"/>
          <w:lang w:val="en-GB"/>
        </w:rPr>
        <w:t xml:space="preserve">3.2 </w:t>
      </w:r>
      <w:r w:rsidR="00885F3C" w:rsidRPr="003D2A76">
        <w:rPr>
          <w:rFonts w:ascii="Times New Roman" w:hAnsi="Times New Roman" w:cs="Times New Roman"/>
          <w:lang w:val="en-GB"/>
        </w:rPr>
        <w:t>Research Philosophy and Methodology</w:t>
      </w:r>
      <w:bookmarkEnd w:id="23"/>
    </w:p>
    <w:p w14:paraId="106DEDCA" w14:textId="77777777" w:rsidR="00885F3C" w:rsidRPr="003D2A76" w:rsidRDefault="006A4A5D"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3.2.1 </w:t>
      </w:r>
      <w:r w:rsidR="00885F3C" w:rsidRPr="003D2A76">
        <w:rPr>
          <w:rFonts w:asciiTheme="majorBidi" w:hAnsiTheme="majorBidi" w:cstheme="majorBidi"/>
          <w:b/>
          <w:bCs/>
          <w:i/>
          <w:lang w:val="en-GB"/>
        </w:rPr>
        <w:t>Philosophical Foundation</w:t>
      </w:r>
    </w:p>
    <w:p w14:paraId="644809D7" w14:textId="4A139B8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this research, the positivist research philosophy was employed as it presupposes that the reality itself is independent of human perception and can be quantified using empirical data (Saunders, Lewis, and Thornhill, 2019). The positivist paradigm was suitable in this study because it aimed to confirm pre-existing hypotheses regarding </w:t>
      </w:r>
      <w:r w:rsidR="003D2A76" w:rsidRPr="003D2A76">
        <w:rPr>
          <w:rFonts w:asciiTheme="majorBidi" w:hAnsiTheme="majorBidi" w:cstheme="majorBidi"/>
          <w:lang w:val="en-GB"/>
        </w:rPr>
        <w:t>cause-and-effect</w:t>
      </w:r>
      <w:r w:rsidRPr="003D2A76">
        <w:rPr>
          <w:rFonts w:asciiTheme="majorBidi" w:hAnsiTheme="majorBidi" w:cstheme="majorBidi"/>
          <w:lang w:val="en-GB"/>
        </w:rPr>
        <w:t xml:space="preserve"> relationships between AI adoption and educational service outcomes. Such a philosophical position was in line with the fact that the field is quantitative and the purpose of the investigation is to produce </w:t>
      </w:r>
      <w:r w:rsidR="00A82809" w:rsidRPr="003D2A76">
        <w:rPr>
          <w:rFonts w:asciiTheme="majorBidi" w:hAnsiTheme="majorBidi" w:cstheme="majorBidi"/>
          <w:lang w:val="en-GB"/>
        </w:rPr>
        <w:t xml:space="preserve">generalisable </w:t>
      </w:r>
      <w:r w:rsidRPr="003D2A76">
        <w:rPr>
          <w:rFonts w:asciiTheme="majorBidi" w:hAnsiTheme="majorBidi" w:cstheme="majorBidi"/>
          <w:lang w:val="en-GB"/>
        </w:rPr>
        <w:t>results regarding the adoption of technology in teaching and learning (Creswell and Creswell, 2018). The position in ontology that underpins the present study was that of objectivism</w:t>
      </w:r>
      <w:r w:rsidR="003A20EC">
        <w:rPr>
          <w:rFonts w:asciiTheme="majorBidi" w:hAnsiTheme="majorBidi" w:cstheme="majorBidi"/>
          <w:lang w:val="en-GB"/>
        </w:rPr>
        <w:t>,</w:t>
      </w:r>
      <w:r w:rsidRPr="003D2A76">
        <w:rPr>
          <w:rFonts w:asciiTheme="majorBidi" w:hAnsiTheme="majorBidi" w:cstheme="majorBidi"/>
          <w:lang w:val="en-GB"/>
        </w:rPr>
        <w:t xml:space="preserve"> where the application of AI and quality of service is seen to be a measurable phenomenon that exists regardless of personal interpretations (Bryman and Bell, 2019). This view allowed measuring constructs, including perceived service quality, trust, and purchase intention</w:t>
      </w:r>
      <w:r w:rsidR="003A20EC">
        <w:rPr>
          <w:rFonts w:asciiTheme="majorBidi" w:hAnsiTheme="majorBidi" w:cstheme="majorBidi"/>
          <w:lang w:val="en-GB"/>
        </w:rPr>
        <w:t>,</w:t>
      </w:r>
      <w:r w:rsidRPr="003D2A76">
        <w:rPr>
          <w:rFonts w:asciiTheme="majorBidi" w:hAnsiTheme="majorBidi" w:cstheme="majorBidi"/>
          <w:lang w:val="en-GB"/>
        </w:rPr>
        <w:t xml:space="preserve"> in a systematic manner using </w:t>
      </w:r>
      <w:r w:rsidR="00A82809" w:rsidRPr="003D2A76">
        <w:rPr>
          <w:rFonts w:asciiTheme="majorBidi" w:hAnsiTheme="majorBidi" w:cstheme="majorBidi"/>
          <w:lang w:val="en-GB"/>
        </w:rPr>
        <w:t xml:space="preserve">standardised </w:t>
      </w:r>
      <w:r w:rsidRPr="003D2A76">
        <w:rPr>
          <w:rFonts w:asciiTheme="majorBidi" w:hAnsiTheme="majorBidi" w:cstheme="majorBidi"/>
          <w:lang w:val="en-GB"/>
        </w:rPr>
        <w:t xml:space="preserve">instruments. The epistemological position was also empiricist, with </w:t>
      </w:r>
      <w:r w:rsidR="00A82809" w:rsidRPr="003D2A76">
        <w:rPr>
          <w:rFonts w:asciiTheme="majorBidi" w:hAnsiTheme="majorBidi" w:cstheme="majorBidi"/>
          <w:lang w:val="en-GB"/>
        </w:rPr>
        <w:t xml:space="preserve">a </w:t>
      </w:r>
      <w:r w:rsidRPr="003D2A76">
        <w:rPr>
          <w:rFonts w:asciiTheme="majorBidi" w:hAnsiTheme="majorBidi" w:cstheme="majorBidi"/>
          <w:lang w:val="en-GB"/>
        </w:rPr>
        <w:t>focus on the fact that the information on the influence of AI adoption could be obtained based on systematic observation and statistical analysis of the trends observed in the data (Hair, Black, Babin, and Anderson, 2019).</w:t>
      </w:r>
    </w:p>
    <w:p w14:paraId="3AAE646F" w14:textId="77777777" w:rsidR="00885F3C" w:rsidRPr="003D2A76" w:rsidRDefault="006A4A5D"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3.2.2 </w:t>
      </w:r>
      <w:r w:rsidR="00885F3C" w:rsidRPr="003D2A76">
        <w:rPr>
          <w:rFonts w:asciiTheme="majorBidi" w:hAnsiTheme="majorBidi" w:cstheme="majorBidi"/>
          <w:b/>
          <w:bCs/>
          <w:i/>
          <w:lang w:val="en-GB"/>
        </w:rPr>
        <w:t>Deductive Approach</w:t>
      </w:r>
    </w:p>
    <w:p w14:paraId="4F4FBC4E" w14:textId="6ED55392"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The study was conducted using a deductive methodology, where the researcher starts with the already existing theories and proceeds to </w:t>
      </w:r>
      <w:r w:rsidR="003A20EC">
        <w:rPr>
          <w:rFonts w:asciiTheme="majorBidi" w:hAnsiTheme="majorBidi" w:cstheme="majorBidi"/>
          <w:lang w:val="en-GB"/>
        </w:rPr>
        <w:t>test</w:t>
      </w:r>
      <w:r w:rsidRPr="003D2A76">
        <w:rPr>
          <w:rFonts w:asciiTheme="majorBidi" w:hAnsiTheme="majorBidi" w:cstheme="majorBidi"/>
          <w:lang w:val="en-GB"/>
        </w:rPr>
        <w:t xml:space="preserve"> certain hypotheses (Sekaran and Bougie, 2016). This was done in the formulation of </w:t>
      </w:r>
      <w:r w:rsidR="00A82809" w:rsidRPr="003D2A76">
        <w:rPr>
          <w:rFonts w:asciiTheme="majorBidi" w:hAnsiTheme="majorBidi" w:cstheme="majorBidi"/>
          <w:lang w:val="en-GB"/>
        </w:rPr>
        <w:t xml:space="preserve">12 </w:t>
      </w:r>
      <w:r w:rsidRPr="003D2A76">
        <w:rPr>
          <w:rFonts w:asciiTheme="majorBidi" w:hAnsiTheme="majorBidi" w:cstheme="majorBidi"/>
          <w:lang w:val="en-GB"/>
        </w:rPr>
        <w:t>hypotheses based on TAM, SERVQUAL, and other relevant theoretical constructs that were verified using survey data. The deductive approach allowed theoretical assumptions concerning the impact of AI adoption on the results of educational services</w:t>
      </w:r>
      <w:r w:rsidR="00A82809" w:rsidRPr="003D2A76">
        <w:rPr>
          <w:rFonts w:asciiTheme="majorBidi" w:hAnsiTheme="majorBidi" w:cstheme="majorBidi"/>
          <w:lang w:val="en-GB"/>
        </w:rPr>
        <w:t xml:space="preserve"> to be </w:t>
      </w:r>
      <w:r w:rsidR="003A20EC">
        <w:rPr>
          <w:rFonts w:asciiTheme="majorBidi" w:hAnsiTheme="majorBidi" w:cstheme="majorBidi"/>
          <w:lang w:val="en-GB"/>
        </w:rPr>
        <w:t>validated</w:t>
      </w:r>
      <w:r w:rsidR="00A82809" w:rsidRPr="003D2A76">
        <w:rPr>
          <w:rFonts w:asciiTheme="majorBidi" w:hAnsiTheme="majorBidi" w:cstheme="majorBidi"/>
          <w:lang w:val="en-GB"/>
        </w:rPr>
        <w:t xml:space="preserve"> or dismissed</w:t>
      </w:r>
      <w:r w:rsidRPr="003D2A76">
        <w:rPr>
          <w:rFonts w:asciiTheme="majorBidi" w:hAnsiTheme="majorBidi" w:cstheme="majorBidi"/>
          <w:lang w:val="en-GB"/>
        </w:rPr>
        <w:t xml:space="preserve"> (Cooper and Schindler, 2014). </w:t>
      </w:r>
      <w:r w:rsidR="00A82809" w:rsidRPr="003D2A76">
        <w:rPr>
          <w:rFonts w:asciiTheme="majorBidi" w:hAnsiTheme="majorBidi" w:cstheme="majorBidi"/>
          <w:lang w:val="en-GB"/>
        </w:rPr>
        <w:t xml:space="preserve">The deductive </w:t>
      </w:r>
      <w:r w:rsidRPr="003D2A76">
        <w:rPr>
          <w:rFonts w:asciiTheme="majorBidi" w:hAnsiTheme="majorBidi" w:cstheme="majorBidi"/>
          <w:lang w:val="en-GB"/>
        </w:rPr>
        <w:t>reasoning process entailed a logical sequence of theoretical statement</w:t>
      </w:r>
      <w:r w:rsidR="00A82809" w:rsidRPr="003D2A76">
        <w:rPr>
          <w:rFonts w:asciiTheme="majorBidi" w:hAnsiTheme="majorBidi" w:cstheme="majorBidi"/>
          <w:lang w:val="en-GB"/>
        </w:rPr>
        <w:t>s</w:t>
      </w:r>
      <w:r w:rsidRPr="003D2A76">
        <w:rPr>
          <w:rFonts w:asciiTheme="majorBidi" w:hAnsiTheme="majorBidi" w:cstheme="majorBidi"/>
          <w:lang w:val="en-GB"/>
        </w:rPr>
        <w:t xml:space="preserve"> to precise empirical observations. Primarily, the theoretical framework has made general propositions concerning technology adoption and service quality. Second, operational hypotheses were developed to define the relationships that were expected. Third, empirical evidence was gathered to be able to test these hypotheses. Lastly, the result was understood to verify, </w:t>
      </w:r>
      <w:r w:rsidR="00A82809" w:rsidRPr="003D2A76">
        <w:rPr>
          <w:rFonts w:asciiTheme="majorBidi" w:hAnsiTheme="majorBidi" w:cstheme="majorBidi"/>
          <w:lang w:val="en-GB"/>
        </w:rPr>
        <w:t>reorganise</w:t>
      </w:r>
      <w:r w:rsidR="003A20EC">
        <w:rPr>
          <w:rFonts w:asciiTheme="majorBidi" w:hAnsiTheme="majorBidi" w:cstheme="majorBidi"/>
          <w:lang w:val="en-GB"/>
        </w:rPr>
        <w:t>,</w:t>
      </w:r>
      <w:r w:rsidR="00A82809" w:rsidRPr="003D2A76">
        <w:rPr>
          <w:rFonts w:asciiTheme="majorBidi" w:hAnsiTheme="majorBidi" w:cstheme="majorBidi"/>
          <w:lang w:val="en-GB"/>
        </w:rPr>
        <w:t xml:space="preserve"> </w:t>
      </w:r>
      <w:r w:rsidRPr="003D2A76">
        <w:rPr>
          <w:rFonts w:asciiTheme="majorBidi" w:hAnsiTheme="majorBidi" w:cstheme="majorBidi"/>
          <w:lang w:val="en-GB"/>
        </w:rPr>
        <w:t>or disprove the theoretical assumptions (Babbie, 2016).</w:t>
      </w:r>
    </w:p>
    <w:p w14:paraId="40F7EF34"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3.2.3 Quantitative Research Strategy</w:t>
      </w:r>
    </w:p>
    <w:p w14:paraId="02A062D4" w14:textId="473B995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choice of a quantitative research strategy was determined to be the most suitable one when it </w:t>
      </w:r>
      <w:r w:rsidR="00A82809" w:rsidRPr="003D2A76">
        <w:rPr>
          <w:rFonts w:asciiTheme="majorBidi" w:hAnsiTheme="majorBidi" w:cstheme="majorBidi"/>
          <w:lang w:val="en-GB"/>
        </w:rPr>
        <w:t xml:space="preserve">came </w:t>
      </w:r>
      <w:r w:rsidRPr="003D2A76">
        <w:rPr>
          <w:rFonts w:asciiTheme="majorBidi" w:hAnsiTheme="majorBidi" w:cstheme="majorBidi"/>
          <w:lang w:val="en-GB"/>
        </w:rPr>
        <w:t xml:space="preserve">to testing the </w:t>
      </w:r>
      <w:r w:rsidR="00A82809" w:rsidRPr="003D2A76">
        <w:rPr>
          <w:rFonts w:asciiTheme="majorBidi" w:hAnsiTheme="majorBidi" w:cstheme="majorBidi"/>
          <w:lang w:val="en-GB"/>
        </w:rPr>
        <w:t xml:space="preserve">hypothesised </w:t>
      </w:r>
      <w:r w:rsidRPr="003D2A76">
        <w:rPr>
          <w:rFonts w:asciiTheme="majorBidi" w:hAnsiTheme="majorBidi" w:cstheme="majorBidi"/>
          <w:lang w:val="en-GB"/>
        </w:rPr>
        <w:t xml:space="preserve">relationships between variables (Creswell, 2014). This plan made it possible to gather numerical information which could be processed statistically to determine the trends, test the </w:t>
      </w:r>
      <w:r w:rsidR="00A82809" w:rsidRPr="003D2A76">
        <w:rPr>
          <w:rFonts w:asciiTheme="majorBidi" w:hAnsiTheme="majorBidi" w:cstheme="majorBidi"/>
          <w:lang w:val="en-GB"/>
        </w:rPr>
        <w:t xml:space="preserve">hypotheses </w:t>
      </w:r>
      <w:r w:rsidRPr="003D2A76">
        <w:rPr>
          <w:rFonts w:asciiTheme="majorBidi" w:hAnsiTheme="majorBidi" w:cstheme="majorBidi"/>
          <w:lang w:val="en-GB"/>
        </w:rPr>
        <w:t xml:space="preserve">and also make statements about the population. The following benefits of the quantitative methodology </w:t>
      </w:r>
      <w:r w:rsidR="00A82809" w:rsidRPr="003D2A76">
        <w:rPr>
          <w:rFonts w:asciiTheme="majorBidi" w:hAnsiTheme="majorBidi" w:cstheme="majorBidi"/>
          <w:lang w:val="en-GB"/>
        </w:rPr>
        <w:t>were useful for conducting</w:t>
      </w:r>
      <w:r w:rsidRPr="003D2A76">
        <w:rPr>
          <w:rFonts w:asciiTheme="majorBidi" w:hAnsiTheme="majorBidi" w:cstheme="majorBidi"/>
          <w:lang w:val="en-GB"/>
        </w:rPr>
        <w:t xml:space="preserve"> this study: measurement objectivity, test of the causal relationship, statistical </w:t>
      </w:r>
      <w:r w:rsidR="00A82809" w:rsidRPr="003D2A76">
        <w:rPr>
          <w:rFonts w:asciiTheme="majorBidi" w:hAnsiTheme="majorBidi" w:cstheme="majorBidi"/>
          <w:lang w:val="en-GB"/>
        </w:rPr>
        <w:t>generalisability</w:t>
      </w:r>
      <w:r w:rsidRPr="003D2A76">
        <w:rPr>
          <w:rFonts w:asciiTheme="majorBidi" w:hAnsiTheme="majorBidi" w:cstheme="majorBidi"/>
          <w:lang w:val="en-GB"/>
        </w:rPr>
        <w:t xml:space="preserve">, and repeatability of the results (Field, 2018). The quantitative strategy </w:t>
      </w:r>
      <w:r w:rsidR="00A82809" w:rsidRPr="003D2A76">
        <w:rPr>
          <w:rFonts w:asciiTheme="majorBidi" w:hAnsiTheme="majorBidi" w:cstheme="majorBidi"/>
          <w:lang w:val="en-GB"/>
        </w:rPr>
        <w:t>meant that a</w:t>
      </w:r>
      <w:r w:rsidRPr="003D2A76">
        <w:rPr>
          <w:rFonts w:asciiTheme="majorBidi" w:hAnsiTheme="majorBidi" w:cstheme="majorBidi"/>
          <w:lang w:val="en-GB"/>
        </w:rPr>
        <w:t xml:space="preserve"> survey method </w:t>
      </w:r>
      <w:r w:rsidR="00A82809" w:rsidRPr="003D2A76">
        <w:rPr>
          <w:rFonts w:asciiTheme="majorBidi" w:hAnsiTheme="majorBidi" w:cstheme="majorBidi"/>
          <w:lang w:val="en-GB"/>
        </w:rPr>
        <w:t>w</w:t>
      </w:r>
      <w:r w:rsidRPr="003D2A76">
        <w:rPr>
          <w:rFonts w:asciiTheme="majorBidi" w:hAnsiTheme="majorBidi" w:cstheme="majorBidi"/>
          <w:lang w:val="en-GB"/>
        </w:rPr>
        <w:t xml:space="preserve">as the main data collection method. Surveys provided an effective tool </w:t>
      </w:r>
      <w:r w:rsidR="00A82809" w:rsidRPr="003D2A76">
        <w:rPr>
          <w:rFonts w:asciiTheme="majorBidi" w:hAnsiTheme="majorBidi" w:cstheme="majorBidi"/>
          <w:lang w:val="en-GB"/>
        </w:rPr>
        <w:t xml:space="preserve">for </w:t>
      </w:r>
      <w:r w:rsidRPr="003D2A76">
        <w:rPr>
          <w:rFonts w:asciiTheme="majorBidi" w:hAnsiTheme="majorBidi" w:cstheme="majorBidi"/>
          <w:lang w:val="en-GB"/>
        </w:rPr>
        <w:t xml:space="preserve">gathering </w:t>
      </w:r>
      <w:r w:rsidR="00A82809" w:rsidRPr="003D2A76">
        <w:rPr>
          <w:rFonts w:asciiTheme="majorBidi" w:hAnsiTheme="majorBidi" w:cstheme="majorBidi"/>
          <w:lang w:val="en-GB"/>
        </w:rPr>
        <w:t xml:space="preserve">standardised </w:t>
      </w:r>
      <w:r w:rsidRPr="003D2A76">
        <w:rPr>
          <w:rFonts w:asciiTheme="majorBidi" w:hAnsiTheme="majorBidi" w:cstheme="majorBidi"/>
          <w:lang w:val="en-GB"/>
        </w:rPr>
        <w:t xml:space="preserve">data </w:t>
      </w:r>
      <w:r w:rsidR="003A20EC">
        <w:rPr>
          <w:rFonts w:asciiTheme="majorBidi" w:hAnsiTheme="majorBidi" w:cstheme="majorBidi"/>
          <w:lang w:val="en-GB"/>
        </w:rPr>
        <w:t>from</w:t>
      </w:r>
      <w:r w:rsidRPr="003D2A76">
        <w:rPr>
          <w:rFonts w:asciiTheme="majorBidi" w:hAnsiTheme="majorBidi" w:cstheme="majorBidi"/>
          <w:lang w:val="en-GB"/>
        </w:rPr>
        <w:t xml:space="preserve"> a huge sample of </w:t>
      </w:r>
      <w:r w:rsidRPr="003D2A76">
        <w:rPr>
          <w:rFonts w:asciiTheme="majorBidi" w:hAnsiTheme="majorBidi" w:cstheme="majorBidi"/>
          <w:lang w:val="en-GB"/>
        </w:rPr>
        <w:lastRenderedPageBreak/>
        <w:t xml:space="preserve">respondents, allowing statistical analysis </w:t>
      </w:r>
      <w:r w:rsidR="00A82809" w:rsidRPr="003D2A76">
        <w:rPr>
          <w:rFonts w:asciiTheme="majorBidi" w:hAnsiTheme="majorBidi" w:cstheme="majorBidi"/>
          <w:lang w:val="en-GB"/>
        </w:rPr>
        <w:t xml:space="preserve">to be performed </w:t>
      </w:r>
      <w:r w:rsidRPr="003D2A76">
        <w:rPr>
          <w:rFonts w:asciiTheme="majorBidi" w:hAnsiTheme="majorBidi" w:cstheme="majorBidi"/>
          <w:lang w:val="en-GB"/>
        </w:rPr>
        <w:t>on the relationships between AI adoption, the quality of service, and the purchase intention (Fowler, 2014). The questionnaire format was well structured, and it ensured consistency in data collection and it made it easier to compare the data of respondents (Dillman, Smyth, and Christian, 2014).</w:t>
      </w:r>
    </w:p>
    <w:p w14:paraId="5DFC16B0" w14:textId="27722848" w:rsidR="00885F3C" w:rsidRPr="003D2A76" w:rsidRDefault="00557CA3" w:rsidP="00BD6279">
      <w:pPr>
        <w:bidi w:val="0"/>
        <w:rPr>
          <w:rFonts w:asciiTheme="majorBidi" w:hAnsiTheme="majorBidi" w:cstheme="majorBidi"/>
          <w:b/>
          <w:bCs/>
          <w:i/>
          <w:lang w:val="en-GB"/>
        </w:rPr>
      </w:pPr>
      <w:r>
        <w:rPr>
          <w:rFonts w:asciiTheme="majorBidi" w:hAnsiTheme="majorBidi" w:cstheme="majorBidi"/>
          <w:b/>
          <w:bCs/>
          <w:i/>
          <w:lang w:val="en-GB"/>
        </w:rPr>
        <w:t xml:space="preserve">3.2.4 </w:t>
      </w:r>
      <w:r w:rsidR="00885F3C" w:rsidRPr="003D2A76">
        <w:rPr>
          <w:rFonts w:asciiTheme="majorBidi" w:hAnsiTheme="majorBidi" w:cstheme="majorBidi"/>
          <w:b/>
          <w:bCs/>
          <w:i/>
          <w:lang w:val="en-GB"/>
        </w:rPr>
        <w:t>Cross-Sectional Time Horizon</w:t>
      </w:r>
    </w:p>
    <w:p w14:paraId="2AFF3635" w14:textId="3764612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researchers used a cross-sectional time scale, which entails the gathering of information at one point in time as opposed to a longitudinal collection (Saunders et al., 2019). This research method was suitable on the basis of the research aims of studying existing relationships between variables and the practical limitations of</w:t>
      </w:r>
      <w:r w:rsidR="00AF7C14" w:rsidRPr="003D2A76">
        <w:rPr>
          <w:rFonts w:asciiTheme="majorBidi" w:hAnsiTheme="majorBidi" w:cstheme="majorBidi"/>
          <w:lang w:val="en-GB"/>
        </w:rPr>
        <w:t xml:space="preserve"> a</w:t>
      </w:r>
      <w:r w:rsidRPr="003D2A76">
        <w:rPr>
          <w:rFonts w:asciiTheme="majorBidi" w:hAnsiTheme="majorBidi" w:cstheme="majorBidi"/>
          <w:lang w:val="en-GB"/>
        </w:rPr>
        <w:t xml:space="preserve"> doctoral research schedule. The cross-sectional design was good because it offered a picture of AI adoption and its effects at the crucial phase of integrating technology in Saudi private schools (Levin, 2006). Although longitudinal designs have the benefit of determining causality and measuring changes over a specified period of time, the cross-sectional approach was reasonable due to a number of factors. To begin with, the theoretical models (TAM and SERVQUAL) are widely tested in cross-sectional research. Second, timely findings were more useful than longitudinal observations due to the high rate of AI implementation in the education sector. Third, the cross-sectional design was supported by practical limitations such as time and resources, and school accessibility (Rindfleisch, Malter, Ganesan, and </w:t>
      </w:r>
      <w:r w:rsidR="006A4A5D" w:rsidRPr="003D2A76">
        <w:rPr>
          <w:rFonts w:asciiTheme="majorBidi" w:hAnsiTheme="majorBidi" w:cstheme="majorBidi"/>
          <w:lang w:val="en-GB"/>
        </w:rPr>
        <w:t xml:space="preserve">Moorman, </w:t>
      </w:r>
      <w:r w:rsidRPr="003D2A76">
        <w:rPr>
          <w:rFonts w:asciiTheme="majorBidi" w:hAnsiTheme="majorBidi" w:cstheme="majorBidi"/>
          <w:lang w:val="en-GB"/>
        </w:rPr>
        <w:t>2008).</w:t>
      </w:r>
    </w:p>
    <w:p w14:paraId="1BCF58B0" w14:textId="77777777" w:rsidR="00885F3C" w:rsidRPr="003D2A76" w:rsidRDefault="006A4A5D" w:rsidP="00BD6279">
      <w:pPr>
        <w:pStyle w:val="Heading2"/>
        <w:rPr>
          <w:lang w:val="en-GB"/>
        </w:rPr>
      </w:pPr>
      <w:bookmarkStart w:id="24" w:name="_Toc228056567"/>
      <w:r w:rsidRPr="003D2A76">
        <w:rPr>
          <w:rFonts w:ascii="Times New Roman" w:hAnsi="Times New Roman" w:cs="Times New Roman"/>
          <w:lang w:val="en-GB"/>
        </w:rPr>
        <w:t xml:space="preserve">3.3 </w:t>
      </w:r>
      <w:r w:rsidR="00885F3C" w:rsidRPr="003D2A76">
        <w:rPr>
          <w:rFonts w:ascii="Times New Roman" w:hAnsi="Times New Roman" w:cs="Times New Roman"/>
          <w:lang w:val="en-GB"/>
        </w:rPr>
        <w:t>Research Design</w:t>
      </w:r>
      <w:bookmarkEnd w:id="24"/>
    </w:p>
    <w:p w14:paraId="7C8A0BB6" w14:textId="1EF7EEDA" w:rsidR="00885F3C" w:rsidRPr="003D2A76" w:rsidRDefault="00557CA3" w:rsidP="00BD6279">
      <w:pPr>
        <w:bidi w:val="0"/>
        <w:rPr>
          <w:rFonts w:asciiTheme="majorBidi" w:hAnsiTheme="majorBidi" w:cstheme="majorBidi"/>
          <w:b/>
          <w:bCs/>
          <w:i/>
          <w:lang w:val="en-GB"/>
        </w:rPr>
      </w:pPr>
      <w:r>
        <w:rPr>
          <w:rFonts w:asciiTheme="majorBidi" w:hAnsiTheme="majorBidi" w:cstheme="majorBidi"/>
          <w:b/>
          <w:bCs/>
          <w:i/>
          <w:lang w:val="en-GB"/>
        </w:rPr>
        <w:t xml:space="preserve">3.3.1 </w:t>
      </w:r>
      <w:r w:rsidR="00885F3C" w:rsidRPr="003D2A76">
        <w:rPr>
          <w:rFonts w:asciiTheme="majorBidi" w:hAnsiTheme="majorBidi" w:cstheme="majorBidi"/>
          <w:b/>
          <w:bCs/>
          <w:i/>
          <w:lang w:val="en-GB"/>
        </w:rPr>
        <w:t>Descriptive-Analytical Design</w:t>
      </w:r>
    </w:p>
    <w:p w14:paraId="56F032A9" w14:textId="0A6ED5C2"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The research design of this work is a descriptive-analytical research design, which takes the characteristics of descriptive research to describe the existing level of AI adoption and the analytical elements of research to prove the relationships between the variables (Kumar, 2019). The descriptive factor recorded the levels of AI application in pedagogical and selling activities</w:t>
      </w:r>
      <w:r w:rsidR="003A20EC">
        <w:rPr>
          <w:rFonts w:asciiTheme="majorBidi" w:hAnsiTheme="majorBidi" w:cstheme="majorBidi"/>
          <w:lang w:val="en-GB"/>
        </w:rPr>
        <w:t>,</w:t>
      </w:r>
      <w:r w:rsidRPr="003D2A76">
        <w:rPr>
          <w:rFonts w:asciiTheme="majorBidi" w:hAnsiTheme="majorBidi" w:cstheme="majorBidi"/>
          <w:lang w:val="en-GB"/>
        </w:rPr>
        <w:t xml:space="preserve"> whereas the analytical one investigated the impacts of the said applications on the perceptions of service quality and intentions to purchase. This two-fold method was used to offer both insights that can be implemented by educational administrators and theoretical contributions to the literature on technology adoption (Zikmund, Babin, Carr, and Griffin, 2013). Various measures of central tendency and dispersion and frequency distribution were used to describe the sample and variables in the descriptive component. The levels of AI adoption, perceptions of service quality</w:t>
      </w:r>
      <w:r w:rsidR="003A20EC">
        <w:rPr>
          <w:rFonts w:asciiTheme="majorBidi" w:hAnsiTheme="majorBidi" w:cstheme="majorBidi"/>
          <w:lang w:val="en-GB"/>
        </w:rPr>
        <w:t>,</w:t>
      </w:r>
      <w:r w:rsidRPr="003D2A76">
        <w:rPr>
          <w:rFonts w:asciiTheme="majorBidi" w:hAnsiTheme="majorBidi" w:cstheme="majorBidi"/>
          <w:lang w:val="en-GB"/>
        </w:rPr>
        <w:t xml:space="preserve"> and demographic characteristics were described using means, standard deviations, and frequency counts. The analytical part used correlation analysis, regression mode</w:t>
      </w:r>
      <w:r w:rsidR="00AF7C14" w:rsidRPr="003D2A76">
        <w:rPr>
          <w:rFonts w:asciiTheme="majorBidi" w:hAnsiTheme="majorBidi" w:cstheme="majorBidi"/>
          <w:lang w:val="en-GB"/>
        </w:rPr>
        <w:t>l</w:t>
      </w:r>
      <w:r w:rsidRPr="003D2A76">
        <w:rPr>
          <w:rFonts w:asciiTheme="majorBidi" w:hAnsiTheme="majorBidi" w:cstheme="majorBidi"/>
          <w:lang w:val="en-GB"/>
        </w:rPr>
        <w:t xml:space="preserve">ling, and mediation analysis to answer </w:t>
      </w:r>
      <w:r w:rsidR="00AF7C14" w:rsidRPr="003D2A76">
        <w:rPr>
          <w:rFonts w:asciiTheme="majorBidi" w:hAnsiTheme="majorBidi" w:cstheme="majorBidi"/>
          <w:lang w:val="en-GB"/>
        </w:rPr>
        <w:t xml:space="preserve">hypothesised </w:t>
      </w:r>
      <w:r w:rsidRPr="003D2A76">
        <w:rPr>
          <w:rFonts w:asciiTheme="majorBidi" w:hAnsiTheme="majorBidi" w:cstheme="majorBidi"/>
          <w:lang w:val="en-GB"/>
        </w:rPr>
        <w:t>relationships and find important predictors of the purchase intention (Tabachnick and Fidell, 2019).</w:t>
      </w:r>
    </w:p>
    <w:p w14:paraId="57D46CD0" w14:textId="40AF27D9" w:rsidR="00885F3C" w:rsidRPr="003D2A76" w:rsidRDefault="00557CA3" w:rsidP="00BD6279">
      <w:pPr>
        <w:bidi w:val="0"/>
        <w:rPr>
          <w:rFonts w:asciiTheme="majorBidi" w:hAnsiTheme="majorBidi" w:cstheme="majorBidi"/>
          <w:b/>
          <w:bCs/>
          <w:i/>
          <w:lang w:val="en-GB"/>
        </w:rPr>
      </w:pPr>
      <w:r>
        <w:rPr>
          <w:rFonts w:asciiTheme="majorBidi" w:hAnsiTheme="majorBidi" w:cstheme="majorBidi"/>
          <w:b/>
          <w:bCs/>
          <w:i/>
          <w:lang w:val="en-GB"/>
        </w:rPr>
        <w:t xml:space="preserve">3.3.2 </w:t>
      </w:r>
      <w:r w:rsidR="00885F3C" w:rsidRPr="003D2A76">
        <w:rPr>
          <w:rFonts w:asciiTheme="majorBidi" w:hAnsiTheme="majorBidi" w:cstheme="majorBidi"/>
          <w:b/>
          <w:bCs/>
          <w:i/>
          <w:lang w:val="en-GB"/>
        </w:rPr>
        <w:t>Variable Specification</w:t>
      </w:r>
    </w:p>
    <w:p w14:paraId="0B5F453A" w14:textId="49EFD91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study model used various types of variables in order to address the complexity of the adoption of AI on educational services. People who had adopted AI in teaching were independent variables</w:t>
      </w:r>
      <w:r w:rsidR="00977B89">
        <w:rPr>
          <w:rFonts w:asciiTheme="majorBidi" w:hAnsiTheme="majorBidi" w:cstheme="majorBidi"/>
          <w:lang w:val="en-GB"/>
        </w:rPr>
        <w:t>,</w:t>
      </w:r>
      <w:r w:rsidRPr="003D2A76">
        <w:rPr>
          <w:rFonts w:asciiTheme="majorBidi" w:hAnsiTheme="majorBidi" w:cstheme="majorBidi"/>
          <w:lang w:val="en-GB"/>
        </w:rPr>
        <w:t xml:space="preserve"> measured with four items relating to adaptive learning systems, intelligent tutoring, personalised experiences, and expanded content</w:t>
      </w:r>
      <w:r w:rsidR="00977B89">
        <w:rPr>
          <w:rFonts w:asciiTheme="majorBidi" w:hAnsiTheme="majorBidi" w:cstheme="majorBidi"/>
          <w:lang w:val="en-GB"/>
        </w:rPr>
        <w:t>. Moreover,</w:t>
      </w:r>
      <w:r w:rsidRPr="003D2A76">
        <w:rPr>
          <w:rFonts w:asciiTheme="majorBidi" w:hAnsiTheme="majorBidi" w:cstheme="majorBidi"/>
          <w:lang w:val="en-GB"/>
        </w:rPr>
        <w:t xml:space="preserve"> those who had adopted AI in marketing</w:t>
      </w:r>
      <w:r w:rsidR="00977B89">
        <w:rPr>
          <w:rFonts w:asciiTheme="majorBidi" w:hAnsiTheme="majorBidi" w:cstheme="majorBidi"/>
          <w:lang w:val="en-GB"/>
        </w:rPr>
        <w:t xml:space="preserve"> were</w:t>
      </w:r>
      <w:r w:rsidRPr="003D2A76">
        <w:rPr>
          <w:rFonts w:asciiTheme="majorBidi" w:hAnsiTheme="majorBidi" w:cstheme="majorBidi"/>
          <w:lang w:val="en-GB"/>
        </w:rPr>
        <w:t xml:space="preserve"> measured with three items on chatbots, digital platforms, and customer service systems. These were the main forces of transformation in the education service environment (Davis, 1989; Venkatesh and Bala, 2008). Purchase </w:t>
      </w:r>
      <w:r w:rsidRPr="003D2A76">
        <w:rPr>
          <w:rFonts w:asciiTheme="majorBidi" w:hAnsiTheme="majorBidi" w:cstheme="majorBidi"/>
          <w:lang w:val="en-GB"/>
        </w:rPr>
        <w:lastRenderedPageBreak/>
        <w:t xml:space="preserve">intention was the dependent variable, and it was </w:t>
      </w:r>
      <w:r w:rsidR="00AF7C14" w:rsidRPr="003D2A76">
        <w:rPr>
          <w:rFonts w:asciiTheme="majorBidi" w:hAnsiTheme="majorBidi" w:cstheme="majorBidi"/>
          <w:lang w:val="en-GB"/>
        </w:rPr>
        <w:t xml:space="preserve">operationalised </w:t>
      </w:r>
      <w:r w:rsidRPr="003D2A76">
        <w:rPr>
          <w:rFonts w:asciiTheme="majorBidi" w:hAnsiTheme="majorBidi" w:cstheme="majorBidi"/>
          <w:lang w:val="en-GB"/>
        </w:rPr>
        <w:t xml:space="preserve">as the possibility of maintaining enrolment, referring friends to the school, justifying the fees, and having a positive impression of the school. This </w:t>
      </w:r>
      <w:r w:rsidR="00AF7C14" w:rsidRPr="003D2A76">
        <w:rPr>
          <w:rFonts w:asciiTheme="majorBidi" w:hAnsiTheme="majorBidi" w:cstheme="majorBidi"/>
          <w:lang w:val="en-GB"/>
        </w:rPr>
        <w:t xml:space="preserve">conceptualisation </w:t>
      </w:r>
      <w:r w:rsidRPr="003D2A76">
        <w:rPr>
          <w:rFonts w:asciiTheme="majorBidi" w:hAnsiTheme="majorBidi" w:cstheme="majorBidi"/>
          <w:lang w:val="en-GB"/>
        </w:rPr>
        <w:t>was multifactorial; it has been able to capture behavio</w:t>
      </w:r>
      <w:r w:rsidR="00AF7C14" w:rsidRPr="003D2A76">
        <w:rPr>
          <w:rFonts w:asciiTheme="majorBidi" w:hAnsiTheme="majorBidi" w:cstheme="majorBidi"/>
          <w:lang w:val="en-GB"/>
        </w:rPr>
        <w:t>u</w:t>
      </w:r>
      <w:r w:rsidRPr="003D2A76">
        <w:rPr>
          <w:rFonts w:asciiTheme="majorBidi" w:hAnsiTheme="majorBidi" w:cstheme="majorBidi"/>
          <w:lang w:val="en-GB"/>
        </w:rPr>
        <w:t>ral intentions and attitudinal loyalty</w:t>
      </w:r>
      <w:r w:rsidR="003A20EC">
        <w:rPr>
          <w:rFonts w:asciiTheme="majorBidi" w:hAnsiTheme="majorBidi" w:cstheme="majorBidi"/>
          <w:lang w:val="en-GB"/>
        </w:rPr>
        <w:t>,</w:t>
      </w:r>
      <w:r w:rsidRPr="003D2A76">
        <w:rPr>
          <w:rFonts w:asciiTheme="majorBidi" w:hAnsiTheme="majorBidi" w:cstheme="majorBidi"/>
          <w:lang w:val="en-GB"/>
        </w:rPr>
        <w:t xml:space="preserve"> and it has come up with a measurement of educational service acceptance in totality (Zeithaml, Berry, and Parasuraman, 1996). The mediating variables were perceived service quality</w:t>
      </w:r>
      <w:r w:rsidR="003A20EC">
        <w:rPr>
          <w:rFonts w:asciiTheme="majorBidi" w:hAnsiTheme="majorBidi" w:cstheme="majorBidi"/>
          <w:lang w:val="en-GB"/>
        </w:rPr>
        <w:t>,</w:t>
      </w:r>
      <w:r w:rsidRPr="003D2A76">
        <w:rPr>
          <w:rFonts w:asciiTheme="majorBidi" w:hAnsiTheme="majorBidi" w:cstheme="majorBidi"/>
          <w:lang w:val="en-GB"/>
        </w:rPr>
        <w:t xml:space="preserve"> </w:t>
      </w:r>
      <w:r w:rsidR="003A20EC">
        <w:rPr>
          <w:rFonts w:asciiTheme="majorBidi" w:hAnsiTheme="majorBidi" w:cstheme="majorBidi"/>
          <w:lang w:val="en-GB"/>
        </w:rPr>
        <w:t>considered</w:t>
      </w:r>
      <w:r w:rsidR="00310C4E">
        <w:rPr>
          <w:rFonts w:asciiTheme="majorBidi" w:hAnsiTheme="majorBidi" w:cstheme="majorBidi"/>
          <w:lang w:val="en-GB"/>
        </w:rPr>
        <w:t xml:space="preserve"> as the master key of our research due to its important role. The </w:t>
      </w:r>
      <w:r w:rsidRPr="003D2A76">
        <w:rPr>
          <w:rFonts w:asciiTheme="majorBidi" w:hAnsiTheme="majorBidi" w:cstheme="majorBidi"/>
          <w:lang w:val="en-GB"/>
        </w:rPr>
        <w:t xml:space="preserve">tangible, </w:t>
      </w:r>
      <w:r w:rsidR="003A20EC">
        <w:rPr>
          <w:rFonts w:asciiTheme="majorBidi" w:hAnsiTheme="majorBidi" w:cstheme="majorBidi"/>
          <w:lang w:val="en-GB"/>
        </w:rPr>
        <w:t>reliability</w:t>
      </w:r>
      <w:r w:rsidRPr="003D2A76">
        <w:rPr>
          <w:rFonts w:asciiTheme="majorBidi" w:hAnsiTheme="majorBidi" w:cstheme="majorBidi"/>
          <w:lang w:val="en-GB"/>
        </w:rPr>
        <w:t>, responsive, assurance, and empathy five dimensions of SERVQUAL</w:t>
      </w:r>
      <w:r w:rsidR="00310C4E">
        <w:rPr>
          <w:rFonts w:asciiTheme="majorBidi" w:hAnsiTheme="majorBidi" w:cstheme="majorBidi"/>
          <w:lang w:val="en-GB"/>
        </w:rPr>
        <w:t xml:space="preserve">. </w:t>
      </w:r>
      <w:r w:rsidR="003A20EC">
        <w:rPr>
          <w:rFonts w:asciiTheme="majorBidi" w:hAnsiTheme="majorBidi" w:cstheme="majorBidi"/>
          <w:lang w:val="en-GB"/>
        </w:rPr>
        <w:t>Trust</w:t>
      </w:r>
      <w:r w:rsidRPr="003D2A76">
        <w:rPr>
          <w:rFonts w:asciiTheme="majorBidi" w:hAnsiTheme="majorBidi" w:cstheme="majorBidi"/>
          <w:lang w:val="en-GB"/>
        </w:rPr>
        <w:t xml:space="preserve"> </w:t>
      </w:r>
      <w:r w:rsidR="00310C4E">
        <w:rPr>
          <w:rFonts w:asciiTheme="majorBidi" w:hAnsiTheme="majorBidi" w:cstheme="majorBidi"/>
          <w:lang w:val="en-GB"/>
        </w:rPr>
        <w:t xml:space="preserve">has </w:t>
      </w:r>
      <w:r w:rsidRPr="003D2A76">
        <w:rPr>
          <w:rFonts w:asciiTheme="majorBidi" w:hAnsiTheme="majorBidi" w:cstheme="majorBidi"/>
          <w:lang w:val="en-GB"/>
        </w:rPr>
        <w:t>three items</w:t>
      </w:r>
      <w:r w:rsidR="00AF7C14" w:rsidRPr="003D2A76">
        <w:rPr>
          <w:rFonts w:asciiTheme="majorBidi" w:hAnsiTheme="majorBidi" w:cstheme="majorBidi"/>
          <w:lang w:val="en-GB"/>
        </w:rPr>
        <w:t>:</w:t>
      </w:r>
      <w:r w:rsidRPr="003D2A76">
        <w:rPr>
          <w:rFonts w:asciiTheme="majorBidi" w:hAnsiTheme="majorBidi" w:cstheme="majorBidi"/>
          <w:lang w:val="en-GB"/>
        </w:rPr>
        <w:t xml:space="preserve"> best interests, competence, and reliability, and </w:t>
      </w:r>
      <w:r w:rsidR="00310C4E">
        <w:rPr>
          <w:rFonts w:asciiTheme="majorBidi" w:hAnsiTheme="majorBidi" w:cstheme="majorBidi"/>
          <w:lang w:val="en-GB"/>
        </w:rPr>
        <w:t xml:space="preserve">the </w:t>
      </w:r>
      <w:r w:rsidRPr="003D2A76">
        <w:rPr>
          <w:rFonts w:asciiTheme="majorBidi" w:hAnsiTheme="majorBidi" w:cstheme="majorBidi"/>
          <w:lang w:val="en-GB"/>
        </w:rPr>
        <w:t xml:space="preserve">perceived value </w:t>
      </w:r>
      <w:r w:rsidR="00310C4E">
        <w:rPr>
          <w:rFonts w:asciiTheme="majorBidi" w:hAnsiTheme="majorBidi" w:cstheme="majorBidi"/>
          <w:lang w:val="en-GB"/>
        </w:rPr>
        <w:t xml:space="preserve">has </w:t>
      </w:r>
      <w:r w:rsidRPr="003D2A76">
        <w:rPr>
          <w:rFonts w:asciiTheme="majorBidi" w:hAnsiTheme="majorBidi" w:cstheme="majorBidi"/>
          <w:lang w:val="en-GB"/>
        </w:rPr>
        <w:t>three items</w:t>
      </w:r>
      <w:r w:rsidR="00AF7C14" w:rsidRPr="003D2A76">
        <w:rPr>
          <w:rFonts w:asciiTheme="majorBidi" w:hAnsiTheme="majorBidi" w:cstheme="majorBidi"/>
          <w:lang w:val="en-GB"/>
        </w:rPr>
        <w:t>:</w:t>
      </w:r>
      <w:r w:rsidRPr="003D2A76">
        <w:rPr>
          <w:rFonts w:asciiTheme="majorBidi" w:hAnsiTheme="majorBidi" w:cstheme="majorBidi"/>
          <w:lang w:val="en-GB"/>
        </w:rPr>
        <w:t xml:space="preserve"> value for money, comparative, and benefits. The original SERVQUAL tool that was created by Parasuraman, Zeithaml, and Berry (1988) was mode</w:t>
      </w:r>
      <w:r w:rsidR="00AF7C14" w:rsidRPr="003D2A76">
        <w:rPr>
          <w:rFonts w:asciiTheme="majorBidi" w:hAnsiTheme="majorBidi" w:cstheme="majorBidi"/>
          <w:lang w:val="en-GB"/>
        </w:rPr>
        <w:t>l</w:t>
      </w:r>
      <w:r w:rsidRPr="003D2A76">
        <w:rPr>
          <w:rFonts w:asciiTheme="majorBidi" w:hAnsiTheme="majorBidi" w:cstheme="majorBidi"/>
          <w:lang w:val="en-GB"/>
        </w:rPr>
        <w:t>led to suit the private school education sector in Saudi Arabia. Multiple adjustments have been made to the theoretical nature of the five-dimension framework, although the whole process of adaptation retained its theoretical integrity:</w:t>
      </w:r>
    </w:p>
    <w:p w14:paraId="60EF777E" w14:textId="36DB0EEC" w:rsidR="00885F3C" w:rsidRPr="003D2A76" w:rsidRDefault="003A20EC" w:rsidP="00BD6279">
      <w:pPr>
        <w:bidi w:val="0"/>
        <w:rPr>
          <w:rFonts w:asciiTheme="majorBidi" w:hAnsiTheme="majorBidi" w:cstheme="majorBidi"/>
          <w:lang w:val="en-GB"/>
        </w:rPr>
      </w:pPr>
      <w:r>
        <w:rPr>
          <w:rFonts w:asciiTheme="majorBidi" w:hAnsiTheme="majorBidi" w:cstheme="majorBidi"/>
          <w:lang w:val="en-GB"/>
        </w:rPr>
        <w:t>The</w:t>
      </w:r>
      <w:r w:rsidR="00885F3C" w:rsidRPr="003D2A76">
        <w:rPr>
          <w:rFonts w:asciiTheme="majorBidi" w:hAnsiTheme="majorBidi" w:cstheme="majorBidi"/>
          <w:lang w:val="en-GB"/>
        </w:rPr>
        <w:t xml:space="preserve"> tangibles were modified to measure the physical facility, technology infrastructure, and AI-based learning environment (e.g., </w:t>
      </w:r>
      <w:r w:rsidR="00AF7C14" w:rsidRPr="003D2A76">
        <w:rPr>
          <w:rFonts w:asciiTheme="majorBidi" w:hAnsiTheme="majorBidi" w:cstheme="majorBidi"/>
          <w:lang w:val="en-GB"/>
        </w:rPr>
        <w:t>“</w:t>
      </w:r>
      <w:r w:rsidR="00885F3C" w:rsidRPr="003D2A76">
        <w:rPr>
          <w:rFonts w:asciiTheme="majorBidi" w:hAnsiTheme="majorBidi" w:cstheme="majorBidi"/>
          <w:lang w:val="en-GB"/>
        </w:rPr>
        <w:t>The school is equipped with modern classrooms and learning facilities with AI technology</w:t>
      </w:r>
      <w:r w:rsidR="00AF7C14" w:rsidRPr="003D2A76">
        <w:rPr>
          <w:rFonts w:asciiTheme="majorBidi" w:hAnsiTheme="majorBidi" w:cstheme="majorBidi"/>
          <w:lang w:val="en-GB"/>
        </w:rPr>
        <w:t>”</w:t>
      </w:r>
      <w:r w:rsidR="00885F3C" w:rsidRPr="003D2A76">
        <w:rPr>
          <w:rFonts w:asciiTheme="majorBidi" w:hAnsiTheme="majorBidi" w:cstheme="majorBidi"/>
          <w:lang w:val="en-GB"/>
        </w:rPr>
        <w:t>).</w:t>
      </w:r>
    </w:p>
    <w:p w14:paraId="5DC80A2B" w14:textId="4932007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reliability items were adjusted to measure the consistency in providing AI-assisted services to education (e.g., </w:t>
      </w:r>
      <w:r w:rsidR="00AF7C14" w:rsidRPr="003D2A76">
        <w:rPr>
          <w:rFonts w:asciiTheme="majorBidi" w:hAnsiTheme="majorBidi" w:cstheme="majorBidi"/>
          <w:lang w:val="en-GB"/>
        </w:rPr>
        <w:t>“</w:t>
      </w:r>
      <w:r w:rsidRPr="003D2A76">
        <w:rPr>
          <w:rFonts w:asciiTheme="majorBidi" w:hAnsiTheme="majorBidi" w:cstheme="majorBidi"/>
          <w:lang w:val="en-GB"/>
        </w:rPr>
        <w:t xml:space="preserve">The school has been consistent </w:t>
      </w:r>
      <w:r w:rsidR="00AF7C14" w:rsidRPr="003D2A76">
        <w:rPr>
          <w:rFonts w:asciiTheme="majorBidi" w:hAnsiTheme="majorBidi" w:cstheme="majorBidi"/>
          <w:lang w:val="en-GB"/>
        </w:rPr>
        <w:t>in offering</w:t>
      </w:r>
      <w:r w:rsidRPr="003D2A76">
        <w:rPr>
          <w:rFonts w:asciiTheme="majorBidi" w:hAnsiTheme="majorBidi" w:cstheme="majorBidi"/>
          <w:lang w:val="en-GB"/>
        </w:rPr>
        <w:t xml:space="preserve"> quality AI-assisted learning experiences as promised</w:t>
      </w:r>
      <w:r w:rsidR="00AF7C14" w:rsidRPr="003D2A76">
        <w:rPr>
          <w:rFonts w:asciiTheme="majorBidi" w:hAnsiTheme="majorBidi" w:cstheme="majorBidi"/>
          <w:lang w:val="en-GB"/>
        </w:rPr>
        <w:t>”</w:t>
      </w:r>
      <w:r w:rsidRPr="003D2A76">
        <w:rPr>
          <w:rFonts w:asciiTheme="majorBidi" w:hAnsiTheme="majorBidi" w:cstheme="majorBidi"/>
          <w:lang w:val="en-GB"/>
        </w:rPr>
        <w:t>).</w:t>
      </w:r>
    </w:p>
    <w:p w14:paraId="5E3AF4F4" w14:textId="41DBD10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responsiveness scale was modified to assess the desire of the school to assist the stakeholders and offer timely assistance in AI-related matters (e.g., </w:t>
      </w:r>
      <w:r w:rsidR="00AF7C14" w:rsidRPr="003D2A76">
        <w:rPr>
          <w:rFonts w:asciiTheme="majorBidi" w:hAnsiTheme="majorBidi" w:cstheme="majorBidi"/>
          <w:lang w:val="en-GB"/>
        </w:rPr>
        <w:t>“</w:t>
      </w:r>
      <w:r w:rsidRPr="003D2A76">
        <w:rPr>
          <w:rFonts w:asciiTheme="majorBidi" w:hAnsiTheme="majorBidi" w:cstheme="majorBidi"/>
          <w:lang w:val="en-GB"/>
        </w:rPr>
        <w:t>Staff members are quick to answer questions regarding AI-based learning tools</w:t>
      </w:r>
      <w:r w:rsidR="00AF7C14" w:rsidRPr="003D2A76">
        <w:rPr>
          <w:rFonts w:asciiTheme="majorBidi" w:hAnsiTheme="majorBidi" w:cstheme="majorBidi"/>
          <w:lang w:val="en-GB"/>
        </w:rPr>
        <w:t>”</w:t>
      </w:r>
      <w:r w:rsidRPr="003D2A76">
        <w:rPr>
          <w:rFonts w:asciiTheme="majorBidi" w:hAnsiTheme="majorBidi" w:cstheme="majorBidi"/>
          <w:lang w:val="en-GB"/>
        </w:rPr>
        <w:t>.</w:t>
      </w:r>
    </w:p>
    <w:p w14:paraId="16D40C9C" w14:textId="35EDDF2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Assurance items measured the competence and ability of the staff to </w:t>
      </w:r>
      <w:r w:rsidR="003D2A76" w:rsidRPr="003D2A76">
        <w:rPr>
          <w:rFonts w:asciiTheme="majorBidi" w:hAnsiTheme="majorBidi" w:cstheme="majorBidi"/>
          <w:lang w:val="en-GB"/>
        </w:rPr>
        <w:t>instil</w:t>
      </w:r>
      <w:r w:rsidRPr="003D2A76">
        <w:rPr>
          <w:rFonts w:asciiTheme="majorBidi" w:hAnsiTheme="majorBidi" w:cstheme="majorBidi"/>
          <w:lang w:val="en-GB"/>
        </w:rPr>
        <w:t xml:space="preserve"> confidence in AI-integrated education (e.g., </w:t>
      </w:r>
      <w:r w:rsidR="00AF7C14" w:rsidRPr="003D2A76">
        <w:rPr>
          <w:rFonts w:asciiTheme="majorBidi" w:hAnsiTheme="majorBidi" w:cstheme="majorBidi"/>
          <w:lang w:val="en-GB"/>
        </w:rPr>
        <w:t>“</w:t>
      </w:r>
      <w:r w:rsidRPr="003D2A76">
        <w:rPr>
          <w:rFonts w:asciiTheme="majorBidi" w:hAnsiTheme="majorBidi" w:cstheme="majorBidi"/>
          <w:lang w:val="en-GB"/>
        </w:rPr>
        <w:t>Teachers are competent enough to use AI tools to instruct students</w:t>
      </w:r>
      <w:r w:rsidR="00AF7C14" w:rsidRPr="003D2A76">
        <w:rPr>
          <w:rFonts w:asciiTheme="majorBidi" w:hAnsiTheme="majorBidi" w:cstheme="majorBidi"/>
          <w:lang w:val="en-GB"/>
        </w:rPr>
        <w:t>”</w:t>
      </w:r>
      <w:r w:rsidRPr="003D2A76">
        <w:rPr>
          <w:rFonts w:asciiTheme="majorBidi" w:hAnsiTheme="majorBidi" w:cstheme="majorBidi"/>
          <w:lang w:val="en-GB"/>
        </w:rPr>
        <w:t>).</w:t>
      </w:r>
    </w:p>
    <w:p w14:paraId="5FF47996" w14:textId="7DED29C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empathy was modified to assess </w:t>
      </w:r>
      <w:r w:rsidR="00AF7C14" w:rsidRPr="003D2A76">
        <w:rPr>
          <w:rFonts w:asciiTheme="majorBidi" w:hAnsiTheme="majorBidi" w:cstheme="majorBidi"/>
          <w:lang w:val="en-GB"/>
        </w:rPr>
        <w:t xml:space="preserve">personalised </w:t>
      </w:r>
      <w:r w:rsidRPr="003D2A76">
        <w:rPr>
          <w:rFonts w:asciiTheme="majorBidi" w:hAnsiTheme="majorBidi" w:cstheme="majorBidi"/>
          <w:lang w:val="en-GB"/>
        </w:rPr>
        <w:t xml:space="preserve">attention in </w:t>
      </w:r>
      <w:r w:rsidR="003A20EC">
        <w:rPr>
          <w:rFonts w:asciiTheme="majorBidi" w:hAnsiTheme="majorBidi" w:cstheme="majorBidi"/>
          <w:lang w:val="en-GB"/>
        </w:rPr>
        <w:t>AI-personalised</w:t>
      </w:r>
      <w:r w:rsidRPr="003D2A76">
        <w:rPr>
          <w:rFonts w:asciiTheme="majorBidi" w:hAnsiTheme="majorBidi" w:cstheme="majorBidi"/>
          <w:lang w:val="en-GB"/>
        </w:rPr>
        <w:t xml:space="preserve"> learning settings (e.g., </w:t>
      </w:r>
      <w:r w:rsidR="00AF7C14" w:rsidRPr="003D2A76">
        <w:rPr>
          <w:rFonts w:asciiTheme="majorBidi" w:hAnsiTheme="majorBidi" w:cstheme="majorBidi"/>
          <w:lang w:val="en-GB"/>
        </w:rPr>
        <w:t>“</w:t>
      </w:r>
      <w:r w:rsidRPr="003D2A76">
        <w:rPr>
          <w:rFonts w:asciiTheme="majorBidi" w:hAnsiTheme="majorBidi" w:cstheme="majorBidi"/>
          <w:lang w:val="en-GB"/>
        </w:rPr>
        <w:t>The school uses AI to learn and address the learning needs of individual students</w:t>
      </w:r>
      <w:r w:rsidR="00AF7C14" w:rsidRPr="003D2A76">
        <w:rPr>
          <w:rFonts w:asciiTheme="majorBidi" w:hAnsiTheme="majorBidi" w:cstheme="majorBidi"/>
          <w:lang w:val="en-GB"/>
        </w:rPr>
        <w:t>”</w:t>
      </w:r>
      <w:r w:rsidRPr="003D2A76">
        <w:rPr>
          <w:rFonts w:asciiTheme="majorBidi" w:hAnsiTheme="majorBidi" w:cstheme="majorBidi"/>
          <w:lang w:val="en-GB"/>
        </w:rPr>
        <w:t>).</w:t>
      </w:r>
    </w:p>
    <w:p w14:paraId="40E9632F" w14:textId="5FA6178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This formulation was based on the context-specific SERVQUAL adaptations as proposed by Ladhari (2009), which guaranteed the content validity by having an expert review of the adaptations by three educational technology specialists, and pilot-testing the adaptations with 50 respondents before the actual data collection. The pilot study ensured the clarity and relevance of the items</w:t>
      </w:r>
      <w:r w:rsidR="00AF7C14" w:rsidRPr="003D2A76">
        <w:rPr>
          <w:rFonts w:asciiTheme="majorBidi" w:hAnsiTheme="majorBidi" w:cstheme="majorBidi"/>
          <w:lang w:val="en-GB"/>
        </w:rPr>
        <w:t xml:space="preserve"> adapted</w:t>
      </w:r>
      <w:r w:rsidRPr="003D2A76">
        <w:rPr>
          <w:rFonts w:asciiTheme="majorBidi" w:hAnsiTheme="majorBidi" w:cstheme="majorBidi"/>
          <w:lang w:val="en-GB"/>
        </w:rPr>
        <w:t xml:space="preserve"> to the Saudi context of private schools.</w:t>
      </w:r>
    </w:p>
    <w:p w14:paraId="548EC6EF" w14:textId="6E8FE1D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These intermediaries were the processes by which the adoption of AI affected buying behavio</w:t>
      </w:r>
      <w:r w:rsidR="00AF7C14" w:rsidRPr="003D2A76">
        <w:rPr>
          <w:rFonts w:asciiTheme="majorBidi" w:hAnsiTheme="majorBidi" w:cstheme="majorBidi"/>
          <w:lang w:val="en-GB"/>
        </w:rPr>
        <w:t>u</w:t>
      </w:r>
      <w:r w:rsidRPr="003D2A76">
        <w:rPr>
          <w:rFonts w:asciiTheme="majorBidi" w:hAnsiTheme="majorBidi" w:cstheme="majorBidi"/>
          <w:lang w:val="en-GB"/>
        </w:rPr>
        <w:t xml:space="preserve">r (Baron and Kenny, 1986; Hayes, 2022). The </w:t>
      </w:r>
      <w:r w:rsidR="00AF7C14" w:rsidRPr="003D2A76">
        <w:rPr>
          <w:rFonts w:asciiTheme="majorBidi" w:hAnsiTheme="majorBidi" w:cstheme="majorBidi"/>
          <w:lang w:val="en-GB"/>
        </w:rPr>
        <w:t xml:space="preserve">factors </w:t>
      </w:r>
      <w:r w:rsidRPr="003D2A76">
        <w:rPr>
          <w:rFonts w:asciiTheme="majorBidi" w:hAnsiTheme="majorBidi" w:cstheme="majorBidi"/>
          <w:lang w:val="en-GB"/>
        </w:rPr>
        <w:t xml:space="preserve">that </w:t>
      </w:r>
      <w:r w:rsidR="00AF7C14" w:rsidRPr="003D2A76">
        <w:rPr>
          <w:rFonts w:asciiTheme="majorBidi" w:hAnsiTheme="majorBidi" w:cstheme="majorBidi"/>
          <w:lang w:val="en-GB"/>
        </w:rPr>
        <w:t xml:space="preserve">moderated this were </w:t>
      </w:r>
      <w:r w:rsidRPr="003D2A76">
        <w:rPr>
          <w:rFonts w:asciiTheme="majorBidi" w:hAnsiTheme="majorBidi" w:cstheme="majorBidi"/>
          <w:lang w:val="en-GB"/>
        </w:rPr>
        <w:t>cultural factors, measured using three items that</w:t>
      </w:r>
      <w:r w:rsidR="00AF7C14" w:rsidRPr="003D2A76">
        <w:rPr>
          <w:rFonts w:asciiTheme="majorBidi" w:hAnsiTheme="majorBidi" w:cstheme="majorBidi"/>
          <w:lang w:val="en-GB"/>
        </w:rPr>
        <w:t xml:space="preserve"> were</w:t>
      </w:r>
      <w:r w:rsidRPr="003D2A76">
        <w:rPr>
          <w:rFonts w:asciiTheme="majorBidi" w:hAnsiTheme="majorBidi" w:cstheme="majorBidi"/>
          <w:lang w:val="en-GB"/>
        </w:rPr>
        <w:t xml:space="preserve"> used to evaluate the significance of cultural-religious alignment, technology-tradition balance, and cultural fit in school choice. This moderator reflected the specific Saudi Arabian situation </w:t>
      </w:r>
      <w:r w:rsidR="00AF7C14" w:rsidRPr="003D2A76">
        <w:rPr>
          <w:rFonts w:asciiTheme="majorBidi" w:hAnsiTheme="majorBidi" w:cstheme="majorBidi"/>
          <w:lang w:val="en-GB"/>
        </w:rPr>
        <w:t xml:space="preserve">whereby </w:t>
      </w:r>
      <w:r w:rsidRPr="003D2A76">
        <w:rPr>
          <w:rFonts w:asciiTheme="majorBidi" w:hAnsiTheme="majorBidi" w:cstheme="majorBidi"/>
          <w:lang w:val="en-GB"/>
        </w:rPr>
        <w:t xml:space="preserve">technological innovation has to be integrated </w:t>
      </w:r>
      <w:r w:rsidR="00AF7C14" w:rsidRPr="003D2A76">
        <w:rPr>
          <w:rFonts w:asciiTheme="majorBidi" w:hAnsiTheme="majorBidi" w:cstheme="majorBidi"/>
          <w:lang w:val="en-GB"/>
        </w:rPr>
        <w:t>with</w:t>
      </w:r>
      <w:r w:rsidRPr="003D2A76">
        <w:rPr>
          <w:rFonts w:asciiTheme="majorBidi" w:hAnsiTheme="majorBidi" w:cstheme="majorBidi"/>
          <w:lang w:val="en-GB"/>
        </w:rPr>
        <w:t xml:space="preserve"> cultural values (Hofstede, 2001; Al-Gahtani, Hubona, and Wang, 2007).</w:t>
      </w:r>
    </w:p>
    <w:p w14:paraId="047295E5" w14:textId="18987F1D" w:rsidR="00885F3C" w:rsidRPr="003D2A76" w:rsidRDefault="00557CA3" w:rsidP="00BD6279">
      <w:pPr>
        <w:bidi w:val="0"/>
        <w:rPr>
          <w:rFonts w:asciiTheme="majorBidi" w:hAnsiTheme="majorBidi" w:cstheme="majorBidi"/>
          <w:b/>
          <w:bCs/>
          <w:i/>
          <w:lang w:val="en-GB"/>
        </w:rPr>
      </w:pPr>
      <w:r>
        <w:rPr>
          <w:rFonts w:asciiTheme="majorBidi" w:hAnsiTheme="majorBidi" w:cstheme="majorBidi"/>
          <w:b/>
          <w:bCs/>
          <w:i/>
          <w:lang w:val="en-GB"/>
        </w:rPr>
        <w:t xml:space="preserve">3.3.3 </w:t>
      </w:r>
      <w:r w:rsidR="00885F3C" w:rsidRPr="003D2A76">
        <w:rPr>
          <w:rFonts w:asciiTheme="majorBidi" w:hAnsiTheme="majorBidi" w:cstheme="majorBidi"/>
          <w:b/>
          <w:bCs/>
          <w:i/>
          <w:lang w:val="en-GB"/>
        </w:rPr>
        <w:t>Conceptual Model Development</w:t>
      </w:r>
    </w:p>
    <w:p w14:paraId="3AED2837" w14:textId="28B777E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theoretical model was able to combine various theoretical aspects in explaining the effects of AI adoption on educational services. The </w:t>
      </w:r>
      <w:r w:rsidR="00AF7C14" w:rsidRPr="003D2A76">
        <w:rPr>
          <w:rFonts w:asciiTheme="majorBidi" w:hAnsiTheme="majorBidi" w:cstheme="majorBidi"/>
          <w:lang w:val="en-GB"/>
        </w:rPr>
        <w:t>TAM</w:t>
      </w:r>
      <w:r w:rsidRPr="003D2A76">
        <w:rPr>
          <w:rFonts w:asciiTheme="majorBidi" w:hAnsiTheme="majorBidi" w:cstheme="majorBidi"/>
          <w:lang w:val="en-GB"/>
        </w:rPr>
        <w:t xml:space="preserve"> was used as the basis </w:t>
      </w:r>
      <w:r w:rsidR="00AF7C14" w:rsidRPr="003D2A76">
        <w:rPr>
          <w:rFonts w:asciiTheme="majorBidi" w:hAnsiTheme="majorBidi" w:cstheme="majorBidi"/>
          <w:lang w:val="en-GB"/>
        </w:rPr>
        <w:t>for understanding</w:t>
      </w:r>
      <w:r w:rsidRPr="003D2A76">
        <w:rPr>
          <w:rFonts w:asciiTheme="majorBidi" w:hAnsiTheme="majorBidi" w:cstheme="majorBidi"/>
          <w:lang w:val="en-GB"/>
        </w:rPr>
        <w:t xml:space="preserve"> the role of perceived usefulness and ease of use in the decision </w:t>
      </w:r>
      <w:r w:rsidR="00AF7C14" w:rsidRPr="003D2A76">
        <w:rPr>
          <w:rFonts w:asciiTheme="majorBidi" w:hAnsiTheme="majorBidi" w:cstheme="majorBidi"/>
          <w:lang w:val="en-GB"/>
        </w:rPr>
        <w:t>to adopt</w:t>
      </w:r>
      <w:r w:rsidRPr="003D2A76">
        <w:rPr>
          <w:rFonts w:asciiTheme="majorBidi" w:hAnsiTheme="majorBidi" w:cstheme="majorBidi"/>
          <w:lang w:val="en-GB"/>
        </w:rPr>
        <w:t xml:space="preserve"> technology (Davis, 1989). SERVQUAL added the dimensions of service quality that are </w:t>
      </w:r>
      <w:r w:rsidRPr="003D2A76">
        <w:rPr>
          <w:rFonts w:asciiTheme="majorBidi" w:hAnsiTheme="majorBidi" w:cstheme="majorBidi"/>
          <w:lang w:val="en-GB"/>
        </w:rPr>
        <w:lastRenderedPageBreak/>
        <w:t xml:space="preserve">vital in assessing a service </w:t>
      </w:r>
      <w:r w:rsidR="00AF7C14" w:rsidRPr="003D2A76">
        <w:rPr>
          <w:rFonts w:asciiTheme="majorBidi" w:hAnsiTheme="majorBidi" w:cstheme="majorBidi"/>
          <w:lang w:val="en-GB"/>
        </w:rPr>
        <w:t>related to</w:t>
      </w:r>
      <w:r w:rsidRPr="003D2A76">
        <w:rPr>
          <w:rFonts w:asciiTheme="majorBidi" w:hAnsiTheme="majorBidi" w:cstheme="majorBidi"/>
          <w:lang w:val="en-GB"/>
        </w:rPr>
        <w:t xml:space="preserve"> educational services (Parasuraman, Zeithaml, and Berry, 1988). </w:t>
      </w:r>
      <w:r w:rsidR="00AF7C14" w:rsidRPr="003D2A76">
        <w:rPr>
          <w:rFonts w:asciiTheme="majorBidi" w:hAnsiTheme="majorBidi" w:cstheme="majorBidi"/>
          <w:lang w:val="en-GB"/>
        </w:rPr>
        <w:t>TPB</w:t>
      </w:r>
      <w:r w:rsidRPr="003D2A76">
        <w:rPr>
          <w:rFonts w:asciiTheme="majorBidi" w:hAnsiTheme="majorBidi" w:cstheme="majorBidi"/>
          <w:lang w:val="en-GB"/>
        </w:rPr>
        <w:t xml:space="preserve"> explained that the behavio</w:t>
      </w:r>
      <w:r w:rsidR="00AF7C14" w:rsidRPr="003D2A76">
        <w:rPr>
          <w:rFonts w:asciiTheme="majorBidi" w:hAnsiTheme="majorBidi" w:cstheme="majorBidi"/>
          <w:lang w:val="en-GB"/>
        </w:rPr>
        <w:t>u</w:t>
      </w:r>
      <w:r w:rsidRPr="003D2A76">
        <w:rPr>
          <w:rFonts w:asciiTheme="majorBidi" w:hAnsiTheme="majorBidi" w:cstheme="majorBidi"/>
          <w:lang w:val="en-GB"/>
        </w:rPr>
        <w:t>ral intention depends on the attitude, the subjective norms and the perceived control (Ajzen, 1991). The cost-benefit computations of the purchase decisions were explained using Perceived Value Theory (Zeithaml, 1988). The model suggested direct links among AI adoption and service quality and purchase intention, which displays the direct influence of technology on service perceptions and behavio</w:t>
      </w:r>
      <w:r w:rsidR="00AF7C14" w:rsidRPr="003D2A76">
        <w:rPr>
          <w:rFonts w:asciiTheme="majorBidi" w:hAnsiTheme="majorBidi" w:cstheme="majorBidi"/>
          <w:lang w:val="en-GB"/>
        </w:rPr>
        <w:t>u</w:t>
      </w:r>
      <w:r w:rsidRPr="003D2A76">
        <w:rPr>
          <w:rFonts w:asciiTheme="majorBidi" w:hAnsiTheme="majorBidi" w:cstheme="majorBidi"/>
          <w:lang w:val="en-GB"/>
        </w:rPr>
        <w:t>r intentions. The mediating processes that relay</w:t>
      </w:r>
      <w:r w:rsidR="00AF7C14" w:rsidRPr="003D2A76">
        <w:rPr>
          <w:rFonts w:asciiTheme="majorBidi" w:hAnsiTheme="majorBidi" w:cstheme="majorBidi"/>
          <w:lang w:val="en-GB"/>
        </w:rPr>
        <w:t>ed</w:t>
      </w:r>
      <w:r w:rsidRPr="003D2A76">
        <w:rPr>
          <w:rFonts w:asciiTheme="majorBidi" w:hAnsiTheme="majorBidi" w:cstheme="majorBidi"/>
          <w:lang w:val="en-GB"/>
        </w:rPr>
        <w:t xml:space="preserve"> the effects of AI adoption were captured through indirect routes through trust and perceived value. The cultural moderation effect took note of the fact that adoption of technology takes place in certain cultural set-ups which influence its adoption and influence (Venkatesh, Thong, and Xu, 2012).</w:t>
      </w:r>
    </w:p>
    <w:p w14:paraId="372C9E66" w14:textId="6C5CDD6E" w:rsidR="00885F3C" w:rsidRDefault="006A4A5D" w:rsidP="00BD6279">
      <w:pPr>
        <w:pStyle w:val="Heading2"/>
        <w:rPr>
          <w:rFonts w:ascii="Times New Roman" w:hAnsi="Times New Roman" w:cs="Times New Roman"/>
          <w:lang w:val="en-GB"/>
        </w:rPr>
      </w:pPr>
      <w:bookmarkStart w:id="25" w:name="_Toc228056568"/>
      <w:r w:rsidRPr="003D2A76">
        <w:rPr>
          <w:rFonts w:ascii="Times New Roman" w:hAnsi="Times New Roman" w:cs="Times New Roman"/>
          <w:lang w:val="en-GB"/>
        </w:rPr>
        <w:t xml:space="preserve">3.4 </w:t>
      </w:r>
      <w:r w:rsidR="00885F3C" w:rsidRPr="003D2A76">
        <w:rPr>
          <w:rFonts w:ascii="Times New Roman" w:hAnsi="Times New Roman" w:cs="Times New Roman"/>
          <w:lang w:val="en-GB"/>
        </w:rPr>
        <w:t>Population and Sampling</w:t>
      </w:r>
      <w:bookmarkEnd w:id="25"/>
    </w:p>
    <w:p w14:paraId="41A7BA4D" w14:textId="6101B16A" w:rsidR="001B635F" w:rsidRDefault="001B635F" w:rsidP="001B635F">
      <w:pPr>
        <w:rPr>
          <w:lang w:val="en-GB"/>
        </w:rPr>
      </w:pPr>
    </w:p>
    <w:p w14:paraId="19001770" w14:textId="77777777" w:rsidR="005B0E5B" w:rsidRPr="001B635F" w:rsidRDefault="005B0E5B" w:rsidP="005B0E5B">
      <w:pPr>
        <w:rPr>
          <w:lang w:val="en-GB"/>
        </w:rPr>
      </w:pPr>
    </w:p>
    <w:p w14:paraId="45C56F6B" w14:textId="4D47B8F6"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3.4.1 </w:t>
      </w:r>
      <w:r w:rsidR="00885F3C" w:rsidRPr="003D2A76">
        <w:rPr>
          <w:rFonts w:asciiTheme="majorBidi" w:hAnsiTheme="majorBidi" w:cstheme="majorBidi"/>
          <w:b/>
          <w:bCs/>
          <w:i/>
          <w:lang w:val="en-GB"/>
        </w:rPr>
        <w:t>Target Population Definition</w:t>
      </w:r>
    </w:p>
    <w:p w14:paraId="425036D6" w14:textId="2B06234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population </w:t>
      </w:r>
      <w:r w:rsidR="008C4D46" w:rsidRPr="003D2A76">
        <w:rPr>
          <w:rFonts w:asciiTheme="majorBidi" w:hAnsiTheme="majorBidi" w:cstheme="majorBidi"/>
          <w:lang w:val="en-GB"/>
        </w:rPr>
        <w:t>for</w:t>
      </w:r>
      <w:r w:rsidRPr="003D2A76">
        <w:rPr>
          <w:rFonts w:asciiTheme="majorBidi" w:hAnsiTheme="majorBidi" w:cstheme="majorBidi"/>
          <w:lang w:val="en-GB"/>
        </w:rPr>
        <w:t xml:space="preserve"> the study </w:t>
      </w:r>
      <w:r w:rsidR="008C4D46" w:rsidRPr="003D2A76">
        <w:rPr>
          <w:rFonts w:asciiTheme="majorBidi" w:hAnsiTheme="majorBidi" w:cstheme="majorBidi"/>
          <w:lang w:val="en-GB"/>
        </w:rPr>
        <w:t>was made up of</w:t>
      </w:r>
      <w:r w:rsidRPr="003D2A76">
        <w:rPr>
          <w:rFonts w:asciiTheme="majorBidi" w:hAnsiTheme="majorBidi" w:cstheme="majorBidi"/>
          <w:lang w:val="en-GB"/>
        </w:rPr>
        <w:t xml:space="preserve"> two major groups of stakeholders </w:t>
      </w:r>
      <w:r w:rsidR="008C4D46" w:rsidRPr="003D2A76">
        <w:rPr>
          <w:rFonts w:asciiTheme="majorBidi" w:hAnsiTheme="majorBidi" w:cstheme="majorBidi"/>
          <w:lang w:val="en-GB"/>
        </w:rPr>
        <w:t>related</w:t>
      </w:r>
      <w:r w:rsidRPr="003D2A76">
        <w:rPr>
          <w:rFonts w:asciiTheme="majorBidi" w:hAnsiTheme="majorBidi" w:cstheme="majorBidi"/>
          <w:lang w:val="en-GB"/>
        </w:rPr>
        <w:t xml:space="preserve"> to the schooling sector in Jeddah, Saudi Arabia</w:t>
      </w:r>
      <w:r w:rsidR="008C4D46" w:rsidRPr="003D2A76">
        <w:rPr>
          <w:rFonts w:asciiTheme="majorBidi" w:hAnsiTheme="majorBidi" w:cstheme="majorBidi"/>
          <w:lang w:val="en-GB"/>
        </w:rPr>
        <w:t>:</w:t>
      </w:r>
      <w:r w:rsidRPr="003D2A76">
        <w:rPr>
          <w:rFonts w:asciiTheme="majorBidi" w:hAnsiTheme="majorBidi" w:cstheme="majorBidi"/>
          <w:lang w:val="en-GB"/>
        </w:rPr>
        <w:t xml:space="preserve"> students already in private schools (16 years and above) and parents/guardians of students studying in the same schools. It was a two-stakeholder strategy that acknowledged that the purchase of educational services can be made by the parents as the financial decision-makers and the students as the direct service recipients (Hemsley-Brown and Oplatka, 2006). The choice </w:t>
      </w:r>
      <w:r w:rsidR="008C4D46" w:rsidRPr="003D2A76">
        <w:rPr>
          <w:rFonts w:asciiTheme="majorBidi" w:hAnsiTheme="majorBidi" w:cstheme="majorBidi"/>
          <w:lang w:val="en-GB"/>
        </w:rPr>
        <w:t xml:space="preserve">to </w:t>
      </w:r>
      <w:r w:rsidR="003D2A76" w:rsidRPr="003D2A76">
        <w:rPr>
          <w:rFonts w:asciiTheme="majorBidi" w:hAnsiTheme="majorBidi" w:cstheme="majorBidi"/>
          <w:lang w:val="en-GB"/>
        </w:rPr>
        <w:t>target</w:t>
      </w:r>
      <w:r w:rsidRPr="003D2A76">
        <w:rPr>
          <w:rFonts w:asciiTheme="majorBidi" w:hAnsiTheme="majorBidi" w:cstheme="majorBidi"/>
          <w:lang w:val="en-GB"/>
        </w:rPr>
        <w:t xml:space="preserve"> private schools was strategic because such schools usually enjoy more freedom in the application of technological innovations</w:t>
      </w:r>
      <w:r w:rsidR="003A20EC">
        <w:rPr>
          <w:rFonts w:asciiTheme="majorBidi" w:hAnsiTheme="majorBidi" w:cstheme="majorBidi"/>
          <w:lang w:val="en-GB"/>
        </w:rPr>
        <w:t>,</w:t>
      </w:r>
      <w:r w:rsidRPr="003D2A76">
        <w:rPr>
          <w:rFonts w:asciiTheme="majorBidi" w:hAnsiTheme="majorBidi" w:cstheme="majorBidi"/>
          <w:lang w:val="en-GB"/>
        </w:rPr>
        <w:t xml:space="preserve"> and also they are very active in </w:t>
      </w:r>
      <w:r w:rsidR="008C4D46" w:rsidRPr="003D2A76">
        <w:rPr>
          <w:rFonts w:asciiTheme="majorBidi" w:hAnsiTheme="majorBidi" w:cstheme="majorBidi"/>
          <w:lang w:val="en-GB"/>
        </w:rPr>
        <w:t xml:space="preserve">their </w:t>
      </w:r>
      <w:r w:rsidRPr="003D2A76">
        <w:rPr>
          <w:rFonts w:asciiTheme="majorBidi" w:hAnsiTheme="majorBidi" w:cstheme="majorBidi"/>
          <w:lang w:val="en-GB"/>
        </w:rPr>
        <w:t xml:space="preserve">competition to get </w:t>
      </w:r>
      <w:r w:rsidRPr="003D2A76">
        <w:rPr>
          <w:rFonts w:asciiTheme="majorBidi" w:hAnsiTheme="majorBidi" w:cstheme="majorBidi"/>
          <w:lang w:val="en-GB"/>
        </w:rPr>
        <w:lastRenderedPageBreak/>
        <w:t xml:space="preserve">students to their schools (Tooley &amp; Dixon, 2006). The adoption of educational technology has been most prominent in private schools in Saudi Arabia, which is the best place to research the issue of AI implementation (Allmnakrah and Evers, 2020). This geographic concentration around the second-largest city </w:t>
      </w:r>
      <w:r w:rsidR="008C4D46" w:rsidRPr="003D2A76">
        <w:rPr>
          <w:rFonts w:asciiTheme="majorBidi" w:hAnsiTheme="majorBidi" w:cstheme="majorBidi"/>
          <w:lang w:val="en-GB"/>
        </w:rPr>
        <w:t xml:space="preserve">in </w:t>
      </w:r>
      <w:r w:rsidRPr="003D2A76">
        <w:rPr>
          <w:rFonts w:asciiTheme="majorBidi" w:hAnsiTheme="majorBidi" w:cstheme="majorBidi"/>
          <w:lang w:val="en-GB"/>
        </w:rPr>
        <w:t xml:space="preserve">Saudi Arabia and its business </w:t>
      </w:r>
      <w:r w:rsidR="008C4D46" w:rsidRPr="003D2A76">
        <w:rPr>
          <w:rFonts w:asciiTheme="majorBidi" w:hAnsiTheme="majorBidi" w:cstheme="majorBidi"/>
          <w:lang w:val="en-GB"/>
        </w:rPr>
        <w:t>centre</w:t>
      </w:r>
      <w:r w:rsidRPr="003D2A76">
        <w:rPr>
          <w:rFonts w:asciiTheme="majorBidi" w:hAnsiTheme="majorBidi" w:cstheme="majorBidi"/>
          <w:lang w:val="en-GB"/>
        </w:rPr>
        <w:t>, Jeddah, guaranteed accessibility of schools with different degrees of technology advancement and diversity of the student body (General Authority for Statistics, 2024).</w:t>
      </w:r>
    </w:p>
    <w:p w14:paraId="1A5476DA" w14:textId="6A5463FB"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3.4.2 </w:t>
      </w:r>
      <w:r w:rsidR="00885F3C" w:rsidRPr="003D2A76">
        <w:rPr>
          <w:rFonts w:asciiTheme="majorBidi" w:hAnsiTheme="majorBidi" w:cstheme="majorBidi"/>
          <w:b/>
          <w:bCs/>
          <w:i/>
          <w:lang w:val="en-GB"/>
        </w:rPr>
        <w:t>Population Size Estimation</w:t>
      </w:r>
    </w:p>
    <w:p w14:paraId="5F411F61" w14:textId="07D84BAC" w:rsidR="008C4D46"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According to the official figures of the Saudi Ministry of Education (2024), the entire student population in general education in Saudi Arabia amounted to 6.72 million students. The private-school student population in Saudi Arabia stood at approximately 820,000 students in 2022 (Colliers International, 2024, as reported by Argaam and AGBI), and was projected to grow to around 1.1 million by 2030 (Colliers International, 2024; Mordor Intelligence, 2024). Applying the compound annual growth rate of approximately 9 percent implied by these projections to the 2022 baseline, the researcher estimated the nationwide private-school student population </w:t>
      </w:r>
      <w:r w:rsidR="008C4D46" w:rsidRPr="003D2A76">
        <w:rPr>
          <w:rFonts w:asciiTheme="majorBidi" w:hAnsiTheme="majorBidi" w:cstheme="majorBidi"/>
          <w:lang w:val="en-GB"/>
        </w:rPr>
        <w:t xml:space="preserve">to be </w:t>
      </w:r>
      <w:r w:rsidRPr="003D2A76">
        <w:rPr>
          <w:rFonts w:asciiTheme="majorBidi" w:hAnsiTheme="majorBidi" w:cstheme="majorBidi"/>
          <w:lang w:val="en-GB"/>
        </w:rPr>
        <w:t>approximately 975,000 by 2024. This figure is a researcher-derived estimate based on the published</w:t>
      </w:r>
      <w:r w:rsidR="008C4D46" w:rsidRPr="003D2A76">
        <w:rPr>
          <w:rFonts w:asciiTheme="majorBidi" w:hAnsiTheme="majorBidi" w:cstheme="majorBidi"/>
          <w:lang w:val="en-GB"/>
        </w:rPr>
        <w:t xml:space="preserve"> –</w:t>
      </w:r>
      <w:r w:rsidRPr="003D2A76">
        <w:rPr>
          <w:rFonts w:asciiTheme="majorBidi" w:hAnsiTheme="majorBidi" w:cstheme="majorBidi"/>
          <w:lang w:val="en-GB"/>
        </w:rPr>
        <w:t xml:space="preserve"> Colliers (2024) and Mordor Intelligence (2024) </w:t>
      </w:r>
      <w:r w:rsidR="008C4D46" w:rsidRPr="003D2A76">
        <w:rPr>
          <w:rFonts w:asciiTheme="majorBidi" w:hAnsiTheme="majorBidi" w:cstheme="majorBidi"/>
          <w:lang w:val="en-GB"/>
        </w:rPr>
        <w:t xml:space="preserve">– </w:t>
      </w:r>
      <w:r w:rsidRPr="003D2A76">
        <w:rPr>
          <w:rFonts w:asciiTheme="majorBidi" w:hAnsiTheme="majorBidi" w:cstheme="majorBidi"/>
          <w:lang w:val="en-GB"/>
        </w:rPr>
        <w:t xml:space="preserve">growth trajectories, not a directly published value, and it is used here solely to scale the Jeddah sub-population. In the case of Jeddah, the estimates of population were derived </w:t>
      </w:r>
      <w:r w:rsidR="008C4D46" w:rsidRPr="003D2A76">
        <w:rPr>
          <w:rFonts w:asciiTheme="majorBidi" w:hAnsiTheme="majorBidi" w:cstheme="majorBidi"/>
          <w:lang w:val="en-GB"/>
        </w:rPr>
        <w:t xml:space="preserve">using </w:t>
      </w:r>
      <w:r w:rsidRPr="003D2A76">
        <w:rPr>
          <w:rFonts w:asciiTheme="majorBidi" w:hAnsiTheme="majorBidi" w:cstheme="majorBidi"/>
          <w:lang w:val="en-GB"/>
        </w:rPr>
        <w:t xml:space="preserve">a three-step proportional analysis. First, private and foreign-curriculum schools in Saudi Arabia are heavily concentrated in major urban regions; the Riyadh and Makkah regions alone account for 68.3 percent of all foreign-curriculum schools, and the three largest regions (Riyadh, Makkah, and Eastern Province) together host approximately 62 percent of total student enrolment </w:t>
      </w:r>
      <w:r w:rsidRPr="003D2A76">
        <w:rPr>
          <w:rFonts w:asciiTheme="majorBidi" w:hAnsiTheme="majorBidi" w:cstheme="majorBidi"/>
          <w:lang w:val="en-GB"/>
        </w:rPr>
        <w:lastRenderedPageBreak/>
        <w:t xml:space="preserve">(Consultancy-me, 2019, citing Ministry of Education data; Mordor Intelligence, 2024). On the basis of these figures, the researcher adopted a conservative estimate of 65 percent as the urban-concentration factor for private schools in major cities. </w:t>
      </w:r>
    </w:p>
    <w:p w14:paraId="35604B22" w14:textId="19D4C96C" w:rsidR="00885F3C" w:rsidRPr="003D2A76" w:rsidRDefault="00885F3C" w:rsidP="008C4D46">
      <w:pPr>
        <w:bidi w:val="0"/>
        <w:rPr>
          <w:rFonts w:asciiTheme="majorBidi" w:hAnsiTheme="majorBidi" w:cstheme="majorBidi"/>
          <w:lang w:val="en-GB"/>
        </w:rPr>
      </w:pPr>
      <w:r w:rsidRPr="003D2A76">
        <w:rPr>
          <w:rFonts w:asciiTheme="majorBidi" w:hAnsiTheme="majorBidi" w:cstheme="majorBidi"/>
          <w:lang w:val="en-GB"/>
        </w:rPr>
        <w:t xml:space="preserve">Second, Jeddah’s share among these major cities was estimated at 20 percent, derived from the city’s proportional weight in terms of resident population. According to the General Authority for Statistics (GASTAT, 2024), Saudi Arabia’s total population reached 35.3 million, and Jeddah’s metropolitan population of approximately 4.7 million places it as the second-largest city after Riyadh (General Authority for Statistics, 2024; World Population Review, 2024). Among the five principal urban centres where private schools </w:t>
      </w:r>
      <w:r w:rsidR="008C4D46" w:rsidRPr="003D2A76">
        <w:rPr>
          <w:rFonts w:asciiTheme="majorBidi" w:hAnsiTheme="majorBidi" w:cstheme="majorBidi"/>
          <w:lang w:val="en-GB"/>
        </w:rPr>
        <w:t xml:space="preserve">are </w:t>
      </w:r>
      <w:r w:rsidRPr="003D2A76">
        <w:rPr>
          <w:rFonts w:asciiTheme="majorBidi" w:hAnsiTheme="majorBidi" w:cstheme="majorBidi"/>
          <w:lang w:val="en-GB"/>
        </w:rPr>
        <w:t>concentrate</w:t>
      </w:r>
      <w:r w:rsidR="008C4D46" w:rsidRPr="003D2A76">
        <w:rPr>
          <w:rFonts w:asciiTheme="majorBidi" w:hAnsiTheme="majorBidi" w:cstheme="majorBidi"/>
          <w:lang w:val="en-GB"/>
        </w:rPr>
        <w:t>d</w:t>
      </w:r>
      <w:r w:rsidRPr="003D2A76">
        <w:rPr>
          <w:rFonts w:asciiTheme="majorBidi" w:hAnsiTheme="majorBidi" w:cstheme="majorBidi"/>
          <w:lang w:val="en-GB"/>
        </w:rPr>
        <w:t xml:space="preserve"> (Riyadh, Jeddah, Makkah, Medina, and Dammam), Jeddah’s population share is approximately one-fifth. Applying both proportions to the 975,000 estimate yields 126,750 private-school students in Jeddah (975,000 × 0.65 × 0.20 = 126,750). Third, the proportion of students aged 16 years and above was estimated at 25 percent. The Saudi general-education system comprises 12 grades spanning three stages: primary (Grades 1–6, ages 6–12), intermediate (Grades 7–9, ages 12–15), and secondary (Grades 10–12, ages 15–18) (Ministry of Education, 2024; SACM, 2024). Students who are 16 years of age or older correspond to approximately the final three grades of secondary education. Assuming a roughly uniform distribution of students across the 12 grade levels, the secondary stage accounts for 3 out of 12 grades, or 25 percent of the total K-12 population. Applying this proportion yields 31,688 students aged 16 and above (126,750 × 0.25 = 31,688). The parent population was calculated at 70,417 using an average of 1.8 school-age children per family attending private schools (126,750 ÷ 1.8 = 70,417), a figure consistent with the Saudi household-size patterns reported by GASTAT (2024). </w:t>
      </w:r>
      <w:r w:rsidRPr="003D2A76">
        <w:rPr>
          <w:rFonts w:asciiTheme="majorBidi" w:hAnsiTheme="majorBidi" w:cstheme="majorBidi"/>
          <w:lang w:val="en-GB"/>
        </w:rPr>
        <w:lastRenderedPageBreak/>
        <w:t>Therefore, the overall target population was approximately 102,000 people (31,688 students + 70,417 parents).</w:t>
      </w:r>
    </w:p>
    <w:p w14:paraId="4A2F2B32" w14:textId="597286AF"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3.4.3 </w:t>
      </w:r>
      <w:r w:rsidR="00885F3C" w:rsidRPr="003D2A76">
        <w:rPr>
          <w:rFonts w:asciiTheme="majorBidi" w:hAnsiTheme="majorBidi" w:cstheme="majorBidi"/>
          <w:b/>
          <w:bCs/>
          <w:i/>
          <w:lang w:val="en-GB"/>
        </w:rPr>
        <w:t>Sample Size Determination</w:t>
      </w:r>
    </w:p>
    <w:p w14:paraId="0E9900D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sample size was estimated and given in the formula below given by Thompson (2012), which gives accurate approximations when the population size is known:</w:t>
      </w:r>
    </w:p>
    <w:p w14:paraId="1EC1421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n = [N × p × (1-p)] / [(N-1) × (d²/Z²) + p × (1-p)]</w:t>
      </w:r>
    </w:p>
    <w:p w14:paraId="77116955" w14:textId="0FDBC7F3" w:rsidR="00885F3C" w:rsidRPr="003D2A76" w:rsidRDefault="008C4D46" w:rsidP="00BD6279">
      <w:pPr>
        <w:bidi w:val="0"/>
        <w:rPr>
          <w:rFonts w:asciiTheme="majorBidi" w:hAnsiTheme="majorBidi" w:cstheme="majorBidi"/>
          <w:lang w:val="en-GB"/>
        </w:rPr>
      </w:pPr>
      <w:r w:rsidRPr="003D2A76">
        <w:rPr>
          <w:rFonts w:asciiTheme="majorBidi" w:hAnsiTheme="majorBidi" w:cstheme="majorBidi"/>
          <w:lang w:val="en-GB"/>
        </w:rPr>
        <w:t>w</w:t>
      </w:r>
      <w:r w:rsidR="00885F3C" w:rsidRPr="003D2A76">
        <w:rPr>
          <w:rFonts w:asciiTheme="majorBidi" w:hAnsiTheme="majorBidi" w:cstheme="majorBidi"/>
          <w:lang w:val="en-GB"/>
        </w:rPr>
        <w:t>here:</w:t>
      </w:r>
    </w:p>
    <w:p w14:paraId="7202E12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N = Population size = 102,000</w:t>
      </w:r>
    </w:p>
    <w:p w14:paraId="738592E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 = Population proportion = 0.5 (maximum variability assumption)</w:t>
      </w:r>
    </w:p>
    <w:p w14:paraId="6662799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 = Margin of error = 0.05 (5%)</w:t>
      </w:r>
    </w:p>
    <w:p w14:paraId="6AE0956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Z = Z-score for 95% confidence level = 1.96</w:t>
      </w:r>
    </w:p>
    <w:p w14:paraId="44D0D661" w14:textId="1E9369A9"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value calculated was a minimum sample size of 383 respondents. The maximum variability (p = 0.5) was adopted in this calculation because it is necessary to have</w:t>
      </w:r>
      <w:r w:rsidR="008C4D46" w:rsidRPr="003D2A76">
        <w:rPr>
          <w:rFonts w:asciiTheme="majorBidi" w:hAnsiTheme="majorBidi" w:cstheme="majorBidi"/>
          <w:lang w:val="en-GB"/>
        </w:rPr>
        <w:t xml:space="preserve"> a</w:t>
      </w:r>
      <w:r w:rsidRPr="003D2A76">
        <w:rPr>
          <w:rFonts w:asciiTheme="majorBidi" w:hAnsiTheme="majorBidi" w:cstheme="majorBidi"/>
          <w:lang w:val="en-GB"/>
        </w:rPr>
        <w:t xml:space="preserve"> sufficient sample size in the worst-case scenario. The confidence level of 95 percent and the margin of error of 5 percent corresponded to the standard deviations in social science research to strike the right balance between preciseness and feasibility of the research (Krejcie and Morgan, 1970).</w:t>
      </w:r>
    </w:p>
    <w:p w14:paraId="1ABD1D2F" w14:textId="3564110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 preliminary power analysis was </w:t>
      </w:r>
      <w:r w:rsidR="008C4D46" w:rsidRPr="003D2A76">
        <w:rPr>
          <w:rFonts w:asciiTheme="majorBidi" w:hAnsiTheme="majorBidi" w:cstheme="majorBidi"/>
          <w:lang w:val="en-GB"/>
        </w:rPr>
        <w:t xml:space="preserve">undertaken </w:t>
      </w:r>
      <w:r w:rsidRPr="003D2A76">
        <w:rPr>
          <w:rFonts w:asciiTheme="majorBidi" w:hAnsiTheme="majorBidi" w:cstheme="majorBidi"/>
          <w:lang w:val="en-GB"/>
        </w:rPr>
        <w:t xml:space="preserve">to verify </w:t>
      </w:r>
      <w:r w:rsidR="008C4D46" w:rsidRPr="003D2A76">
        <w:rPr>
          <w:rFonts w:asciiTheme="majorBidi" w:hAnsiTheme="majorBidi" w:cstheme="majorBidi"/>
          <w:lang w:val="en-GB"/>
        </w:rPr>
        <w:t>t</w:t>
      </w:r>
      <w:r w:rsidRPr="003D2A76">
        <w:rPr>
          <w:rFonts w:asciiTheme="majorBidi" w:hAnsiTheme="majorBidi" w:cstheme="majorBidi"/>
          <w:lang w:val="en-GB"/>
        </w:rPr>
        <w:t>his calculation by using G*Power 3.1.9.7 software (Faul, Erd Felder, Buchner, and Lang, 2009). The sample size needed in case of a multiple regression analysis with eight predictors with a medium effect size (f2 = 0.15), 0.05 alpha level</w:t>
      </w:r>
      <w:r w:rsidR="00EB4562">
        <w:rPr>
          <w:rFonts w:asciiTheme="majorBidi" w:hAnsiTheme="majorBidi" w:cstheme="majorBidi"/>
          <w:lang w:val="en-GB"/>
        </w:rPr>
        <w:t>,</w:t>
      </w:r>
      <w:r w:rsidRPr="003D2A76">
        <w:rPr>
          <w:rFonts w:asciiTheme="majorBidi" w:hAnsiTheme="majorBidi" w:cstheme="majorBidi"/>
          <w:lang w:val="en-GB"/>
        </w:rPr>
        <w:t xml:space="preserve"> and 0.80 statistical power was 109 participants. In order to perform the mediation analyses based on </w:t>
      </w:r>
      <w:r w:rsidR="00EB4562">
        <w:rPr>
          <w:rFonts w:asciiTheme="majorBidi" w:hAnsiTheme="majorBidi" w:cstheme="majorBidi"/>
          <w:lang w:val="en-GB"/>
        </w:rPr>
        <w:t>Hayes'</w:t>
      </w:r>
      <w:r w:rsidRPr="003D2A76">
        <w:rPr>
          <w:rFonts w:asciiTheme="majorBidi" w:hAnsiTheme="majorBidi" w:cstheme="majorBidi"/>
          <w:lang w:val="en-GB"/>
        </w:rPr>
        <w:t xml:space="preserve"> PROCESS macro</w:t>
      </w:r>
      <w:r w:rsidR="00EB4562">
        <w:rPr>
          <w:rFonts w:asciiTheme="majorBidi" w:hAnsiTheme="majorBidi" w:cstheme="majorBidi"/>
          <w:lang w:val="en-GB"/>
        </w:rPr>
        <w:t>,</w:t>
      </w:r>
      <w:r w:rsidRPr="003D2A76">
        <w:rPr>
          <w:rFonts w:asciiTheme="majorBidi" w:hAnsiTheme="majorBidi" w:cstheme="majorBidi"/>
          <w:lang w:val="en-GB"/>
        </w:rPr>
        <w:t xml:space="preserve"> a minimum of 200 participants were required to identify the indirect effects with sufficient power (Fritz and </w:t>
      </w:r>
      <w:r w:rsidRPr="003D2A76">
        <w:rPr>
          <w:rFonts w:asciiTheme="majorBidi" w:hAnsiTheme="majorBidi" w:cstheme="majorBidi"/>
          <w:lang w:val="en-GB"/>
        </w:rPr>
        <w:lastRenderedPageBreak/>
        <w:t>MacKinnon, 2007; Memon et al., 2020). In the case of moderation analysis, 118</w:t>
      </w:r>
      <w:r w:rsidR="00724BAE" w:rsidRPr="003D2A76">
        <w:rPr>
          <w:rFonts w:asciiTheme="majorBidi" w:hAnsiTheme="majorBidi" w:cstheme="majorBidi"/>
          <w:lang w:val="en-GB"/>
        </w:rPr>
        <w:t>–</w:t>
      </w:r>
      <w:r w:rsidRPr="003D2A76">
        <w:rPr>
          <w:rFonts w:asciiTheme="majorBidi" w:hAnsiTheme="majorBidi" w:cstheme="majorBidi"/>
          <w:lang w:val="en-GB"/>
        </w:rPr>
        <w:t xml:space="preserve">395 participants </w:t>
      </w:r>
      <w:r w:rsidR="00724BAE" w:rsidRPr="003D2A76">
        <w:rPr>
          <w:rFonts w:asciiTheme="majorBidi" w:hAnsiTheme="majorBidi" w:cstheme="majorBidi"/>
          <w:lang w:val="en-GB"/>
        </w:rPr>
        <w:t xml:space="preserve">were needed </w:t>
      </w:r>
      <w:r w:rsidRPr="003D2A76">
        <w:rPr>
          <w:rFonts w:asciiTheme="majorBidi" w:hAnsiTheme="majorBidi" w:cstheme="majorBidi"/>
          <w:lang w:val="en-GB"/>
        </w:rPr>
        <w:t>to assume that the interaction effects are small-to-mediocre (f2 = 0.02-0.15). The sample size was reached (409) and was greater than all these conditions, which provided sufficient statistical power (≥ 0.80) to identify small to medium effects in all the proposed analyses, such as hierarchical regression, mediation (PROCESS Models 4 and 6), and moderation (PROCESS Models 1 and 7) studies.</w:t>
      </w:r>
    </w:p>
    <w:p w14:paraId="641554A9"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3.4.4 Sampling Strategy</w:t>
      </w:r>
    </w:p>
    <w:p w14:paraId="215DC744" w14:textId="0350C2F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research used a </w:t>
      </w:r>
      <w:r w:rsidR="00EB4562">
        <w:rPr>
          <w:rFonts w:asciiTheme="majorBidi" w:hAnsiTheme="majorBidi" w:cstheme="majorBidi"/>
          <w:lang w:val="en-GB"/>
        </w:rPr>
        <w:t>convenience</w:t>
      </w:r>
      <w:r w:rsidRPr="003D2A76">
        <w:rPr>
          <w:rFonts w:asciiTheme="majorBidi" w:hAnsiTheme="majorBidi" w:cstheme="majorBidi"/>
          <w:lang w:val="en-GB"/>
        </w:rPr>
        <w:t xml:space="preserve"> sampling technique, where</w:t>
      </w:r>
      <w:r w:rsidR="00724BAE" w:rsidRPr="003D2A76">
        <w:rPr>
          <w:rFonts w:asciiTheme="majorBidi" w:hAnsiTheme="majorBidi" w:cstheme="majorBidi"/>
          <w:lang w:val="en-GB"/>
        </w:rPr>
        <w:t>by</w:t>
      </w:r>
      <w:r w:rsidRPr="003D2A76">
        <w:rPr>
          <w:rFonts w:asciiTheme="majorBidi" w:hAnsiTheme="majorBidi" w:cstheme="majorBidi"/>
          <w:lang w:val="en-GB"/>
        </w:rPr>
        <w:t xml:space="preserve"> the questionnaire was disseminated among all the private schools in Jeddah </w:t>
      </w:r>
      <w:r w:rsidR="00EB4562">
        <w:rPr>
          <w:rFonts w:asciiTheme="majorBidi" w:hAnsiTheme="majorBidi" w:cstheme="majorBidi"/>
          <w:lang w:val="en-GB"/>
        </w:rPr>
        <w:t>that</w:t>
      </w:r>
      <w:r w:rsidRPr="003D2A76">
        <w:rPr>
          <w:rFonts w:asciiTheme="majorBidi" w:hAnsiTheme="majorBidi" w:cstheme="majorBidi"/>
          <w:lang w:val="en-GB"/>
        </w:rPr>
        <w:t xml:space="preserve"> consented to take part. The use of this non-probability sampling technique was determined by practical limitations because it was impossible to follow the participation rates in each school since it is a voluntary process and due to privacy issues (Etikan, Musa, and Alkassim, 2016). Schools were approached by official means and given the links </w:t>
      </w:r>
      <w:r w:rsidR="00724BAE" w:rsidRPr="003D2A76">
        <w:rPr>
          <w:rFonts w:asciiTheme="majorBidi" w:hAnsiTheme="majorBidi" w:cstheme="majorBidi"/>
          <w:lang w:val="en-GB"/>
        </w:rPr>
        <w:t xml:space="preserve">for </w:t>
      </w:r>
      <w:r w:rsidRPr="003D2A76">
        <w:rPr>
          <w:rFonts w:asciiTheme="majorBidi" w:hAnsiTheme="majorBidi" w:cstheme="majorBidi"/>
          <w:lang w:val="en-GB"/>
        </w:rPr>
        <w:t xml:space="preserve">electronic questionnaires and QR codes to distribute them to the communities. Although probability sampling would have been best </w:t>
      </w:r>
      <w:r w:rsidR="00724BAE" w:rsidRPr="003D2A76">
        <w:rPr>
          <w:rFonts w:asciiTheme="majorBidi" w:hAnsiTheme="majorBidi" w:cstheme="majorBidi"/>
          <w:lang w:val="en-GB"/>
        </w:rPr>
        <w:t>for</w:t>
      </w:r>
      <w:r w:rsidRPr="003D2A76">
        <w:rPr>
          <w:rFonts w:asciiTheme="majorBidi" w:hAnsiTheme="majorBidi" w:cstheme="majorBidi"/>
          <w:lang w:val="en-GB"/>
        </w:rPr>
        <w:t xml:space="preserve"> representativeness, the convenience method was well supported by a number of factors. First, the research covered the entire population of private schools in Jeddah. Second, the sample size (409 respondents) was bigger than the estimated rule (383), which gave it a cushion against sampling bias. Third, the sample content was consistent with the population parameters in </w:t>
      </w:r>
      <w:r w:rsidR="00724BAE" w:rsidRPr="003D2A76">
        <w:rPr>
          <w:rFonts w:asciiTheme="majorBidi" w:hAnsiTheme="majorBidi" w:cstheme="majorBidi"/>
          <w:lang w:val="en-GB"/>
        </w:rPr>
        <w:t xml:space="preserve">terms of </w:t>
      </w:r>
      <w:r w:rsidRPr="003D2A76">
        <w:rPr>
          <w:rFonts w:asciiTheme="majorBidi" w:hAnsiTheme="majorBidi" w:cstheme="majorBidi"/>
          <w:lang w:val="en-GB"/>
        </w:rPr>
        <w:t>the number of students who participated in the study, as well as demographic composition (Bornstein, Jager, and Putnick, 2013). The sampling was done in several steps. First, the list of all the private and international schools in Jeddah was determined using the directories of the Ministry of Education</w:t>
      </w:r>
      <w:r w:rsidR="00EB4562">
        <w:rPr>
          <w:rFonts w:asciiTheme="majorBidi" w:hAnsiTheme="majorBidi" w:cstheme="majorBidi"/>
          <w:lang w:val="en-GB"/>
        </w:rPr>
        <w:t>,</w:t>
      </w:r>
      <w:r w:rsidRPr="003D2A76">
        <w:rPr>
          <w:rFonts w:asciiTheme="majorBidi" w:hAnsiTheme="majorBidi" w:cstheme="majorBidi"/>
          <w:lang w:val="en-GB"/>
        </w:rPr>
        <w:t xml:space="preserve"> and </w:t>
      </w:r>
      <w:r w:rsidR="00724BAE" w:rsidRPr="003D2A76">
        <w:rPr>
          <w:rFonts w:asciiTheme="majorBidi" w:hAnsiTheme="majorBidi" w:cstheme="majorBidi"/>
          <w:lang w:val="en-GB"/>
        </w:rPr>
        <w:t xml:space="preserve">all of them were </w:t>
      </w:r>
      <w:r w:rsidRPr="003D2A76">
        <w:rPr>
          <w:rFonts w:asciiTheme="majorBidi" w:hAnsiTheme="majorBidi" w:cstheme="majorBidi"/>
          <w:lang w:val="en-GB"/>
        </w:rPr>
        <w:t xml:space="preserve">contacted. Schools </w:t>
      </w:r>
      <w:r w:rsidR="00EB4562">
        <w:rPr>
          <w:rFonts w:asciiTheme="majorBidi" w:hAnsiTheme="majorBidi" w:cstheme="majorBidi"/>
          <w:lang w:val="en-GB"/>
        </w:rPr>
        <w:t>that</w:t>
      </w:r>
      <w:r w:rsidRPr="003D2A76">
        <w:rPr>
          <w:rFonts w:asciiTheme="majorBidi" w:hAnsiTheme="majorBidi" w:cstheme="majorBidi"/>
          <w:lang w:val="en-GB"/>
        </w:rPr>
        <w:t xml:space="preserve"> registered to participate were </w:t>
      </w:r>
      <w:r w:rsidRPr="003D2A76">
        <w:rPr>
          <w:rFonts w:asciiTheme="majorBidi" w:hAnsiTheme="majorBidi" w:cstheme="majorBidi"/>
          <w:lang w:val="en-GB"/>
        </w:rPr>
        <w:lastRenderedPageBreak/>
        <w:t xml:space="preserve">provided with </w:t>
      </w:r>
      <w:r w:rsidR="00724BAE" w:rsidRPr="003D2A76">
        <w:rPr>
          <w:rFonts w:asciiTheme="majorBidi" w:hAnsiTheme="majorBidi" w:cstheme="majorBidi"/>
          <w:lang w:val="en-GB"/>
        </w:rPr>
        <w:t xml:space="preserve">standardised </w:t>
      </w:r>
      <w:r w:rsidRPr="003D2A76">
        <w:rPr>
          <w:rFonts w:asciiTheme="majorBidi" w:hAnsiTheme="majorBidi" w:cstheme="majorBidi"/>
          <w:lang w:val="en-GB"/>
        </w:rPr>
        <w:t xml:space="preserve">communication resources such as the questionnaire link and QR codes and information sheets. School administrations </w:t>
      </w:r>
      <w:r w:rsidR="00724BAE" w:rsidRPr="003D2A76">
        <w:rPr>
          <w:rFonts w:asciiTheme="majorBidi" w:hAnsiTheme="majorBidi" w:cstheme="majorBidi"/>
          <w:lang w:val="en-GB"/>
        </w:rPr>
        <w:t xml:space="preserve">disseminated </w:t>
      </w:r>
      <w:r w:rsidRPr="003D2A76">
        <w:rPr>
          <w:rFonts w:asciiTheme="majorBidi" w:hAnsiTheme="majorBidi" w:cstheme="majorBidi"/>
          <w:lang w:val="en-GB"/>
        </w:rPr>
        <w:t>them to students who fit</w:t>
      </w:r>
      <w:r w:rsidR="00724BAE" w:rsidRPr="003D2A76">
        <w:rPr>
          <w:rFonts w:asciiTheme="majorBidi" w:hAnsiTheme="majorBidi" w:cstheme="majorBidi"/>
          <w:lang w:val="en-GB"/>
        </w:rPr>
        <w:t>ted</w:t>
      </w:r>
      <w:r w:rsidRPr="003D2A76">
        <w:rPr>
          <w:rFonts w:asciiTheme="majorBidi" w:hAnsiTheme="majorBidi" w:cstheme="majorBidi"/>
          <w:lang w:val="en-GB"/>
        </w:rPr>
        <w:t xml:space="preserve"> the age requirement and parents through their effective communication channels. This mode of distribution took advantage of school-community relationships and ensured anonymity among the participants.</w:t>
      </w:r>
    </w:p>
    <w:p w14:paraId="25B23673" w14:textId="552409A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Although the research reached a sample size that is higher than the minimum requirement in statistics, convenience sampling is still a weakness that limits the inference of the results because of the lack of random selection and possibility of response bias. The findings are therefore to be understood within the realms of private and international schools in Jeddah and </w:t>
      </w:r>
      <w:r w:rsidR="00724BAE" w:rsidRPr="003D2A76">
        <w:rPr>
          <w:rFonts w:asciiTheme="majorBidi" w:hAnsiTheme="majorBidi" w:cstheme="majorBidi"/>
          <w:lang w:val="en-GB"/>
        </w:rPr>
        <w:t>cannot be extended to</w:t>
      </w:r>
      <w:r w:rsidRPr="003D2A76">
        <w:rPr>
          <w:rFonts w:asciiTheme="majorBidi" w:hAnsiTheme="majorBidi" w:cstheme="majorBidi"/>
          <w:lang w:val="en-GB"/>
        </w:rPr>
        <w:t xml:space="preserve"> public schools or other geographical locations. It is also suggested that future studies using probability-based sampling be done to increase the external validity of such findings.</w:t>
      </w:r>
    </w:p>
    <w:p w14:paraId="40DF9CD7" w14:textId="4A426A7F"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3.4.5 </w:t>
      </w:r>
      <w:r w:rsidR="00885F3C" w:rsidRPr="003D2A76">
        <w:rPr>
          <w:rFonts w:asciiTheme="majorBidi" w:hAnsiTheme="majorBidi" w:cstheme="majorBidi"/>
          <w:b/>
          <w:bCs/>
          <w:i/>
          <w:lang w:val="en-GB"/>
        </w:rPr>
        <w:t>Sample Characteristics</w:t>
      </w:r>
    </w:p>
    <w:p w14:paraId="5D90AD62" w14:textId="00147075"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number of valid responses </w:t>
      </w:r>
      <w:r w:rsidR="00724BAE" w:rsidRPr="003D2A76">
        <w:rPr>
          <w:rFonts w:asciiTheme="majorBidi" w:hAnsiTheme="majorBidi" w:cstheme="majorBidi"/>
          <w:lang w:val="en-GB"/>
        </w:rPr>
        <w:t>was</w:t>
      </w:r>
      <w:r w:rsidRPr="003D2A76">
        <w:rPr>
          <w:rFonts w:asciiTheme="majorBidi" w:hAnsiTheme="majorBidi" w:cstheme="majorBidi"/>
          <w:lang w:val="en-GB"/>
        </w:rPr>
        <w:t xml:space="preserve"> 409 </w:t>
      </w:r>
      <w:r w:rsidR="00724BAE" w:rsidRPr="003D2A76">
        <w:rPr>
          <w:rFonts w:asciiTheme="majorBidi" w:hAnsiTheme="majorBidi" w:cstheme="majorBidi"/>
          <w:lang w:val="en-GB"/>
        </w:rPr>
        <w:t xml:space="preserve">which </w:t>
      </w:r>
      <w:r w:rsidRPr="003D2A76">
        <w:rPr>
          <w:rFonts w:asciiTheme="majorBidi" w:hAnsiTheme="majorBidi" w:cstheme="majorBidi"/>
          <w:lang w:val="en-GB"/>
        </w:rPr>
        <w:t xml:space="preserve">was more than the necessary minimum </w:t>
      </w:r>
      <w:r w:rsidR="00724BAE" w:rsidRPr="003D2A76">
        <w:rPr>
          <w:rFonts w:asciiTheme="majorBidi" w:hAnsiTheme="majorBidi" w:cstheme="majorBidi"/>
          <w:lang w:val="en-GB"/>
        </w:rPr>
        <w:t xml:space="preserve">of </w:t>
      </w:r>
      <w:r w:rsidRPr="003D2A76">
        <w:rPr>
          <w:rFonts w:asciiTheme="majorBidi" w:hAnsiTheme="majorBidi" w:cstheme="majorBidi"/>
          <w:lang w:val="en-GB"/>
        </w:rPr>
        <w:t xml:space="preserve">26 participants. This was a sample of 159 students (38.9) and 250 parents (61.1) which was in accordance </w:t>
      </w:r>
      <w:r w:rsidR="00724BAE" w:rsidRPr="003D2A76">
        <w:rPr>
          <w:rFonts w:asciiTheme="majorBidi" w:hAnsiTheme="majorBidi" w:cstheme="majorBidi"/>
          <w:lang w:val="en-GB"/>
        </w:rPr>
        <w:t xml:space="preserve">with </w:t>
      </w:r>
      <w:r w:rsidRPr="003D2A76">
        <w:rPr>
          <w:rFonts w:asciiTheme="majorBidi" w:hAnsiTheme="majorBidi" w:cstheme="majorBidi"/>
          <w:lang w:val="en-GB"/>
        </w:rPr>
        <w:t>the anticipated ratio</w:t>
      </w:r>
      <w:r w:rsidR="00EB4562">
        <w:rPr>
          <w:rFonts w:asciiTheme="majorBidi" w:hAnsiTheme="majorBidi" w:cstheme="majorBidi"/>
          <w:lang w:val="en-GB"/>
        </w:rPr>
        <w:t>,</w:t>
      </w:r>
      <w:r w:rsidRPr="003D2A76">
        <w:rPr>
          <w:rFonts w:asciiTheme="majorBidi" w:hAnsiTheme="majorBidi" w:cstheme="majorBidi"/>
          <w:lang w:val="en-GB"/>
        </w:rPr>
        <w:t xml:space="preserve"> considering that a parent usually has more than one child but each student has a single parental unit. The sample was also heterogeneous in </w:t>
      </w:r>
      <w:r w:rsidR="00724BAE" w:rsidRPr="003D2A76">
        <w:rPr>
          <w:rFonts w:asciiTheme="majorBidi" w:hAnsiTheme="majorBidi" w:cstheme="majorBidi"/>
          <w:lang w:val="en-GB"/>
        </w:rPr>
        <w:t xml:space="preserve">terms of </w:t>
      </w:r>
      <w:r w:rsidRPr="003D2A76">
        <w:rPr>
          <w:rFonts w:asciiTheme="majorBidi" w:hAnsiTheme="majorBidi" w:cstheme="majorBidi"/>
          <w:lang w:val="en-GB"/>
        </w:rPr>
        <w:t>major demographic characteristics such as gender, age, education level, income</w:t>
      </w:r>
      <w:r w:rsidR="00EB4562">
        <w:rPr>
          <w:rFonts w:asciiTheme="majorBidi" w:hAnsiTheme="majorBidi" w:cstheme="majorBidi"/>
          <w:lang w:val="en-GB"/>
        </w:rPr>
        <w:t>,</w:t>
      </w:r>
      <w:r w:rsidRPr="003D2A76">
        <w:rPr>
          <w:rFonts w:asciiTheme="majorBidi" w:hAnsiTheme="majorBidi" w:cstheme="majorBidi"/>
          <w:lang w:val="en-GB"/>
        </w:rPr>
        <w:t xml:space="preserve"> and nationality, which increases the applicability of the results to the general population in the Jeddah private school setting. The analysis of patterns </w:t>
      </w:r>
      <w:r w:rsidR="00724BAE" w:rsidRPr="003D2A76">
        <w:rPr>
          <w:rFonts w:asciiTheme="majorBidi" w:hAnsiTheme="majorBidi" w:cstheme="majorBidi"/>
          <w:lang w:val="en-GB"/>
        </w:rPr>
        <w:t>for</w:t>
      </w:r>
      <w:r w:rsidRPr="003D2A76">
        <w:rPr>
          <w:rFonts w:asciiTheme="majorBidi" w:hAnsiTheme="majorBidi" w:cstheme="majorBidi"/>
          <w:lang w:val="en-GB"/>
        </w:rPr>
        <w:t xml:space="preserve"> response</w:t>
      </w:r>
      <w:r w:rsidR="00724BAE" w:rsidRPr="003D2A76">
        <w:rPr>
          <w:rFonts w:asciiTheme="majorBidi" w:hAnsiTheme="majorBidi" w:cstheme="majorBidi"/>
          <w:lang w:val="en-GB"/>
        </w:rPr>
        <w:t>s</w:t>
      </w:r>
      <w:r w:rsidRPr="003D2A76">
        <w:rPr>
          <w:rFonts w:asciiTheme="majorBidi" w:hAnsiTheme="majorBidi" w:cstheme="majorBidi"/>
          <w:lang w:val="en-GB"/>
        </w:rPr>
        <w:t xml:space="preserve"> indicated that 470 people started the questionnaire, 409 </w:t>
      </w:r>
      <w:r w:rsidR="00724BAE" w:rsidRPr="003D2A76">
        <w:rPr>
          <w:rFonts w:asciiTheme="majorBidi" w:hAnsiTheme="majorBidi" w:cstheme="majorBidi"/>
          <w:lang w:val="en-GB"/>
        </w:rPr>
        <w:t xml:space="preserve">responded </w:t>
      </w:r>
      <w:r w:rsidRPr="003D2A76">
        <w:rPr>
          <w:rFonts w:asciiTheme="majorBidi" w:hAnsiTheme="majorBidi" w:cstheme="majorBidi"/>
          <w:lang w:val="en-GB"/>
        </w:rPr>
        <w:t xml:space="preserve">to all the eligibility requirements, and </w:t>
      </w:r>
      <w:r w:rsidR="00724BAE" w:rsidRPr="003D2A76">
        <w:rPr>
          <w:rFonts w:asciiTheme="majorBidi" w:hAnsiTheme="majorBidi" w:cstheme="majorBidi"/>
          <w:lang w:val="en-GB"/>
        </w:rPr>
        <w:t>completed</w:t>
      </w:r>
      <w:r w:rsidRPr="003D2A76">
        <w:rPr>
          <w:rFonts w:asciiTheme="majorBidi" w:hAnsiTheme="majorBidi" w:cstheme="majorBidi"/>
          <w:lang w:val="en-GB"/>
        </w:rPr>
        <w:t xml:space="preserve"> the survey. This is </w:t>
      </w:r>
      <w:r w:rsidR="00724BAE" w:rsidRPr="003D2A76">
        <w:rPr>
          <w:rFonts w:asciiTheme="majorBidi" w:hAnsiTheme="majorBidi" w:cstheme="majorBidi"/>
          <w:lang w:val="en-GB"/>
        </w:rPr>
        <w:t xml:space="preserve">an </w:t>
      </w:r>
      <w:r w:rsidRPr="003D2A76">
        <w:rPr>
          <w:rFonts w:asciiTheme="majorBidi" w:hAnsiTheme="majorBidi" w:cstheme="majorBidi"/>
          <w:lang w:val="en-GB"/>
        </w:rPr>
        <w:t>87.02 percent completion rate among the people who visited the questionnaire</w:t>
      </w:r>
      <w:r w:rsidR="00EB4562">
        <w:rPr>
          <w:rFonts w:asciiTheme="majorBidi" w:hAnsiTheme="majorBidi" w:cstheme="majorBidi"/>
          <w:lang w:val="en-GB"/>
        </w:rPr>
        <w:t>,</w:t>
      </w:r>
      <w:r w:rsidRPr="003D2A76">
        <w:rPr>
          <w:rFonts w:asciiTheme="majorBidi" w:hAnsiTheme="majorBidi" w:cstheme="majorBidi"/>
          <w:lang w:val="en-GB"/>
        </w:rPr>
        <w:t xml:space="preserve"> which was an indicator that there </w:t>
      </w:r>
      <w:r w:rsidRPr="003D2A76">
        <w:rPr>
          <w:rFonts w:asciiTheme="majorBidi" w:hAnsiTheme="majorBidi" w:cstheme="majorBidi"/>
          <w:lang w:val="en-GB"/>
        </w:rPr>
        <w:lastRenderedPageBreak/>
        <w:t xml:space="preserve">was a great interest in the research topic. The 61 non-responses were mainly made up of people </w:t>
      </w:r>
      <w:r w:rsidR="00724BAE" w:rsidRPr="003D2A76">
        <w:rPr>
          <w:rFonts w:asciiTheme="majorBidi" w:hAnsiTheme="majorBidi" w:cstheme="majorBidi"/>
          <w:lang w:val="en-GB"/>
        </w:rPr>
        <w:t xml:space="preserve">who </w:t>
      </w:r>
      <w:r w:rsidRPr="003D2A76">
        <w:rPr>
          <w:rFonts w:asciiTheme="majorBidi" w:hAnsiTheme="majorBidi" w:cstheme="majorBidi"/>
          <w:lang w:val="en-GB"/>
        </w:rPr>
        <w:t xml:space="preserve">did not fit the criteria of the questionnaire (not employed in Jeddah private schools) or those </w:t>
      </w:r>
      <w:r w:rsidR="00724BAE" w:rsidRPr="003D2A76">
        <w:rPr>
          <w:rFonts w:asciiTheme="majorBidi" w:hAnsiTheme="majorBidi" w:cstheme="majorBidi"/>
          <w:lang w:val="en-GB"/>
        </w:rPr>
        <w:t>who</w:t>
      </w:r>
      <w:r w:rsidRPr="003D2A76">
        <w:rPr>
          <w:rFonts w:asciiTheme="majorBidi" w:hAnsiTheme="majorBidi" w:cstheme="majorBidi"/>
          <w:lang w:val="en-GB"/>
        </w:rPr>
        <w:t xml:space="preserve"> did not fill out the necessary forms.</w:t>
      </w:r>
    </w:p>
    <w:p w14:paraId="12587B2C" w14:textId="77777777" w:rsidR="00885F3C" w:rsidRPr="003D2A76" w:rsidRDefault="006A4A5D" w:rsidP="00BD6279">
      <w:pPr>
        <w:pStyle w:val="Heading2"/>
        <w:rPr>
          <w:lang w:val="en-GB"/>
        </w:rPr>
      </w:pPr>
      <w:bookmarkStart w:id="26" w:name="_Toc228056569"/>
      <w:r w:rsidRPr="003D2A76">
        <w:rPr>
          <w:rFonts w:ascii="Times New Roman" w:hAnsi="Times New Roman" w:cs="Times New Roman"/>
          <w:lang w:val="en-GB"/>
        </w:rPr>
        <w:t xml:space="preserve">3.5 </w:t>
      </w:r>
      <w:r w:rsidR="00885F3C" w:rsidRPr="003D2A76">
        <w:rPr>
          <w:rFonts w:ascii="Times New Roman" w:hAnsi="Times New Roman" w:cs="Times New Roman"/>
          <w:lang w:val="en-GB"/>
        </w:rPr>
        <w:t>Research Instrument Development</w:t>
      </w:r>
      <w:bookmarkEnd w:id="26"/>
    </w:p>
    <w:p w14:paraId="6779F00B" w14:textId="2227A367"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3.5.1 </w:t>
      </w:r>
      <w:r w:rsidR="00885F3C" w:rsidRPr="003D2A76">
        <w:rPr>
          <w:rFonts w:asciiTheme="majorBidi" w:hAnsiTheme="majorBidi" w:cstheme="majorBidi"/>
          <w:b/>
          <w:bCs/>
          <w:i/>
          <w:lang w:val="en-GB"/>
        </w:rPr>
        <w:t>Questionnaire Design</w:t>
      </w:r>
    </w:p>
    <w:p w14:paraId="4BFAC484" w14:textId="5E0F99E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study tool was a self-administered </w:t>
      </w:r>
      <w:r w:rsidR="00724BAE" w:rsidRPr="003D2A76">
        <w:rPr>
          <w:rFonts w:asciiTheme="majorBidi" w:hAnsiTheme="majorBidi" w:cstheme="majorBidi"/>
          <w:lang w:val="en-GB"/>
        </w:rPr>
        <w:t xml:space="preserve">structured </w:t>
      </w:r>
      <w:r w:rsidRPr="003D2A76">
        <w:rPr>
          <w:rFonts w:asciiTheme="majorBidi" w:hAnsiTheme="majorBidi" w:cstheme="majorBidi"/>
          <w:lang w:val="en-GB"/>
        </w:rPr>
        <w:t>questionnaire</w:t>
      </w:r>
      <w:r w:rsidR="00EB4562">
        <w:rPr>
          <w:rFonts w:asciiTheme="majorBidi" w:hAnsiTheme="majorBidi" w:cstheme="majorBidi"/>
          <w:lang w:val="en-GB"/>
        </w:rPr>
        <w:t>,</w:t>
      </w:r>
      <w:r w:rsidRPr="003D2A76">
        <w:rPr>
          <w:rFonts w:asciiTheme="majorBidi" w:hAnsiTheme="majorBidi" w:cstheme="majorBidi"/>
          <w:lang w:val="en-GB"/>
        </w:rPr>
        <w:t xml:space="preserve"> </w:t>
      </w:r>
      <w:r w:rsidR="00724BAE" w:rsidRPr="003D2A76">
        <w:rPr>
          <w:rFonts w:asciiTheme="majorBidi" w:hAnsiTheme="majorBidi" w:cstheme="majorBidi"/>
          <w:lang w:val="en-GB"/>
        </w:rPr>
        <w:t>and it</w:t>
      </w:r>
      <w:r w:rsidRPr="003D2A76">
        <w:rPr>
          <w:rFonts w:asciiTheme="majorBidi" w:hAnsiTheme="majorBidi" w:cstheme="majorBidi"/>
          <w:lang w:val="en-GB"/>
        </w:rPr>
        <w:t xml:space="preserve"> contained validated scales that were modified to suit the educational technology setting. The questionnaire design was based on the principles of survey research, such as conciseness of instructions, logical </w:t>
      </w:r>
      <w:r w:rsidR="00724BAE" w:rsidRPr="003D2A76">
        <w:rPr>
          <w:rFonts w:asciiTheme="majorBidi" w:hAnsiTheme="majorBidi" w:cstheme="majorBidi"/>
          <w:lang w:val="en-GB"/>
        </w:rPr>
        <w:t>organisation</w:t>
      </w:r>
      <w:r w:rsidRPr="003D2A76">
        <w:rPr>
          <w:rFonts w:asciiTheme="majorBidi" w:hAnsiTheme="majorBidi" w:cstheme="majorBidi"/>
          <w:lang w:val="en-GB"/>
        </w:rPr>
        <w:t>, proper type of responses, and fullness of coverage of all constructs (Dillman et al., 2014). The scale was divided into eight key parts, namely</w:t>
      </w:r>
      <w:r w:rsidR="00724BAE" w:rsidRPr="003D2A76">
        <w:rPr>
          <w:rFonts w:asciiTheme="majorBidi" w:hAnsiTheme="majorBidi" w:cstheme="majorBidi"/>
          <w:lang w:val="en-GB"/>
        </w:rPr>
        <w:t>:</w:t>
      </w:r>
      <w:r w:rsidRPr="003D2A76">
        <w:rPr>
          <w:rFonts w:asciiTheme="majorBidi" w:hAnsiTheme="majorBidi" w:cstheme="majorBidi"/>
          <w:lang w:val="en-GB"/>
        </w:rPr>
        <w:t xml:space="preserve"> demographic data, AI adoption in instruction, AI adoption in marketing, perceived quality of services, trust, perceived value, purchase intention, and cultural</w:t>
      </w:r>
      <w:r w:rsidR="00724BAE" w:rsidRPr="003D2A76">
        <w:rPr>
          <w:rFonts w:asciiTheme="majorBidi" w:hAnsiTheme="majorBidi" w:cstheme="majorBidi"/>
          <w:lang w:val="en-GB"/>
        </w:rPr>
        <w:t xml:space="preserve"> factors</w:t>
      </w:r>
      <w:r w:rsidRPr="003D2A76">
        <w:rPr>
          <w:rFonts w:asciiTheme="majorBidi" w:hAnsiTheme="majorBidi" w:cstheme="majorBidi"/>
          <w:lang w:val="en-GB"/>
        </w:rPr>
        <w:t xml:space="preserve">. All the constructs were measured based on seven-point Likert scales, </w:t>
      </w:r>
      <w:r w:rsidR="00724BAE" w:rsidRPr="003D2A76">
        <w:rPr>
          <w:rFonts w:asciiTheme="majorBidi" w:hAnsiTheme="majorBidi" w:cstheme="majorBidi"/>
          <w:lang w:val="en-GB"/>
        </w:rPr>
        <w:t>from</w:t>
      </w:r>
      <w:r w:rsidRPr="003D2A76">
        <w:rPr>
          <w:rFonts w:asciiTheme="majorBidi" w:hAnsiTheme="majorBidi" w:cstheme="majorBidi"/>
          <w:lang w:val="en-GB"/>
        </w:rPr>
        <w:t xml:space="preserve"> 1</w:t>
      </w:r>
      <w:r w:rsidR="00724BAE" w:rsidRPr="003D2A76">
        <w:rPr>
          <w:rFonts w:asciiTheme="majorBidi" w:hAnsiTheme="majorBidi" w:cstheme="majorBidi"/>
          <w:lang w:val="en-GB"/>
        </w:rPr>
        <w:t xml:space="preserve"> </w:t>
      </w:r>
      <w:r w:rsidRPr="003D2A76">
        <w:rPr>
          <w:rFonts w:asciiTheme="majorBidi" w:hAnsiTheme="majorBidi" w:cstheme="majorBidi"/>
          <w:lang w:val="en-GB"/>
        </w:rPr>
        <w:t>(Strongly Disagree) to 7 (Strongly Agree), except cultural factors</w:t>
      </w:r>
      <w:r w:rsidR="00EB4562">
        <w:rPr>
          <w:rFonts w:asciiTheme="majorBidi" w:hAnsiTheme="majorBidi" w:cstheme="majorBidi"/>
          <w:lang w:val="en-GB"/>
        </w:rPr>
        <w:t>,</w:t>
      </w:r>
      <w:r w:rsidRPr="003D2A76">
        <w:rPr>
          <w:rFonts w:asciiTheme="majorBidi" w:hAnsiTheme="majorBidi" w:cstheme="majorBidi"/>
          <w:lang w:val="en-GB"/>
        </w:rPr>
        <w:t xml:space="preserve"> which were measured on a scale of importance ranging </w:t>
      </w:r>
      <w:r w:rsidR="00724BAE" w:rsidRPr="003D2A76">
        <w:rPr>
          <w:rFonts w:asciiTheme="majorBidi" w:hAnsiTheme="majorBidi" w:cstheme="majorBidi"/>
          <w:lang w:val="en-GB"/>
        </w:rPr>
        <w:t xml:space="preserve">from </w:t>
      </w:r>
      <w:r w:rsidRPr="003D2A76">
        <w:rPr>
          <w:rFonts w:asciiTheme="majorBidi" w:hAnsiTheme="majorBidi" w:cstheme="majorBidi"/>
          <w:lang w:val="en-GB"/>
        </w:rPr>
        <w:t>1</w:t>
      </w:r>
      <w:r w:rsidR="00724BAE" w:rsidRPr="003D2A76">
        <w:rPr>
          <w:rFonts w:asciiTheme="majorBidi" w:hAnsiTheme="majorBidi" w:cstheme="majorBidi"/>
          <w:lang w:val="en-GB"/>
        </w:rPr>
        <w:t xml:space="preserve"> </w:t>
      </w:r>
      <w:r w:rsidRPr="003D2A76">
        <w:rPr>
          <w:rFonts w:asciiTheme="majorBidi" w:hAnsiTheme="majorBidi" w:cstheme="majorBidi"/>
          <w:lang w:val="en-GB"/>
        </w:rPr>
        <w:t xml:space="preserve">(Not Important) through </w:t>
      </w:r>
      <w:r w:rsidR="00724BAE" w:rsidRPr="003D2A76">
        <w:rPr>
          <w:rFonts w:asciiTheme="majorBidi" w:hAnsiTheme="majorBidi" w:cstheme="majorBidi"/>
          <w:lang w:val="en-GB"/>
        </w:rPr>
        <w:t xml:space="preserve">to </w:t>
      </w:r>
      <w:r w:rsidRPr="003D2A76">
        <w:rPr>
          <w:rFonts w:asciiTheme="majorBidi" w:hAnsiTheme="majorBidi" w:cstheme="majorBidi"/>
          <w:lang w:val="en-GB"/>
        </w:rPr>
        <w:t>7</w:t>
      </w:r>
      <w:r w:rsidR="00724BAE" w:rsidRPr="003D2A76">
        <w:rPr>
          <w:rFonts w:asciiTheme="majorBidi" w:hAnsiTheme="majorBidi" w:cstheme="majorBidi"/>
          <w:lang w:val="en-GB"/>
        </w:rPr>
        <w:t xml:space="preserve"> </w:t>
      </w:r>
      <w:r w:rsidRPr="003D2A76">
        <w:rPr>
          <w:rFonts w:asciiTheme="majorBidi" w:hAnsiTheme="majorBidi" w:cstheme="majorBidi"/>
          <w:lang w:val="en-GB"/>
        </w:rPr>
        <w:t xml:space="preserve">(Absolutely Essential). The 7-point measure was chosen instead of five-point options to give more variance and enhance the accuracy of the statistical analysis, especially regression-based mediation and moderation analysis (Finstad, 2010). This scale width has been reported to yield maximum reliability and validity without </w:t>
      </w:r>
      <w:r w:rsidR="00EB4562">
        <w:rPr>
          <w:rFonts w:asciiTheme="majorBidi" w:hAnsiTheme="majorBidi" w:cstheme="majorBidi"/>
          <w:lang w:val="en-GB"/>
        </w:rPr>
        <w:t>confusing</w:t>
      </w:r>
      <w:r w:rsidRPr="003D2A76">
        <w:rPr>
          <w:rFonts w:asciiTheme="majorBidi" w:hAnsiTheme="majorBidi" w:cstheme="majorBidi"/>
          <w:lang w:val="en-GB"/>
        </w:rPr>
        <w:t xml:space="preserve"> respondents (Dawes, 2008).</w:t>
      </w:r>
    </w:p>
    <w:p w14:paraId="6E51D2B8" w14:textId="1DE4652C"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3.5.2 </w:t>
      </w:r>
      <w:r w:rsidR="00885F3C" w:rsidRPr="003D2A76">
        <w:rPr>
          <w:rFonts w:asciiTheme="majorBidi" w:hAnsiTheme="majorBidi" w:cstheme="majorBidi"/>
          <w:b/>
          <w:bCs/>
          <w:i/>
          <w:lang w:val="en-GB"/>
        </w:rPr>
        <w:t>Scale Development and Sources</w:t>
      </w:r>
    </w:p>
    <w:p w14:paraId="540DC3B8" w14:textId="494F51D2"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four items used to measure AI adoption in </w:t>
      </w:r>
      <w:r w:rsidR="00724BAE" w:rsidRPr="003D2A76">
        <w:rPr>
          <w:rFonts w:asciiTheme="majorBidi" w:hAnsiTheme="majorBidi" w:cstheme="majorBidi"/>
          <w:lang w:val="en-GB"/>
        </w:rPr>
        <w:t xml:space="preserve">the </w:t>
      </w:r>
      <w:r w:rsidRPr="003D2A76">
        <w:rPr>
          <w:rFonts w:asciiTheme="majorBidi" w:hAnsiTheme="majorBidi" w:cstheme="majorBidi"/>
          <w:lang w:val="en-GB"/>
        </w:rPr>
        <w:t xml:space="preserve">teaching construct were based on the literature of the </w:t>
      </w:r>
      <w:r w:rsidR="00724BAE" w:rsidRPr="003D2A76">
        <w:rPr>
          <w:rFonts w:asciiTheme="majorBidi" w:hAnsiTheme="majorBidi" w:cstheme="majorBidi"/>
          <w:lang w:val="en-GB"/>
        </w:rPr>
        <w:t xml:space="preserve">TAM </w:t>
      </w:r>
      <w:r w:rsidRPr="003D2A76">
        <w:rPr>
          <w:rFonts w:asciiTheme="majorBidi" w:hAnsiTheme="majorBidi" w:cstheme="majorBidi"/>
          <w:lang w:val="en-GB"/>
        </w:rPr>
        <w:t xml:space="preserve">and educational technology research (Davis, 1989; Venkatesh and Bala 2008). Articles dealt with </w:t>
      </w:r>
      <w:r w:rsidR="00724BAE" w:rsidRPr="003D2A76">
        <w:rPr>
          <w:rFonts w:asciiTheme="majorBidi" w:hAnsiTheme="majorBidi" w:cstheme="majorBidi"/>
          <w:lang w:val="en-GB"/>
        </w:rPr>
        <w:t>AI</w:t>
      </w:r>
      <w:r w:rsidRPr="003D2A76">
        <w:rPr>
          <w:rFonts w:asciiTheme="majorBidi" w:hAnsiTheme="majorBidi" w:cstheme="majorBidi"/>
          <w:lang w:val="en-GB"/>
        </w:rPr>
        <w:t xml:space="preserve">-based adaptive learning, intelligent tutoring, personal </w:t>
      </w:r>
      <w:r w:rsidRPr="003D2A76">
        <w:rPr>
          <w:rFonts w:asciiTheme="majorBidi" w:hAnsiTheme="majorBidi" w:cstheme="majorBidi"/>
          <w:lang w:val="en-GB"/>
        </w:rPr>
        <w:lastRenderedPageBreak/>
        <w:t xml:space="preserve">learning environment, and learning content augmented by AI. These products represented the technological and pedagogical uses of AI in the educational environment (Zawacki-Richter, Marin, Bond, and Gouverneur, 2019). The items created </w:t>
      </w:r>
      <w:r w:rsidR="00724BAE" w:rsidRPr="003D2A76">
        <w:rPr>
          <w:rFonts w:asciiTheme="majorBidi" w:hAnsiTheme="majorBidi" w:cstheme="majorBidi"/>
          <w:lang w:val="en-GB"/>
        </w:rPr>
        <w:t xml:space="preserve">were </w:t>
      </w:r>
      <w:r w:rsidRPr="003D2A76">
        <w:rPr>
          <w:rFonts w:asciiTheme="majorBidi" w:hAnsiTheme="majorBidi" w:cstheme="majorBidi"/>
          <w:lang w:val="en-GB"/>
        </w:rPr>
        <w:t>based on the digital marketing and educational marketing literature</w:t>
      </w:r>
      <w:r w:rsidR="00724BAE" w:rsidRPr="003D2A76">
        <w:rPr>
          <w:rFonts w:asciiTheme="majorBidi" w:hAnsiTheme="majorBidi" w:cstheme="majorBidi"/>
          <w:lang w:val="en-GB"/>
        </w:rPr>
        <w:t>; there were</w:t>
      </w:r>
      <w:r w:rsidRPr="003D2A76">
        <w:rPr>
          <w:rFonts w:asciiTheme="majorBidi" w:hAnsiTheme="majorBidi" w:cstheme="majorBidi"/>
          <w:lang w:val="en-GB"/>
        </w:rPr>
        <w:t xml:space="preserve"> three items to develop AI adoption in </w:t>
      </w:r>
      <w:r w:rsidR="00724BAE" w:rsidRPr="003D2A76">
        <w:rPr>
          <w:rFonts w:asciiTheme="majorBidi" w:hAnsiTheme="majorBidi" w:cstheme="majorBidi"/>
          <w:lang w:val="en-GB"/>
        </w:rPr>
        <w:t xml:space="preserve">the </w:t>
      </w:r>
      <w:r w:rsidRPr="003D2A76">
        <w:rPr>
          <w:rFonts w:asciiTheme="majorBidi" w:hAnsiTheme="majorBidi" w:cstheme="majorBidi"/>
          <w:lang w:val="en-GB"/>
        </w:rPr>
        <w:t>marketing construct (Kotler and Fox, 1995; Gibbs and Knapp, 2012). Products addressed AI-enabled chatbots, AI-enhanced online platforms, and AI-enabled customer care systems. These actions were the customer-facing AI applications that impact the interactions of stakeholders with educational institutions (Huang and Rust, 2018). The perceived service quality was determined through a modified SERVQUAL scale with two items on each of the five dimensions (Parasuraman et al., 1988). Tangibility items were taken to deal with modern equipment and digital interfaces, promise-keeping and delivery of commitment, quick response, willingness to help, competence and confidence in quality, understanding of needs and genuine concern were the areas that empathy items touched. This shortened SERVQUAL ensured high construct validity</w:t>
      </w:r>
      <w:r w:rsidR="00EB4562">
        <w:rPr>
          <w:rFonts w:asciiTheme="majorBidi" w:hAnsiTheme="majorBidi" w:cstheme="majorBidi"/>
          <w:lang w:val="en-GB"/>
        </w:rPr>
        <w:t>,</w:t>
      </w:r>
      <w:r w:rsidRPr="003D2A76">
        <w:rPr>
          <w:rFonts w:asciiTheme="majorBidi" w:hAnsiTheme="majorBidi" w:cstheme="majorBidi"/>
          <w:lang w:val="en-GB"/>
        </w:rPr>
        <w:t xml:space="preserve"> and the respondent burden was </w:t>
      </w:r>
      <w:r w:rsidR="00724BAE" w:rsidRPr="003D2A76">
        <w:rPr>
          <w:rFonts w:asciiTheme="majorBidi" w:hAnsiTheme="majorBidi" w:cstheme="majorBidi"/>
          <w:lang w:val="en-GB"/>
        </w:rPr>
        <w:t xml:space="preserve">minimised </w:t>
      </w:r>
      <w:r w:rsidRPr="003D2A76">
        <w:rPr>
          <w:rFonts w:asciiTheme="majorBidi" w:hAnsiTheme="majorBidi" w:cstheme="majorBidi"/>
          <w:lang w:val="en-GB"/>
        </w:rPr>
        <w:t xml:space="preserve">(Ladhari, 2009). The measure of trust was </w:t>
      </w:r>
      <w:r w:rsidR="00724BAE" w:rsidRPr="003D2A76">
        <w:rPr>
          <w:rFonts w:asciiTheme="majorBidi" w:hAnsiTheme="majorBidi" w:cstheme="majorBidi"/>
          <w:lang w:val="en-GB"/>
        </w:rPr>
        <w:t xml:space="preserve">operationalised </w:t>
      </w:r>
      <w:r w:rsidRPr="003D2A76">
        <w:rPr>
          <w:rFonts w:asciiTheme="majorBidi" w:hAnsiTheme="majorBidi" w:cstheme="majorBidi"/>
          <w:lang w:val="en-GB"/>
        </w:rPr>
        <w:t xml:space="preserve">in three items that were taken based on institutional trust literature (Morgan and Hunt, 1994; Sirdeshmukh, Singh and Sabol, 2002). Items gauged the attitude </w:t>
      </w:r>
      <w:r w:rsidR="00724BAE" w:rsidRPr="003D2A76">
        <w:rPr>
          <w:rFonts w:asciiTheme="majorBidi" w:hAnsiTheme="majorBidi" w:cstheme="majorBidi"/>
          <w:lang w:val="en-GB"/>
        </w:rPr>
        <w:t xml:space="preserve">to the suggestion </w:t>
      </w:r>
      <w:r w:rsidRPr="003D2A76">
        <w:rPr>
          <w:rFonts w:asciiTheme="majorBidi" w:hAnsiTheme="majorBidi" w:cstheme="majorBidi"/>
          <w:lang w:val="en-GB"/>
        </w:rPr>
        <w:t>that the school is working in the best interest of students, their ability to provide quality education</w:t>
      </w:r>
      <w:r w:rsidR="00EB4562">
        <w:rPr>
          <w:rFonts w:asciiTheme="majorBidi" w:hAnsiTheme="majorBidi" w:cstheme="majorBidi"/>
          <w:lang w:val="en-GB"/>
        </w:rPr>
        <w:t>,</w:t>
      </w:r>
      <w:r w:rsidRPr="003D2A76">
        <w:rPr>
          <w:rFonts w:asciiTheme="majorBidi" w:hAnsiTheme="majorBidi" w:cstheme="majorBidi"/>
          <w:lang w:val="en-GB"/>
        </w:rPr>
        <w:t xml:space="preserve"> and the ability to </w:t>
      </w:r>
      <w:r w:rsidR="003D2A76" w:rsidRPr="003D2A76">
        <w:rPr>
          <w:rFonts w:asciiTheme="majorBidi" w:hAnsiTheme="majorBidi" w:cstheme="majorBidi"/>
          <w:lang w:val="en-GB"/>
        </w:rPr>
        <w:t>fulfil</w:t>
      </w:r>
      <w:r w:rsidRPr="003D2A76">
        <w:rPr>
          <w:rFonts w:asciiTheme="majorBidi" w:hAnsiTheme="majorBidi" w:cstheme="majorBidi"/>
          <w:lang w:val="en-GB"/>
        </w:rPr>
        <w:t xml:space="preserve"> their promises. These dimensions were able to address benevolence and competence elements of trust that are defined in education (Tschannen-Moran and Hoy, 2000). Perceived value used three consumer value literature items that were developed </w:t>
      </w:r>
      <w:r w:rsidR="00724BAE" w:rsidRPr="003D2A76">
        <w:rPr>
          <w:rFonts w:asciiTheme="majorBidi" w:hAnsiTheme="majorBidi" w:cstheme="majorBidi"/>
          <w:lang w:val="en-GB"/>
        </w:rPr>
        <w:t>for application</w:t>
      </w:r>
      <w:r w:rsidRPr="003D2A76">
        <w:rPr>
          <w:rFonts w:asciiTheme="majorBidi" w:hAnsiTheme="majorBidi" w:cstheme="majorBidi"/>
          <w:lang w:val="en-GB"/>
        </w:rPr>
        <w:t xml:space="preserve"> to educational services (Sweeney and Soutar, 2001; Ledden, Kalafatis, and Samouel, 2007). Products </w:t>
      </w:r>
      <w:r w:rsidR="00724BAE" w:rsidRPr="003D2A76">
        <w:rPr>
          <w:rFonts w:asciiTheme="majorBidi" w:hAnsiTheme="majorBidi" w:cstheme="majorBidi"/>
          <w:lang w:val="en-GB"/>
        </w:rPr>
        <w:lastRenderedPageBreak/>
        <w:t>were</w:t>
      </w:r>
      <w:r w:rsidRPr="003D2A76">
        <w:rPr>
          <w:rFonts w:asciiTheme="majorBidi" w:hAnsiTheme="majorBidi" w:cstheme="majorBidi"/>
          <w:lang w:val="en-GB"/>
        </w:rPr>
        <w:t xml:space="preserve"> measured </w:t>
      </w:r>
      <w:r w:rsidR="00EB4562">
        <w:rPr>
          <w:rFonts w:asciiTheme="majorBidi" w:hAnsiTheme="majorBidi" w:cstheme="majorBidi"/>
          <w:lang w:val="en-GB"/>
        </w:rPr>
        <w:t>based on</w:t>
      </w:r>
      <w:r w:rsidR="00724BAE" w:rsidRPr="003D2A76">
        <w:rPr>
          <w:rFonts w:asciiTheme="majorBidi" w:hAnsiTheme="majorBidi" w:cstheme="majorBidi"/>
          <w:lang w:val="en-GB"/>
        </w:rPr>
        <w:t xml:space="preserve"> </w:t>
      </w:r>
      <w:r w:rsidRPr="003D2A76">
        <w:rPr>
          <w:rFonts w:asciiTheme="majorBidi" w:hAnsiTheme="majorBidi" w:cstheme="majorBidi"/>
          <w:lang w:val="en-GB"/>
        </w:rPr>
        <w:t xml:space="preserve">value </w:t>
      </w:r>
      <w:r w:rsidR="00724BAE" w:rsidRPr="003D2A76">
        <w:rPr>
          <w:rFonts w:asciiTheme="majorBidi" w:hAnsiTheme="majorBidi" w:cstheme="majorBidi"/>
          <w:lang w:val="en-GB"/>
        </w:rPr>
        <w:t xml:space="preserve">for </w:t>
      </w:r>
      <w:r w:rsidRPr="003D2A76">
        <w:rPr>
          <w:rFonts w:asciiTheme="majorBidi" w:hAnsiTheme="majorBidi" w:cstheme="majorBidi"/>
          <w:lang w:val="en-GB"/>
        </w:rPr>
        <w:t>money, value in comparison with other schools</w:t>
      </w:r>
      <w:r w:rsidR="00EB4562">
        <w:rPr>
          <w:rFonts w:asciiTheme="majorBidi" w:hAnsiTheme="majorBidi" w:cstheme="majorBidi"/>
          <w:lang w:val="en-GB"/>
        </w:rPr>
        <w:t>,</w:t>
      </w:r>
      <w:r w:rsidRPr="003D2A76">
        <w:rPr>
          <w:rFonts w:asciiTheme="majorBidi" w:hAnsiTheme="majorBidi" w:cstheme="majorBidi"/>
          <w:lang w:val="en-GB"/>
        </w:rPr>
        <w:t xml:space="preserve"> and the value of future benefit. This </w:t>
      </w:r>
      <w:r w:rsidR="00724BAE" w:rsidRPr="003D2A76">
        <w:rPr>
          <w:rFonts w:asciiTheme="majorBidi" w:hAnsiTheme="majorBidi" w:cstheme="majorBidi"/>
          <w:lang w:val="en-GB"/>
        </w:rPr>
        <w:t xml:space="preserve">conceptualisation </w:t>
      </w:r>
      <w:r w:rsidRPr="003D2A76">
        <w:rPr>
          <w:rFonts w:asciiTheme="majorBidi" w:hAnsiTheme="majorBidi" w:cstheme="majorBidi"/>
          <w:lang w:val="en-GB"/>
        </w:rPr>
        <w:t>in multidimensions acknowledged that educational value is based on the short-term perception of quality and long-term investment beliefs (Woodall, 2003). The purchase intention was quantified by four questions that concerned continuation intention, probability to recommend, justification of fees, and positive word-of-mouth (Zeithaml et al., 1996; Hennig-Thurau, Langer, and Hansen, 2001). This holistic model encompassed the individual commitment and advocacy behavio</w:t>
      </w:r>
      <w:r w:rsidR="00ED6ED0" w:rsidRPr="003D2A76">
        <w:rPr>
          <w:rFonts w:asciiTheme="majorBidi" w:hAnsiTheme="majorBidi" w:cstheme="majorBidi"/>
          <w:lang w:val="en-GB"/>
        </w:rPr>
        <w:t>u</w:t>
      </w:r>
      <w:r w:rsidRPr="003D2A76">
        <w:rPr>
          <w:rFonts w:asciiTheme="majorBidi" w:hAnsiTheme="majorBidi" w:cstheme="majorBidi"/>
          <w:lang w:val="en-GB"/>
        </w:rPr>
        <w:t xml:space="preserve">r that are critical towards the sustainability of educational services (Alves &amp; Raposo, 2007). The cultural factors were employed using three items specific to Saudi Arabia and indicative of the significance of cultural-religious fit, desiring a preference between technology and tradition, and compatibility between </w:t>
      </w:r>
      <w:r w:rsidR="00EB4562">
        <w:rPr>
          <w:rFonts w:asciiTheme="majorBidi" w:hAnsiTheme="majorBidi" w:cstheme="majorBidi"/>
          <w:lang w:val="en-GB"/>
        </w:rPr>
        <w:t>culture</w:t>
      </w:r>
      <w:r w:rsidRPr="003D2A76">
        <w:rPr>
          <w:rFonts w:asciiTheme="majorBidi" w:hAnsiTheme="majorBidi" w:cstheme="majorBidi"/>
          <w:lang w:val="en-GB"/>
        </w:rPr>
        <w:t xml:space="preserve"> and schooling (Al-Gahtani et al., 2007; Alenezi, 2017). These products were indicative of the distinctiveness in Saudi education wherein </w:t>
      </w:r>
      <w:r w:rsidR="00ED6ED0" w:rsidRPr="003D2A76">
        <w:rPr>
          <w:rFonts w:asciiTheme="majorBidi" w:hAnsiTheme="majorBidi" w:cstheme="majorBidi"/>
          <w:lang w:val="en-GB"/>
        </w:rPr>
        <w:t xml:space="preserve">modernisation </w:t>
      </w:r>
      <w:r w:rsidRPr="003D2A76">
        <w:rPr>
          <w:rFonts w:asciiTheme="majorBidi" w:hAnsiTheme="majorBidi" w:cstheme="majorBidi"/>
          <w:lang w:val="en-GB"/>
        </w:rPr>
        <w:t>has to integrate with cultural values (Hamdan, 2005).</w:t>
      </w:r>
    </w:p>
    <w:p w14:paraId="2F1A52D2" w14:textId="5A9DAD8E"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3.5.3 </w:t>
      </w:r>
      <w:r w:rsidR="00885F3C" w:rsidRPr="003D2A76">
        <w:rPr>
          <w:rFonts w:asciiTheme="majorBidi" w:hAnsiTheme="majorBidi" w:cstheme="majorBidi"/>
          <w:b/>
          <w:bCs/>
          <w:i/>
          <w:lang w:val="en-GB"/>
        </w:rPr>
        <w:t>Translation and Adaptation</w:t>
      </w:r>
    </w:p>
    <w:p w14:paraId="1FE80820" w14:textId="4B3075F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questionnaire was first drafted in English based on the existing international scales and then translated to Arabic, as </w:t>
      </w:r>
      <w:r w:rsidR="00ED6ED0" w:rsidRPr="003D2A76">
        <w:rPr>
          <w:rFonts w:asciiTheme="majorBidi" w:hAnsiTheme="majorBidi" w:cstheme="majorBidi"/>
          <w:lang w:val="en-GB"/>
        </w:rPr>
        <w:t>was necessary</w:t>
      </w:r>
      <w:r w:rsidRPr="003D2A76">
        <w:rPr>
          <w:rFonts w:asciiTheme="majorBidi" w:hAnsiTheme="majorBidi" w:cstheme="majorBidi"/>
          <w:lang w:val="en-GB"/>
        </w:rPr>
        <w:t xml:space="preserve"> to suit the language interests of the target population. The method that was used in the process of translation was the back-translation method, which is a stringent method that guarantees semantic similarity in the different languages (Brislin, 1970). The initial English-to-Arabic translation was done by a professional translator who is </w:t>
      </w:r>
      <w:r w:rsidR="00EB4562">
        <w:rPr>
          <w:rFonts w:asciiTheme="majorBidi" w:hAnsiTheme="majorBidi" w:cstheme="majorBidi"/>
          <w:lang w:val="en-GB"/>
        </w:rPr>
        <w:t>well-versed</w:t>
      </w:r>
      <w:r w:rsidRPr="003D2A76">
        <w:rPr>
          <w:rFonts w:asciiTheme="majorBidi" w:hAnsiTheme="majorBidi" w:cstheme="majorBidi"/>
          <w:lang w:val="en-GB"/>
        </w:rPr>
        <w:t xml:space="preserve"> in both languages and has knowledge </w:t>
      </w:r>
      <w:r w:rsidR="00ED6ED0" w:rsidRPr="003D2A76">
        <w:rPr>
          <w:rFonts w:asciiTheme="majorBidi" w:hAnsiTheme="majorBidi" w:cstheme="majorBidi"/>
          <w:lang w:val="en-GB"/>
        </w:rPr>
        <w:t>of</w:t>
      </w:r>
      <w:r w:rsidRPr="003D2A76">
        <w:rPr>
          <w:rFonts w:asciiTheme="majorBidi" w:hAnsiTheme="majorBidi" w:cstheme="majorBidi"/>
          <w:lang w:val="en-GB"/>
        </w:rPr>
        <w:t xml:space="preserve"> educational terminologies. Thereafter, another translator was used to carry out the back-translation of Arabic-English without access </w:t>
      </w:r>
      <w:r w:rsidR="00ED6ED0" w:rsidRPr="003D2A76">
        <w:rPr>
          <w:rFonts w:asciiTheme="majorBidi" w:hAnsiTheme="majorBidi" w:cstheme="majorBidi"/>
          <w:lang w:val="en-GB"/>
        </w:rPr>
        <w:t>to</w:t>
      </w:r>
      <w:r w:rsidRPr="003D2A76">
        <w:rPr>
          <w:rFonts w:asciiTheme="majorBidi" w:hAnsiTheme="majorBidi" w:cstheme="majorBidi"/>
          <w:lang w:val="en-GB"/>
        </w:rPr>
        <w:t xml:space="preserve"> the original English translation. The two </w:t>
      </w:r>
      <w:r w:rsidRPr="003D2A76">
        <w:rPr>
          <w:rFonts w:asciiTheme="majorBidi" w:hAnsiTheme="majorBidi" w:cstheme="majorBidi"/>
          <w:lang w:val="en-GB"/>
        </w:rPr>
        <w:lastRenderedPageBreak/>
        <w:t>English versions were checked to determine the differences and these differences were sorted out by discussing the issues with the translators and the supervisor of the research. Special care was given to technical terminology in the field of AI and educational technology, where Arabic counterparts had to deliver the intended meaning in a non-culturally biased way. The last Arabic version was approved by the research supervisor</w:t>
      </w:r>
      <w:r w:rsidR="00EB4562">
        <w:rPr>
          <w:rFonts w:asciiTheme="majorBidi" w:hAnsiTheme="majorBidi" w:cstheme="majorBidi"/>
          <w:lang w:val="en-GB"/>
        </w:rPr>
        <w:t>,</w:t>
      </w:r>
      <w:r w:rsidRPr="003D2A76">
        <w:rPr>
          <w:rFonts w:asciiTheme="majorBidi" w:hAnsiTheme="majorBidi" w:cstheme="majorBidi"/>
          <w:lang w:val="en-GB"/>
        </w:rPr>
        <w:t xml:space="preserve"> who ensured its suitability </w:t>
      </w:r>
      <w:r w:rsidR="00ED6ED0" w:rsidRPr="003D2A76">
        <w:rPr>
          <w:rFonts w:asciiTheme="majorBidi" w:hAnsiTheme="majorBidi" w:cstheme="majorBidi"/>
          <w:lang w:val="en-GB"/>
        </w:rPr>
        <w:t>for</w:t>
      </w:r>
      <w:r w:rsidRPr="003D2A76">
        <w:rPr>
          <w:rFonts w:asciiTheme="majorBidi" w:hAnsiTheme="majorBidi" w:cstheme="majorBidi"/>
          <w:lang w:val="en-GB"/>
        </w:rPr>
        <w:t xml:space="preserve"> the Saudi Arabian school environment (Van de Vijver and Hambleton, 1996).</w:t>
      </w:r>
    </w:p>
    <w:p w14:paraId="238C7231" w14:textId="3568605F"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3.5.4 </w:t>
      </w:r>
      <w:r w:rsidR="00885F3C" w:rsidRPr="003D2A76">
        <w:rPr>
          <w:rFonts w:asciiTheme="majorBidi" w:hAnsiTheme="majorBidi" w:cstheme="majorBidi"/>
          <w:b/>
          <w:bCs/>
          <w:i/>
          <w:lang w:val="en-GB"/>
        </w:rPr>
        <w:t>Pilot Testing</w:t>
      </w:r>
    </w:p>
    <w:p w14:paraId="5E058EF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 June 2025, a pilot study was carried out with 50 respondents who were drawn from the target population. The pilot study was conducted on a separate sample, and the pilot respondents were not included in the final analytical sample of 409 respondents, in line with the recommendation that pilot and main samples remain independent to preserve the integrity of inferential statistics (Van Teijlingen and Hundley, 2001). The pilot study served several purposes: it was necessary to test the online distribution platform (Microsoft Forms), estimate the time to complete the questionnaire, identify items that were likely to be misunderstood, and assess scale reliability (Connelly, 2008). The questionnaire was found to be efficient and understandable during the pilot phase. The mean completion time was 12-15 minutes, which is acceptable in terms of maintaining respondent attention. All the constructs had Cronbach alpha values greater than 0.70, which is a sufficient indicator of internal consistency. Floor and ceiling effects were not detected in any items, and response patterns revealed adequate variance across all scales. Feedback on usability was provided by the participants in the form of optional comments, </w:t>
      </w:r>
      <w:r w:rsidRPr="003D2A76">
        <w:rPr>
          <w:rFonts w:asciiTheme="majorBidi" w:hAnsiTheme="majorBidi" w:cstheme="majorBidi"/>
          <w:lang w:val="en-GB"/>
        </w:rPr>
        <w:lastRenderedPageBreak/>
        <w:t>which did not indicate any serious challenges in understanding the items or any technical problems with the electronic format.</w:t>
      </w:r>
    </w:p>
    <w:p w14:paraId="164AEA1C" w14:textId="77777777" w:rsidR="00885F3C" w:rsidRPr="003D2A76" w:rsidRDefault="006A4A5D" w:rsidP="00BD6279">
      <w:pPr>
        <w:pStyle w:val="Heading2"/>
        <w:rPr>
          <w:lang w:val="en-GB"/>
        </w:rPr>
      </w:pPr>
      <w:bookmarkStart w:id="27" w:name="_Toc228056570"/>
      <w:r w:rsidRPr="003D2A76">
        <w:rPr>
          <w:rFonts w:ascii="Times New Roman" w:hAnsi="Times New Roman" w:cs="Times New Roman"/>
          <w:lang w:val="en-GB"/>
        </w:rPr>
        <w:t xml:space="preserve">3.6 </w:t>
      </w:r>
      <w:r w:rsidR="00885F3C" w:rsidRPr="003D2A76">
        <w:rPr>
          <w:rFonts w:ascii="Times New Roman" w:hAnsi="Times New Roman" w:cs="Times New Roman"/>
          <w:lang w:val="en-GB"/>
        </w:rPr>
        <w:t>Validity and Reliability</w:t>
      </w:r>
      <w:bookmarkEnd w:id="27"/>
    </w:p>
    <w:p w14:paraId="5303ED1E" w14:textId="7D359EB8"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3.6.1 </w:t>
      </w:r>
      <w:r w:rsidR="00885F3C" w:rsidRPr="003D2A76">
        <w:rPr>
          <w:rFonts w:asciiTheme="majorBidi" w:hAnsiTheme="majorBidi" w:cstheme="majorBidi"/>
          <w:b/>
          <w:bCs/>
          <w:i/>
          <w:lang w:val="en-GB"/>
        </w:rPr>
        <w:t>Face Validity</w:t>
      </w:r>
    </w:p>
    <w:p w14:paraId="58AC7389" w14:textId="7A01E32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face validity was determined by Dr. Miray Zaki, the doctoral supervisor, who assessed how the items looked in terms of whether they purported to measure what they were intended to measure (Hardesty and Bearden, 2004). The supervisor, who was also a specialist in educational technology and research methods, evaluated every item concerning its clarity, relevance, and suitability to the situation in Saudi Arabia. The review ensured that the items possessed strong face validity</w:t>
      </w:r>
      <w:r w:rsidR="00EB4562">
        <w:rPr>
          <w:rFonts w:asciiTheme="majorBidi" w:hAnsiTheme="majorBidi" w:cstheme="majorBidi"/>
          <w:lang w:val="en-GB"/>
        </w:rPr>
        <w:t>;</w:t>
      </w:r>
      <w:r w:rsidRPr="003D2A76">
        <w:rPr>
          <w:rFonts w:asciiTheme="majorBidi" w:hAnsiTheme="majorBidi" w:cstheme="majorBidi"/>
          <w:lang w:val="en-GB"/>
        </w:rPr>
        <w:t xml:space="preserve"> the question</w:t>
      </w:r>
      <w:r w:rsidR="00ED6ED0" w:rsidRPr="003D2A76">
        <w:rPr>
          <w:rFonts w:asciiTheme="majorBidi" w:hAnsiTheme="majorBidi" w:cstheme="majorBidi"/>
          <w:lang w:val="en-GB"/>
        </w:rPr>
        <w:t>s</w:t>
      </w:r>
      <w:r w:rsidRPr="003D2A76">
        <w:rPr>
          <w:rFonts w:asciiTheme="majorBidi" w:hAnsiTheme="majorBidi" w:cstheme="majorBidi"/>
          <w:lang w:val="en-GB"/>
        </w:rPr>
        <w:t xml:space="preserve"> directly covered aspects of AI adoption, service quality, and purchase intention that could be identified by respondents with private education experience. The face validity was strengthened through the use of the already known scales introduced in the previous studies since the scales had been extensively tested in various settings (Taherdoost, 2016). Adaptations to the educational technology situation did not change the gist of items but made them relevant to the use of AI in educational institutions. </w:t>
      </w:r>
      <w:r w:rsidR="00ED6ED0" w:rsidRPr="003D2A76">
        <w:rPr>
          <w:rFonts w:asciiTheme="majorBidi" w:hAnsiTheme="majorBidi" w:cstheme="majorBidi"/>
          <w:lang w:val="en-GB"/>
        </w:rPr>
        <w:t>F</w:t>
      </w:r>
      <w:r w:rsidRPr="003D2A76">
        <w:rPr>
          <w:rFonts w:asciiTheme="majorBidi" w:hAnsiTheme="majorBidi" w:cstheme="majorBidi"/>
          <w:lang w:val="en-GB"/>
        </w:rPr>
        <w:t xml:space="preserve">ace validity was ensured by the approval of the supervisor who indicated that the face </w:t>
      </w:r>
      <w:r w:rsidR="00977B89">
        <w:rPr>
          <w:rFonts w:asciiTheme="majorBidi" w:hAnsiTheme="majorBidi" w:cstheme="majorBidi"/>
          <w:lang w:val="en-GB"/>
        </w:rPr>
        <w:t xml:space="preserve">validity </w:t>
      </w:r>
      <w:r w:rsidRPr="003D2A76">
        <w:rPr>
          <w:rFonts w:asciiTheme="majorBidi" w:hAnsiTheme="majorBidi" w:cstheme="majorBidi"/>
          <w:lang w:val="en-GB"/>
        </w:rPr>
        <w:t>was not lost by the modified items in solving the particular research context.</w:t>
      </w:r>
    </w:p>
    <w:p w14:paraId="6AD92E3A" w14:textId="5CFAA32E"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3.6.2 </w:t>
      </w:r>
      <w:r w:rsidR="00885F3C" w:rsidRPr="003D2A76">
        <w:rPr>
          <w:rFonts w:asciiTheme="majorBidi" w:hAnsiTheme="majorBidi" w:cstheme="majorBidi"/>
          <w:b/>
          <w:bCs/>
          <w:i/>
          <w:lang w:val="en-GB"/>
        </w:rPr>
        <w:t>Content Validity</w:t>
      </w:r>
    </w:p>
    <w:p w14:paraId="28CF50A5" w14:textId="2D1A04ED"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Systematic coverage of all the relatable dimensions of each construct was used to achieve content validity as a result of </w:t>
      </w:r>
      <w:r w:rsidR="00ED6ED0" w:rsidRPr="003D2A76">
        <w:rPr>
          <w:rFonts w:asciiTheme="majorBidi" w:hAnsiTheme="majorBidi" w:cstheme="majorBidi"/>
          <w:lang w:val="en-GB"/>
        </w:rPr>
        <w:t xml:space="preserve">the </w:t>
      </w:r>
      <w:r w:rsidRPr="003D2A76">
        <w:rPr>
          <w:rFonts w:asciiTheme="majorBidi" w:hAnsiTheme="majorBidi" w:cstheme="majorBidi"/>
          <w:lang w:val="en-GB"/>
        </w:rPr>
        <w:t xml:space="preserve">exhaustive literature review (Haynes, Richard, and Kubany, 1995). In the case of AI implementation, the objects included the entire gamut of applications found in the literature of educational technology, such as adaptive learning </w:t>
      </w:r>
      <w:r w:rsidRPr="003D2A76">
        <w:rPr>
          <w:rFonts w:asciiTheme="majorBidi" w:hAnsiTheme="majorBidi" w:cstheme="majorBidi"/>
          <w:lang w:val="en-GB"/>
        </w:rPr>
        <w:lastRenderedPageBreak/>
        <w:t xml:space="preserve">and intelligent tutoring. The service quality dimensions also addressed the five components of </w:t>
      </w:r>
      <w:r w:rsidR="00ED6ED0" w:rsidRPr="003D2A76">
        <w:rPr>
          <w:rFonts w:asciiTheme="majorBidi" w:hAnsiTheme="majorBidi" w:cstheme="majorBidi"/>
          <w:lang w:val="en-GB"/>
        </w:rPr>
        <w:t xml:space="preserve">the </w:t>
      </w:r>
      <w:r w:rsidRPr="003D2A76">
        <w:rPr>
          <w:rFonts w:asciiTheme="majorBidi" w:hAnsiTheme="majorBidi" w:cstheme="majorBidi"/>
          <w:lang w:val="en-GB"/>
        </w:rPr>
        <w:t xml:space="preserve">SERVQUAL framework in a comprehensive manner. The trust items </w:t>
      </w:r>
      <w:r w:rsidR="00ED6ED0" w:rsidRPr="003D2A76">
        <w:rPr>
          <w:rFonts w:asciiTheme="majorBidi" w:hAnsiTheme="majorBidi" w:cstheme="majorBidi"/>
          <w:lang w:val="en-GB"/>
        </w:rPr>
        <w:t>included</w:t>
      </w:r>
      <w:r w:rsidRPr="003D2A76">
        <w:rPr>
          <w:rFonts w:asciiTheme="majorBidi" w:hAnsiTheme="majorBidi" w:cstheme="majorBidi"/>
          <w:lang w:val="en-GB"/>
        </w:rPr>
        <w:t xml:space="preserve"> both competence and benevolence dimensions</w:t>
      </w:r>
      <w:r w:rsidR="00EB4562">
        <w:rPr>
          <w:rFonts w:asciiTheme="majorBidi" w:hAnsiTheme="majorBidi" w:cstheme="majorBidi"/>
          <w:lang w:val="en-GB"/>
        </w:rPr>
        <w:t>,</w:t>
      </w:r>
      <w:r w:rsidRPr="003D2A76">
        <w:rPr>
          <w:rFonts w:asciiTheme="majorBidi" w:hAnsiTheme="majorBidi" w:cstheme="majorBidi"/>
          <w:lang w:val="en-GB"/>
        </w:rPr>
        <w:t xml:space="preserve"> which are found to be important in </w:t>
      </w:r>
      <w:r w:rsidR="00EB4562">
        <w:rPr>
          <w:rFonts w:asciiTheme="majorBidi" w:hAnsiTheme="majorBidi" w:cstheme="majorBidi"/>
          <w:lang w:val="en-GB"/>
        </w:rPr>
        <w:t>educational</w:t>
      </w:r>
      <w:r w:rsidRPr="003D2A76">
        <w:rPr>
          <w:rFonts w:asciiTheme="majorBidi" w:hAnsiTheme="majorBidi" w:cstheme="majorBidi"/>
          <w:lang w:val="en-GB"/>
        </w:rPr>
        <w:t xml:space="preserve"> relationships. Construct mapping was used to verify the consistency of theoretical definitions and operational measures</w:t>
      </w:r>
      <w:r w:rsidR="00EB4562">
        <w:rPr>
          <w:rFonts w:asciiTheme="majorBidi" w:hAnsiTheme="majorBidi" w:cstheme="majorBidi"/>
          <w:lang w:val="en-GB"/>
        </w:rPr>
        <w:t>,</w:t>
      </w:r>
      <w:r w:rsidRPr="003D2A76">
        <w:rPr>
          <w:rFonts w:asciiTheme="majorBidi" w:hAnsiTheme="majorBidi" w:cstheme="majorBidi"/>
          <w:lang w:val="en-GB"/>
        </w:rPr>
        <w:t xml:space="preserve"> and thus all the theoretical dimensions were reflected by suitable items (Wilson, 2005). The review carried out by the supervisor ensured that domain sampling and content coverage </w:t>
      </w:r>
      <w:r w:rsidR="00EB4562">
        <w:rPr>
          <w:rFonts w:asciiTheme="majorBidi" w:hAnsiTheme="majorBidi" w:cstheme="majorBidi"/>
          <w:lang w:val="en-GB"/>
        </w:rPr>
        <w:t>were</w:t>
      </w:r>
      <w:r w:rsidRPr="003D2A76">
        <w:rPr>
          <w:rFonts w:asciiTheme="majorBidi" w:hAnsiTheme="majorBidi" w:cstheme="majorBidi"/>
          <w:lang w:val="en-GB"/>
        </w:rPr>
        <w:t xml:space="preserve"> adequate. </w:t>
      </w:r>
      <w:r w:rsidR="00EB4562">
        <w:rPr>
          <w:rFonts w:asciiTheme="majorBidi" w:hAnsiTheme="majorBidi" w:cstheme="majorBidi"/>
          <w:lang w:val="en-GB"/>
        </w:rPr>
        <w:t>Multi-item</w:t>
      </w:r>
      <w:r w:rsidRPr="003D2A76">
        <w:rPr>
          <w:rFonts w:asciiTheme="majorBidi" w:hAnsiTheme="majorBidi" w:cstheme="majorBidi"/>
          <w:lang w:val="en-GB"/>
        </w:rPr>
        <w:t xml:space="preserve"> constructs also increased the content validity by increasing content through the different components of the complex constructs (MacKenzie, Podsakoff, and Podsakoff, 2011).</w:t>
      </w:r>
    </w:p>
    <w:p w14:paraId="3455A13C" w14:textId="43B7B483"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3.6.3 </w:t>
      </w:r>
      <w:r w:rsidR="00885F3C" w:rsidRPr="003D2A76">
        <w:rPr>
          <w:rFonts w:asciiTheme="majorBidi" w:hAnsiTheme="majorBidi" w:cstheme="majorBidi"/>
          <w:b/>
          <w:bCs/>
          <w:i/>
          <w:lang w:val="en-GB"/>
        </w:rPr>
        <w:t>Construct Validity</w:t>
      </w:r>
    </w:p>
    <w:p w14:paraId="541745B9" w14:textId="039005E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Factor analysis and correlation patterns were used to test construct validity. A principal component analysis with varimax rotation that was used as an exploratory factor analysis indicated a solution of six factors that explored 81.33</w:t>
      </w:r>
      <w:r w:rsidR="00ED6ED0" w:rsidRPr="003D2A76">
        <w:rPr>
          <w:rFonts w:asciiTheme="majorBidi" w:hAnsiTheme="majorBidi" w:cstheme="majorBidi"/>
          <w:lang w:val="en-GB"/>
        </w:rPr>
        <w:t xml:space="preserve"> per cent </w:t>
      </w:r>
      <w:r w:rsidRPr="003D2A76">
        <w:rPr>
          <w:rFonts w:asciiTheme="majorBidi" w:hAnsiTheme="majorBidi" w:cstheme="majorBidi"/>
          <w:lang w:val="en-GB"/>
        </w:rPr>
        <w:t>of total variance</w:t>
      </w:r>
      <w:r w:rsidR="00EB4562">
        <w:rPr>
          <w:rFonts w:asciiTheme="majorBidi" w:hAnsiTheme="majorBidi" w:cstheme="majorBidi"/>
          <w:lang w:val="en-GB"/>
        </w:rPr>
        <w:t>,</w:t>
      </w:r>
      <w:r w:rsidRPr="003D2A76">
        <w:rPr>
          <w:rFonts w:asciiTheme="majorBidi" w:hAnsiTheme="majorBidi" w:cstheme="majorBidi"/>
          <w:lang w:val="en-GB"/>
        </w:rPr>
        <w:t xml:space="preserve"> of which the first factor was 48.92. The Kaiser-Meyer-Olkin (KMO) value </w:t>
      </w:r>
      <w:r w:rsidR="00ED6ED0" w:rsidRPr="003D2A76">
        <w:rPr>
          <w:rFonts w:asciiTheme="majorBidi" w:hAnsiTheme="majorBidi" w:cstheme="majorBidi"/>
          <w:lang w:val="en-GB"/>
        </w:rPr>
        <w:t>for</w:t>
      </w:r>
      <w:r w:rsidRPr="003D2A76">
        <w:rPr>
          <w:rFonts w:asciiTheme="majorBidi" w:hAnsiTheme="majorBidi" w:cstheme="majorBidi"/>
          <w:lang w:val="en-GB"/>
        </w:rPr>
        <w:t xml:space="preserve"> adequacy of the sampling was 0.68, which is greater than 0.6</w:t>
      </w:r>
      <w:r w:rsidR="00EB4562">
        <w:rPr>
          <w:rFonts w:asciiTheme="majorBidi" w:hAnsiTheme="majorBidi" w:cstheme="majorBidi"/>
          <w:lang w:val="en-GB"/>
        </w:rPr>
        <w:t>,</w:t>
      </w:r>
      <w:r w:rsidRPr="003D2A76">
        <w:rPr>
          <w:rFonts w:asciiTheme="majorBidi" w:hAnsiTheme="majorBidi" w:cstheme="majorBidi"/>
          <w:lang w:val="en-GB"/>
        </w:rPr>
        <w:t xml:space="preserve"> which is the acceptable factorability level. The results of the test of sphericity by Bartlett were significant (χ² = 20234.01, df = 465, p &lt; 0.00), which means that the variables have enough correlations to be examined using factor analysis (Hair et al., 2019). Patterns in the factor loadings were very clear as per theoretical expectation. The items of AI adoption were loaded on separate factors of teaching and marketing. The quality of the items of service quality were mainly loaded on one unified factor, which justifies the application of an overall service quality construct. The items of trust and perceived value constituted distinct factors, which proved their discriminant validity. The purchase intention items scored highly on one factor, which </w:t>
      </w:r>
      <w:r w:rsidRPr="003D2A76">
        <w:rPr>
          <w:rFonts w:asciiTheme="majorBidi" w:hAnsiTheme="majorBidi" w:cstheme="majorBidi"/>
          <w:lang w:val="en-GB"/>
        </w:rPr>
        <w:lastRenderedPageBreak/>
        <w:t xml:space="preserve">could be considered as validating </w:t>
      </w:r>
      <w:r w:rsidR="00ED6ED0" w:rsidRPr="003D2A76">
        <w:rPr>
          <w:rFonts w:asciiTheme="majorBidi" w:hAnsiTheme="majorBidi" w:cstheme="majorBidi"/>
          <w:lang w:val="en-GB"/>
        </w:rPr>
        <w:t xml:space="preserve">a </w:t>
      </w:r>
      <w:r w:rsidRPr="003D2A76">
        <w:rPr>
          <w:rFonts w:asciiTheme="majorBidi" w:hAnsiTheme="majorBidi" w:cstheme="majorBidi"/>
          <w:lang w:val="en-GB"/>
        </w:rPr>
        <w:t>unidimensional measurement. These patterns were an indication of convergent validity (the same construct being measured by items that are correlated and have high correlations) and discriminant validity (the different constructs being measured by items with lower correlations) (Fornell and Larcker, 1981).</w:t>
      </w:r>
    </w:p>
    <w:p w14:paraId="1BDABCA0" w14:textId="1D3A463E"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3.6.4 </w:t>
      </w:r>
      <w:r w:rsidR="00885F3C" w:rsidRPr="003D2A76">
        <w:rPr>
          <w:rFonts w:asciiTheme="majorBidi" w:hAnsiTheme="majorBidi" w:cstheme="majorBidi"/>
          <w:b/>
          <w:bCs/>
          <w:i/>
          <w:lang w:val="en-GB"/>
        </w:rPr>
        <w:t>Reliability Analysis</w:t>
      </w:r>
    </w:p>
    <w:p w14:paraId="3183079D" w14:textId="0DA5B82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All the multi-item constructs were evaluated in terms of internal consistency reliability by the Cronbach alpha coefficients. </w:t>
      </w:r>
      <w:r w:rsidR="00ED6ED0" w:rsidRPr="003D2A76">
        <w:rPr>
          <w:rFonts w:asciiTheme="majorBidi" w:hAnsiTheme="majorBidi" w:cstheme="majorBidi"/>
          <w:lang w:val="en-GB"/>
        </w:rPr>
        <w:t xml:space="preserve">The findings </w:t>
      </w:r>
      <w:r w:rsidRPr="003D2A76">
        <w:rPr>
          <w:rFonts w:asciiTheme="majorBidi" w:hAnsiTheme="majorBidi" w:cstheme="majorBidi"/>
          <w:lang w:val="en-GB"/>
        </w:rPr>
        <w:t xml:space="preserve">showed high reliability rates in all scales: AI adoption in teaching (α = 0.85), AI adoption in marketing (α = 0.89), Service Quality Tangibility (α = 0.76), Service Quality Reliability (α = 0.82), Service Quality Responsiveness (α = 0.70), Service Quality Assurance (α = 0.91), Service Quality Empathy (α = 0.85), </w:t>
      </w:r>
      <w:r w:rsidR="00ED6ED0" w:rsidRPr="003D2A76">
        <w:rPr>
          <w:rFonts w:asciiTheme="majorBidi" w:hAnsiTheme="majorBidi" w:cstheme="majorBidi"/>
          <w:lang w:val="en-GB"/>
        </w:rPr>
        <w:t xml:space="preserve">Overall Service Quality </w:t>
      </w:r>
      <w:r w:rsidRPr="003D2A76">
        <w:rPr>
          <w:rFonts w:asciiTheme="majorBidi" w:hAnsiTheme="majorBidi" w:cstheme="majorBidi"/>
          <w:lang w:val="en-GB"/>
        </w:rPr>
        <w:t>(α = 0.93), Trust (α = 0.89), Perceived Value (α = 0.86), Purchase Intention (α = 0.90), and Cultural Factors (α = 0.86).</w:t>
      </w:r>
    </w:p>
    <w:p w14:paraId="0AC7E270" w14:textId="4941606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majority of the scales surpassed the established </w:t>
      </w:r>
      <w:r w:rsidR="00EB4562">
        <w:rPr>
          <w:rFonts w:asciiTheme="majorBidi" w:hAnsiTheme="majorBidi" w:cstheme="majorBidi"/>
          <w:lang w:val="en-GB"/>
        </w:rPr>
        <w:t>scale</w:t>
      </w:r>
      <w:r w:rsidRPr="003D2A76">
        <w:rPr>
          <w:rFonts w:asciiTheme="majorBidi" w:hAnsiTheme="majorBidi" w:cstheme="majorBidi"/>
          <w:lang w:val="en-GB"/>
        </w:rPr>
        <w:t xml:space="preserve"> requirement of 0.80</w:t>
      </w:r>
      <w:r w:rsidR="00EB4562">
        <w:rPr>
          <w:rFonts w:asciiTheme="majorBidi" w:hAnsiTheme="majorBidi" w:cstheme="majorBidi"/>
          <w:lang w:val="en-GB"/>
        </w:rPr>
        <w:t>,</w:t>
      </w:r>
      <w:r w:rsidRPr="003D2A76">
        <w:rPr>
          <w:rFonts w:asciiTheme="majorBidi" w:hAnsiTheme="majorBidi" w:cstheme="majorBidi"/>
          <w:lang w:val="en-GB"/>
        </w:rPr>
        <w:t xml:space="preserve"> and </w:t>
      </w:r>
      <w:r w:rsidR="00ED6ED0" w:rsidRPr="003D2A76">
        <w:rPr>
          <w:rFonts w:asciiTheme="majorBidi" w:hAnsiTheme="majorBidi" w:cstheme="majorBidi"/>
          <w:lang w:val="en-GB"/>
        </w:rPr>
        <w:t xml:space="preserve">the </w:t>
      </w:r>
      <w:r w:rsidRPr="003D2A76">
        <w:rPr>
          <w:rFonts w:asciiTheme="majorBidi" w:hAnsiTheme="majorBidi" w:cstheme="majorBidi"/>
          <w:lang w:val="en-GB"/>
        </w:rPr>
        <w:t>Service Quality Responsiveness subscale (α = 0.70) was close to the 0.70 limit of exploratory research (Nunnally and Bernstein, 1994). The large alpha values showed that there were significant inter-item correlations and no redundancy because the values were not higher than 0.95</w:t>
      </w:r>
      <w:r w:rsidR="00EB4562">
        <w:rPr>
          <w:rFonts w:asciiTheme="majorBidi" w:hAnsiTheme="majorBidi" w:cstheme="majorBidi"/>
          <w:lang w:val="en-GB"/>
        </w:rPr>
        <w:t>,</w:t>
      </w:r>
      <w:r w:rsidRPr="003D2A76">
        <w:rPr>
          <w:rFonts w:asciiTheme="majorBidi" w:hAnsiTheme="majorBidi" w:cstheme="majorBidi"/>
          <w:lang w:val="en-GB"/>
        </w:rPr>
        <w:t xml:space="preserve"> </w:t>
      </w:r>
      <w:r w:rsidR="00EB4562">
        <w:rPr>
          <w:rFonts w:asciiTheme="majorBidi" w:hAnsiTheme="majorBidi" w:cstheme="majorBidi"/>
          <w:lang w:val="en-GB"/>
        </w:rPr>
        <w:t>which</w:t>
      </w:r>
      <w:r w:rsidRPr="003D2A76">
        <w:rPr>
          <w:rFonts w:asciiTheme="majorBidi" w:hAnsiTheme="majorBidi" w:cstheme="majorBidi"/>
          <w:lang w:val="en-GB"/>
        </w:rPr>
        <w:t xml:space="preserve"> could indicate redundancy of items (Streiner, 2003). All the scales had item-total correlations of between 0.45 and 0.82, which is within acceptable ranges</w:t>
      </w:r>
      <w:r w:rsidR="00EB4562">
        <w:rPr>
          <w:rFonts w:asciiTheme="majorBidi" w:hAnsiTheme="majorBidi" w:cstheme="majorBidi"/>
          <w:lang w:val="en-GB"/>
        </w:rPr>
        <w:t>,</w:t>
      </w:r>
      <w:r w:rsidRPr="003D2A76">
        <w:rPr>
          <w:rFonts w:asciiTheme="majorBidi" w:hAnsiTheme="majorBidi" w:cstheme="majorBidi"/>
          <w:lang w:val="en-GB"/>
        </w:rPr>
        <w:t xml:space="preserve"> and </w:t>
      </w:r>
      <w:r w:rsidR="00ED6ED0" w:rsidRPr="003D2A76">
        <w:rPr>
          <w:rFonts w:asciiTheme="majorBidi" w:hAnsiTheme="majorBidi" w:cstheme="majorBidi"/>
          <w:lang w:val="en-GB"/>
        </w:rPr>
        <w:t xml:space="preserve">this </w:t>
      </w:r>
      <w:r w:rsidRPr="003D2A76">
        <w:rPr>
          <w:rFonts w:asciiTheme="majorBidi" w:hAnsiTheme="majorBidi" w:cstheme="majorBidi"/>
          <w:lang w:val="en-GB"/>
        </w:rPr>
        <w:t>means that items were not redundant</w:t>
      </w:r>
      <w:r w:rsidR="00ED6ED0" w:rsidRPr="003D2A76">
        <w:rPr>
          <w:rFonts w:asciiTheme="majorBidi" w:hAnsiTheme="majorBidi" w:cstheme="majorBidi"/>
          <w:lang w:val="en-GB"/>
        </w:rPr>
        <w:t>;</w:t>
      </w:r>
      <w:r w:rsidRPr="003D2A76">
        <w:rPr>
          <w:rFonts w:asciiTheme="majorBidi" w:hAnsiTheme="majorBidi" w:cstheme="majorBidi"/>
          <w:lang w:val="en-GB"/>
        </w:rPr>
        <w:t xml:space="preserve"> rather, they represented their specific constructs (Clark and Watson, 1995).</w:t>
      </w:r>
    </w:p>
    <w:p w14:paraId="31469258" w14:textId="77777777" w:rsidR="00885F3C" w:rsidRPr="003D2A76" w:rsidRDefault="006A4A5D" w:rsidP="00BD6279">
      <w:pPr>
        <w:pStyle w:val="Heading2"/>
        <w:rPr>
          <w:lang w:val="en-GB"/>
        </w:rPr>
      </w:pPr>
      <w:bookmarkStart w:id="28" w:name="_Toc228056571"/>
      <w:r w:rsidRPr="003D2A76">
        <w:rPr>
          <w:rFonts w:ascii="Times New Roman" w:hAnsi="Times New Roman" w:cs="Times New Roman"/>
          <w:lang w:val="en-GB"/>
        </w:rPr>
        <w:t xml:space="preserve">3.7 </w:t>
      </w:r>
      <w:r w:rsidR="00885F3C" w:rsidRPr="003D2A76">
        <w:rPr>
          <w:rFonts w:ascii="Times New Roman" w:hAnsi="Times New Roman" w:cs="Times New Roman"/>
          <w:lang w:val="en-GB"/>
        </w:rPr>
        <w:t>Data Collection Procedures</w:t>
      </w:r>
      <w:bookmarkEnd w:id="28"/>
    </w:p>
    <w:p w14:paraId="7B690186" w14:textId="1CCB6557"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3.7.1 </w:t>
      </w:r>
      <w:r w:rsidR="00885F3C" w:rsidRPr="003D2A76">
        <w:rPr>
          <w:rFonts w:asciiTheme="majorBidi" w:hAnsiTheme="majorBidi" w:cstheme="majorBidi"/>
          <w:b/>
          <w:bCs/>
          <w:i/>
          <w:lang w:val="en-GB"/>
        </w:rPr>
        <w:t>Institutional Approvals</w:t>
      </w:r>
    </w:p>
    <w:p w14:paraId="066C5D6E" w14:textId="4D526BA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The data </w:t>
      </w:r>
      <w:r w:rsidR="00977B89">
        <w:rPr>
          <w:rFonts w:asciiTheme="majorBidi" w:hAnsiTheme="majorBidi" w:cstheme="majorBidi"/>
          <w:lang w:val="en-GB"/>
        </w:rPr>
        <w:t>were</w:t>
      </w:r>
      <w:r w:rsidRPr="003D2A76">
        <w:rPr>
          <w:rFonts w:asciiTheme="majorBidi" w:hAnsiTheme="majorBidi" w:cstheme="majorBidi"/>
          <w:lang w:val="en-GB"/>
        </w:rPr>
        <w:t xml:space="preserve"> collected once institutional approvals were received. The Ethics Committee approved the research under the IRB </w:t>
      </w:r>
      <w:r w:rsidR="00977B89">
        <w:rPr>
          <w:rFonts w:asciiTheme="majorBidi" w:hAnsiTheme="majorBidi" w:cstheme="majorBidi"/>
          <w:lang w:val="en-GB"/>
        </w:rPr>
        <w:t xml:space="preserve">(Institutional Review Board) </w:t>
      </w:r>
      <w:r w:rsidRPr="003D2A76">
        <w:rPr>
          <w:rFonts w:asciiTheme="majorBidi" w:hAnsiTheme="majorBidi" w:cstheme="majorBidi"/>
          <w:lang w:val="en-GB"/>
        </w:rPr>
        <w:t>approval. The protocol of the research</w:t>
      </w:r>
      <w:r w:rsidR="00ED6ED0" w:rsidRPr="003D2A76">
        <w:rPr>
          <w:rFonts w:asciiTheme="majorBidi" w:hAnsiTheme="majorBidi" w:cstheme="majorBidi"/>
          <w:lang w:val="en-GB"/>
        </w:rPr>
        <w:t>,</w:t>
      </w:r>
      <w:r w:rsidRPr="003D2A76">
        <w:rPr>
          <w:rFonts w:asciiTheme="majorBidi" w:hAnsiTheme="majorBidi" w:cstheme="majorBidi"/>
          <w:lang w:val="en-GB"/>
        </w:rPr>
        <w:t xml:space="preserve"> which included the questionnaire, consent procedures</w:t>
      </w:r>
      <w:r w:rsidR="00977B89">
        <w:rPr>
          <w:rFonts w:asciiTheme="majorBidi" w:hAnsiTheme="majorBidi" w:cstheme="majorBidi"/>
          <w:lang w:val="en-GB"/>
        </w:rPr>
        <w:t>,</w:t>
      </w:r>
      <w:r w:rsidRPr="003D2A76">
        <w:rPr>
          <w:rFonts w:asciiTheme="majorBidi" w:hAnsiTheme="majorBidi" w:cstheme="majorBidi"/>
          <w:lang w:val="en-GB"/>
        </w:rPr>
        <w:t xml:space="preserve"> and data management plan</w:t>
      </w:r>
      <w:r w:rsidR="00ED6ED0" w:rsidRPr="003D2A76">
        <w:rPr>
          <w:rFonts w:asciiTheme="majorBidi" w:hAnsiTheme="majorBidi" w:cstheme="majorBidi"/>
          <w:lang w:val="en-GB"/>
        </w:rPr>
        <w:t>,</w:t>
      </w:r>
      <w:r w:rsidRPr="003D2A76">
        <w:rPr>
          <w:rFonts w:asciiTheme="majorBidi" w:hAnsiTheme="majorBidi" w:cstheme="majorBidi"/>
          <w:lang w:val="en-GB"/>
        </w:rPr>
        <w:t xml:space="preserve"> </w:t>
      </w:r>
      <w:r w:rsidR="00977B89">
        <w:rPr>
          <w:rFonts w:asciiTheme="majorBidi" w:hAnsiTheme="majorBidi" w:cstheme="majorBidi"/>
          <w:lang w:val="en-GB"/>
        </w:rPr>
        <w:t>was</w:t>
      </w:r>
      <w:r w:rsidRPr="003D2A76">
        <w:rPr>
          <w:rFonts w:asciiTheme="majorBidi" w:hAnsiTheme="majorBidi" w:cstheme="majorBidi"/>
          <w:lang w:val="en-GB"/>
        </w:rPr>
        <w:t xml:space="preserve"> ethically reviewed to ensure they were in agreement with the research ethics standards and the participant protection (World Medical Association, 2013). </w:t>
      </w:r>
      <w:r w:rsidR="00977B89">
        <w:rPr>
          <w:rFonts w:asciiTheme="majorBidi" w:hAnsiTheme="majorBidi" w:cstheme="majorBidi"/>
          <w:lang w:val="en-GB"/>
        </w:rPr>
        <w:t>Administrative</w:t>
      </w:r>
      <w:r w:rsidRPr="003D2A76">
        <w:rPr>
          <w:rFonts w:asciiTheme="majorBidi" w:hAnsiTheme="majorBidi" w:cstheme="majorBidi"/>
          <w:lang w:val="en-GB"/>
        </w:rPr>
        <w:t xml:space="preserve"> approval in participating schools was </w:t>
      </w:r>
      <w:r w:rsidR="00977B89">
        <w:rPr>
          <w:rFonts w:asciiTheme="majorBidi" w:hAnsiTheme="majorBidi" w:cstheme="majorBidi"/>
          <w:lang w:val="en-GB"/>
        </w:rPr>
        <w:t>obtained</w:t>
      </w:r>
      <w:r w:rsidRPr="003D2A76">
        <w:rPr>
          <w:rFonts w:asciiTheme="majorBidi" w:hAnsiTheme="majorBidi" w:cstheme="majorBidi"/>
          <w:lang w:val="en-GB"/>
        </w:rPr>
        <w:t xml:space="preserve"> by communicating with the school administration. The first contact was through official letters outlining the purpose of the research, the methodology, and the potential of the research to impact educational practice. Interested schools were sent information packages containing the questionnaire, consent forms, and guidelines for implementation. This was a systematic method that guaranteed institutional buy-in and ensured that data collection was smooth (Creswell and Poth, 2018).</w:t>
      </w:r>
    </w:p>
    <w:p w14:paraId="0649003C" w14:textId="585AE432"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3.7.2 </w:t>
      </w:r>
      <w:r w:rsidR="00885F3C" w:rsidRPr="003D2A76">
        <w:rPr>
          <w:rFonts w:asciiTheme="majorBidi" w:hAnsiTheme="majorBidi" w:cstheme="majorBidi"/>
          <w:b/>
          <w:bCs/>
          <w:i/>
          <w:lang w:val="en-GB"/>
        </w:rPr>
        <w:t>Distribution Method</w:t>
      </w:r>
    </w:p>
    <w:p w14:paraId="399AA4E9" w14:textId="4DFC591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entire data collection was done electronically </w:t>
      </w:r>
      <w:r w:rsidR="00ED6ED0" w:rsidRPr="003D2A76">
        <w:rPr>
          <w:rFonts w:asciiTheme="majorBidi" w:hAnsiTheme="majorBidi" w:cstheme="majorBidi"/>
          <w:lang w:val="en-GB"/>
        </w:rPr>
        <w:t>using</w:t>
      </w:r>
      <w:r w:rsidRPr="003D2A76">
        <w:rPr>
          <w:rFonts w:asciiTheme="majorBidi" w:hAnsiTheme="majorBidi" w:cstheme="majorBidi"/>
          <w:lang w:val="en-GB"/>
        </w:rPr>
        <w:t xml:space="preserve"> Microsoft Forms as the survey methodology. This online solution presented a number of benefits: automatic data grouping, </w:t>
      </w:r>
      <w:r w:rsidR="00ED6ED0" w:rsidRPr="003D2A76">
        <w:rPr>
          <w:rFonts w:asciiTheme="majorBidi" w:hAnsiTheme="majorBidi" w:cstheme="majorBidi"/>
          <w:lang w:val="en-GB"/>
        </w:rPr>
        <w:t xml:space="preserve">minimised </w:t>
      </w:r>
      <w:r w:rsidRPr="003D2A76">
        <w:rPr>
          <w:rFonts w:asciiTheme="majorBidi" w:hAnsiTheme="majorBidi" w:cstheme="majorBidi"/>
          <w:lang w:val="en-GB"/>
        </w:rPr>
        <w:t xml:space="preserve">typing mistakes, greater access, </w:t>
      </w:r>
      <w:r w:rsidR="00ED6ED0" w:rsidRPr="003D2A76">
        <w:rPr>
          <w:rFonts w:asciiTheme="majorBidi" w:hAnsiTheme="majorBidi" w:cstheme="majorBidi"/>
          <w:lang w:val="en-GB"/>
        </w:rPr>
        <w:t xml:space="preserve">a </w:t>
      </w:r>
      <w:r w:rsidRPr="003D2A76">
        <w:rPr>
          <w:rFonts w:asciiTheme="majorBidi" w:hAnsiTheme="majorBidi" w:cstheme="majorBidi"/>
          <w:lang w:val="en-GB"/>
        </w:rPr>
        <w:t xml:space="preserve">real-time view of reactions, and </w:t>
      </w:r>
      <w:r w:rsidR="00ED6ED0" w:rsidRPr="003D2A76">
        <w:rPr>
          <w:rFonts w:asciiTheme="majorBidi" w:hAnsiTheme="majorBidi" w:cstheme="majorBidi"/>
          <w:lang w:val="en-GB"/>
        </w:rPr>
        <w:t xml:space="preserve">sustainability in terms of </w:t>
      </w:r>
      <w:r w:rsidRPr="003D2A76">
        <w:rPr>
          <w:rFonts w:asciiTheme="majorBidi" w:hAnsiTheme="majorBidi" w:cstheme="majorBidi"/>
          <w:lang w:val="en-GB"/>
        </w:rPr>
        <w:t>waste (Evans and Mathur, 2018). The fact that the platform was integrated with the security infrastructure of Microsoft provided security in both the encryption and safe storage of data. Each school was issued with special QR codes and direct links</w:t>
      </w:r>
      <w:r w:rsidR="00EB4562">
        <w:rPr>
          <w:rFonts w:asciiTheme="majorBidi" w:hAnsiTheme="majorBidi" w:cstheme="majorBidi"/>
          <w:lang w:val="en-GB"/>
        </w:rPr>
        <w:t>,</w:t>
      </w:r>
      <w:r w:rsidRPr="003D2A76">
        <w:rPr>
          <w:rFonts w:asciiTheme="majorBidi" w:hAnsiTheme="majorBidi" w:cstheme="majorBidi"/>
          <w:lang w:val="en-GB"/>
        </w:rPr>
        <w:t xml:space="preserve"> and </w:t>
      </w:r>
      <w:r w:rsidR="00ED6ED0" w:rsidRPr="003D2A76">
        <w:rPr>
          <w:rFonts w:asciiTheme="majorBidi" w:hAnsiTheme="majorBidi" w:cstheme="majorBidi"/>
          <w:lang w:val="en-GB"/>
        </w:rPr>
        <w:t xml:space="preserve">they </w:t>
      </w:r>
      <w:r w:rsidRPr="003D2A76">
        <w:rPr>
          <w:rFonts w:asciiTheme="majorBidi" w:hAnsiTheme="majorBidi" w:cstheme="majorBidi"/>
          <w:lang w:val="en-GB"/>
        </w:rPr>
        <w:t xml:space="preserve">distributed them to their communities. The QR codes were printed </w:t>
      </w:r>
      <w:r w:rsidR="00EB4562">
        <w:rPr>
          <w:rFonts w:asciiTheme="majorBidi" w:hAnsiTheme="majorBidi" w:cstheme="majorBidi"/>
          <w:lang w:val="en-GB"/>
        </w:rPr>
        <w:t>on</w:t>
      </w:r>
      <w:r w:rsidRPr="003D2A76">
        <w:rPr>
          <w:rFonts w:asciiTheme="majorBidi" w:hAnsiTheme="majorBidi" w:cstheme="majorBidi"/>
          <w:lang w:val="en-GB"/>
        </w:rPr>
        <w:t xml:space="preserve"> information sheets which could be displayed in the common areas by the schools or be handed out </w:t>
      </w:r>
      <w:r w:rsidR="00ED6ED0" w:rsidRPr="003D2A76">
        <w:rPr>
          <w:rFonts w:asciiTheme="majorBidi" w:hAnsiTheme="majorBidi" w:cstheme="majorBidi"/>
          <w:lang w:val="en-GB"/>
        </w:rPr>
        <w:t xml:space="preserve">at </w:t>
      </w:r>
      <w:r w:rsidRPr="003D2A76">
        <w:rPr>
          <w:rFonts w:asciiTheme="majorBidi" w:hAnsiTheme="majorBidi" w:cstheme="majorBidi"/>
          <w:lang w:val="en-GB"/>
        </w:rPr>
        <w:t>meetings. Direct connections were made via already available communication systems in schools such as email lists, parent portals</w:t>
      </w:r>
      <w:r w:rsidR="00EB4562">
        <w:rPr>
          <w:rFonts w:asciiTheme="majorBidi" w:hAnsiTheme="majorBidi" w:cstheme="majorBidi"/>
          <w:lang w:val="en-GB"/>
        </w:rPr>
        <w:t>,</w:t>
      </w:r>
      <w:r w:rsidRPr="003D2A76">
        <w:rPr>
          <w:rFonts w:asciiTheme="majorBidi" w:hAnsiTheme="majorBidi" w:cstheme="majorBidi"/>
          <w:lang w:val="en-GB"/>
        </w:rPr>
        <w:t xml:space="preserve"> and learning </w:t>
      </w:r>
      <w:r w:rsidRPr="003D2A76">
        <w:rPr>
          <w:rFonts w:asciiTheme="majorBidi" w:hAnsiTheme="majorBidi" w:cstheme="majorBidi"/>
          <w:lang w:val="en-GB"/>
        </w:rPr>
        <w:lastRenderedPageBreak/>
        <w:t xml:space="preserve">management systems. This multi-channel </w:t>
      </w:r>
      <w:r w:rsidR="00EB4562">
        <w:rPr>
          <w:rFonts w:asciiTheme="majorBidi" w:hAnsiTheme="majorBidi" w:cstheme="majorBidi"/>
          <w:lang w:val="en-GB"/>
        </w:rPr>
        <w:t xml:space="preserve">approach </w:t>
      </w:r>
      <w:r w:rsidRPr="003D2A76">
        <w:rPr>
          <w:rFonts w:asciiTheme="majorBidi" w:hAnsiTheme="majorBidi" w:cstheme="majorBidi"/>
          <w:lang w:val="en-GB"/>
        </w:rPr>
        <w:t>was used in order to reach as many people as possible without making participation forced (Dillman et al., 2014).</w:t>
      </w:r>
    </w:p>
    <w:p w14:paraId="7CB55170" w14:textId="04C9821B"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3.7.3 </w:t>
      </w:r>
      <w:r w:rsidR="00885F3C" w:rsidRPr="003D2A76">
        <w:rPr>
          <w:rFonts w:asciiTheme="majorBidi" w:hAnsiTheme="majorBidi" w:cstheme="majorBidi"/>
          <w:b/>
          <w:bCs/>
          <w:i/>
          <w:lang w:val="en-GB"/>
        </w:rPr>
        <w:t>Data Collection Timeline</w:t>
      </w:r>
    </w:p>
    <w:p w14:paraId="53022AE0" w14:textId="2908D3B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Data collection took place between June 25 and September 10, 2025, deliberately spanning two academic periods, specifically, the end of the second semester 2024</w:t>
      </w:r>
      <w:r w:rsidR="00ED6ED0" w:rsidRPr="003D2A76">
        <w:rPr>
          <w:rFonts w:asciiTheme="majorBidi" w:hAnsiTheme="majorBidi" w:cstheme="majorBidi"/>
          <w:lang w:val="en-GB"/>
        </w:rPr>
        <w:t>/</w:t>
      </w:r>
      <w:r w:rsidRPr="003D2A76">
        <w:rPr>
          <w:rFonts w:asciiTheme="majorBidi" w:hAnsiTheme="majorBidi" w:cstheme="majorBidi"/>
          <w:lang w:val="en-GB"/>
        </w:rPr>
        <w:t>25 and the first semester 2025</w:t>
      </w:r>
      <w:r w:rsidR="00ED6ED0" w:rsidRPr="003D2A76">
        <w:rPr>
          <w:rFonts w:asciiTheme="majorBidi" w:hAnsiTheme="majorBidi" w:cstheme="majorBidi"/>
          <w:lang w:val="en-GB"/>
        </w:rPr>
        <w:t>/</w:t>
      </w:r>
      <w:r w:rsidRPr="003D2A76">
        <w:rPr>
          <w:rFonts w:asciiTheme="majorBidi" w:hAnsiTheme="majorBidi" w:cstheme="majorBidi"/>
          <w:lang w:val="en-GB"/>
        </w:rPr>
        <w:t xml:space="preserve">26. This timely intervention </w:t>
      </w:r>
      <w:r w:rsidR="00EB4562">
        <w:rPr>
          <w:rFonts w:asciiTheme="majorBidi" w:hAnsiTheme="majorBidi" w:cstheme="majorBidi"/>
          <w:lang w:val="en-GB"/>
        </w:rPr>
        <w:t>captured</w:t>
      </w:r>
      <w:r w:rsidRPr="003D2A76">
        <w:rPr>
          <w:rFonts w:asciiTheme="majorBidi" w:hAnsiTheme="majorBidi" w:cstheme="majorBidi"/>
          <w:lang w:val="en-GB"/>
        </w:rPr>
        <w:t xml:space="preserve"> both the viewpoints of continuing students/parents (end of academic year) and new </w:t>
      </w:r>
      <w:r w:rsidR="003D2A76" w:rsidRPr="003D2A76">
        <w:rPr>
          <w:rFonts w:asciiTheme="majorBidi" w:hAnsiTheme="majorBidi" w:cstheme="majorBidi"/>
          <w:lang w:val="en-GB"/>
        </w:rPr>
        <w:t>enrolees</w:t>
      </w:r>
      <w:r w:rsidRPr="003D2A76">
        <w:rPr>
          <w:rFonts w:asciiTheme="majorBidi" w:hAnsiTheme="majorBidi" w:cstheme="majorBidi"/>
          <w:lang w:val="en-GB"/>
        </w:rPr>
        <w:t xml:space="preserve"> (beginning of academic year), which gave an all-inclusive picture of the effect of AI adoption at various levels of the educational experience (Fink, 2017). The long collection time also </w:t>
      </w:r>
      <w:r w:rsidR="00ED6ED0" w:rsidRPr="003D2A76">
        <w:rPr>
          <w:rFonts w:asciiTheme="majorBidi" w:hAnsiTheme="majorBidi" w:cstheme="majorBidi"/>
          <w:lang w:val="en-GB"/>
        </w:rPr>
        <w:t xml:space="preserve">spanned </w:t>
      </w:r>
      <w:r w:rsidRPr="003D2A76">
        <w:rPr>
          <w:rFonts w:asciiTheme="majorBidi" w:hAnsiTheme="majorBidi" w:cstheme="majorBidi"/>
          <w:lang w:val="en-GB"/>
        </w:rPr>
        <w:t xml:space="preserve">the summer </w:t>
      </w:r>
      <w:r w:rsidR="00ED6ED0" w:rsidRPr="003D2A76">
        <w:rPr>
          <w:rFonts w:asciiTheme="majorBidi" w:hAnsiTheme="majorBidi" w:cstheme="majorBidi"/>
          <w:lang w:val="en-GB"/>
        </w:rPr>
        <w:t xml:space="preserve">holiday </w:t>
      </w:r>
      <w:r w:rsidRPr="003D2A76">
        <w:rPr>
          <w:rFonts w:asciiTheme="majorBidi" w:hAnsiTheme="majorBidi" w:cstheme="majorBidi"/>
          <w:lang w:val="en-GB"/>
        </w:rPr>
        <w:t xml:space="preserve">period since it was known that during </w:t>
      </w:r>
      <w:r w:rsidR="00ED6ED0" w:rsidRPr="003D2A76">
        <w:rPr>
          <w:rFonts w:asciiTheme="majorBidi" w:hAnsiTheme="majorBidi" w:cstheme="majorBidi"/>
          <w:lang w:val="en-GB"/>
        </w:rPr>
        <w:t xml:space="preserve">holidays </w:t>
      </w:r>
      <w:r w:rsidRPr="003D2A76">
        <w:rPr>
          <w:rFonts w:asciiTheme="majorBidi" w:hAnsiTheme="majorBidi" w:cstheme="majorBidi"/>
          <w:lang w:val="en-GB"/>
        </w:rPr>
        <w:t>more families may be available as compared to trave</w:t>
      </w:r>
      <w:r w:rsidR="00460689" w:rsidRPr="003D2A76">
        <w:rPr>
          <w:rFonts w:asciiTheme="majorBidi" w:hAnsiTheme="majorBidi" w:cstheme="majorBidi"/>
          <w:lang w:val="en-GB"/>
        </w:rPr>
        <w:t>l</w:t>
      </w:r>
      <w:r w:rsidRPr="003D2A76">
        <w:rPr>
          <w:rFonts w:asciiTheme="majorBidi" w:hAnsiTheme="majorBidi" w:cstheme="majorBidi"/>
          <w:lang w:val="en-GB"/>
        </w:rPr>
        <w:t>ling. Periodic checking of the response rates indicated consistent attendance during the whole time</w:t>
      </w:r>
      <w:r w:rsidR="00EB4562">
        <w:rPr>
          <w:rFonts w:asciiTheme="majorBidi" w:hAnsiTheme="majorBidi" w:cstheme="majorBidi"/>
          <w:lang w:val="en-GB"/>
        </w:rPr>
        <w:t>,</w:t>
      </w:r>
      <w:r w:rsidRPr="003D2A76">
        <w:rPr>
          <w:rFonts w:asciiTheme="majorBidi" w:hAnsiTheme="majorBidi" w:cstheme="majorBidi"/>
          <w:lang w:val="en-GB"/>
        </w:rPr>
        <w:t xml:space="preserve"> with the highest at the commencement and the end as part of the school term. The school channels were used to send weekly reminders in order to sustain momentum and increase the participation of individuals who had not responded yet (Saleh &amp; Bista, 2017).</w:t>
      </w:r>
    </w:p>
    <w:p w14:paraId="1533B084" w14:textId="3B674F74"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3.7.4 </w:t>
      </w:r>
      <w:r w:rsidR="00885F3C" w:rsidRPr="003D2A76">
        <w:rPr>
          <w:rFonts w:asciiTheme="majorBidi" w:hAnsiTheme="majorBidi" w:cstheme="majorBidi"/>
          <w:b/>
          <w:bCs/>
          <w:i/>
          <w:lang w:val="en-GB"/>
        </w:rPr>
        <w:t>Response Rate and Data Quality</w:t>
      </w:r>
    </w:p>
    <w:p w14:paraId="7B0762F5" w14:textId="51F2BA3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Of respondents logging in to use the questionnaire link, n=470 of the individuals were eligible</w:t>
      </w:r>
      <w:r w:rsidR="00AB67C5">
        <w:rPr>
          <w:rFonts w:asciiTheme="majorBidi" w:hAnsiTheme="majorBidi" w:cstheme="majorBidi"/>
          <w:lang w:val="en-GB"/>
        </w:rPr>
        <w:t>,</w:t>
      </w:r>
      <w:r w:rsidRPr="003D2A76">
        <w:rPr>
          <w:rFonts w:asciiTheme="majorBidi" w:hAnsiTheme="majorBidi" w:cstheme="majorBidi"/>
          <w:lang w:val="en-GB"/>
        </w:rPr>
        <w:t xml:space="preserve"> with 409 of those individuals </w:t>
      </w:r>
      <w:r w:rsidR="00FC73FC" w:rsidRPr="003D2A76">
        <w:rPr>
          <w:rFonts w:asciiTheme="majorBidi" w:hAnsiTheme="majorBidi" w:cstheme="majorBidi"/>
          <w:lang w:val="en-GB"/>
        </w:rPr>
        <w:t xml:space="preserve">giving </w:t>
      </w:r>
      <w:r w:rsidRPr="003D2A76">
        <w:rPr>
          <w:rFonts w:asciiTheme="majorBidi" w:hAnsiTheme="majorBidi" w:cstheme="majorBidi"/>
          <w:lang w:val="en-GB"/>
        </w:rPr>
        <w:t xml:space="preserve">complete and eligible responses, giving an 87.02% rate of eligibility and completion. Such </w:t>
      </w:r>
      <w:r w:rsidR="00FC73FC" w:rsidRPr="003D2A76">
        <w:rPr>
          <w:rFonts w:asciiTheme="majorBidi" w:hAnsiTheme="majorBidi" w:cstheme="majorBidi"/>
          <w:lang w:val="en-GB"/>
        </w:rPr>
        <w:t xml:space="preserve">a </w:t>
      </w:r>
      <w:r w:rsidRPr="003D2A76">
        <w:rPr>
          <w:rFonts w:asciiTheme="majorBidi" w:hAnsiTheme="majorBidi" w:cstheme="majorBidi"/>
          <w:lang w:val="en-GB"/>
        </w:rPr>
        <w:t xml:space="preserve">high completion rate indicated good interest in the topic of the research and good design of questions. The 61 rejected answers were mainly people who were not eligible to take the survey (e.g. not affiliated with Jeddah private schools) or those who gave up on the survey halfway. The quality of data was also improved </w:t>
      </w:r>
      <w:r w:rsidR="00EB4562">
        <w:rPr>
          <w:rFonts w:asciiTheme="majorBidi" w:hAnsiTheme="majorBidi" w:cstheme="majorBidi"/>
          <w:lang w:val="en-GB"/>
        </w:rPr>
        <w:t>through</w:t>
      </w:r>
      <w:r w:rsidRPr="003D2A76">
        <w:rPr>
          <w:rFonts w:asciiTheme="majorBidi" w:hAnsiTheme="majorBidi" w:cstheme="majorBidi"/>
          <w:lang w:val="en-GB"/>
        </w:rPr>
        <w:t xml:space="preserve"> a variety of mechanisms provided by the Microsoft Forms </w:t>
      </w:r>
      <w:r w:rsidRPr="003D2A76">
        <w:rPr>
          <w:rFonts w:asciiTheme="majorBidi" w:hAnsiTheme="majorBidi" w:cstheme="majorBidi"/>
          <w:lang w:val="en-GB"/>
        </w:rPr>
        <w:lastRenderedPageBreak/>
        <w:t>platform. Critical item requirements made sure no blank data was available. Response validation barred invalid entries (e.g.</w:t>
      </w:r>
      <w:r w:rsidR="00EB4562">
        <w:rPr>
          <w:rFonts w:asciiTheme="majorBidi" w:hAnsiTheme="majorBidi" w:cstheme="majorBidi"/>
          <w:lang w:val="en-GB"/>
        </w:rPr>
        <w:t>,</w:t>
      </w:r>
      <w:r w:rsidRPr="003D2A76">
        <w:rPr>
          <w:rFonts w:asciiTheme="majorBidi" w:hAnsiTheme="majorBidi" w:cstheme="majorBidi"/>
          <w:lang w:val="en-GB"/>
        </w:rPr>
        <w:t xml:space="preserve"> text in numeric fields). Check questions ensured that the respondents were reading the items. Anonymity: IP address tracking (</w:t>
      </w:r>
      <w:r w:rsidR="00FC73FC" w:rsidRPr="003D2A76">
        <w:rPr>
          <w:rFonts w:asciiTheme="majorBidi" w:hAnsiTheme="majorBidi" w:cstheme="majorBidi"/>
          <w:lang w:val="en-GB"/>
        </w:rPr>
        <w:t>anonymised</w:t>
      </w:r>
      <w:r w:rsidRPr="003D2A76">
        <w:rPr>
          <w:rFonts w:asciiTheme="majorBidi" w:hAnsiTheme="majorBidi" w:cstheme="majorBidi"/>
          <w:lang w:val="en-GB"/>
        </w:rPr>
        <w:t xml:space="preserve">) prevented multiple submissions, and at the same time ensured anonymity of the participants. Such quality controls produced a clean dataset which </w:t>
      </w:r>
      <w:r w:rsidR="00FC73FC" w:rsidRPr="003D2A76">
        <w:rPr>
          <w:rFonts w:asciiTheme="majorBidi" w:hAnsiTheme="majorBidi" w:cstheme="majorBidi"/>
          <w:lang w:val="en-GB"/>
        </w:rPr>
        <w:t xml:space="preserve">needed </w:t>
      </w:r>
      <w:r w:rsidRPr="003D2A76">
        <w:rPr>
          <w:rFonts w:asciiTheme="majorBidi" w:hAnsiTheme="majorBidi" w:cstheme="majorBidi"/>
          <w:lang w:val="en-GB"/>
        </w:rPr>
        <w:t>less preprocessing (Couper, 2008).</w:t>
      </w:r>
    </w:p>
    <w:p w14:paraId="656C5B3F" w14:textId="77777777" w:rsidR="00885F3C" w:rsidRPr="003D2A76" w:rsidRDefault="006A4A5D" w:rsidP="00BD6279">
      <w:pPr>
        <w:pStyle w:val="Heading2"/>
        <w:rPr>
          <w:lang w:val="en-GB"/>
        </w:rPr>
      </w:pPr>
      <w:bookmarkStart w:id="29" w:name="_Toc228056572"/>
      <w:r w:rsidRPr="003D2A76">
        <w:rPr>
          <w:rFonts w:ascii="Times New Roman" w:hAnsi="Times New Roman" w:cs="Times New Roman"/>
          <w:lang w:val="en-GB"/>
        </w:rPr>
        <w:t xml:space="preserve">3.8 </w:t>
      </w:r>
      <w:r w:rsidR="00885F3C" w:rsidRPr="003D2A76">
        <w:rPr>
          <w:rFonts w:ascii="Times New Roman" w:hAnsi="Times New Roman" w:cs="Times New Roman"/>
          <w:lang w:val="en-GB"/>
        </w:rPr>
        <w:t>Data Analysis Methods</w:t>
      </w:r>
      <w:bookmarkEnd w:id="29"/>
    </w:p>
    <w:p w14:paraId="08F55EAD" w14:textId="1547A63B"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3.8.1 </w:t>
      </w:r>
      <w:r w:rsidR="00885F3C" w:rsidRPr="003D2A76">
        <w:rPr>
          <w:rFonts w:asciiTheme="majorBidi" w:hAnsiTheme="majorBidi" w:cstheme="majorBidi"/>
          <w:b/>
          <w:bCs/>
          <w:i/>
          <w:lang w:val="en-GB"/>
        </w:rPr>
        <w:t>Descriptive Statistics</w:t>
      </w:r>
    </w:p>
    <w:p w14:paraId="483DBDB5" w14:textId="0A3BEAC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first stage of data analysis used statistical methods of descriptive statistics to describe the sample and test the distributional characteristics of variables. The descriptive statistics provide the basis of data structure cognition and detecting possible problems prior to the conclusive inferential analyses (Tabachnick and Fidell, 2019). The values of central tendency (mean, median, mode) were computed to determine the average value of each variable, whereas the values of dispersion (standard deviation, variance, range) were used to determine how those values were dispersed around the central ones (Field, 2018). Categorical variables based on demographic characteristics, school type</w:t>
      </w:r>
      <w:r w:rsidR="00BA7306">
        <w:rPr>
          <w:rFonts w:asciiTheme="majorBidi" w:hAnsiTheme="majorBidi" w:cstheme="majorBidi"/>
          <w:lang w:val="en-GB"/>
        </w:rPr>
        <w:t>,</w:t>
      </w:r>
      <w:r w:rsidRPr="003D2A76">
        <w:rPr>
          <w:rFonts w:asciiTheme="majorBidi" w:hAnsiTheme="majorBidi" w:cstheme="majorBidi"/>
          <w:lang w:val="en-GB"/>
        </w:rPr>
        <w:t xml:space="preserve"> and respondent categories were calculated using frequency distributions and percentages. Such descriptive analyses allow researchers to confirm that the sample is representative of the target population and show any unforeseen trends that may provide bias </w:t>
      </w:r>
      <w:r w:rsidR="00FC73FC" w:rsidRPr="003D2A76">
        <w:rPr>
          <w:rFonts w:asciiTheme="majorBidi" w:hAnsiTheme="majorBidi" w:cstheme="majorBidi"/>
          <w:lang w:val="en-GB"/>
        </w:rPr>
        <w:t xml:space="preserve">in </w:t>
      </w:r>
      <w:r w:rsidRPr="003D2A76">
        <w:rPr>
          <w:rFonts w:asciiTheme="majorBidi" w:hAnsiTheme="majorBidi" w:cstheme="majorBidi"/>
          <w:lang w:val="en-GB"/>
        </w:rPr>
        <w:t xml:space="preserve">future analysis (Hair et al., 2019). Also, analysis of minimum and maximum values was done to determine the possibility of errors or outliers in data entry that should be investigated (Pallant, 2020). Statistical evaluation of distributional assumptions was done using skewness and kurtosis measures. Skew values that range between -2 and +2 and Kurtosis </w:t>
      </w:r>
      <w:r w:rsidRPr="003D2A76">
        <w:rPr>
          <w:rFonts w:asciiTheme="majorBidi" w:hAnsiTheme="majorBidi" w:cstheme="majorBidi"/>
          <w:lang w:val="en-GB"/>
        </w:rPr>
        <w:lastRenderedPageBreak/>
        <w:t xml:space="preserve">between -7 and +7 are usually acceptable to assume normal distribution in social science research (Byrne, 2010). These tests are </w:t>
      </w:r>
      <w:r w:rsidR="00FC73FC" w:rsidRPr="003D2A76">
        <w:rPr>
          <w:rFonts w:asciiTheme="majorBidi" w:hAnsiTheme="majorBidi" w:cstheme="majorBidi"/>
          <w:lang w:val="en-GB"/>
        </w:rPr>
        <w:t xml:space="preserve">undertaken </w:t>
      </w:r>
      <w:r w:rsidRPr="003D2A76">
        <w:rPr>
          <w:rFonts w:asciiTheme="majorBidi" w:hAnsiTheme="majorBidi" w:cstheme="majorBidi"/>
          <w:lang w:val="en-GB"/>
        </w:rPr>
        <w:t xml:space="preserve">to make decisions regarding the use of relevant statistical methods because serious breaches of normality may require transforming the data or </w:t>
      </w:r>
      <w:r w:rsidR="00D90404">
        <w:rPr>
          <w:rFonts w:asciiTheme="majorBidi" w:hAnsiTheme="majorBidi" w:cstheme="majorBidi"/>
          <w:lang w:val="en-GB"/>
        </w:rPr>
        <w:t>non-parametric</w:t>
      </w:r>
      <w:r w:rsidRPr="003D2A76">
        <w:rPr>
          <w:rFonts w:asciiTheme="majorBidi" w:hAnsiTheme="majorBidi" w:cstheme="majorBidi"/>
          <w:lang w:val="en-GB"/>
        </w:rPr>
        <w:t xml:space="preserve"> substitutes (Kline, 2023).</w:t>
      </w:r>
    </w:p>
    <w:p w14:paraId="03A39EB3" w14:textId="4B1DB3DD"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3.8.2 </w:t>
      </w:r>
      <w:r w:rsidR="00885F3C" w:rsidRPr="003D2A76">
        <w:rPr>
          <w:rFonts w:asciiTheme="majorBidi" w:hAnsiTheme="majorBidi" w:cstheme="majorBidi"/>
          <w:b/>
          <w:bCs/>
          <w:i/>
          <w:lang w:val="en-GB"/>
        </w:rPr>
        <w:t>Preliminary Reliability Testing</w:t>
      </w:r>
    </w:p>
    <w:p w14:paraId="370BF99E" w14:textId="20E63929"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internal consistency reliability was evaluated with the help of </w:t>
      </w:r>
      <w:r w:rsidR="00FC73FC" w:rsidRPr="003D2A76">
        <w:rPr>
          <w:rFonts w:asciiTheme="majorBidi" w:hAnsiTheme="majorBidi" w:cstheme="majorBidi"/>
          <w:lang w:val="en-GB"/>
        </w:rPr>
        <w:t xml:space="preserve">the </w:t>
      </w:r>
      <w:r w:rsidRPr="003D2A76">
        <w:rPr>
          <w:rFonts w:asciiTheme="majorBidi" w:hAnsiTheme="majorBidi" w:cstheme="majorBidi"/>
          <w:lang w:val="en-GB"/>
        </w:rPr>
        <w:t>Cronbach alpha coefficient</w:t>
      </w:r>
      <w:r w:rsidR="00D90404">
        <w:rPr>
          <w:rFonts w:asciiTheme="majorBidi" w:hAnsiTheme="majorBidi" w:cstheme="majorBidi"/>
          <w:lang w:val="en-GB"/>
        </w:rPr>
        <w:t>,</w:t>
      </w:r>
      <w:r w:rsidRPr="003D2A76">
        <w:rPr>
          <w:rFonts w:asciiTheme="majorBidi" w:hAnsiTheme="majorBidi" w:cstheme="majorBidi"/>
          <w:lang w:val="en-GB"/>
        </w:rPr>
        <w:t xml:space="preserve"> which is the most common scale reliability measure in social science studies (Cronbach, 1951). This statistic indicates the degree to which the items of a scale measure the same underlying construct in that it has a value of 0 to 1. </w:t>
      </w:r>
      <w:r w:rsidR="00FC73FC" w:rsidRPr="003D2A76">
        <w:rPr>
          <w:rFonts w:asciiTheme="majorBidi" w:hAnsiTheme="majorBidi" w:cstheme="majorBidi"/>
          <w:lang w:val="en-GB"/>
        </w:rPr>
        <w:t xml:space="preserve">Higher </w:t>
      </w:r>
      <w:r w:rsidRPr="003D2A76">
        <w:rPr>
          <w:rFonts w:asciiTheme="majorBidi" w:hAnsiTheme="majorBidi" w:cstheme="majorBidi"/>
          <w:lang w:val="en-GB"/>
        </w:rPr>
        <w:t>scale values mean high internal consistency (DeVellis, 2017). The established scales have a generally accepted reliability threshold of 0.70</w:t>
      </w:r>
      <w:r w:rsidR="00D90404">
        <w:rPr>
          <w:rFonts w:asciiTheme="majorBidi" w:hAnsiTheme="majorBidi" w:cstheme="majorBidi"/>
          <w:lang w:val="en-GB"/>
        </w:rPr>
        <w:t>,</w:t>
      </w:r>
      <w:r w:rsidRPr="003D2A76">
        <w:rPr>
          <w:rFonts w:asciiTheme="majorBidi" w:hAnsiTheme="majorBidi" w:cstheme="majorBidi"/>
          <w:lang w:val="en-GB"/>
        </w:rPr>
        <w:t xml:space="preserve"> and the exploratory research has a threshold of 0.60 (Nunnally and Bernstein, 1994). The Cronbach's alpha of all the multi-item constructs used in the research are given in Table 1. These coefficients of reliability were computed before the hypothesis testing so that there would be adequacy of the measurement.</w:t>
      </w:r>
    </w:p>
    <w:p w14:paraId="6173EBE7" w14:textId="7C07A24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item-total correlation was also tested with the aim of determining whether each item was adding value to its scale. Those items whose item-total correlation was found to be corrected to lower than 0.30 would be considered </w:t>
      </w:r>
      <w:r w:rsidR="00FC73FC" w:rsidRPr="003D2A76">
        <w:rPr>
          <w:rFonts w:asciiTheme="majorBidi" w:hAnsiTheme="majorBidi" w:cstheme="majorBidi"/>
          <w:lang w:val="en-GB"/>
        </w:rPr>
        <w:t>for</w:t>
      </w:r>
      <w:r w:rsidRPr="003D2A76">
        <w:rPr>
          <w:rFonts w:asciiTheme="majorBidi" w:hAnsiTheme="majorBidi" w:cstheme="majorBidi"/>
          <w:lang w:val="en-GB"/>
        </w:rPr>
        <w:t xml:space="preserve"> removal since they might not be measuring the same construct as other scale items (Field, 2018). Also, the alpha </w:t>
      </w:r>
      <w:r w:rsidR="00FC73FC" w:rsidRPr="003D2A76">
        <w:rPr>
          <w:rFonts w:asciiTheme="majorBidi" w:hAnsiTheme="majorBidi" w:cstheme="majorBidi"/>
          <w:lang w:val="en-GB"/>
        </w:rPr>
        <w:t xml:space="preserve">of the </w:t>
      </w:r>
      <w:r w:rsidRPr="003D2A76">
        <w:rPr>
          <w:rFonts w:asciiTheme="majorBidi" w:hAnsiTheme="majorBidi" w:cstheme="majorBidi"/>
          <w:lang w:val="en-GB"/>
        </w:rPr>
        <w:t>item deleted was checked to see which item would help to increase scale reliability significantly when removed (Hair et al., 2019).</w:t>
      </w:r>
    </w:p>
    <w:p w14:paraId="372DDE07" w14:textId="2A61B9CD"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3.8.3 </w:t>
      </w:r>
      <w:r w:rsidR="00885F3C" w:rsidRPr="003D2A76">
        <w:rPr>
          <w:rFonts w:asciiTheme="majorBidi" w:hAnsiTheme="majorBidi" w:cstheme="majorBidi"/>
          <w:b/>
          <w:bCs/>
          <w:i/>
          <w:lang w:val="en-GB"/>
        </w:rPr>
        <w:t>Exploratory Factor Analysis</w:t>
      </w:r>
    </w:p>
    <w:p w14:paraId="75AB759A" w14:textId="5A04DAA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Five factor items of the measurement instrument were subjected to Exploratory Factor Analysis (EFA) to </w:t>
      </w:r>
      <w:r w:rsidR="00FC73FC" w:rsidRPr="003D2A76">
        <w:rPr>
          <w:rFonts w:asciiTheme="majorBidi" w:hAnsiTheme="majorBidi" w:cstheme="majorBidi"/>
          <w:lang w:val="en-GB"/>
        </w:rPr>
        <w:t xml:space="preserve">analyse </w:t>
      </w:r>
      <w:r w:rsidRPr="003D2A76">
        <w:rPr>
          <w:rFonts w:asciiTheme="majorBidi" w:hAnsiTheme="majorBidi" w:cstheme="majorBidi"/>
          <w:lang w:val="en-GB"/>
        </w:rPr>
        <w:t xml:space="preserve">the underlying </w:t>
      </w:r>
      <w:r w:rsidR="00D90404">
        <w:rPr>
          <w:rFonts w:asciiTheme="majorBidi" w:hAnsiTheme="majorBidi" w:cstheme="majorBidi"/>
          <w:lang w:val="en-GB"/>
        </w:rPr>
        <w:t>factor</w:t>
      </w:r>
      <w:r w:rsidRPr="003D2A76">
        <w:rPr>
          <w:rFonts w:asciiTheme="majorBidi" w:hAnsiTheme="majorBidi" w:cstheme="majorBidi"/>
          <w:lang w:val="en-GB"/>
        </w:rPr>
        <w:t xml:space="preserve"> structure and to determine construct </w:t>
      </w:r>
      <w:r w:rsidRPr="003D2A76">
        <w:rPr>
          <w:rFonts w:asciiTheme="majorBidi" w:hAnsiTheme="majorBidi" w:cstheme="majorBidi"/>
          <w:lang w:val="en-GB"/>
        </w:rPr>
        <w:lastRenderedPageBreak/>
        <w:t xml:space="preserve">validity (Costello and Osborne, 2005). EFA is also useful where a researcher wants to adapt the existing scales to new settings since it can determine whether the items place onto their respective factors as </w:t>
      </w:r>
      <w:r w:rsidR="00FC73FC" w:rsidRPr="003D2A76">
        <w:rPr>
          <w:rFonts w:asciiTheme="majorBidi" w:hAnsiTheme="majorBidi" w:cstheme="majorBidi"/>
          <w:lang w:val="en-GB"/>
        </w:rPr>
        <w:t xml:space="preserve">theorised </w:t>
      </w:r>
      <w:r w:rsidRPr="003D2A76">
        <w:rPr>
          <w:rFonts w:asciiTheme="majorBidi" w:hAnsiTheme="majorBidi" w:cstheme="majorBidi"/>
          <w:lang w:val="en-GB"/>
        </w:rPr>
        <w:t xml:space="preserve">(Worthington and Whittaker, 2006). To extract the factors, principal component analysis using varimax rotation was chosen because it </w:t>
      </w:r>
      <w:r w:rsidR="00FC73FC" w:rsidRPr="003D2A76">
        <w:rPr>
          <w:rFonts w:asciiTheme="majorBidi" w:hAnsiTheme="majorBidi" w:cstheme="majorBidi"/>
          <w:lang w:val="en-GB"/>
        </w:rPr>
        <w:t xml:space="preserve">maximises </w:t>
      </w:r>
      <w:r w:rsidRPr="003D2A76">
        <w:rPr>
          <w:rFonts w:asciiTheme="majorBidi" w:hAnsiTheme="majorBidi" w:cstheme="majorBidi"/>
          <w:lang w:val="en-GB"/>
        </w:rPr>
        <w:t xml:space="preserve">the variance accounted </w:t>
      </w:r>
      <w:r w:rsidR="00D90404">
        <w:rPr>
          <w:rFonts w:asciiTheme="majorBidi" w:hAnsiTheme="majorBidi" w:cstheme="majorBidi"/>
          <w:lang w:val="en-GB"/>
        </w:rPr>
        <w:t xml:space="preserve">for </w:t>
      </w:r>
      <w:r w:rsidRPr="003D2A76">
        <w:rPr>
          <w:rFonts w:asciiTheme="majorBidi" w:hAnsiTheme="majorBidi" w:cstheme="majorBidi"/>
          <w:lang w:val="en-GB"/>
        </w:rPr>
        <w:t>and factors resulting are orthogonal</w:t>
      </w:r>
      <w:r w:rsidR="00D90404">
        <w:rPr>
          <w:rFonts w:asciiTheme="majorBidi" w:hAnsiTheme="majorBidi" w:cstheme="majorBidi"/>
          <w:lang w:val="en-GB"/>
        </w:rPr>
        <w:t>,</w:t>
      </w:r>
      <w:r w:rsidRPr="003D2A76">
        <w:rPr>
          <w:rFonts w:asciiTheme="majorBidi" w:hAnsiTheme="majorBidi" w:cstheme="majorBidi"/>
          <w:lang w:val="en-GB"/>
        </w:rPr>
        <w:t xml:space="preserve"> making their interpretation easier (Kaiser, 1974). Before EFA was conducted, two tests were done to determine the suitability of the data for factor analysis. The KMO measure of sampling adequacy was used to determine whether correlations between variables were of adequate size to conduct a factor analysis, and a value greater than 0.60 was regarded as acceptable and 0.80 as meritorious (Kaiser and Rice, 1974). The test of drift of the correlation matrix was used to test whether the correlation matrix is significantly different than an identity matrix</w:t>
      </w:r>
      <w:r w:rsidR="00D90404">
        <w:rPr>
          <w:rFonts w:asciiTheme="majorBidi" w:hAnsiTheme="majorBidi" w:cstheme="majorBidi"/>
          <w:lang w:val="en-GB"/>
        </w:rPr>
        <w:t>,</w:t>
      </w:r>
      <w:r w:rsidRPr="003D2A76">
        <w:rPr>
          <w:rFonts w:asciiTheme="majorBidi" w:hAnsiTheme="majorBidi" w:cstheme="majorBidi"/>
          <w:lang w:val="en-GB"/>
        </w:rPr>
        <w:t xml:space="preserve"> and the results were significant (p &lt; 0.05)</w:t>
      </w:r>
      <w:r w:rsidR="00D90404">
        <w:rPr>
          <w:rFonts w:asciiTheme="majorBidi" w:hAnsiTheme="majorBidi" w:cstheme="majorBidi"/>
          <w:lang w:val="en-GB"/>
        </w:rPr>
        <w:t>,</w:t>
      </w:r>
      <w:r w:rsidRPr="003D2A76">
        <w:rPr>
          <w:rFonts w:asciiTheme="majorBidi" w:hAnsiTheme="majorBidi" w:cstheme="majorBidi"/>
          <w:lang w:val="en-GB"/>
        </w:rPr>
        <w:t xml:space="preserve"> showing that the factor analysis was valid (Bartlett, 1950).</w:t>
      </w:r>
    </w:p>
    <w:p w14:paraId="4DCB8497" w14:textId="07953DF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criterion of eigenvalue-greater-than-one (Kaiser criterion) was used as the factor extraction criterion with the scree plot to gain insight into the optimal number of factors to retain (Cattell, 1966). To determine the sufficiency of the factor solution, the percentage of variance explained by each factor and cumulative variance explained were determined. The cumulative variance explained (60% and above) would typically be deemed satisfactory in social science research (Hair et al., 2019).</w:t>
      </w:r>
    </w:p>
    <w:p w14:paraId="13AA6136" w14:textId="30497F92"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3.8.4 </w:t>
      </w:r>
      <w:r w:rsidR="00885F3C" w:rsidRPr="003D2A76">
        <w:rPr>
          <w:rFonts w:asciiTheme="majorBidi" w:hAnsiTheme="majorBidi" w:cstheme="majorBidi"/>
          <w:b/>
          <w:bCs/>
          <w:i/>
          <w:lang w:val="en-GB"/>
        </w:rPr>
        <w:t>Correlation Analysis</w:t>
      </w:r>
    </w:p>
    <w:p w14:paraId="0A600B9E" w14:textId="3554DAA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It was intended that the bivariate correlation analysis would be conducted to investigate the strength and direction of </w:t>
      </w:r>
      <w:r w:rsidR="00FC73FC" w:rsidRPr="003D2A76">
        <w:rPr>
          <w:rFonts w:asciiTheme="majorBidi" w:hAnsiTheme="majorBidi" w:cstheme="majorBidi"/>
          <w:lang w:val="en-GB"/>
        </w:rPr>
        <w:t xml:space="preserve">the </w:t>
      </w:r>
      <w:r w:rsidRPr="003D2A76">
        <w:rPr>
          <w:rFonts w:asciiTheme="majorBidi" w:hAnsiTheme="majorBidi" w:cstheme="majorBidi"/>
          <w:lang w:val="en-GB"/>
        </w:rPr>
        <w:t>linear relationship</w:t>
      </w:r>
      <w:r w:rsidR="00FC73FC" w:rsidRPr="003D2A76">
        <w:rPr>
          <w:rFonts w:asciiTheme="majorBidi" w:hAnsiTheme="majorBidi" w:cstheme="majorBidi"/>
          <w:lang w:val="en-GB"/>
        </w:rPr>
        <w:t>s</w:t>
      </w:r>
      <w:r w:rsidRPr="003D2A76">
        <w:rPr>
          <w:rFonts w:asciiTheme="majorBidi" w:hAnsiTheme="majorBidi" w:cstheme="majorBidi"/>
          <w:lang w:val="en-GB"/>
        </w:rPr>
        <w:t xml:space="preserve"> between continuous variables using </w:t>
      </w:r>
      <w:r w:rsidR="00FC73FC" w:rsidRPr="003D2A76">
        <w:rPr>
          <w:rFonts w:asciiTheme="majorBidi" w:hAnsiTheme="majorBidi" w:cstheme="majorBidi"/>
          <w:lang w:val="en-GB"/>
        </w:rPr>
        <w:t xml:space="preserve">the </w:t>
      </w:r>
      <w:r w:rsidRPr="003D2A76">
        <w:rPr>
          <w:rFonts w:asciiTheme="majorBidi" w:hAnsiTheme="majorBidi" w:cstheme="majorBidi"/>
          <w:lang w:val="en-GB"/>
        </w:rPr>
        <w:t xml:space="preserve">Pearson correlation coefficient (Cohen et al., 2003). Correlation analysis can have </w:t>
      </w:r>
      <w:r w:rsidRPr="003D2A76">
        <w:rPr>
          <w:rFonts w:asciiTheme="majorBidi" w:hAnsiTheme="majorBidi" w:cstheme="majorBidi"/>
          <w:lang w:val="en-GB"/>
        </w:rPr>
        <w:lastRenderedPageBreak/>
        <w:t xml:space="preserve">several research applications: it helps to give early support to the </w:t>
      </w:r>
      <w:r w:rsidR="00FC73FC" w:rsidRPr="003D2A76">
        <w:rPr>
          <w:rFonts w:asciiTheme="majorBidi" w:hAnsiTheme="majorBidi" w:cstheme="majorBidi"/>
          <w:lang w:val="en-GB"/>
        </w:rPr>
        <w:t xml:space="preserve">hypothesised </w:t>
      </w:r>
      <w:r w:rsidRPr="003D2A76">
        <w:rPr>
          <w:rFonts w:asciiTheme="majorBidi" w:hAnsiTheme="majorBidi" w:cstheme="majorBidi"/>
          <w:lang w:val="en-GB"/>
        </w:rPr>
        <w:t xml:space="preserve">relationships, detects possible cases of multicollinearity, and prepares </w:t>
      </w:r>
      <w:r w:rsidR="00FC73FC" w:rsidRPr="003D2A76">
        <w:rPr>
          <w:rFonts w:asciiTheme="majorBidi" w:hAnsiTheme="majorBidi" w:cstheme="majorBidi"/>
          <w:lang w:val="en-GB"/>
        </w:rPr>
        <w:t xml:space="preserve">for </w:t>
      </w:r>
      <w:r w:rsidRPr="003D2A76">
        <w:rPr>
          <w:rFonts w:asciiTheme="majorBidi" w:hAnsiTheme="majorBidi" w:cstheme="majorBidi"/>
          <w:lang w:val="en-GB"/>
        </w:rPr>
        <w:t xml:space="preserve">later regression analyses (Tabachnick and Fidell, 2019). </w:t>
      </w:r>
      <w:r w:rsidR="00FC73FC" w:rsidRPr="003D2A76">
        <w:rPr>
          <w:rFonts w:asciiTheme="majorBidi" w:hAnsiTheme="majorBidi" w:cstheme="majorBidi"/>
          <w:lang w:val="en-GB"/>
        </w:rPr>
        <w:t xml:space="preserve">The </w:t>
      </w:r>
      <w:r w:rsidRPr="003D2A76">
        <w:rPr>
          <w:rFonts w:asciiTheme="majorBidi" w:hAnsiTheme="majorBidi" w:cstheme="majorBidi"/>
          <w:lang w:val="en-GB"/>
        </w:rPr>
        <w:t>Pearson correlation suits when the variables are continuous, are normally distributed, and the value of the variable is between -1 (perfect negative relationship) and +1 (perfect positive relationship) (Field, 2018). The interpretation of the correlation coefficients is in line with the provisions of Cohen (1988): small (r = 0.10</w:t>
      </w:r>
      <w:r w:rsidR="00FC73FC" w:rsidRPr="003D2A76">
        <w:rPr>
          <w:rFonts w:asciiTheme="majorBidi" w:hAnsiTheme="majorBidi" w:cstheme="majorBidi"/>
          <w:lang w:val="en-GB"/>
        </w:rPr>
        <w:t>–</w:t>
      </w:r>
      <w:r w:rsidRPr="003D2A76">
        <w:rPr>
          <w:rFonts w:asciiTheme="majorBidi" w:hAnsiTheme="majorBidi" w:cstheme="majorBidi"/>
          <w:lang w:val="en-GB"/>
        </w:rPr>
        <w:t>0.29), medium (r = 0.30</w:t>
      </w:r>
      <w:r w:rsidR="00FC73FC" w:rsidRPr="003D2A76">
        <w:rPr>
          <w:rFonts w:asciiTheme="majorBidi" w:hAnsiTheme="majorBidi" w:cstheme="majorBidi"/>
          <w:lang w:val="en-GB"/>
        </w:rPr>
        <w:t>–</w:t>
      </w:r>
      <w:r w:rsidRPr="003D2A76">
        <w:rPr>
          <w:rFonts w:asciiTheme="majorBidi" w:hAnsiTheme="majorBidi" w:cstheme="majorBidi"/>
          <w:lang w:val="en-GB"/>
        </w:rPr>
        <w:t>0.49), and large (r = 0.50 and above). These guidelines must</w:t>
      </w:r>
      <w:r w:rsidR="00D90404">
        <w:rPr>
          <w:rFonts w:asciiTheme="majorBidi" w:hAnsiTheme="majorBidi" w:cstheme="majorBidi"/>
          <w:lang w:val="en-GB"/>
        </w:rPr>
        <w:t>,</w:t>
      </w:r>
      <w:r w:rsidRPr="003D2A76">
        <w:rPr>
          <w:rFonts w:asciiTheme="majorBidi" w:hAnsiTheme="majorBidi" w:cstheme="majorBidi"/>
          <w:lang w:val="en-GB"/>
        </w:rPr>
        <w:t xml:space="preserve"> however</w:t>
      </w:r>
      <w:r w:rsidR="00D90404">
        <w:rPr>
          <w:rFonts w:asciiTheme="majorBidi" w:hAnsiTheme="majorBidi" w:cstheme="majorBidi"/>
          <w:lang w:val="en-GB"/>
        </w:rPr>
        <w:t>,</w:t>
      </w:r>
      <w:r w:rsidRPr="003D2A76">
        <w:rPr>
          <w:rFonts w:asciiTheme="majorBidi" w:hAnsiTheme="majorBidi" w:cstheme="majorBidi"/>
          <w:lang w:val="en-GB"/>
        </w:rPr>
        <w:t xml:space="preserve"> be applied within the context of particular research since what may be viewed as a small effect size in one research may be a large effect size in another (Ferguson, 2009). Correlation statistical significance was evaluated at p = 0.05 and p = 0.01 levels and Bonferroni adjustment was used on multiple comparisons to check </w:t>
      </w:r>
      <w:r w:rsidR="00FC73FC" w:rsidRPr="003D2A76">
        <w:rPr>
          <w:rFonts w:asciiTheme="majorBidi" w:hAnsiTheme="majorBidi" w:cstheme="majorBidi"/>
          <w:lang w:val="en-GB"/>
        </w:rPr>
        <w:t xml:space="preserve">the </w:t>
      </w:r>
      <w:r w:rsidRPr="003D2A76">
        <w:rPr>
          <w:rFonts w:asciiTheme="majorBidi" w:hAnsiTheme="majorBidi" w:cstheme="majorBidi"/>
          <w:lang w:val="en-GB"/>
        </w:rPr>
        <w:t>Type I error rate (Bland and Altman, 1995).</w:t>
      </w:r>
    </w:p>
    <w:p w14:paraId="21AA6C50" w14:textId="1513EBEC"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3.8.5 </w:t>
      </w:r>
      <w:r w:rsidR="00885F3C" w:rsidRPr="003D2A76">
        <w:rPr>
          <w:rFonts w:asciiTheme="majorBidi" w:hAnsiTheme="majorBidi" w:cstheme="majorBidi"/>
          <w:b/>
          <w:bCs/>
          <w:i/>
          <w:lang w:val="en-GB"/>
        </w:rPr>
        <w:t>Multiple Regression Analysis</w:t>
      </w:r>
    </w:p>
    <w:p w14:paraId="220A1095" w14:textId="6F70135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It was decided to use multiple regression analysis as the main method of testing direct relations between independent variables and the dependent variable (Keith, 2019). This statistical approach enables the study of the specific contribution of every predictor to be determined</w:t>
      </w:r>
      <w:r w:rsidR="00D90404">
        <w:rPr>
          <w:rFonts w:asciiTheme="majorBidi" w:hAnsiTheme="majorBidi" w:cstheme="majorBidi"/>
          <w:lang w:val="en-GB"/>
        </w:rPr>
        <w:t>,</w:t>
      </w:r>
      <w:r w:rsidRPr="003D2A76">
        <w:rPr>
          <w:rFonts w:asciiTheme="majorBidi" w:hAnsiTheme="majorBidi" w:cstheme="majorBidi"/>
          <w:lang w:val="en-GB"/>
        </w:rPr>
        <w:t xml:space="preserve"> taking into account the impact of the rest of the variables, making a more accurate evaluation of the links between the variables in comparison to simple bivariate correlations (Cohen et al., 2003). Of the various techniques available to estimate the parameters, the ordinary least squares (OLS) approach was selected because it gives unbiased estimates in the event that the regression assumptions are satisfied (Berry and Feldman</w:t>
      </w:r>
      <w:r w:rsidR="00D90404">
        <w:rPr>
          <w:rFonts w:asciiTheme="majorBidi" w:hAnsiTheme="majorBidi" w:cstheme="majorBidi"/>
          <w:lang w:val="en-GB"/>
        </w:rPr>
        <w:t>,</w:t>
      </w:r>
      <w:r w:rsidRPr="003D2A76">
        <w:rPr>
          <w:rFonts w:asciiTheme="majorBidi" w:hAnsiTheme="majorBidi" w:cstheme="majorBidi"/>
          <w:lang w:val="en-GB"/>
        </w:rPr>
        <w:t xml:space="preserve"> 1985).</w:t>
      </w:r>
    </w:p>
    <w:p w14:paraId="772ADD99" w14:textId="741F537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Sequential regression (also referred to as hierarchical regression) was to be used to test the incremental value of various sets of variables in explaining the variation in the dependent variable (Petrocelli, 2003). This method consists </w:t>
      </w:r>
      <w:r w:rsidR="00FC73FC" w:rsidRPr="003D2A76">
        <w:rPr>
          <w:rFonts w:asciiTheme="majorBidi" w:hAnsiTheme="majorBidi" w:cstheme="majorBidi"/>
          <w:lang w:val="en-GB"/>
        </w:rPr>
        <w:t xml:space="preserve">of </w:t>
      </w:r>
      <w:r w:rsidRPr="003D2A76">
        <w:rPr>
          <w:rFonts w:asciiTheme="majorBidi" w:hAnsiTheme="majorBidi" w:cstheme="majorBidi"/>
          <w:lang w:val="en-GB"/>
        </w:rPr>
        <w:t xml:space="preserve">inputting predictors in a theoretical order, whereby the change in R² </w:t>
      </w:r>
      <w:r w:rsidR="00FC73FC" w:rsidRPr="003D2A76">
        <w:rPr>
          <w:rFonts w:asciiTheme="majorBidi" w:hAnsiTheme="majorBidi" w:cstheme="majorBidi"/>
          <w:lang w:val="en-GB"/>
        </w:rPr>
        <w:t xml:space="preserve">for </w:t>
      </w:r>
      <w:r w:rsidRPr="003D2A76">
        <w:rPr>
          <w:rFonts w:asciiTheme="majorBidi" w:hAnsiTheme="majorBidi" w:cstheme="majorBidi"/>
          <w:lang w:val="en-GB"/>
        </w:rPr>
        <w:t xml:space="preserve">each of the steps represents the extra variance new variables explain. </w:t>
      </w:r>
      <w:r w:rsidR="00FC73FC" w:rsidRPr="003D2A76">
        <w:rPr>
          <w:rFonts w:asciiTheme="majorBidi" w:hAnsiTheme="majorBidi" w:cstheme="majorBidi"/>
          <w:lang w:val="en-GB"/>
        </w:rPr>
        <w:t xml:space="preserve">The hierarchy </w:t>
      </w:r>
      <w:r w:rsidRPr="003D2A76">
        <w:rPr>
          <w:rFonts w:asciiTheme="majorBidi" w:hAnsiTheme="majorBidi" w:cstheme="majorBidi"/>
          <w:lang w:val="en-GB"/>
        </w:rPr>
        <w:t>method of approach is quite useful in testing theoretical models that have more than one level of influence (Wampold and Freund, 1987).</w:t>
      </w:r>
    </w:p>
    <w:p w14:paraId="42841CA2" w14:textId="49259B0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Before the regression analysis, a number of diagnostic tests were to be conducted to ensure that regression assumptions were met. Variance Inflation Factor (VIF) and tolerance were used to measure multicollinearity</w:t>
      </w:r>
      <w:r w:rsidR="00D90404">
        <w:rPr>
          <w:rFonts w:asciiTheme="majorBidi" w:hAnsiTheme="majorBidi" w:cstheme="majorBidi"/>
          <w:lang w:val="en-GB"/>
        </w:rPr>
        <w:t>,</w:t>
      </w:r>
      <w:r w:rsidRPr="003D2A76">
        <w:rPr>
          <w:rFonts w:asciiTheme="majorBidi" w:hAnsiTheme="majorBidi" w:cstheme="majorBidi"/>
          <w:lang w:val="en-GB"/>
        </w:rPr>
        <w:t xml:space="preserve"> where VIF has a benchmark of less than 10 and tolerance of more than 0.1 (O'Brien, 2007). </w:t>
      </w:r>
      <w:r w:rsidR="00FC73FC" w:rsidRPr="003D2A76">
        <w:rPr>
          <w:rFonts w:asciiTheme="majorBidi" w:hAnsiTheme="majorBidi" w:cstheme="majorBidi"/>
          <w:lang w:val="en-GB"/>
        </w:rPr>
        <w:t xml:space="preserve">The </w:t>
      </w:r>
      <w:r w:rsidRPr="003D2A76">
        <w:rPr>
          <w:rFonts w:asciiTheme="majorBidi" w:hAnsiTheme="majorBidi" w:cstheme="majorBidi"/>
          <w:lang w:val="en-GB"/>
        </w:rPr>
        <w:t>Durbins-Watson value was calculated to show whether the residuals had autocorrelation</w:t>
      </w:r>
      <w:r w:rsidR="00D90404">
        <w:rPr>
          <w:rFonts w:asciiTheme="majorBidi" w:hAnsiTheme="majorBidi" w:cstheme="majorBidi"/>
          <w:lang w:val="en-GB"/>
        </w:rPr>
        <w:t>,</w:t>
      </w:r>
      <w:r w:rsidRPr="003D2A76">
        <w:rPr>
          <w:rFonts w:asciiTheme="majorBidi" w:hAnsiTheme="majorBidi" w:cstheme="majorBidi"/>
          <w:lang w:val="en-GB"/>
        </w:rPr>
        <w:t xml:space="preserve"> with values between 1.5 and 2.5 indicating no </w:t>
      </w:r>
      <w:r w:rsidR="00D90404">
        <w:rPr>
          <w:rFonts w:asciiTheme="majorBidi" w:hAnsiTheme="majorBidi" w:cstheme="majorBidi"/>
          <w:lang w:val="en-GB"/>
        </w:rPr>
        <w:t>autocorrelation</w:t>
      </w:r>
      <w:r w:rsidRPr="003D2A76">
        <w:rPr>
          <w:rFonts w:asciiTheme="majorBidi" w:hAnsiTheme="majorBidi" w:cstheme="majorBidi"/>
          <w:lang w:val="en-GB"/>
        </w:rPr>
        <w:t xml:space="preserve"> (Field, 2018). Heteroscedasticity and non-linearity of the residual plots were checked</w:t>
      </w:r>
      <w:r w:rsidR="00D90404">
        <w:rPr>
          <w:rFonts w:asciiTheme="majorBidi" w:hAnsiTheme="majorBidi" w:cstheme="majorBidi"/>
          <w:lang w:val="en-GB"/>
        </w:rPr>
        <w:t>,</w:t>
      </w:r>
      <w:r w:rsidRPr="003D2A76">
        <w:rPr>
          <w:rFonts w:asciiTheme="majorBidi" w:hAnsiTheme="majorBidi" w:cstheme="majorBidi"/>
          <w:lang w:val="en-GB"/>
        </w:rPr>
        <w:t xml:space="preserve"> and normal probability plots were used to check the residual normality (Osborne and Waters, 2002).</w:t>
      </w:r>
    </w:p>
    <w:p w14:paraId="614B5BF9" w14:textId="0BF5DBD8"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3.8.6 </w:t>
      </w:r>
      <w:r w:rsidR="00885F3C" w:rsidRPr="003D2A76">
        <w:rPr>
          <w:rFonts w:asciiTheme="majorBidi" w:hAnsiTheme="majorBidi" w:cstheme="majorBidi"/>
          <w:b/>
          <w:bCs/>
          <w:i/>
          <w:lang w:val="en-GB"/>
        </w:rPr>
        <w:t>Mediation Analysis</w:t>
      </w:r>
    </w:p>
    <w:p w14:paraId="23145998" w14:textId="42D11A1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mediation analysis was to be implemented with the help of Hayes (2023) PROCESS macro that has been applied to SPSS and is now considered the universal method of testing the influence of indirect effect in social science studies. The PROCESS macro has a number of strengths in comparison with conventional mediation strategies</w:t>
      </w:r>
      <w:r w:rsidR="00D90404">
        <w:rPr>
          <w:rFonts w:asciiTheme="majorBidi" w:hAnsiTheme="majorBidi" w:cstheme="majorBidi"/>
          <w:lang w:val="en-GB"/>
        </w:rPr>
        <w:t>,</w:t>
      </w:r>
      <w:r w:rsidRPr="003D2A76">
        <w:rPr>
          <w:rFonts w:asciiTheme="majorBidi" w:hAnsiTheme="majorBidi" w:cstheme="majorBidi"/>
          <w:lang w:val="en-GB"/>
        </w:rPr>
        <w:t xml:space="preserve"> including the Baron and Kenny (1986) method of causal steps or the Sobel test. In particular, it can compute confidence intervals of the indirect effects without normal distribution assumptions, that should be used to estimate the effect size, and can compute multiple </w:t>
      </w:r>
      <w:r w:rsidRPr="003D2A76">
        <w:rPr>
          <w:rFonts w:asciiTheme="majorBidi" w:hAnsiTheme="majorBidi" w:cstheme="majorBidi"/>
          <w:lang w:val="en-GB"/>
        </w:rPr>
        <w:lastRenderedPageBreak/>
        <w:t xml:space="preserve">mediators at once (Hayes, 2022). The most basic mediation hypotheses to be tested include simple mediation hypotheses, in which one mediator mediates the effect of </w:t>
      </w:r>
      <w:r w:rsidR="00BC6AEB" w:rsidRPr="003D2A76">
        <w:rPr>
          <w:rFonts w:asciiTheme="majorBidi" w:hAnsiTheme="majorBidi" w:cstheme="majorBidi"/>
          <w:lang w:val="en-GB"/>
        </w:rPr>
        <w:t xml:space="preserve">an </w:t>
      </w:r>
      <w:r w:rsidRPr="003D2A76">
        <w:rPr>
          <w:rFonts w:asciiTheme="majorBidi" w:hAnsiTheme="majorBidi" w:cstheme="majorBidi"/>
          <w:lang w:val="en-GB"/>
        </w:rPr>
        <w:t xml:space="preserve">independent variable on a dependent variable. Model 4 of the PROCESS macro was chosen as the test. Serial mediation analyses were intended to be undertaken under Model 6, which involved sequential mediation chains in which each mediator might have an effect on another. The reason as to why the bootstrapping procedure was selected to construct </w:t>
      </w:r>
      <w:r w:rsidR="00D90404">
        <w:rPr>
          <w:rFonts w:asciiTheme="majorBidi" w:hAnsiTheme="majorBidi" w:cstheme="majorBidi"/>
          <w:lang w:val="en-GB"/>
        </w:rPr>
        <w:t xml:space="preserve">a </w:t>
      </w:r>
      <w:r w:rsidRPr="003D2A76">
        <w:rPr>
          <w:rFonts w:asciiTheme="majorBidi" w:hAnsiTheme="majorBidi" w:cstheme="majorBidi"/>
          <w:lang w:val="en-GB"/>
        </w:rPr>
        <w:t xml:space="preserve">95% bias-corrected confidence interval is that this is the same number of bootstrap samples that have </w:t>
      </w:r>
      <w:r w:rsidR="00BC6AEB" w:rsidRPr="003D2A76">
        <w:rPr>
          <w:rFonts w:asciiTheme="majorBidi" w:hAnsiTheme="majorBidi" w:cstheme="majorBidi"/>
          <w:lang w:val="en-GB"/>
        </w:rPr>
        <w:t xml:space="preserve">been </w:t>
      </w:r>
      <w:r w:rsidRPr="003D2A76">
        <w:rPr>
          <w:rFonts w:asciiTheme="majorBidi" w:hAnsiTheme="majorBidi" w:cstheme="majorBidi"/>
          <w:lang w:val="en-GB"/>
        </w:rPr>
        <w:t xml:space="preserve">demonstrated to give consistent estimates at the same time </w:t>
      </w:r>
      <w:r w:rsidR="00BC6AEB" w:rsidRPr="003D2A76">
        <w:rPr>
          <w:rFonts w:asciiTheme="majorBidi" w:hAnsiTheme="majorBidi" w:cstheme="majorBidi"/>
          <w:lang w:val="en-GB"/>
        </w:rPr>
        <w:t xml:space="preserve">as </w:t>
      </w:r>
      <w:r w:rsidRPr="003D2A76">
        <w:rPr>
          <w:rFonts w:asciiTheme="majorBidi" w:hAnsiTheme="majorBidi" w:cstheme="majorBidi"/>
          <w:lang w:val="en-GB"/>
        </w:rPr>
        <w:t xml:space="preserve">carrying out a computationally efficient bootstrapping process (Preacher and Hayes, 2008). The results of mediation interpretation would be provided with references to the latest guidelines outlining various types of mediation. Complete mediation is a situation whereby the direct effect becomes insignificant in the presence of a mediator and partial mediation is a condition where both the direct and indirect effect is significant. Nevertheless, the significance and magnitude of indirect effects are </w:t>
      </w:r>
      <w:r w:rsidR="00BC6AEB" w:rsidRPr="003D2A76">
        <w:rPr>
          <w:rFonts w:asciiTheme="majorBidi" w:hAnsiTheme="majorBidi" w:cstheme="majorBidi"/>
          <w:lang w:val="en-GB"/>
        </w:rPr>
        <w:t xml:space="preserve">at </w:t>
      </w:r>
      <w:r w:rsidRPr="003D2A76">
        <w:rPr>
          <w:rFonts w:asciiTheme="majorBidi" w:hAnsiTheme="majorBidi" w:cstheme="majorBidi"/>
          <w:lang w:val="en-GB"/>
        </w:rPr>
        <w:t xml:space="preserve">the </w:t>
      </w:r>
      <w:r w:rsidR="00BC6AEB" w:rsidRPr="003D2A76">
        <w:rPr>
          <w:rFonts w:asciiTheme="majorBidi" w:hAnsiTheme="majorBidi" w:cstheme="majorBidi"/>
          <w:lang w:val="en-GB"/>
        </w:rPr>
        <w:t xml:space="preserve">centre </w:t>
      </w:r>
      <w:r w:rsidRPr="003D2A76">
        <w:rPr>
          <w:rFonts w:asciiTheme="majorBidi" w:hAnsiTheme="majorBidi" w:cstheme="majorBidi"/>
          <w:lang w:val="en-GB"/>
        </w:rPr>
        <w:t xml:space="preserve">of the modern mediation analysis as opposed to classifying the type of mediation (Hayes, 2022). The partially </w:t>
      </w:r>
      <w:r w:rsidR="00BC6AEB" w:rsidRPr="003D2A76">
        <w:rPr>
          <w:rFonts w:asciiTheme="majorBidi" w:hAnsiTheme="majorBidi" w:cstheme="majorBidi"/>
          <w:lang w:val="en-GB"/>
        </w:rPr>
        <w:t xml:space="preserve">standardised </w:t>
      </w:r>
      <w:r w:rsidRPr="003D2A76">
        <w:rPr>
          <w:rFonts w:asciiTheme="majorBidi" w:hAnsiTheme="majorBidi" w:cstheme="majorBidi"/>
          <w:lang w:val="en-GB"/>
        </w:rPr>
        <w:t xml:space="preserve">indirect effect would then be used to compute effect sizes of the indirect effects; it will show the change in the dependent variable in response to </w:t>
      </w:r>
      <w:r w:rsidR="00D90404">
        <w:rPr>
          <w:rFonts w:asciiTheme="majorBidi" w:hAnsiTheme="majorBidi" w:cstheme="majorBidi"/>
          <w:lang w:val="en-GB"/>
        </w:rPr>
        <w:t xml:space="preserve">a </w:t>
      </w:r>
      <w:r w:rsidRPr="003D2A76">
        <w:rPr>
          <w:rFonts w:asciiTheme="majorBidi" w:hAnsiTheme="majorBidi" w:cstheme="majorBidi"/>
          <w:lang w:val="en-GB"/>
        </w:rPr>
        <w:t>unit change in the independent variable via the mediator (Preacher and Kelley, 2011).</w:t>
      </w:r>
    </w:p>
    <w:p w14:paraId="5EBDD28A" w14:textId="06D53FFA"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3.8.7 </w:t>
      </w:r>
      <w:r w:rsidR="00885F3C" w:rsidRPr="003D2A76">
        <w:rPr>
          <w:rFonts w:asciiTheme="majorBidi" w:hAnsiTheme="majorBidi" w:cstheme="majorBidi"/>
          <w:b/>
          <w:bCs/>
          <w:i/>
          <w:lang w:val="en-GB"/>
        </w:rPr>
        <w:t>Moderation Analysis</w:t>
      </w:r>
    </w:p>
    <w:p w14:paraId="3342EC6C" w14:textId="5C3EE43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Moderation analysis was administered to determine whether the degree or direction of relationships between variables was contingent upon the level of the third variable (Baron and Kenny, 1986). The PROCESS macro-Model 1 was chosen to test moderation hypotheses because it provides a complete output with the effects of interactions, </w:t>
      </w:r>
      <w:r w:rsidRPr="003D2A76">
        <w:rPr>
          <w:rFonts w:asciiTheme="majorBidi" w:hAnsiTheme="majorBidi" w:cstheme="majorBidi"/>
          <w:lang w:val="en-GB"/>
        </w:rPr>
        <w:lastRenderedPageBreak/>
        <w:t xml:space="preserve">conditional effects at various levels of moderators, and the Johnson-Neyman method to determine the areas of significance (Hayes, 2022). This method is better than the traditional moderation analysis because it gives more detailed information </w:t>
      </w:r>
      <w:r w:rsidR="00D90404">
        <w:rPr>
          <w:rFonts w:asciiTheme="majorBidi" w:hAnsiTheme="majorBidi" w:cstheme="majorBidi"/>
          <w:lang w:val="en-GB"/>
        </w:rPr>
        <w:t>about</w:t>
      </w:r>
      <w:r w:rsidRPr="003D2A76">
        <w:rPr>
          <w:rFonts w:asciiTheme="majorBidi" w:hAnsiTheme="majorBidi" w:cstheme="majorBidi"/>
          <w:lang w:val="en-GB"/>
        </w:rPr>
        <w:t xml:space="preserve"> the nature of interaction effects (Aiken and West, 1991). Continuous variables were mean-centred</w:t>
      </w:r>
      <w:r w:rsidR="00D90404">
        <w:rPr>
          <w:rFonts w:asciiTheme="majorBidi" w:hAnsiTheme="majorBidi" w:cstheme="majorBidi"/>
          <w:lang w:val="en-GB"/>
        </w:rPr>
        <w:t>,</w:t>
      </w:r>
      <w:r w:rsidRPr="003D2A76">
        <w:rPr>
          <w:rFonts w:asciiTheme="majorBidi" w:hAnsiTheme="majorBidi" w:cstheme="majorBidi"/>
          <w:lang w:val="en-GB"/>
        </w:rPr>
        <w:t xml:space="preserve"> and interaction terms were created to minimise multicollinearity between main and interaction effects and enhance the interpretation of regression coefficients (Iacobucci, Schneider, Popovich, and Bakamitsos, 2016). Significant interactions were probed with the use of the pick-a-point method, and conditional effects were investigated at the 16th, 50th, and 84th percentile levels of the moderator which are low, moderate, and high respectively (Hayes, 2022). The Johnson-Neyman technique was employed to determine the exact values of the moderator at which the relationship between independent and dependent variables became non-significant or significant, providing a more comprehensive picture of the moderation effects than conventional simple slopes analysis (Johnson and Neyman, 1936; Bauer and Curran, 2005). This method is more useful when the moderator is continuous because it does not impose arbitrary classification of continuous moderators into discrete groups (MacCallum, Zhang, Preacher, and Rucker, 2002).</w:t>
      </w:r>
    </w:p>
    <w:p w14:paraId="2974C17B"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3.8.8 Multicollinearity Diagnostics</w:t>
      </w:r>
    </w:p>
    <w:p w14:paraId="7F2F41C7" w14:textId="1A1D5B8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Since the notions of certain </w:t>
      </w:r>
      <w:r w:rsidR="00D90404">
        <w:rPr>
          <w:rFonts w:asciiTheme="majorBidi" w:hAnsiTheme="majorBidi" w:cstheme="majorBidi"/>
          <w:lang w:val="en-GB"/>
        </w:rPr>
        <w:t>constructs</w:t>
      </w:r>
      <w:r w:rsidRPr="003D2A76">
        <w:rPr>
          <w:rFonts w:asciiTheme="majorBidi" w:hAnsiTheme="majorBidi" w:cstheme="majorBidi"/>
          <w:lang w:val="en-GB"/>
        </w:rPr>
        <w:t xml:space="preserve"> overlap conceptually (e.g., service quality and trust), detailed multicollinearity diagnostics </w:t>
      </w:r>
      <w:r w:rsidR="004846FA">
        <w:rPr>
          <w:rFonts w:asciiTheme="majorBidi" w:hAnsiTheme="majorBidi" w:cstheme="majorBidi"/>
          <w:lang w:val="en-GB"/>
        </w:rPr>
        <w:t xml:space="preserve">had </w:t>
      </w:r>
      <w:r w:rsidRPr="003D2A76">
        <w:rPr>
          <w:rFonts w:asciiTheme="majorBidi" w:hAnsiTheme="majorBidi" w:cstheme="majorBidi"/>
          <w:lang w:val="en-GB"/>
        </w:rPr>
        <w:t xml:space="preserve">to be conducted. In addition to VIF and tolerance statistics, the condition index and the percentage of variance of collinearity diagnostics were taken on. The condition indices of above 30 with </w:t>
      </w:r>
      <w:r w:rsidR="00D90404">
        <w:rPr>
          <w:rFonts w:asciiTheme="majorBidi" w:hAnsiTheme="majorBidi" w:cstheme="majorBidi"/>
          <w:lang w:val="en-GB"/>
        </w:rPr>
        <w:t xml:space="preserve">a </w:t>
      </w:r>
      <w:r w:rsidRPr="003D2A76">
        <w:rPr>
          <w:rFonts w:asciiTheme="majorBidi" w:hAnsiTheme="majorBidi" w:cstheme="majorBidi"/>
          <w:lang w:val="en-GB"/>
        </w:rPr>
        <w:t xml:space="preserve">genus proportion of </w:t>
      </w:r>
      <w:r w:rsidRPr="003D2A76">
        <w:rPr>
          <w:rFonts w:asciiTheme="majorBidi" w:hAnsiTheme="majorBidi" w:cstheme="majorBidi"/>
          <w:lang w:val="en-GB"/>
        </w:rPr>
        <w:lastRenderedPageBreak/>
        <w:t>more than 0.50 of two or more variables would be indicative of a problematic multicollinearity that needs remedial measures (Belsley, Kuh, and Welsch, 1980).</w:t>
      </w:r>
    </w:p>
    <w:p w14:paraId="52FB750A" w14:textId="16CFD6B1"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3.8.9 </w:t>
      </w:r>
      <w:r w:rsidR="00885F3C" w:rsidRPr="003D2A76">
        <w:rPr>
          <w:rFonts w:asciiTheme="majorBidi" w:hAnsiTheme="majorBidi" w:cstheme="majorBidi"/>
          <w:b/>
          <w:bCs/>
          <w:i/>
          <w:lang w:val="en-GB"/>
        </w:rPr>
        <w:t>Software and Analytical Tools</w:t>
      </w:r>
    </w:p>
    <w:p w14:paraId="13C5E351" w14:textId="42AE70F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choice of statistical software was predetermined by the peculiarities of the strength of each platform in the various analytical processes. The analytical platform of SPSS 31 was chosen as the main one since it has the full range of statistical functions, is easy to use, and is accepted in the majority of social science studies (IBM Corporation, 2022). Descriptive statistics, reliability analysis, factor analysis, correlation analysis</w:t>
      </w:r>
      <w:r w:rsidR="00D90404">
        <w:rPr>
          <w:rFonts w:asciiTheme="majorBidi" w:hAnsiTheme="majorBidi" w:cstheme="majorBidi"/>
          <w:lang w:val="en-GB"/>
        </w:rPr>
        <w:t>,</w:t>
      </w:r>
      <w:r w:rsidRPr="003D2A76">
        <w:rPr>
          <w:rFonts w:asciiTheme="majorBidi" w:hAnsiTheme="majorBidi" w:cstheme="majorBidi"/>
          <w:lang w:val="en-GB"/>
        </w:rPr>
        <w:t xml:space="preserve"> and regression </w:t>
      </w:r>
      <w:r w:rsidR="003D2A76" w:rsidRPr="003D2A76">
        <w:rPr>
          <w:rFonts w:asciiTheme="majorBidi" w:hAnsiTheme="majorBidi" w:cstheme="majorBidi"/>
          <w:lang w:val="en-GB"/>
        </w:rPr>
        <w:t>modelling</w:t>
      </w:r>
      <w:r w:rsidRPr="003D2A76">
        <w:rPr>
          <w:rFonts w:asciiTheme="majorBidi" w:hAnsiTheme="majorBidi" w:cstheme="majorBidi"/>
          <w:lang w:val="en-GB"/>
        </w:rPr>
        <w:t xml:space="preserve"> were performed in SPSS. The resulting format can be easily displayed in a clear manner and is commonly known to most researchers and reviewers in the industry (Pallant, 2020). The mediation and moderation analysis were combined with SPSS</w:t>
      </w:r>
      <w:r w:rsidR="00D90404">
        <w:rPr>
          <w:rFonts w:asciiTheme="majorBidi" w:hAnsiTheme="majorBidi" w:cstheme="majorBidi"/>
          <w:lang w:val="en-GB"/>
        </w:rPr>
        <w:t>,</w:t>
      </w:r>
      <w:r w:rsidRPr="003D2A76">
        <w:rPr>
          <w:rFonts w:asciiTheme="majorBidi" w:hAnsiTheme="majorBidi" w:cstheme="majorBidi"/>
          <w:lang w:val="en-GB"/>
        </w:rPr>
        <w:t xml:space="preserve"> </w:t>
      </w:r>
      <w:r w:rsidR="007E787E" w:rsidRPr="003D2A76">
        <w:rPr>
          <w:rFonts w:asciiTheme="majorBidi" w:hAnsiTheme="majorBidi" w:cstheme="majorBidi"/>
          <w:lang w:val="en-GB"/>
        </w:rPr>
        <w:t>and</w:t>
      </w:r>
      <w:r w:rsidRPr="003D2A76">
        <w:rPr>
          <w:rFonts w:asciiTheme="majorBidi" w:hAnsiTheme="majorBidi" w:cstheme="majorBidi"/>
          <w:lang w:val="en-GB"/>
        </w:rPr>
        <w:t xml:space="preserve"> the PROCESS macro version 5 (Hayes, 2022) was also introduced. It is a macro that allows the use of bootstrap confidence intervals, conditional effects, and other measures of effect size that SPSS does not normally support in its standard procedures. The templates that are supplied in the model are the most prevalent mediation and moderation designs, guaranteeing consistency and validity in the testing of complex </w:t>
      </w:r>
      <w:r w:rsidR="007E787E" w:rsidRPr="003D2A76">
        <w:rPr>
          <w:rFonts w:asciiTheme="majorBidi" w:hAnsiTheme="majorBidi" w:cstheme="majorBidi"/>
          <w:lang w:val="en-GB"/>
        </w:rPr>
        <w:t xml:space="preserve">hypothesised </w:t>
      </w:r>
      <w:r w:rsidRPr="003D2A76">
        <w:rPr>
          <w:rFonts w:asciiTheme="majorBidi" w:hAnsiTheme="majorBidi" w:cstheme="majorBidi"/>
          <w:lang w:val="en-GB"/>
        </w:rPr>
        <w:t xml:space="preserve">relationships (Hayes, 2022). Python programming language was used to perform extra analyses and data </w:t>
      </w:r>
      <w:r w:rsidR="007E787E" w:rsidRPr="003D2A76">
        <w:rPr>
          <w:rFonts w:asciiTheme="majorBidi" w:hAnsiTheme="majorBidi" w:cstheme="majorBidi"/>
          <w:lang w:val="en-GB"/>
        </w:rPr>
        <w:t xml:space="preserve">visualisation utilising </w:t>
      </w:r>
      <w:r w:rsidRPr="003D2A76">
        <w:rPr>
          <w:rFonts w:asciiTheme="majorBidi" w:hAnsiTheme="majorBidi" w:cstheme="majorBidi"/>
          <w:lang w:val="en-GB"/>
        </w:rPr>
        <w:t xml:space="preserve">libraries like pandas to manipulate data, numpy to perform mathematical operations, matplotlib and seaborn to make sophisticated </w:t>
      </w:r>
      <w:r w:rsidR="007E787E" w:rsidRPr="003D2A76">
        <w:rPr>
          <w:rFonts w:asciiTheme="majorBidi" w:hAnsiTheme="majorBidi" w:cstheme="majorBidi"/>
          <w:lang w:val="en-GB"/>
        </w:rPr>
        <w:t>visualisations</w:t>
      </w:r>
      <w:r w:rsidRPr="003D2A76">
        <w:rPr>
          <w:rFonts w:asciiTheme="majorBidi" w:hAnsiTheme="majorBidi" w:cstheme="majorBidi"/>
          <w:lang w:val="en-GB"/>
        </w:rPr>
        <w:t xml:space="preserve">, and scipy to conduct other statistical tests (McKinney, 2017). Python flexibility was also used to make custom analyses and generate quality graphics not easily accessible in SPSS. Initial data screening, </w:t>
      </w:r>
      <w:r w:rsidR="00D90404">
        <w:rPr>
          <w:rFonts w:asciiTheme="majorBidi" w:hAnsiTheme="majorBidi" w:cstheme="majorBidi"/>
          <w:lang w:val="en-GB"/>
        </w:rPr>
        <w:t>summary tables</w:t>
      </w:r>
      <w:r w:rsidRPr="003D2A76">
        <w:rPr>
          <w:rFonts w:asciiTheme="majorBidi" w:hAnsiTheme="majorBidi" w:cstheme="majorBidi"/>
          <w:lang w:val="en-GB"/>
        </w:rPr>
        <w:t xml:space="preserve">, and format </w:t>
      </w:r>
      <w:r w:rsidRPr="003D2A76">
        <w:rPr>
          <w:rFonts w:asciiTheme="majorBidi" w:hAnsiTheme="majorBidi" w:cstheme="majorBidi"/>
          <w:lang w:val="en-GB"/>
        </w:rPr>
        <w:lastRenderedPageBreak/>
        <w:t>transformation were done in Microsoft Excel because the tool was familiar and easily manipulated to perform simple data management operations (Winston, 2019).</w:t>
      </w:r>
    </w:p>
    <w:p w14:paraId="29AE565F" w14:textId="77777777" w:rsidR="00885F3C" w:rsidRPr="003D2A76" w:rsidRDefault="006A4A5D" w:rsidP="00BD6279">
      <w:pPr>
        <w:pStyle w:val="Heading2"/>
        <w:rPr>
          <w:lang w:val="en-GB"/>
        </w:rPr>
      </w:pPr>
      <w:bookmarkStart w:id="30" w:name="_Toc228056573"/>
      <w:r w:rsidRPr="003D2A76">
        <w:rPr>
          <w:rFonts w:ascii="Times New Roman" w:hAnsi="Times New Roman" w:cs="Times New Roman"/>
          <w:lang w:val="en-GB"/>
        </w:rPr>
        <w:t xml:space="preserve">3.9 </w:t>
      </w:r>
      <w:r w:rsidR="00885F3C" w:rsidRPr="003D2A76">
        <w:rPr>
          <w:rFonts w:ascii="Times New Roman" w:hAnsi="Times New Roman" w:cs="Times New Roman"/>
          <w:lang w:val="en-GB"/>
        </w:rPr>
        <w:t>Ethical Considerations</w:t>
      </w:r>
      <w:bookmarkEnd w:id="30"/>
    </w:p>
    <w:p w14:paraId="203439FA" w14:textId="34571674"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3.9.1 </w:t>
      </w:r>
      <w:r w:rsidR="00885F3C" w:rsidRPr="003D2A76">
        <w:rPr>
          <w:rFonts w:asciiTheme="majorBidi" w:hAnsiTheme="majorBidi" w:cstheme="majorBidi"/>
          <w:b/>
          <w:bCs/>
          <w:i/>
          <w:lang w:val="en-GB"/>
        </w:rPr>
        <w:t>Informed Consent</w:t>
      </w:r>
    </w:p>
    <w:p w14:paraId="0EA0FFE5" w14:textId="280810B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process of informed consent was in accordance with the international research ethics standards</w:t>
      </w:r>
      <w:r w:rsidR="00D90404">
        <w:rPr>
          <w:rFonts w:asciiTheme="majorBidi" w:hAnsiTheme="majorBidi" w:cstheme="majorBidi"/>
          <w:lang w:val="en-GB"/>
        </w:rPr>
        <w:t>,</w:t>
      </w:r>
      <w:r w:rsidRPr="003D2A76">
        <w:rPr>
          <w:rFonts w:asciiTheme="majorBidi" w:hAnsiTheme="majorBidi" w:cstheme="majorBidi"/>
          <w:lang w:val="en-GB"/>
        </w:rPr>
        <w:t xml:space="preserve"> as the participants were aware of the nature and goal of the study and their rights (Beauchamp and Childress, 2013). The questionnaire was preceded by a detailed information sheet that described the aims of the research, procedures, possible benefits and risks of the research, data management processes, and rights of the participant</w:t>
      </w:r>
      <w:r w:rsidR="007E787E" w:rsidRPr="003D2A76">
        <w:rPr>
          <w:rFonts w:asciiTheme="majorBidi" w:hAnsiTheme="majorBidi" w:cstheme="majorBidi"/>
          <w:lang w:val="en-GB"/>
        </w:rPr>
        <w:t>s</w:t>
      </w:r>
      <w:r w:rsidRPr="003D2A76">
        <w:rPr>
          <w:rFonts w:asciiTheme="majorBidi" w:hAnsiTheme="majorBidi" w:cstheme="majorBidi"/>
          <w:lang w:val="en-GB"/>
        </w:rPr>
        <w:t xml:space="preserve">. </w:t>
      </w:r>
      <w:r w:rsidR="00D90404">
        <w:rPr>
          <w:rFonts w:asciiTheme="majorBidi" w:hAnsiTheme="majorBidi" w:cstheme="majorBidi"/>
          <w:lang w:val="en-GB"/>
        </w:rPr>
        <w:t>Consent</w:t>
      </w:r>
      <w:r w:rsidRPr="003D2A76">
        <w:rPr>
          <w:rFonts w:asciiTheme="majorBidi" w:hAnsiTheme="majorBidi" w:cstheme="majorBidi"/>
          <w:lang w:val="en-GB"/>
        </w:rPr>
        <w:t xml:space="preserve"> was made explicit by the checkboxes on agreeing before being able to access the main questionnaire. Those who failed to offer the required consent were automatically removed from the survey. In the case of the participants below the age of 18 years (16–</w:t>
      </w:r>
      <w:r w:rsidR="007E787E" w:rsidRPr="003D2A76">
        <w:rPr>
          <w:rFonts w:asciiTheme="majorBidi" w:hAnsiTheme="majorBidi" w:cstheme="majorBidi"/>
          <w:lang w:val="en-GB"/>
        </w:rPr>
        <w:t>17-</w:t>
      </w:r>
      <w:r w:rsidRPr="003D2A76">
        <w:rPr>
          <w:rFonts w:asciiTheme="majorBidi" w:hAnsiTheme="majorBidi" w:cstheme="majorBidi"/>
          <w:lang w:val="en-GB"/>
        </w:rPr>
        <w:t>year</w:t>
      </w:r>
      <w:r w:rsidR="007E787E" w:rsidRPr="003D2A76">
        <w:rPr>
          <w:rFonts w:asciiTheme="majorBidi" w:hAnsiTheme="majorBidi" w:cstheme="majorBidi"/>
          <w:lang w:val="en-GB"/>
        </w:rPr>
        <w:t>-</w:t>
      </w:r>
      <w:r w:rsidRPr="003D2A76">
        <w:rPr>
          <w:rFonts w:asciiTheme="majorBidi" w:hAnsiTheme="majorBidi" w:cstheme="majorBidi"/>
          <w:lang w:val="en-GB"/>
        </w:rPr>
        <w:t xml:space="preserve">old students), student assent and parental permission were </w:t>
      </w:r>
      <w:r w:rsidR="00D90404">
        <w:rPr>
          <w:rFonts w:asciiTheme="majorBidi" w:hAnsiTheme="majorBidi" w:cstheme="majorBidi"/>
          <w:lang w:val="en-GB"/>
        </w:rPr>
        <w:t>obtained</w:t>
      </w:r>
      <w:r w:rsidRPr="003D2A76">
        <w:rPr>
          <w:rFonts w:asciiTheme="majorBidi" w:hAnsiTheme="majorBidi" w:cstheme="majorBidi"/>
          <w:lang w:val="en-GB"/>
        </w:rPr>
        <w:t xml:space="preserve"> in the consent procedure. Parental notification and consent were collected in schools for minor participants. The consent forms highlighted the voluntary nature of the study, the freedom to withdraw at any time without penalty, and no adverse effects of non-participation. This all-inclusive approach guaranteed ethical considerations and allowed autonomy of participants (National Commission for the Protection of Human Subjects, 1979).</w:t>
      </w:r>
    </w:p>
    <w:p w14:paraId="5185A006" w14:textId="241A96FD"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3.9.2 </w:t>
      </w:r>
      <w:r w:rsidR="00885F3C" w:rsidRPr="003D2A76">
        <w:rPr>
          <w:rFonts w:asciiTheme="majorBidi" w:hAnsiTheme="majorBidi" w:cstheme="majorBidi"/>
          <w:b/>
          <w:bCs/>
          <w:i/>
          <w:lang w:val="en-GB"/>
        </w:rPr>
        <w:t>Privacy and Confidentiality</w:t>
      </w:r>
    </w:p>
    <w:p w14:paraId="0E58E9FD" w14:textId="61559EE0"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privacy of participants was ensured by ensuring complete anonymity of the responses. The Microsoft Forms platform was set </w:t>
      </w:r>
      <w:r w:rsidR="007E787E" w:rsidRPr="003D2A76">
        <w:rPr>
          <w:rFonts w:asciiTheme="majorBidi" w:hAnsiTheme="majorBidi" w:cstheme="majorBidi"/>
          <w:lang w:val="en-GB"/>
        </w:rPr>
        <w:t xml:space="preserve">up </w:t>
      </w:r>
      <w:r w:rsidRPr="003D2A76">
        <w:rPr>
          <w:rFonts w:asciiTheme="majorBidi" w:hAnsiTheme="majorBidi" w:cstheme="majorBidi"/>
          <w:lang w:val="en-GB"/>
        </w:rPr>
        <w:t xml:space="preserve">in a way that it did not gather any identifying details like names, email addresses, and IP addresses other than what was required to perform quality control. There was also protection of school identities as there </w:t>
      </w:r>
      <w:r w:rsidRPr="003D2A76">
        <w:rPr>
          <w:rFonts w:asciiTheme="majorBidi" w:hAnsiTheme="majorBidi" w:cstheme="majorBidi"/>
          <w:lang w:val="en-GB"/>
        </w:rPr>
        <w:lastRenderedPageBreak/>
        <w:t xml:space="preserve">were no questions that required the name of a particular school. Such </w:t>
      </w:r>
      <w:r w:rsidR="007E787E" w:rsidRPr="003D2A76">
        <w:rPr>
          <w:rFonts w:asciiTheme="majorBidi" w:hAnsiTheme="majorBidi" w:cstheme="majorBidi"/>
          <w:lang w:val="en-GB"/>
        </w:rPr>
        <w:t xml:space="preserve">an anonymisation </w:t>
      </w:r>
      <w:r w:rsidRPr="003D2A76">
        <w:rPr>
          <w:rFonts w:asciiTheme="majorBidi" w:hAnsiTheme="majorBidi" w:cstheme="majorBidi"/>
          <w:lang w:val="en-GB"/>
        </w:rPr>
        <w:t xml:space="preserve">strategy motivated honest answers and prevented any unwanted impact on the participants in case of participating in the research (Surmiak, 2018). The confidentiality of the data was ensured by the means of safe storage and access control. The data of SurveyMonkey was saved in </w:t>
      </w:r>
      <w:r w:rsidR="007E787E" w:rsidRPr="003D2A76">
        <w:rPr>
          <w:rFonts w:asciiTheme="majorBidi" w:hAnsiTheme="majorBidi" w:cstheme="majorBidi"/>
          <w:lang w:val="en-GB"/>
        </w:rPr>
        <w:t xml:space="preserve">a </w:t>
      </w:r>
      <w:r w:rsidRPr="003D2A76">
        <w:rPr>
          <w:rFonts w:asciiTheme="majorBidi" w:hAnsiTheme="majorBidi" w:cstheme="majorBidi"/>
          <w:lang w:val="en-GB"/>
        </w:rPr>
        <w:t xml:space="preserve">Microsoft cloud system </w:t>
      </w:r>
      <w:r w:rsidR="007E787E" w:rsidRPr="003D2A76">
        <w:rPr>
          <w:rFonts w:asciiTheme="majorBidi" w:hAnsiTheme="majorBidi" w:cstheme="majorBidi"/>
          <w:lang w:val="en-GB"/>
        </w:rPr>
        <w:t xml:space="preserve">with </w:t>
      </w:r>
      <w:r w:rsidRPr="003D2A76">
        <w:rPr>
          <w:rFonts w:asciiTheme="majorBidi" w:hAnsiTheme="majorBidi" w:cstheme="majorBidi"/>
          <w:lang w:val="en-GB"/>
        </w:rPr>
        <w:t xml:space="preserve">password-protected and multi-factor authentication. Raw data files were only available to the primary researcher. Any information that was provided to the supervisor or to check validity was de-identified and </w:t>
      </w:r>
      <w:r w:rsidR="007E787E" w:rsidRPr="003D2A76">
        <w:rPr>
          <w:rFonts w:asciiTheme="majorBidi" w:hAnsiTheme="majorBidi" w:cstheme="majorBidi"/>
          <w:lang w:val="en-GB"/>
        </w:rPr>
        <w:t>summarised</w:t>
      </w:r>
      <w:r w:rsidRPr="003D2A76">
        <w:rPr>
          <w:rFonts w:asciiTheme="majorBidi" w:hAnsiTheme="majorBidi" w:cstheme="majorBidi"/>
          <w:lang w:val="en-GB"/>
        </w:rPr>
        <w:t>. These precautions were beyond the normal educational research data protection requirements (British Educational Research Association, 2018).</w:t>
      </w:r>
    </w:p>
    <w:p w14:paraId="0415404B" w14:textId="5284E535"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3.9.3 </w:t>
      </w:r>
      <w:r w:rsidR="00885F3C" w:rsidRPr="003D2A76">
        <w:rPr>
          <w:rFonts w:asciiTheme="majorBidi" w:hAnsiTheme="majorBidi" w:cstheme="majorBidi"/>
          <w:b/>
          <w:bCs/>
          <w:i/>
          <w:lang w:val="en-GB"/>
        </w:rPr>
        <w:t>Data Protection and Storage</w:t>
      </w:r>
    </w:p>
    <w:p w14:paraId="3E502542" w14:textId="696EC0E6" w:rsidR="00885F3C"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Data security was </w:t>
      </w:r>
      <w:r w:rsidR="00D90404">
        <w:rPr>
          <w:rFonts w:asciiTheme="majorBidi" w:hAnsiTheme="majorBidi" w:cstheme="majorBidi"/>
          <w:lang w:val="en-GB"/>
        </w:rPr>
        <w:t>ensured</w:t>
      </w:r>
      <w:r w:rsidRPr="003D2A76">
        <w:rPr>
          <w:rFonts w:asciiTheme="majorBidi" w:hAnsiTheme="majorBidi" w:cstheme="majorBidi"/>
          <w:lang w:val="en-GB"/>
        </w:rPr>
        <w:t xml:space="preserve"> according to the best practices of managing digital research data. Microsoft Forms offered the enterprise-level security of </w:t>
      </w:r>
      <w:r w:rsidR="00D90404">
        <w:rPr>
          <w:rFonts w:asciiTheme="majorBidi" w:hAnsiTheme="majorBidi" w:cstheme="majorBidi"/>
          <w:lang w:val="en-GB"/>
        </w:rPr>
        <w:t>data encryption</w:t>
      </w:r>
      <w:r w:rsidRPr="003D2A76">
        <w:rPr>
          <w:rFonts w:asciiTheme="majorBidi" w:hAnsiTheme="majorBidi" w:cstheme="majorBidi"/>
          <w:lang w:val="en-GB"/>
        </w:rPr>
        <w:t xml:space="preserve"> both during transit and storage, periodic security audits, and adherence to international data protection laws such as GDPR. Cloud storage in secure backup copies was used to avoid the loss of data. All data access attempts were also tracked and accessed through access logs which gave an audit trail used to monitor security (UK Data Service, 2022). Within the data retention plan, the raw data would be held until thesis completion and defense</w:t>
      </w:r>
      <w:r w:rsidR="00D90404">
        <w:rPr>
          <w:rFonts w:asciiTheme="majorBidi" w:hAnsiTheme="majorBidi" w:cstheme="majorBidi"/>
          <w:lang w:val="en-GB"/>
        </w:rPr>
        <w:t>,</w:t>
      </w:r>
      <w:r w:rsidRPr="003D2A76">
        <w:rPr>
          <w:rFonts w:asciiTheme="majorBidi" w:hAnsiTheme="majorBidi" w:cstheme="majorBidi"/>
          <w:lang w:val="en-GB"/>
        </w:rPr>
        <w:t xml:space="preserve"> after which it would be destroyed securely. </w:t>
      </w:r>
      <w:r w:rsidR="007E787E" w:rsidRPr="003D2A76">
        <w:rPr>
          <w:rFonts w:asciiTheme="majorBidi" w:hAnsiTheme="majorBidi" w:cstheme="majorBidi"/>
          <w:lang w:val="en-GB"/>
        </w:rPr>
        <w:t xml:space="preserve">Anonymised </w:t>
      </w:r>
      <w:r w:rsidRPr="003D2A76">
        <w:rPr>
          <w:rFonts w:asciiTheme="majorBidi" w:hAnsiTheme="majorBidi" w:cstheme="majorBidi"/>
          <w:lang w:val="en-GB"/>
        </w:rPr>
        <w:t xml:space="preserve">and aggregated data could be stored longer in case of publication, although such data would not include any potentially identifying information. This retention plan combined the integrity and privacy protection of research with the protection of </w:t>
      </w:r>
      <w:r w:rsidR="00D90404">
        <w:rPr>
          <w:rFonts w:asciiTheme="majorBidi" w:hAnsiTheme="majorBidi" w:cstheme="majorBidi"/>
          <w:lang w:val="en-GB"/>
        </w:rPr>
        <w:t>participants' privacy</w:t>
      </w:r>
      <w:r w:rsidRPr="003D2A76">
        <w:rPr>
          <w:rFonts w:asciiTheme="majorBidi" w:hAnsiTheme="majorBidi" w:cstheme="majorBidi"/>
          <w:lang w:val="en-GB"/>
        </w:rPr>
        <w:t xml:space="preserve"> (Australian National Data Service, 2018).</w:t>
      </w:r>
    </w:p>
    <w:p w14:paraId="20463ACA" w14:textId="77777777" w:rsidR="009752B0" w:rsidRPr="003D2A76" w:rsidRDefault="009752B0" w:rsidP="009752B0">
      <w:pPr>
        <w:bidi w:val="0"/>
        <w:rPr>
          <w:rFonts w:asciiTheme="majorBidi" w:hAnsiTheme="majorBidi" w:cstheme="majorBidi"/>
          <w:lang w:val="en-GB"/>
        </w:rPr>
      </w:pPr>
    </w:p>
    <w:p w14:paraId="23B22EAB" w14:textId="248BAE76"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lastRenderedPageBreak/>
        <w:t xml:space="preserve">3.9.4 </w:t>
      </w:r>
      <w:r w:rsidR="00885F3C" w:rsidRPr="003D2A76">
        <w:rPr>
          <w:rFonts w:asciiTheme="majorBidi" w:hAnsiTheme="majorBidi" w:cstheme="majorBidi"/>
          <w:b/>
          <w:bCs/>
          <w:i/>
          <w:lang w:val="en-GB"/>
        </w:rPr>
        <w:t>Risk and Benefit Assessment</w:t>
      </w:r>
    </w:p>
    <w:p w14:paraId="05B519DC" w14:textId="4D83C5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research was not very risky to the participants as it was mainly constrained by the time needed to complete the questionnaire (12</w:t>
      </w:r>
      <w:r w:rsidR="007E787E" w:rsidRPr="003D2A76">
        <w:rPr>
          <w:rFonts w:asciiTheme="majorBidi" w:hAnsiTheme="majorBidi" w:cstheme="majorBidi"/>
          <w:lang w:val="en-GB"/>
        </w:rPr>
        <w:t>–</w:t>
      </w:r>
      <w:r w:rsidRPr="003D2A76">
        <w:rPr>
          <w:rFonts w:asciiTheme="majorBidi" w:hAnsiTheme="majorBidi" w:cstheme="majorBidi"/>
          <w:lang w:val="en-GB"/>
        </w:rPr>
        <w:t>15 minutes). There was no personal data gathered of</w:t>
      </w:r>
      <w:r w:rsidR="007E787E" w:rsidRPr="003D2A76">
        <w:rPr>
          <w:rFonts w:asciiTheme="majorBidi" w:hAnsiTheme="majorBidi" w:cstheme="majorBidi"/>
          <w:lang w:val="en-GB"/>
        </w:rPr>
        <w:t xml:space="preserve"> a</w:t>
      </w:r>
      <w:r w:rsidRPr="003D2A76">
        <w:rPr>
          <w:rFonts w:asciiTheme="majorBidi" w:hAnsiTheme="majorBidi" w:cstheme="majorBidi"/>
          <w:lang w:val="en-GB"/>
        </w:rPr>
        <w:t xml:space="preserve"> sensitive nature</w:t>
      </w:r>
      <w:r w:rsidR="00D90404">
        <w:rPr>
          <w:rFonts w:asciiTheme="majorBidi" w:hAnsiTheme="majorBidi" w:cstheme="majorBidi"/>
          <w:lang w:val="en-GB"/>
        </w:rPr>
        <w:t>,</w:t>
      </w:r>
      <w:r w:rsidRPr="003D2A76">
        <w:rPr>
          <w:rFonts w:asciiTheme="majorBidi" w:hAnsiTheme="majorBidi" w:cstheme="majorBidi"/>
          <w:lang w:val="en-GB"/>
        </w:rPr>
        <w:t xml:space="preserve"> and questions were more about the perceptions and </w:t>
      </w:r>
      <w:r w:rsidR="00D90404">
        <w:rPr>
          <w:rFonts w:asciiTheme="majorBidi" w:hAnsiTheme="majorBidi" w:cstheme="majorBidi"/>
          <w:lang w:val="en-GB"/>
        </w:rPr>
        <w:t>attitudes</w:t>
      </w:r>
      <w:r w:rsidRPr="003D2A76">
        <w:rPr>
          <w:rFonts w:asciiTheme="majorBidi" w:hAnsiTheme="majorBidi" w:cstheme="majorBidi"/>
          <w:lang w:val="en-GB"/>
        </w:rPr>
        <w:t xml:space="preserve"> of the respondents as opposed to the personal behavio</w:t>
      </w:r>
      <w:r w:rsidR="007E787E" w:rsidRPr="003D2A76">
        <w:rPr>
          <w:rFonts w:asciiTheme="majorBidi" w:hAnsiTheme="majorBidi" w:cstheme="majorBidi"/>
          <w:lang w:val="en-GB"/>
        </w:rPr>
        <w:t>u</w:t>
      </w:r>
      <w:r w:rsidRPr="003D2A76">
        <w:rPr>
          <w:rFonts w:asciiTheme="majorBidi" w:hAnsiTheme="majorBidi" w:cstheme="majorBidi"/>
          <w:lang w:val="en-GB"/>
        </w:rPr>
        <w:t>rs. No social or professional risk of participation was caused by the anonymity of data collection. The psycholog</w:t>
      </w:r>
      <w:r w:rsidR="00F80BCD">
        <w:rPr>
          <w:rFonts w:asciiTheme="majorBidi" w:hAnsiTheme="majorBidi" w:cstheme="majorBidi"/>
          <w:lang w:val="en-GB"/>
        </w:rPr>
        <w:t>ical distress</w:t>
      </w:r>
      <w:r w:rsidRPr="003D2A76">
        <w:rPr>
          <w:rFonts w:asciiTheme="majorBidi" w:hAnsiTheme="majorBidi" w:cstheme="majorBidi"/>
          <w:lang w:val="en-GB"/>
        </w:rPr>
        <w:t xml:space="preserve"> was not significant because questions on educational services were neutral (Council for International Organizations of Medical Sciences, 2016). The advantages of participation were </w:t>
      </w:r>
      <w:r w:rsidR="007E787E" w:rsidRPr="003D2A76">
        <w:rPr>
          <w:rFonts w:asciiTheme="majorBidi" w:hAnsiTheme="majorBidi" w:cstheme="majorBidi"/>
          <w:lang w:val="en-GB"/>
        </w:rPr>
        <w:t xml:space="preserve">a </w:t>
      </w:r>
      <w:r w:rsidRPr="003D2A76">
        <w:rPr>
          <w:rFonts w:asciiTheme="majorBidi" w:hAnsiTheme="majorBidi" w:cstheme="majorBidi"/>
          <w:lang w:val="en-GB"/>
        </w:rPr>
        <w:t>contribution to the body of knowledge on the implementation of educational technology that can</w:t>
      </w:r>
      <w:r w:rsidR="007E787E" w:rsidRPr="003D2A76">
        <w:rPr>
          <w:rFonts w:asciiTheme="majorBidi" w:hAnsiTheme="majorBidi" w:cstheme="majorBidi"/>
          <w:lang w:val="en-GB"/>
        </w:rPr>
        <w:t xml:space="preserve"> </w:t>
      </w:r>
      <w:r w:rsidRPr="003D2A76">
        <w:rPr>
          <w:rFonts w:asciiTheme="majorBidi" w:hAnsiTheme="majorBidi" w:cstheme="majorBidi"/>
          <w:lang w:val="en-GB"/>
        </w:rPr>
        <w:t xml:space="preserve">enhance education services in Saudi Arabia. Although the participants were not compensated directly, the research results may be used to shape the institution's policies and practices that lead to improved quality of education </w:t>
      </w:r>
      <w:r w:rsidR="007E787E" w:rsidRPr="003D2A76">
        <w:rPr>
          <w:rFonts w:asciiTheme="majorBidi" w:hAnsiTheme="majorBidi" w:cstheme="majorBidi"/>
          <w:lang w:val="en-GB"/>
        </w:rPr>
        <w:t xml:space="preserve">for </w:t>
      </w:r>
      <w:r w:rsidRPr="003D2A76">
        <w:rPr>
          <w:rFonts w:asciiTheme="majorBidi" w:hAnsiTheme="majorBidi" w:cstheme="majorBidi"/>
          <w:lang w:val="en-GB"/>
        </w:rPr>
        <w:t xml:space="preserve">all stakeholders. Aggregate reports on the results were provided to schools that might be used to inform their technology adoption. This was a positive </w:t>
      </w:r>
      <w:r w:rsidR="00D90404">
        <w:rPr>
          <w:rFonts w:asciiTheme="majorBidi" w:hAnsiTheme="majorBidi" w:cstheme="majorBidi"/>
          <w:lang w:val="en-GB"/>
        </w:rPr>
        <w:t>risk-to-benefit</w:t>
      </w:r>
      <w:r w:rsidRPr="003D2A76">
        <w:rPr>
          <w:rFonts w:asciiTheme="majorBidi" w:hAnsiTheme="majorBidi" w:cstheme="majorBidi"/>
          <w:lang w:val="en-GB"/>
        </w:rPr>
        <w:t xml:space="preserve"> ratio</w:t>
      </w:r>
      <w:r w:rsidR="00D90404">
        <w:rPr>
          <w:rFonts w:asciiTheme="majorBidi" w:hAnsiTheme="majorBidi" w:cstheme="majorBidi"/>
          <w:lang w:val="en-GB"/>
        </w:rPr>
        <w:t>,</w:t>
      </w:r>
      <w:r w:rsidRPr="003D2A76">
        <w:rPr>
          <w:rFonts w:asciiTheme="majorBidi" w:hAnsiTheme="majorBidi" w:cstheme="majorBidi"/>
          <w:lang w:val="en-GB"/>
        </w:rPr>
        <w:t xml:space="preserve"> which aided the moral </w:t>
      </w:r>
      <w:r w:rsidR="00D90404" w:rsidRPr="003D2A76">
        <w:rPr>
          <w:rFonts w:asciiTheme="majorBidi" w:hAnsiTheme="majorBidi" w:cstheme="majorBidi"/>
          <w:lang w:val="en-GB"/>
        </w:rPr>
        <w:t>defence</w:t>
      </w:r>
      <w:r w:rsidRPr="003D2A76">
        <w:rPr>
          <w:rFonts w:asciiTheme="majorBidi" w:hAnsiTheme="majorBidi" w:cstheme="majorBidi"/>
          <w:lang w:val="en-GB"/>
        </w:rPr>
        <w:t xml:space="preserve"> of the study (Emanuel, Wendler, and Grady, 2000).</w:t>
      </w:r>
    </w:p>
    <w:p w14:paraId="0FADC832" w14:textId="0C321D42" w:rsidR="00885F3C" w:rsidRPr="003D2A76" w:rsidRDefault="009752B0" w:rsidP="00BD6279">
      <w:pPr>
        <w:bidi w:val="0"/>
        <w:rPr>
          <w:rFonts w:asciiTheme="majorBidi" w:hAnsiTheme="majorBidi" w:cstheme="majorBidi"/>
          <w:b/>
          <w:bCs/>
          <w:i/>
          <w:lang w:val="en-GB"/>
        </w:rPr>
      </w:pPr>
      <w:r>
        <w:rPr>
          <w:rFonts w:asciiTheme="majorBidi" w:hAnsiTheme="majorBidi" w:cstheme="majorBidi"/>
          <w:b/>
          <w:bCs/>
          <w:i/>
          <w:lang w:val="en-GB"/>
        </w:rPr>
        <w:t xml:space="preserve">3.9.5 </w:t>
      </w:r>
      <w:r w:rsidR="00885F3C" w:rsidRPr="003D2A76">
        <w:rPr>
          <w:rFonts w:asciiTheme="majorBidi" w:hAnsiTheme="majorBidi" w:cstheme="majorBidi"/>
          <w:b/>
          <w:bCs/>
          <w:i/>
          <w:lang w:val="en-GB"/>
        </w:rPr>
        <w:t>Cultural Sensitivity</w:t>
      </w:r>
    </w:p>
    <w:p w14:paraId="18E5CD48" w14:textId="47B5A08D" w:rsidR="00885F3C" w:rsidRPr="003D2A76" w:rsidRDefault="00983C4D" w:rsidP="00BD6279">
      <w:pPr>
        <w:bidi w:val="0"/>
        <w:rPr>
          <w:rFonts w:asciiTheme="majorBidi" w:hAnsiTheme="majorBidi" w:cstheme="majorBidi"/>
          <w:lang w:val="en-GB"/>
        </w:rPr>
      </w:pPr>
      <w:r w:rsidRPr="003D2A76">
        <w:rPr>
          <w:rFonts w:asciiTheme="majorBidi" w:hAnsiTheme="majorBidi" w:cstheme="majorBidi"/>
          <w:lang w:val="en-GB"/>
        </w:rPr>
        <w:t>The</w:t>
      </w:r>
      <w:r w:rsidR="00885F3C" w:rsidRPr="003D2A76">
        <w:rPr>
          <w:rFonts w:asciiTheme="majorBidi" w:hAnsiTheme="majorBidi" w:cstheme="majorBidi"/>
          <w:lang w:val="en-GB"/>
        </w:rPr>
        <w:t xml:space="preserve"> research design</w:t>
      </w:r>
      <w:r w:rsidRPr="003D2A76">
        <w:rPr>
          <w:rFonts w:asciiTheme="majorBidi" w:hAnsiTheme="majorBidi" w:cstheme="majorBidi"/>
          <w:lang w:val="en-GB"/>
        </w:rPr>
        <w:t xml:space="preserve"> was culturally sensitive so</w:t>
      </w:r>
      <w:r w:rsidR="00885F3C" w:rsidRPr="003D2A76">
        <w:rPr>
          <w:rFonts w:asciiTheme="majorBidi" w:hAnsiTheme="majorBidi" w:cstheme="majorBidi"/>
          <w:lang w:val="en-GB"/>
        </w:rPr>
        <w:t xml:space="preserve"> that </w:t>
      </w:r>
      <w:r w:rsidRPr="003D2A76">
        <w:rPr>
          <w:rFonts w:asciiTheme="majorBidi" w:hAnsiTheme="majorBidi" w:cstheme="majorBidi"/>
          <w:lang w:val="en-GB"/>
        </w:rPr>
        <w:t xml:space="preserve">it was </w:t>
      </w:r>
      <w:r w:rsidR="00885F3C" w:rsidRPr="003D2A76">
        <w:rPr>
          <w:rFonts w:asciiTheme="majorBidi" w:hAnsiTheme="majorBidi" w:cstheme="majorBidi"/>
          <w:lang w:val="en-GB"/>
        </w:rPr>
        <w:t xml:space="preserve">suitable in </w:t>
      </w:r>
      <w:r w:rsidRPr="003D2A76">
        <w:rPr>
          <w:rFonts w:asciiTheme="majorBidi" w:hAnsiTheme="majorBidi" w:cstheme="majorBidi"/>
          <w:lang w:val="en-GB"/>
        </w:rPr>
        <w:t xml:space="preserve">a </w:t>
      </w:r>
      <w:r w:rsidR="00885F3C" w:rsidRPr="003D2A76">
        <w:rPr>
          <w:rFonts w:asciiTheme="majorBidi" w:hAnsiTheme="majorBidi" w:cstheme="majorBidi"/>
          <w:lang w:val="en-GB"/>
        </w:rPr>
        <w:t xml:space="preserve">Saudi Arabian context. The construction of the questions was done in a manner that would not infringe upon cultural values but would help to get the required research information. The incorporation of cultural factors as one of the major variables </w:t>
      </w:r>
      <w:r w:rsidRPr="003D2A76">
        <w:rPr>
          <w:rFonts w:asciiTheme="majorBidi" w:hAnsiTheme="majorBidi" w:cstheme="majorBidi"/>
          <w:lang w:val="en-GB"/>
        </w:rPr>
        <w:t xml:space="preserve">recognised </w:t>
      </w:r>
      <w:r w:rsidR="00885F3C" w:rsidRPr="003D2A76">
        <w:rPr>
          <w:rFonts w:asciiTheme="majorBidi" w:hAnsiTheme="majorBidi" w:cstheme="majorBidi"/>
          <w:lang w:val="en-GB"/>
        </w:rPr>
        <w:t xml:space="preserve">the roles played by cultural considerations in the decisions </w:t>
      </w:r>
      <w:r w:rsidRPr="003D2A76">
        <w:rPr>
          <w:rFonts w:asciiTheme="majorBidi" w:hAnsiTheme="majorBidi" w:cstheme="majorBidi"/>
          <w:lang w:val="en-GB"/>
        </w:rPr>
        <w:t>to adopt</w:t>
      </w:r>
      <w:r w:rsidR="00885F3C" w:rsidRPr="003D2A76">
        <w:rPr>
          <w:rFonts w:asciiTheme="majorBidi" w:hAnsiTheme="majorBidi" w:cstheme="majorBidi"/>
          <w:lang w:val="en-GB"/>
        </w:rPr>
        <w:t xml:space="preserve"> technology. Arabic translation was also done to ensure that the linguistic access of all participants was not dependent on their </w:t>
      </w:r>
      <w:r w:rsidR="00885F3C" w:rsidRPr="003D2A76">
        <w:rPr>
          <w:rFonts w:asciiTheme="majorBidi" w:hAnsiTheme="majorBidi" w:cstheme="majorBidi"/>
          <w:lang w:val="en-GB"/>
        </w:rPr>
        <w:lastRenderedPageBreak/>
        <w:t xml:space="preserve">command of English (Liamputtong, 2010). The aspect of gender was tackled by allowing both </w:t>
      </w:r>
      <w:r w:rsidR="00D90404">
        <w:rPr>
          <w:rFonts w:asciiTheme="majorBidi" w:hAnsiTheme="majorBidi" w:cstheme="majorBidi"/>
          <w:lang w:val="en-GB"/>
        </w:rPr>
        <w:t>genders'</w:t>
      </w:r>
      <w:r w:rsidR="00885F3C" w:rsidRPr="003D2A76">
        <w:rPr>
          <w:rFonts w:asciiTheme="majorBidi" w:hAnsiTheme="majorBidi" w:cstheme="majorBidi"/>
          <w:lang w:val="en-GB"/>
        </w:rPr>
        <w:t xml:space="preserve"> identities to fill the survey on their own and in a confidential way using electronic media. The Internet-based means of distribution circumvented possible cultural limitations on the mixed-gender research practices. Income questions contained the </w:t>
      </w:r>
      <w:r w:rsidRPr="003D2A76">
        <w:rPr>
          <w:rFonts w:asciiTheme="majorBidi" w:hAnsiTheme="majorBidi" w:cstheme="majorBidi"/>
          <w:lang w:val="en-GB"/>
        </w:rPr>
        <w:t>‘</w:t>
      </w:r>
      <w:r w:rsidR="00885F3C" w:rsidRPr="003D2A76">
        <w:rPr>
          <w:rFonts w:asciiTheme="majorBidi" w:hAnsiTheme="majorBidi" w:cstheme="majorBidi"/>
          <w:lang w:val="en-GB"/>
        </w:rPr>
        <w:t xml:space="preserve">prefer not </w:t>
      </w:r>
      <w:r w:rsidRPr="003D2A76">
        <w:rPr>
          <w:rFonts w:asciiTheme="majorBidi" w:hAnsiTheme="majorBidi" w:cstheme="majorBidi"/>
          <w:lang w:val="en-GB"/>
        </w:rPr>
        <w:t xml:space="preserve">to </w:t>
      </w:r>
      <w:r w:rsidR="00885F3C" w:rsidRPr="003D2A76">
        <w:rPr>
          <w:rFonts w:asciiTheme="majorBidi" w:hAnsiTheme="majorBidi" w:cstheme="majorBidi"/>
          <w:lang w:val="en-GB"/>
        </w:rPr>
        <w:t>answer</w:t>
      </w:r>
      <w:r w:rsidRPr="003D2A76">
        <w:rPr>
          <w:rFonts w:asciiTheme="majorBidi" w:hAnsiTheme="majorBidi" w:cstheme="majorBidi"/>
          <w:lang w:val="en-GB"/>
        </w:rPr>
        <w:t>’</w:t>
      </w:r>
      <w:r w:rsidR="00885F3C" w:rsidRPr="003D2A76">
        <w:rPr>
          <w:rFonts w:asciiTheme="majorBidi" w:hAnsiTheme="majorBidi" w:cstheme="majorBidi"/>
          <w:lang w:val="en-GB"/>
        </w:rPr>
        <w:t xml:space="preserve"> option in respect of privacy concerns that are practiced in Saudi culture. Such modifications showed respect to local cultural norms and still ensured the rigo</w:t>
      </w:r>
      <w:r w:rsidRPr="003D2A76">
        <w:rPr>
          <w:rFonts w:asciiTheme="majorBidi" w:hAnsiTheme="majorBidi" w:cstheme="majorBidi"/>
          <w:lang w:val="en-GB"/>
        </w:rPr>
        <w:t>u</w:t>
      </w:r>
      <w:r w:rsidR="00885F3C" w:rsidRPr="003D2A76">
        <w:rPr>
          <w:rFonts w:asciiTheme="majorBidi" w:hAnsiTheme="majorBidi" w:cstheme="majorBidi"/>
          <w:lang w:val="en-GB"/>
        </w:rPr>
        <w:t>r of the research (Al-Saggaf and Williamson, 2004).</w:t>
      </w:r>
    </w:p>
    <w:p w14:paraId="4300EF97" w14:textId="4CFA3383" w:rsidR="00885F3C" w:rsidRPr="003D2A76" w:rsidRDefault="009752B0" w:rsidP="00BD6279">
      <w:pPr>
        <w:pStyle w:val="Heading2"/>
        <w:rPr>
          <w:lang w:val="en-GB"/>
        </w:rPr>
      </w:pPr>
      <w:bookmarkStart w:id="31" w:name="_Toc228056574"/>
      <w:r>
        <w:rPr>
          <w:rFonts w:ascii="Times New Roman" w:hAnsi="Times New Roman" w:cs="Times New Roman"/>
          <w:lang w:val="en-GB"/>
        </w:rPr>
        <w:t xml:space="preserve">3.10 </w:t>
      </w:r>
      <w:r w:rsidR="00885F3C" w:rsidRPr="003D2A76">
        <w:rPr>
          <w:rFonts w:ascii="Times New Roman" w:hAnsi="Times New Roman" w:cs="Times New Roman"/>
          <w:lang w:val="en-GB"/>
        </w:rPr>
        <w:t>Chapter Summary</w:t>
      </w:r>
      <w:bookmarkEnd w:id="31"/>
    </w:p>
    <w:p w14:paraId="15F442AF" w14:textId="62E2845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chapter introduced the methodology of the entire </w:t>
      </w:r>
      <w:r w:rsidR="00983C4D" w:rsidRPr="003D2A76">
        <w:rPr>
          <w:rFonts w:asciiTheme="majorBidi" w:hAnsiTheme="majorBidi" w:cstheme="majorBidi"/>
          <w:lang w:val="en-GB"/>
        </w:rPr>
        <w:t xml:space="preserve">approach </w:t>
      </w:r>
      <w:r w:rsidRPr="003D2A76">
        <w:rPr>
          <w:rFonts w:asciiTheme="majorBidi" w:hAnsiTheme="majorBidi" w:cstheme="majorBidi"/>
          <w:lang w:val="en-GB"/>
        </w:rPr>
        <w:t xml:space="preserve">conducted to research the adoption of AI in private schools and its effects on intention to purchase educational services. The research followed the positivist philosophy and deductive, quantitative approach that is suitable in testing </w:t>
      </w:r>
      <w:r w:rsidR="00983C4D" w:rsidRPr="003D2A76">
        <w:rPr>
          <w:rFonts w:asciiTheme="majorBidi" w:hAnsiTheme="majorBidi" w:cstheme="majorBidi"/>
          <w:lang w:val="en-GB"/>
        </w:rPr>
        <w:t xml:space="preserve">hypothesised </w:t>
      </w:r>
      <w:r w:rsidRPr="003D2A76">
        <w:rPr>
          <w:rFonts w:asciiTheme="majorBidi" w:hAnsiTheme="majorBidi" w:cstheme="majorBidi"/>
          <w:lang w:val="en-GB"/>
        </w:rPr>
        <w:t xml:space="preserve">relationships between variables. The cross-sectional survey design allowed effective data gathering </w:t>
      </w:r>
      <w:r w:rsidR="00983C4D" w:rsidRPr="003D2A76">
        <w:rPr>
          <w:rFonts w:asciiTheme="majorBidi" w:hAnsiTheme="majorBidi" w:cstheme="majorBidi"/>
          <w:lang w:val="en-GB"/>
        </w:rPr>
        <w:t xml:space="preserve">from </w:t>
      </w:r>
      <w:r w:rsidRPr="003D2A76">
        <w:rPr>
          <w:rFonts w:asciiTheme="majorBidi" w:hAnsiTheme="majorBidi" w:cstheme="majorBidi"/>
          <w:lang w:val="en-GB"/>
        </w:rPr>
        <w:t>409 respondents (159 students and 250 parents) in the private schools throughout Jeddah, Saudi Arabia which was more than the calculated minimum sample size of 383 respondents. The research tool included validated scales applied to the educational technology setting, that determined AI adoption in teaching and marketing, perceived service quality, trust, perceived value, purchase intention and cultural variables. Each of the scales was highly reliable (Cronbach alpha greater than 0.70) and valid (face, content, and construct validation). The online response through Microsoft Forms in June</w:t>
      </w:r>
      <w:r w:rsidR="00983C4D" w:rsidRPr="003D2A76">
        <w:rPr>
          <w:rFonts w:asciiTheme="majorBidi" w:hAnsiTheme="majorBidi" w:cstheme="majorBidi"/>
          <w:lang w:val="en-GB"/>
        </w:rPr>
        <w:t>–</w:t>
      </w:r>
      <w:r w:rsidRPr="003D2A76">
        <w:rPr>
          <w:rFonts w:asciiTheme="majorBidi" w:hAnsiTheme="majorBidi" w:cstheme="majorBidi"/>
          <w:lang w:val="en-GB"/>
        </w:rPr>
        <w:t xml:space="preserve">September 2025 had a response rate of 87.02 percent of those eligible to respond to the questionnaire. The analysis of the data used complete statistical methods such as descriptive statistics, correlation analysis, multiple regression analysis, and the more sophisticated mediation-moderation analysis </w:t>
      </w:r>
      <w:r w:rsidRPr="003D2A76">
        <w:rPr>
          <w:rFonts w:asciiTheme="majorBidi" w:hAnsiTheme="majorBidi" w:cstheme="majorBidi"/>
          <w:lang w:val="en-GB"/>
        </w:rPr>
        <w:lastRenderedPageBreak/>
        <w:t xml:space="preserve">based on the Hayes PROCESS macro. These analyses allowed the </w:t>
      </w:r>
      <w:r w:rsidR="00983C4D" w:rsidRPr="003D2A76">
        <w:rPr>
          <w:rFonts w:asciiTheme="majorBidi" w:hAnsiTheme="majorBidi" w:cstheme="majorBidi"/>
          <w:lang w:val="en-GB"/>
        </w:rPr>
        <w:t xml:space="preserve">12 </w:t>
      </w:r>
      <w:r w:rsidRPr="003D2A76">
        <w:rPr>
          <w:rFonts w:asciiTheme="majorBidi" w:hAnsiTheme="majorBidi" w:cstheme="majorBidi"/>
          <w:lang w:val="en-GB"/>
        </w:rPr>
        <w:t xml:space="preserve">research hypotheses </w:t>
      </w:r>
      <w:r w:rsidR="00983C4D" w:rsidRPr="003D2A76">
        <w:rPr>
          <w:rFonts w:asciiTheme="majorBidi" w:hAnsiTheme="majorBidi" w:cstheme="majorBidi"/>
          <w:lang w:val="en-GB"/>
        </w:rPr>
        <w:t xml:space="preserve">to be tested </w:t>
      </w:r>
      <w:r w:rsidRPr="003D2A76">
        <w:rPr>
          <w:rFonts w:asciiTheme="majorBidi" w:hAnsiTheme="majorBidi" w:cstheme="majorBidi"/>
          <w:lang w:val="en-GB"/>
        </w:rPr>
        <w:t>in a rigorous way</w:t>
      </w:r>
      <w:r w:rsidR="00983C4D" w:rsidRPr="003D2A76">
        <w:rPr>
          <w:rFonts w:asciiTheme="majorBidi" w:hAnsiTheme="majorBidi" w:cstheme="majorBidi"/>
          <w:lang w:val="en-GB"/>
        </w:rPr>
        <w:t>,</w:t>
      </w:r>
      <w:r w:rsidRPr="003D2A76">
        <w:rPr>
          <w:rFonts w:asciiTheme="majorBidi" w:hAnsiTheme="majorBidi" w:cstheme="majorBidi"/>
          <w:lang w:val="en-GB"/>
        </w:rPr>
        <w:t xml:space="preserve"> taking into consideration the complicated nature of the relationships between the variables. Ethical issues were also well managed by applying informed consent protocols, data </w:t>
      </w:r>
      <w:r w:rsidR="00983C4D" w:rsidRPr="003D2A76">
        <w:rPr>
          <w:rFonts w:asciiTheme="majorBidi" w:hAnsiTheme="majorBidi" w:cstheme="majorBidi"/>
          <w:lang w:val="en-GB"/>
        </w:rPr>
        <w:t>anonymisation</w:t>
      </w:r>
      <w:r w:rsidRPr="003D2A76">
        <w:rPr>
          <w:rFonts w:asciiTheme="majorBidi" w:hAnsiTheme="majorBidi" w:cstheme="majorBidi"/>
          <w:lang w:val="en-GB"/>
        </w:rPr>
        <w:t>, safety measures on data storage facilities, and cultural sensitivity, which not only preserved the privacy of participants but also the integrity of the research. The rigo</w:t>
      </w:r>
      <w:r w:rsidR="00983C4D" w:rsidRPr="003D2A76">
        <w:rPr>
          <w:rFonts w:asciiTheme="majorBidi" w:hAnsiTheme="majorBidi" w:cstheme="majorBidi"/>
          <w:lang w:val="en-GB"/>
        </w:rPr>
        <w:t>u</w:t>
      </w:r>
      <w:r w:rsidRPr="003D2A76">
        <w:rPr>
          <w:rFonts w:asciiTheme="majorBidi" w:hAnsiTheme="majorBidi" w:cstheme="majorBidi"/>
          <w:lang w:val="en-GB"/>
        </w:rPr>
        <w:t xml:space="preserve">r and completeness of the methodology </w:t>
      </w:r>
      <w:r w:rsidR="00983C4D" w:rsidRPr="003D2A76">
        <w:rPr>
          <w:rFonts w:asciiTheme="majorBidi" w:hAnsiTheme="majorBidi" w:cstheme="majorBidi"/>
          <w:lang w:val="en-GB"/>
        </w:rPr>
        <w:t>offer</w:t>
      </w:r>
      <w:r w:rsidRPr="003D2A76">
        <w:rPr>
          <w:rFonts w:asciiTheme="majorBidi" w:hAnsiTheme="majorBidi" w:cstheme="majorBidi"/>
          <w:lang w:val="en-GB"/>
        </w:rPr>
        <w:t xml:space="preserve"> certainty </w:t>
      </w:r>
      <w:r w:rsidR="00983C4D" w:rsidRPr="003D2A76">
        <w:rPr>
          <w:rFonts w:asciiTheme="majorBidi" w:hAnsiTheme="majorBidi" w:cstheme="majorBidi"/>
          <w:lang w:val="en-GB"/>
        </w:rPr>
        <w:t xml:space="preserve">of </w:t>
      </w:r>
      <w:r w:rsidRPr="003D2A76">
        <w:rPr>
          <w:rFonts w:asciiTheme="majorBidi" w:hAnsiTheme="majorBidi" w:cstheme="majorBidi"/>
          <w:lang w:val="en-GB"/>
        </w:rPr>
        <w:t>the validity and reliability of the results presented in the following chapters.</w:t>
      </w:r>
    </w:p>
    <w:p w14:paraId="56AEEA59"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br w:type="page"/>
      </w:r>
    </w:p>
    <w:p w14:paraId="0F6129B5" w14:textId="77777777" w:rsidR="00885F3C" w:rsidRPr="003D2A76" w:rsidRDefault="00885F3C" w:rsidP="00BD6279">
      <w:pPr>
        <w:pStyle w:val="Heading1"/>
        <w:pageBreakBefore/>
        <w:rPr>
          <w:lang w:val="en-GB"/>
        </w:rPr>
      </w:pPr>
      <w:bookmarkStart w:id="32" w:name="_Toc228056575"/>
      <w:r w:rsidRPr="003D2A76">
        <w:rPr>
          <w:rFonts w:ascii="Times New Roman" w:hAnsi="Times New Roman" w:cs="Times New Roman"/>
          <w:lang w:val="en-GB"/>
        </w:rPr>
        <w:lastRenderedPageBreak/>
        <w:t>CHAPTER 4</w:t>
      </w:r>
      <w:bookmarkEnd w:id="32"/>
    </w:p>
    <w:p w14:paraId="1D89C246" w14:textId="77777777" w:rsidR="00E2446F" w:rsidRPr="003D2A76" w:rsidRDefault="00CB042E" w:rsidP="00BD6279">
      <w:pPr>
        <w:bidi w:val="0"/>
        <w:jc w:val="center"/>
        <w:rPr>
          <w:lang w:val="en-GB"/>
        </w:rPr>
      </w:pPr>
      <w:r w:rsidRPr="003D2A76">
        <w:rPr>
          <w:b/>
          <w:bCs/>
          <w:lang w:val="en-GB"/>
        </w:rPr>
        <w:t>RESULTS</w:t>
      </w:r>
    </w:p>
    <w:p w14:paraId="48EEAFC7" w14:textId="77777777" w:rsidR="00885F3C" w:rsidRPr="003D2A76" w:rsidRDefault="006A4A5D" w:rsidP="00BD6279">
      <w:pPr>
        <w:pStyle w:val="Heading2"/>
        <w:rPr>
          <w:lang w:val="en-GB"/>
        </w:rPr>
      </w:pPr>
      <w:bookmarkStart w:id="33" w:name="_Toc216904146"/>
      <w:bookmarkStart w:id="34" w:name="_Toc228056576"/>
      <w:r w:rsidRPr="003D2A76">
        <w:rPr>
          <w:rFonts w:ascii="Times New Roman" w:hAnsi="Times New Roman" w:cs="Times New Roman"/>
          <w:lang w:val="en-GB"/>
        </w:rPr>
        <w:t xml:space="preserve">4.1 </w:t>
      </w:r>
      <w:r w:rsidR="00885F3C" w:rsidRPr="003D2A76">
        <w:rPr>
          <w:rFonts w:ascii="Times New Roman" w:hAnsi="Times New Roman" w:cs="Times New Roman"/>
          <w:lang w:val="en-GB"/>
        </w:rPr>
        <w:t>Introduction</w:t>
      </w:r>
      <w:bookmarkEnd w:id="33"/>
      <w:bookmarkEnd w:id="34"/>
    </w:p>
    <w:p w14:paraId="07DA2F8D" w14:textId="08E9D82D" w:rsidR="00885F3C" w:rsidRPr="003D2A76" w:rsidRDefault="00983C4D" w:rsidP="00BD6279">
      <w:pPr>
        <w:bidi w:val="0"/>
        <w:rPr>
          <w:rFonts w:asciiTheme="majorBidi" w:hAnsiTheme="majorBidi" w:cstheme="majorBidi"/>
          <w:lang w:val="en-GB"/>
        </w:rPr>
      </w:pPr>
      <w:r w:rsidRPr="003D2A76">
        <w:rPr>
          <w:rFonts w:asciiTheme="majorBidi" w:hAnsiTheme="majorBidi" w:cstheme="majorBidi"/>
          <w:lang w:val="en-GB"/>
        </w:rPr>
        <w:t xml:space="preserve">This </w:t>
      </w:r>
      <w:r w:rsidR="00885F3C" w:rsidRPr="003D2A76">
        <w:rPr>
          <w:rFonts w:asciiTheme="majorBidi" w:hAnsiTheme="majorBidi" w:cstheme="majorBidi"/>
          <w:lang w:val="en-GB"/>
        </w:rPr>
        <w:t xml:space="preserve">chapter details the findings of the empirical research conducted to determine how the adoption of </w:t>
      </w:r>
      <w:r w:rsidRPr="003D2A76">
        <w:rPr>
          <w:rFonts w:asciiTheme="majorBidi" w:hAnsiTheme="majorBidi" w:cstheme="majorBidi"/>
          <w:lang w:val="en-GB"/>
        </w:rPr>
        <w:t>AI</w:t>
      </w:r>
      <w:r w:rsidR="00885F3C" w:rsidRPr="003D2A76">
        <w:rPr>
          <w:rFonts w:asciiTheme="majorBidi" w:hAnsiTheme="majorBidi" w:cstheme="majorBidi"/>
          <w:lang w:val="en-GB"/>
        </w:rPr>
        <w:t xml:space="preserve"> in the area of private schools has influenced the intention to make a purchase of educational services. The data analysis includes the information obtained </w:t>
      </w:r>
      <w:r w:rsidRPr="003D2A76">
        <w:rPr>
          <w:rFonts w:asciiTheme="majorBidi" w:hAnsiTheme="majorBidi" w:cstheme="majorBidi"/>
          <w:lang w:val="en-GB"/>
        </w:rPr>
        <w:t xml:space="preserve">from </w:t>
      </w:r>
      <w:r w:rsidR="00885F3C" w:rsidRPr="003D2A76">
        <w:rPr>
          <w:rFonts w:asciiTheme="majorBidi" w:hAnsiTheme="majorBidi" w:cstheme="majorBidi"/>
          <w:lang w:val="en-GB"/>
        </w:rPr>
        <w:t>409 respondents</w:t>
      </w:r>
      <w:r w:rsidR="00D90404">
        <w:rPr>
          <w:rFonts w:asciiTheme="majorBidi" w:hAnsiTheme="majorBidi" w:cstheme="majorBidi"/>
          <w:lang w:val="en-GB"/>
        </w:rPr>
        <w:t>,</w:t>
      </w:r>
      <w:r w:rsidR="00885F3C" w:rsidRPr="003D2A76">
        <w:rPr>
          <w:rFonts w:asciiTheme="majorBidi" w:hAnsiTheme="majorBidi" w:cstheme="majorBidi"/>
          <w:lang w:val="en-GB"/>
        </w:rPr>
        <w:t xml:space="preserve"> including students and parents/guardians of private and international schools in Jeddah, Saudi Arabia. Presentation of</w:t>
      </w:r>
      <w:r w:rsidRPr="003D2A76">
        <w:rPr>
          <w:rFonts w:asciiTheme="majorBidi" w:hAnsiTheme="majorBidi" w:cstheme="majorBidi"/>
          <w:lang w:val="en-GB"/>
        </w:rPr>
        <w:t xml:space="preserve"> the</w:t>
      </w:r>
      <w:r w:rsidR="00885F3C" w:rsidRPr="003D2A76">
        <w:rPr>
          <w:rFonts w:asciiTheme="majorBidi" w:hAnsiTheme="majorBidi" w:cstheme="majorBidi"/>
          <w:lang w:val="en-GB"/>
        </w:rPr>
        <w:t xml:space="preserve"> results is in a systematic order starting with initial screening of data and demographic profiling</w:t>
      </w:r>
      <w:r w:rsidRPr="003D2A76">
        <w:rPr>
          <w:rFonts w:asciiTheme="majorBidi" w:hAnsiTheme="majorBidi" w:cstheme="majorBidi"/>
          <w:lang w:val="en-GB"/>
        </w:rPr>
        <w:t>;</w:t>
      </w:r>
      <w:r w:rsidR="00885F3C" w:rsidRPr="003D2A76">
        <w:rPr>
          <w:rFonts w:asciiTheme="majorBidi" w:hAnsiTheme="majorBidi" w:cstheme="majorBidi"/>
          <w:lang w:val="en-GB"/>
        </w:rPr>
        <w:t xml:space="preserve"> the next step is measurement validation and finally </w:t>
      </w:r>
      <w:r w:rsidRPr="003D2A76">
        <w:rPr>
          <w:rFonts w:asciiTheme="majorBidi" w:hAnsiTheme="majorBidi" w:cstheme="majorBidi"/>
          <w:lang w:val="en-GB"/>
        </w:rPr>
        <w:t xml:space="preserve">completing </w:t>
      </w:r>
      <w:r w:rsidR="00885F3C" w:rsidRPr="003D2A76">
        <w:rPr>
          <w:rFonts w:asciiTheme="majorBidi" w:hAnsiTheme="majorBidi" w:cstheme="majorBidi"/>
          <w:lang w:val="en-GB"/>
        </w:rPr>
        <w:t xml:space="preserve">hypothesis testing. The chapter structure is shaped by the research questions set </w:t>
      </w:r>
      <w:r w:rsidRPr="003D2A76">
        <w:rPr>
          <w:rFonts w:asciiTheme="majorBidi" w:hAnsiTheme="majorBidi" w:cstheme="majorBidi"/>
          <w:lang w:val="en-GB"/>
        </w:rPr>
        <w:t xml:space="preserve">out </w:t>
      </w:r>
      <w:r w:rsidR="00885F3C" w:rsidRPr="003D2A76">
        <w:rPr>
          <w:rFonts w:asciiTheme="majorBidi" w:hAnsiTheme="majorBidi" w:cstheme="majorBidi"/>
          <w:lang w:val="en-GB"/>
        </w:rPr>
        <w:t>in Chapter 1, as the development of the paper is logical</w:t>
      </w:r>
      <w:r w:rsidR="00D90404">
        <w:rPr>
          <w:rFonts w:asciiTheme="majorBidi" w:hAnsiTheme="majorBidi" w:cstheme="majorBidi"/>
          <w:lang w:val="en-GB"/>
        </w:rPr>
        <w:t>,</w:t>
      </w:r>
      <w:r w:rsidR="00885F3C" w:rsidRPr="003D2A76">
        <w:rPr>
          <w:rFonts w:asciiTheme="majorBidi" w:hAnsiTheme="majorBidi" w:cstheme="majorBidi"/>
          <w:lang w:val="en-GB"/>
        </w:rPr>
        <w:t xml:space="preserve"> starting with descriptive results and then inferential analyses. Section 4.2 deals with response rates and data preparation procedures and forms the basis of further analyses. Section 4.3 also gives detailed demographic characteristics of the sample</w:t>
      </w:r>
      <w:r w:rsidR="00D90404">
        <w:rPr>
          <w:rFonts w:asciiTheme="majorBidi" w:hAnsiTheme="majorBidi" w:cstheme="majorBidi"/>
          <w:lang w:val="en-GB"/>
        </w:rPr>
        <w:t>,</w:t>
      </w:r>
      <w:r w:rsidR="00885F3C" w:rsidRPr="003D2A76">
        <w:rPr>
          <w:rFonts w:asciiTheme="majorBidi" w:hAnsiTheme="majorBidi" w:cstheme="majorBidi"/>
          <w:lang w:val="en-GB"/>
        </w:rPr>
        <w:t xml:space="preserve"> which will give some insight into the composition and representativeness of respondents. Chapter 4.4 shows the descriptive statistics of all the variables of the study, exposure to the central tendencies and distribution characteristics that guide analysis decisions. Section 4.5 displays the findings of the measurement validation that includes reliability and validity tests that establish the psychometric suitability of measurement instruments. Section 4.6 evaluates the statistical assumptions that apply to the analytical procedures used, thereby </w:t>
      </w:r>
      <w:r w:rsidRPr="003D2A76">
        <w:rPr>
          <w:rFonts w:asciiTheme="majorBidi" w:hAnsiTheme="majorBidi" w:cstheme="majorBidi"/>
          <w:lang w:val="en-GB"/>
        </w:rPr>
        <w:t xml:space="preserve">indicating </w:t>
      </w:r>
      <w:r w:rsidR="00885F3C" w:rsidRPr="003D2A76">
        <w:rPr>
          <w:rFonts w:asciiTheme="majorBidi" w:hAnsiTheme="majorBidi" w:cstheme="majorBidi"/>
          <w:lang w:val="en-GB"/>
        </w:rPr>
        <w:t>that parametric procedures are adequate. Section 4.7 begins the correlation analysis</w:t>
      </w:r>
      <w:r w:rsidR="00D90404">
        <w:rPr>
          <w:rFonts w:asciiTheme="majorBidi" w:hAnsiTheme="majorBidi" w:cstheme="majorBidi"/>
          <w:lang w:val="en-GB"/>
        </w:rPr>
        <w:t>,</w:t>
      </w:r>
      <w:r w:rsidR="00885F3C" w:rsidRPr="003D2A76">
        <w:rPr>
          <w:rFonts w:asciiTheme="majorBidi" w:hAnsiTheme="majorBidi" w:cstheme="majorBidi"/>
          <w:lang w:val="en-GB"/>
        </w:rPr>
        <w:t xml:space="preserve"> which shows early trends of variable association and preliminarily explores whether the variables are correlated as </w:t>
      </w:r>
      <w:r w:rsidRPr="003D2A76">
        <w:rPr>
          <w:rFonts w:asciiTheme="majorBidi" w:hAnsiTheme="majorBidi" w:cstheme="majorBidi"/>
          <w:lang w:val="en-GB"/>
        </w:rPr>
        <w:lastRenderedPageBreak/>
        <w:t>hypothesised</w:t>
      </w:r>
      <w:r w:rsidR="00885F3C" w:rsidRPr="003D2A76">
        <w:rPr>
          <w:rFonts w:asciiTheme="majorBidi" w:hAnsiTheme="majorBidi" w:cstheme="majorBidi"/>
          <w:lang w:val="en-GB"/>
        </w:rPr>
        <w:t>. The most important part of the chapter is Section 4.8 in which the detailed results of hypothesis testing are presented, conducting several regression analyses, mediation, and moderation tests to investigate the rather complicated relationships between adoption of AI, the dimensions of service quality, and purchase intention. More group contrast and moderating effect</w:t>
      </w:r>
      <w:r w:rsidRPr="003D2A76">
        <w:rPr>
          <w:rFonts w:asciiTheme="majorBidi" w:hAnsiTheme="majorBidi" w:cstheme="majorBidi"/>
          <w:lang w:val="en-GB"/>
        </w:rPr>
        <w:t>s</w:t>
      </w:r>
      <w:r w:rsidR="00885F3C" w:rsidRPr="003D2A76">
        <w:rPr>
          <w:rFonts w:asciiTheme="majorBidi" w:hAnsiTheme="majorBidi" w:cstheme="majorBidi"/>
          <w:lang w:val="en-GB"/>
        </w:rPr>
        <w:t xml:space="preserve"> of cultural factors analyses are pursued in Section 4.9 and add to the knowledge base on contextual effects. Section 4.10 is the last part of the chapter, which </w:t>
      </w:r>
      <w:r w:rsidRPr="003D2A76">
        <w:rPr>
          <w:rFonts w:asciiTheme="majorBidi" w:hAnsiTheme="majorBidi" w:cstheme="majorBidi"/>
          <w:lang w:val="en-GB"/>
        </w:rPr>
        <w:t xml:space="preserve">summarises </w:t>
      </w:r>
      <w:r w:rsidR="00885F3C" w:rsidRPr="003D2A76">
        <w:rPr>
          <w:rFonts w:asciiTheme="majorBidi" w:hAnsiTheme="majorBidi" w:cstheme="majorBidi"/>
          <w:lang w:val="en-GB"/>
        </w:rPr>
        <w:t>the main results and provides the basis of discussion and interpretation in Chapter 5.</w:t>
      </w:r>
    </w:p>
    <w:p w14:paraId="585EE7EC" w14:textId="0402709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 In this chapter, outcomes are not discussed in such a way that they are interpreted but rather left to speak</w:t>
      </w:r>
      <w:r w:rsidR="00983C4D" w:rsidRPr="003D2A76">
        <w:rPr>
          <w:rFonts w:asciiTheme="majorBidi" w:hAnsiTheme="majorBidi" w:cstheme="majorBidi"/>
          <w:lang w:val="en-GB"/>
        </w:rPr>
        <w:t xml:space="preserve"> for themselves</w:t>
      </w:r>
      <w:r w:rsidRPr="003D2A76">
        <w:rPr>
          <w:rFonts w:asciiTheme="majorBidi" w:hAnsiTheme="majorBidi" w:cstheme="majorBidi"/>
          <w:lang w:val="en-GB"/>
        </w:rPr>
        <w:t>. Conventional statistical values (</w:t>
      </w:r>
      <w:r w:rsidRPr="003D2A76">
        <w:rPr>
          <w:rFonts w:asciiTheme="majorBidi" w:hAnsiTheme="majorBidi" w:cstheme="majorBidi"/>
          <w:i/>
          <w:iCs/>
          <w:lang w:val="en-GB"/>
        </w:rPr>
        <w:t>p</w:t>
      </w:r>
      <w:r w:rsidRPr="003D2A76">
        <w:rPr>
          <w:rFonts w:asciiTheme="majorBidi" w:hAnsiTheme="majorBidi" w:cstheme="majorBidi"/>
          <w:lang w:val="en-GB"/>
        </w:rPr>
        <w:t xml:space="preserve"> &lt; 0.05 and </w:t>
      </w:r>
      <w:r w:rsidRPr="003D2A76">
        <w:rPr>
          <w:rFonts w:asciiTheme="majorBidi" w:hAnsiTheme="majorBidi" w:cstheme="majorBidi"/>
          <w:i/>
          <w:iCs/>
          <w:lang w:val="en-GB"/>
        </w:rPr>
        <w:t>p</w:t>
      </w:r>
      <w:r w:rsidRPr="003D2A76">
        <w:rPr>
          <w:rFonts w:asciiTheme="majorBidi" w:hAnsiTheme="majorBidi" w:cstheme="majorBidi"/>
          <w:lang w:val="en-GB"/>
        </w:rPr>
        <w:t xml:space="preserve"> &lt; 0.01) are used to determine statistical significance</w:t>
      </w:r>
      <w:r w:rsidR="00D90404">
        <w:rPr>
          <w:rFonts w:asciiTheme="majorBidi" w:hAnsiTheme="majorBidi" w:cstheme="majorBidi"/>
          <w:lang w:val="en-GB"/>
        </w:rPr>
        <w:t>,</w:t>
      </w:r>
      <w:r w:rsidRPr="003D2A76">
        <w:rPr>
          <w:rFonts w:asciiTheme="majorBidi" w:hAnsiTheme="majorBidi" w:cstheme="majorBidi"/>
          <w:lang w:val="en-GB"/>
        </w:rPr>
        <w:t xml:space="preserve"> and practical significance is indicated by the effect sizes. Textual presentation is complemented by tables and figures, which make it easy to understand complicated statistical correlations and have the required academic rigo</w:t>
      </w:r>
      <w:r w:rsidR="00983C4D" w:rsidRPr="003D2A76">
        <w:rPr>
          <w:rFonts w:asciiTheme="majorBidi" w:hAnsiTheme="majorBidi" w:cstheme="majorBidi"/>
          <w:lang w:val="en-GB"/>
        </w:rPr>
        <w:t>u</w:t>
      </w:r>
      <w:r w:rsidRPr="003D2A76">
        <w:rPr>
          <w:rFonts w:asciiTheme="majorBidi" w:hAnsiTheme="majorBidi" w:cstheme="majorBidi"/>
          <w:lang w:val="en-GB"/>
        </w:rPr>
        <w:t xml:space="preserve">r </w:t>
      </w:r>
      <w:r w:rsidR="00983C4D" w:rsidRPr="003D2A76">
        <w:rPr>
          <w:rFonts w:asciiTheme="majorBidi" w:hAnsiTheme="majorBidi" w:cstheme="majorBidi"/>
          <w:lang w:val="en-GB"/>
        </w:rPr>
        <w:t>to meet</w:t>
      </w:r>
      <w:r w:rsidRPr="003D2A76">
        <w:rPr>
          <w:rFonts w:asciiTheme="majorBidi" w:hAnsiTheme="majorBidi" w:cstheme="majorBidi"/>
          <w:lang w:val="en-GB"/>
        </w:rPr>
        <w:t xml:space="preserve"> the standards of doctoral research. </w:t>
      </w:r>
    </w:p>
    <w:p w14:paraId="4BF42F50" w14:textId="77777777" w:rsidR="00885F3C" w:rsidRPr="003D2A76" w:rsidRDefault="006A4A5D" w:rsidP="00BD6279">
      <w:pPr>
        <w:pStyle w:val="Heading2"/>
        <w:rPr>
          <w:lang w:val="en-GB"/>
        </w:rPr>
      </w:pPr>
      <w:bookmarkStart w:id="35" w:name="_Toc216904147"/>
      <w:bookmarkStart w:id="36" w:name="_Toc228056577"/>
      <w:r w:rsidRPr="003D2A76">
        <w:rPr>
          <w:rFonts w:ascii="Times New Roman" w:hAnsi="Times New Roman" w:cs="Times New Roman"/>
          <w:lang w:val="en-GB"/>
        </w:rPr>
        <w:t xml:space="preserve">4.2 </w:t>
      </w:r>
      <w:r w:rsidR="00885F3C" w:rsidRPr="003D2A76">
        <w:rPr>
          <w:rFonts w:ascii="Times New Roman" w:hAnsi="Times New Roman" w:cs="Times New Roman"/>
          <w:lang w:val="en-GB"/>
        </w:rPr>
        <w:t>Response Rate and Data Cleaning</w:t>
      </w:r>
      <w:bookmarkEnd w:id="35"/>
      <w:bookmarkEnd w:id="36"/>
    </w:p>
    <w:p w14:paraId="71C7DD16" w14:textId="68A4B2A5" w:rsidR="00885F3C" w:rsidRPr="003D2A76" w:rsidRDefault="009752B0" w:rsidP="00BD6279">
      <w:pPr>
        <w:bidi w:val="0"/>
        <w:rPr>
          <w:rFonts w:asciiTheme="majorBidi" w:hAnsiTheme="majorBidi" w:cstheme="majorBidi"/>
          <w:b/>
          <w:bCs/>
          <w:i/>
          <w:lang w:val="en-GB"/>
        </w:rPr>
      </w:pPr>
      <w:bookmarkStart w:id="37" w:name="_Toc216904148"/>
      <w:r>
        <w:rPr>
          <w:rFonts w:asciiTheme="majorBidi" w:hAnsiTheme="majorBidi" w:cstheme="majorBidi"/>
          <w:b/>
          <w:bCs/>
          <w:i/>
          <w:lang w:val="en-GB"/>
        </w:rPr>
        <w:t xml:space="preserve">4.2.1 </w:t>
      </w:r>
      <w:r w:rsidR="00885F3C" w:rsidRPr="003D2A76">
        <w:rPr>
          <w:rFonts w:asciiTheme="majorBidi" w:hAnsiTheme="majorBidi" w:cstheme="majorBidi"/>
          <w:b/>
          <w:bCs/>
          <w:i/>
          <w:lang w:val="en-GB"/>
        </w:rPr>
        <w:t>Survey Distribution and Response Collection</w:t>
      </w:r>
      <w:bookmarkEnd w:id="37"/>
    </w:p>
    <w:p w14:paraId="1B798AB5" w14:textId="5A61AB59"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data collection process commenced on June 25, 2025, and concluded on September 10, 2025, lasting approximately 11 weeks </w:t>
      </w:r>
      <w:r w:rsidR="00983C4D" w:rsidRPr="003D2A76">
        <w:rPr>
          <w:rFonts w:asciiTheme="majorBidi" w:hAnsiTheme="majorBidi" w:cstheme="majorBidi"/>
          <w:lang w:val="en-GB"/>
        </w:rPr>
        <w:t>based on</w:t>
      </w:r>
      <w:r w:rsidRPr="003D2A76">
        <w:rPr>
          <w:rFonts w:asciiTheme="majorBidi" w:hAnsiTheme="majorBidi" w:cstheme="majorBidi"/>
          <w:lang w:val="en-GB"/>
        </w:rPr>
        <w:t xml:space="preserve"> the academic calendar and </w:t>
      </w:r>
      <w:r w:rsidR="00983C4D" w:rsidRPr="003D2A76">
        <w:rPr>
          <w:rFonts w:asciiTheme="majorBidi" w:hAnsiTheme="majorBidi" w:cstheme="majorBidi"/>
          <w:lang w:val="en-GB"/>
        </w:rPr>
        <w:t xml:space="preserve">allowing for </w:t>
      </w:r>
      <w:r w:rsidRPr="003D2A76">
        <w:rPr>
          <w:rFonts w:asciiTheme="majorBidi" w:hAnsiTheme="majorBidi" w:cstheme="majorBidi"/>
          <w:lang w:val="en-GB"/>
        </w:rPr>
        <w:t xml:space="preserve">as many opportunities as possible. The questionnaire (in the form of an electronic questionnaire) sent out on Microsoft Forms was shared </w:t>
      </w:r>
      <w:r w:rsidR="00D90404">
        <w:rPr>
          <w:rFonts w:asciiTheme="majorBidi" w:hAnsiTheme="majorBidi" w:cstheme="majorBidi"/>
          <w:lang w:val="en-GB"/>
        </w:rPr>
        <w:t>with</w:t>
      </w:r>
      <w:r w:rsidRPr="003D2A76">
        <w:rPr>
          <w:rFonts w:asciiTheme="majorBidi" w:hAnsiTheme="majorBidi" w:cstheme="majorBidi"/>
          <w:lang w:val="en-GB"/>
        </w:rPr>
        <w:t xml:space="preserve"> both domestic and foreign schools in Jeddah through institutional networks. The school administrations also helped in distribution by sending the survey link and QR code to the communities that were served by the administration of the schools through official means such as email systems, </w:t>
      </w:r>
      <w:r w:rsidRPr="003D2A76">
        <w:rPr>
          <w:rFonts w:asciiTheme="majorBidi" w:hAnsiTheme="majorBidi" w:cstheme="majorBidi"/>
          <w:lang w:val="en-GB"/>
        </w:rPr>
        <w:lastRenderedPageBreak/>
        <w:t xml:space="preserve">parent portals, and student information systems. The original sample constituted an estimated population of 2,500 potential respondents (the number of schools </w:t>
      </w:r>
      <w:r w:rsidR="00983C4D" w:rsidRPr="003D2A76">
        <w:rPr>
          <w:rFonts w:asciiTheme="majorBidi" w:hAnsiTheme="majorBidi" w:cstheme="majorBidi"/>
          <w:lang w:val="en-GB"/>
        </w:rPr>
        <w:t xml:space="preserve">from </w:t>
      </w:r>
      <w:r w:rsidRPr="003D2A76">
        <w:rPr>
          <w:rFonts w:asciiTheme="majorBidi" w:hAnsiTheme="majorBidi" w:cstheme="majorBidi"/>
          <w:lang w:val="en-GB"/>
        </w:rPr>
        <w:t xml:space="preserve">which the sample was composed). </w:t>
      </w:r>
      <w:r w:rsidR="00983C4D" w:rsidRPr="003D2A76">
        <w:rPr>
          <w:rFonts w:asciiTheme="majorBidi" w:hAnsiTheme="majorBidi" w:cstheme="majorBidi"/>
          <w:lang w:val="en-GB"/>
        </w:rPr>
        <w:t>T</w:t>
      </w:r>
      <w:r w:rsidRPr="003D2A76">
        <w:rPr>
          <w:rFonts w:asciiTheme="majorBidi" w:hAnsiTheme="majorBidi" w:cstheme="majorBidi"/>
          <w:lang w:val="en-GB"/>
        </w:rPr>
        <w:t xml:space="preserve">he questionnaire link </w:t>
      </w:r>
      <w:r w:rsidR="00983C4D" w:rsidRPr="003D2A76">
        <w:rPr>
          <w:rFonts w:asciiTheme="majorBidi" w:hAnsiTheme="majorBidi" w:cstheme="majorBidi"/>
          <w:lang w:val="en-GB"/>
        </w:rPr>
        <w:t>was</w:t>
      </w:r>
      <w:r w:rsidRPr="003D2A76">
        <w:rPr>
          <w:rFonts w:asciiTheme="majorBidi" w:hAnsiTheme="majorBidi" w:cstheme="majorBidi"/>
          <w:lang w:val="en-GB"/>
        </w:rPr>
        <w:t xml:space="preserve"> accessed by 470 people, which means the response </w:t>
      </w:r>
      <w:r w:rsidR="00983C4D" w:rsidRPr="003D2A76">
        <w:rPr>
          <w:rFonts w:asciiTheme="majorBidi" w:hAnsiTheme="majorBidi" w:cstheme="majorBidi"/>
          <w:lang w:val="en-GB"/>
        </w:rPr>
        <w:t xml:space="preserve">rate was </w:t>
      </w:r>
      <w:r w:rsidRPr="003D2A76">
        <w:rPr>
          <w:rFonts w:asciiTheme="majorBidi" w:hAnsiTheme="majorBidi" w:cstheme="majorBidi"/>
          <w:lang w:val="en-GB"/>
        </w:rPr>
        <w:t>18.8 on the first attempt. Such a response rate is in keeping with the expectations of electronic survey</w:t>
      </w:r>
      <w:r w:rsidR="00983C4D" w:rsidRPr="003D2A76">
        <w:rPr>
          <w:rFonts w:asciiTheme="majorBidi" w:hAnsiTheme="majorBidi" w:cstheme="majorBidi"/>
          <w:lang w:val="en-GB"/>
        </w:rPr>
        <w:t>s</w:t>
      </w:r>
      <w:r w:rsidRPr="003D2A76">
        <w:rPr>
          <w:rFonts w:asciiTheme="majorBidi" w:hAnsiTheme="majorBidi" w:cstheme="majorBidi"/>
          <w:lang w:val="en-GB"/>
        </w:rPr>
        <w:t xml:space="preserve"> in educational contexts, especially when participation is voluntary and the eligibility criteria </w:t>
      </w:r>
      <w:r w:rsidR="00983C4D" w:rsidRPr="003D2A76">
        <w:rPr>
          <w:rFonts w:asciiTheme="majorBidi" w:hAnsiTheme="majorBidi" w:cstheme="majorBidi"/>
          <w:lang w:val="en-GB"/>
        </w:rPr>
        <w:t xml:space="preserve">are </w:t>
      </w:r>
      <w:r w:rsidRPr="003D2A76">
        <w:rPr>
          <w:rFonts w:asciiTheme="majorBidi" w:hAnsiTheme="majorBidi" w:cstheme="majorBidi"/>
          <w:lang w:val="en-GB"/>
        </w:rPr>
        <w:t xml:space="preserve">limited to </w:t>
      </w:r>
      <w:r w:rsidR="00983C4D" w:rsidRPr="003D2A76">
        <w:rPr>
          <w:rFonts w:asciiTheme="majorBidi" w:hAnsiTheme="majorBidi" w:cstheme="majorBidi"/>
          <w:lang w:val="en-GB"/>
        </w:rPr>
        <w:t>affiliation</w:t>
      </w:r>
      <w:r w:rsidRPr="003D2A76">
        <w:rPr>
          <w:rFonts w:asciiTheme="majorBidi" w:hAnsiTheme="majorBidi" w:cstheme="majorBidi"/>
          <w:lang w:val="en-GB"/>
        </w:rPr>
        <w:t xml:space="preserve"> </w:t>
      </w:r>
      <w:r w:rsidR="00D90404">
        <w:rPr>
          <w:rFonts w:asciiTheme="majorBidi" w:hAnsiTheme="majorBidi" w:cstheme="majorBidi"/>
          <w:lang w:val="en-GB"/>
        </w:rPr>
        <w:t>with</w:t>
      </w:r>
      <w:r w:rsidRPr="003D2A76">
        <w:rPr>
          <w:rFonts w:asciiTheme="majorBidi" w:hAnsiTheme="majorBidi" w:cstheme="majorBidi"/>
          <w:lang w:val="en-GB"/>
        </w:rPr>
        <w:t xml:space="preserve"> private schools in Jeddah. Out of the 470 survey respondents who accessed the survey, 409 completed all of the necessary items and passed all the eligibility criteria, which presented a completion rate of 87.02. Such a high completion rate is an indicator of well-designed questionnaires, </w:t>
      </w:r>
      <w:r w:rsidR="00983C4D" w:rsidRPr="003D2A76">
        <w:rPr>
          <w:rFonts w:asciiTheme="majorBidi" w:hAnsiTheme="majorBidi" w:cstheme="majorBidi"/>
          <w:lang w:val="en-GB"/>
        </w:rPr>
        <w:t xml:space="preserve">of the </w:t>
      </w:r>
      <w:r w:rsidRPr="003D2A76">
        <w:rPr>
          <w:rFonts w:asciiTheme="majorBidi" w:hAnsiTheme="majorBidi" w:cstheme="majorBidi"/>
          <w:lang w:val="en-GB"/>
        </w:rPr>
        <w:t xml:space="preserve">right length, and good interest </w:t>
      </w:r>
      <w:r w:rsidR="00983C4D" w:rsidRPr="003D2A76">
        <w:rPr>
          <w:rFonts w:asciiTheme="majorBidi" w:hAnsiTheme="majorBidi" w:cstheme="majorBidi"/>
          <w:lang w:val="en-GB"/>
        </w:rPr>
        <w:t xml:space="preserve">in </w:t>
      </w:r>
      <w:r w:rsidRPr="003D2A76">
        <w:rPr>
          <w:rFonts w:asciiTheme="majorBidi" w:hAnsiTheme="majorBidi" w:cstheme="majorBidi"/>
          <w:lang w:val="en-GB"/>
        </w:rPr>
        <w:t>the topic of the research among the available participants. The 61 non-complete or non-eligible responses were reviewed systematically in order to determine the patterns that could be used in future research designs or unknown sampling disadvantages.</w:t>
      </w:r>
    </w:p>
    <w:p w14:paraId="20CB0305" w14:textId="2C70316B"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 </w:t>
      </w:r>
      <w:bookmarkStart w:id="38" w:name="_Toc216904149"/>
      <w:r w:rsidR="009752B0">
        <w:rPr>
          <w:rFonts w:asciiTheme="majorBidi" w:hAnsiTheme="majorBidi" w:cstheme="majorBidi"/>
          <w:b/>
          <w:bCs/>
          <w:i/>
          <w:lang w:val="en-GB"/>
        </w:rPr>
        <w:t xml:space="preserve">4.2.2 </w:t>
      </w:r>
      <w:r w:rsidRPr="003D2A76">
        <w:rPr>
          <w:rFonts w:asciiTheme="majorBidi" w:hAnsiTheme="majorBidi" w:cstheme="majorBidi"/>
          <w:b/>
          <w:bCs/>
          <w:i/>
          <w:lang w:val="en-GB"/>
        </w:rPr>
        <w:t>Data Screening and Cleaning Procedures</w:t>
      </w:r>
      <w:bookmarkEnd w:id="38"/>
    </w:p>
    <w:p w14:paraId="273F9250" w14:textId="1F960258"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data cleaning was systematically done to maintain data quality and analytical integrity. The first screening detected 61 cases that were to be excluded according to the predetermined criteria. The sample size was reduced to </w:t>
      </w:r>
      <w:r w:rsidR="00712270" w:rsidRPr="003D2A76">
        <w:rPr>
          <w:rFonts w:asciiTheme="majorBidi" w:hAnsiTheme="majorBidi" w:cstheme="majorBidi"/>
          <w:lang w:val="en-GB"/>
        </w:rPr>
        <w:t>23</w:t>
      </w:r>
      <w:r w:rsidRPr="003D2A76">
        <w:rPr>
          <w:rFonts w:asciiTheme="majorBidi" w:hAnsiTheme="majorBidi" w:cstheme="majorBidi"/>
          <w:lang w:val="en-GB"/>
        </w:rPr>
        <w:t xml:space="preserve"> participants (4.9 per cent of the number of first-hand responses), who did not fit the eligibility criteria, mostly people who were not members of private schools in Jeddah or students younger than 16 years old. </w:t>
      </w:r>
      <w:r w:rsidR="005C1598" w:rsidRPr="003D2A76">
        <w:rPr>
          <w:rFonts w:asciiTheme="majorBidi" w:hAnsiTheme="majorBidi" w:cstheme="majorBidi"/>
          <w:lang w:val="en-GB"/>
        </w:rPr>
        <w:t>Eighteen participants (3.8%)</w:t>
      </w:r>
      <w:r w:rsidRPr="003D2A76">
        <w:rPr>
          <w:rFonts w:asciiTheme="majorBidi" w:hAnsiTheme="majorBidi" w:cstheme="majorBidi"/>
          <w:lang w:val="en-GB"/>
        </w:rPr>
        <w:t xml:space="preserve"> were eliminated because of too much missing data, which was non-response to over 20 per cent of survey questions. These situations were generally survey abandonment as opposed to selective non-response. Twelve cases (2.6%) displayed response patterns that indicated poor attention or engagement</w:t>
      </w:r>
      <w:r w:rsidR="00D90404">
        <w:rPr>
          <w:rFonts w:asciiTheme="majorBidi" w:hAnsiTheme="majorBidi" w:cstheme="majorBidi"/>
          <w:lang w:val="en-GB"/>
        </w:rPr>
        <w:t>,</w:t>
      </w:r>
      <w:r w:rsidRPr="003D2A76">
        <w:rPr>
          <w:rFonts w:asciiTheme="majorBidi" w:hAnsiTheme="majorBidi" w:cstheme="majorBidi"/>
          <w:lang w:val="en-GB"/>
        </w:rPr>
        <w:t xml:space="preserve"> which </w:t>
      </w:r>
      <w:r w:rsidRPr="003D2A76">
        <w:rPr>
          <w:rFonts w:asciiTheme="majorBidi" w:hAnsiTheme="majorBidi" w:cstheme="majorBidi"/>
          <w:lang w:val="en-GB"/>
        </w:rPr>
        <w:lastRenderedPageBreak/>
        <w:t xml:space="preserve">were detected by failed attention check questions that were included in the questionnaire. These items required the respondents to choose particular response options (e.g., </w:t>
      </w:r>
      <w:r w:rsidR="00712270" w:rsidRPr="003D2A76">
        <w:rPr>
          <w:rFonts w:asciiTheme="majorBidi" w:hAnsiTheme="majorBidi" w:cstheme="majorBidi"/>
          <w:lang w:val="en-GB"/>
        </w:rPr>
        <w:t>“</w:t>
      </w:r>
      <w:r w:rsidRPr="003D2A76">
        <w:rPr>
          <w:rFonts w:asciiTheme="majorBidi" w:hAnsiTheme="majorBidi" w:cstheme="majorBidi"/>
          <w:lang w:val="en-GB"/>
        </w:rPr>
        <w:t xml:space="preserve">Please choose Agree in this item to make sure that it was read carefully) to ensure that it was read attentively. Eight other cases (1.7%) demonstrated an invariant response pattern, selecting the same response option in all items regardless of the item content and reverse coding, indicating that there was bias in the responses or they were not being engaged. The inherent validation options </w:t>
      </w:r>
      <w:r w:rsidR="00712270" w:rsidRPr="003D2A76">
        <w:rPr>
          <w:rFonts w:asciiTheme="majorBidi" w:hAnsiTheme="majorBidi" w:cstheme="majorBidi"/>
          <w:lang w:val="en-GB"/>
        </w:rPr>
        <w:t xml:space="preserve">for </w:t>
      </w:r>
      <w:r w:rsidRPr="003D2A76">
        <w:rPr>
          <w:rFonts w:asciiTheme="majorBidi" w:hAnsiTheme="majorBidi" w:cstheme="majorBidi"/>
          <w:lang w:val="en-GB"/>
        </w:rPr>
        <w:t xml:space="preserve">the Microsoft Forms platform reduced the number of data errors by limiting the response format options and having mandatory items to be filled. In turn, the resulting dataset of 409 cases included no missing values of variables being </w:t>
      </w:r>
      <w:r w:rsidR="00712270" w:rsidRPr="003D2A76">
        <w:rPr>
          <w:rFonts w:asciiTheme="majorBidi" w:hAnsiTheme="majorBidi" w:cstheme="majorBidi"/>
          <w:lang w:val="en-GB"/>
        </w:rPr>
        <w:t>analysed</w:t>
      </w:r>
      <w:r w:rsidRPr="003D2A76">
        <w:rPr>
          <w:rFonts w:asciiTheme="majorBidi" w:hAnsiTheme="majorBidi" w:cstheme="majorBidi"/>
          <w:lang w:val="en-GB"/>
        </w:rPr>
        <w:t>, which ruled out the necessity of imputation procedures. IP address tracking with anonymity ensured that there were no multiple submissions with the same device, which meant independence of observations.</w:t>
      </w:r>
    </w:p>
    <w:p w14:paraId="4CDCC314" w14:textId="5D6A4FD9"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 xml:space="preserve"> </w:t>
      </w:r>
      <w:bookmarkStart w:id="39" w:name="_Toc216904150"/>
      <w:r w:rsidR="009752B0">
        <w:rPr>
          <w:rFonts w:asciiTheme="majorBidi" w:hAnsiTheme="majorBidi" w:cstheme="majorBidi"/>
          <w:b/>
          <w:bCs/>
          <w:i/>
          <w:lang w:val="en-GB"/>
        </w:rPr>
        <w:t xml:space="preserve">4.2.3 </w:t>
      </w:r>
      <w:r w:rsidRPr="003D2A76">
        <w:rPr>
          <w:rFonts w:asciiTheme="majorBidi" w:hAnsiTheme="majorBidi" w:cstheme="majorBidi"/>
          <w:b/>
          <w:bCs/>
          <w:i/>
          <w:lang w:val="en-GB"/>
        </w:rPr>
        <w:t>Outlier Detection and Treatment</w:t>
      </w:r>
      <w:bookmarkEnd w:id="39"/>
    </w:p>
    <w:p w14:paraId="4C34C310" w14:textId="7603EE6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presence of univariate outliers was evaluated based on </w:t>
      </w:r>
      <w:r w:rsidR="00712270" w:rsidRPr="003D2A76">
        <w:rPr>
          <w:rFonts w:asciiTheme="majorBidi" w:hAnsiTheme="majorBidi" w:cstheme="majorBidi"/>
          <w:lang w:val="en-GB"/>
        </w:rPr>
        <w:t xml:space="preserve">standardised </w:t>
      </w:r>
      <w:r w:rsidRPr="003D2A76">
        <w:rPr>
          <w:rFonts w:asciiTheme="majorBidi" w:hAnsiTheme="majorBidi" w:cstheme="majorBidi"/>
          <w:lang w:val="en-GB"/>
        </w:rPr>
        <w:t xml:space="preserve">z-scores, and the outliers that were above +-3.29 were regarded as possible outliers that should be investigated (Tabachnick and Fidell, 2019). It was </w:t>
      </w:r>
      <w:r w:rsidR="00712270" w:rsidRPr="003D2A76">
        <w:rPr>
          <w:rFonts w:asciiTheme="majorBidi" w:hAnsiTheme="majorBidi" w:cstheme="majorBidi"/>
          <w:lang w:val="en-GB"/>
        </w:rPr>
        <w:t xml:space="preserve">analysed </w:t>
      </w:r>
      <w:r w:rsidRPr="003D2A76">
        <w:rPr>
          <w:rFonts w:asciiTheme="majorBidi" w:hAnsiTheme="majorBidi" w:cstheme="majorBidi"/>
          <w:lang w:val="en-GB"/>
        </w:rPr>
        <w:t xml:space="preserve">that there were 11 cases who had z-scores above this range on one or more variables. Still, analysis of these cases showed that there were valid response patterns, which were in line with strongly held opinions and not errors in data entry and biased responses. As an example, a number of the respondents indicated extremely high levels of satisfaction with AI-enhanced educational services, which was not a measurement error but true positive experiences. </w:t>
      </w:r>
      <w:r w:rsidR="00F667BD">
        <w:rPr>
          <w:rFonts w:asciiTheme="majorBidi" w:hAnsiTheme="majorBidi" w:cstheme="majorBidi"/>
          <w:lang w:val="en-GB"/>
        </w:rPr>
        <w:t>Mahalanobis</w:t>
      </w:r>
      <w:r w:rsidRPr="003D2A76">
        <w:rPr>
          <w:rFonts w:asciiTheme="majorBidi" w:hAnsiTheme="majorBidi" w:cstheme="majorBidi"/>
          <w:lang w:val="en-GB"/>
        </w:rPr>
        <w:t xml:space="preserve"> distance was assessed as an evaluation of multivariate outliers</w:t>
      </w:r>
      <w:r w:rsidR="00F667BD">
        <w:rPr>
          <w:rFonts w:asciiTheme="majorBidi" w:hAnsiTheme="majorBidi" w:cstheme="majorBidi"/>
          <w:lang w:val="en-GB"/>
        </w:rPr>
        <w:t>,</w:t>
      </w:r>
      <w:r w:rsidRPr="003D2A76">
        <w:rPr>
          <w:rFonts w:asciiTheme="majorBidi" w:hAnsiTheme="majorBidi" w:cstheme="majorBidi"/>
          <w:lang w:val="en-GB"/>
        </w:rPr>
        <w:t xml:space="preserve"> whereby each case was assessed by the distance between the case and the centroid of all cases in </w:t>
      </w:r>
      <w:r w:rsidRPr="003D2A76">
        <w:rPr>
          <w:rFonts w:asciiTheme="majorBidi" w:hAnsiTheme="majorBidi" w:cstheme="majorBidi"/>
          <w:lang w:val="en-GB"/>
        </w:rPr>
        <w:lastRenderedPageBreak/>
        <w:t>the multidimensional space. It contains seven key variables</w:t>
      </w:r>
      <w:r w:rsidR="00F667BD">
        <w:rPr>
          <w:rFonts w:asciiTheme="majorBidi" w:hAnsiTheme="majorBidi" w:cstheme="majorBidi"/>
          <w:lang w:val="en-GB"/>
        </w:rPr>
        <w:t>,</w:t>
      </w:r>
      <w:r w:rsidRPr="003D2A76">
        <w:rPr>
          <w:rFonts w:asciiTheme="majorBidi" w:hAnsiTheme="majorBidi" w:cstheme="majorBidi"/>
          <w:lang w:val="en-GB"/>
        </w:rPr>
        <w:t xml:space="preserve"> and the critical chi-square at p &lt; 0.00 was 24.32. Six cases surpassed this level, indicating abnormal combinations of responses between variables. Research on these cases showed that the respondents had distinct profiles, e.g.</w:t>
      </w:r>
      <w:r w:rsidR="00F667BD">
        <w:rPr>
          <w:rFonts w:asciiTheme="majorBidi" w:hAnsiTheme="majorBidi" w:cstheme="majorBidi"/>
          <w:lang w:val="en-GB"/>
        </w:rPr>
        <w:t>,</w:t>
      </w:r>
      <w:r w:rsidRPr="003D2A76">
        <w:rPr>
          <w:rFonts w:asciiTheme="majorBidi" w:hAnsiTheme="majorBidi" w:cstheme="majorBidi"/>
          <w:lang w:val="en-GB"/>
        </w:rPr>
        <w:t xml:space="preserve"> high satisfaction levels </w:t>
      </w:r>
      <w:r w:rsidR="00712270" w:rsidRPr="003D2A76">
        <w:rPr>
          <w:rFonts w:asciiTheme="majorBidi" w:hAnsiTheme="majorBidi" w:cstheme="majorBidi"/>
          <w:lang w:val="en-GB"/>
        </w:rPr>
        <w:t xml:space="preserve">with </w:t>
      </w:r>
      <w:r w:rsidRPr="003D2A76">
        <w:rPr>
          <w:rFonts w:asciiTheme="majorBidi" w:hAnsiTheme="majorBidi" w:cstheme="majorBidi"/>
          <w:lang w:val="en-GB"/>
        </w:rPr>
        <w:t xml:space="preserve">AI adoption and low purchase intention because of cost factors, which are </w:t>
      </w:r>
      <w:r w:rsidR="00712270" w:rsidRPr="003D2A76">
        <w:rPr>
          <w:rFonts w:asciiTheme="majorBidi" w:hAnsiTheme="majorBidi" w:cstheme="majorBidi"/>
          <w:lang w:val="en-GB"/>
        </w:rPr>
        <w:t xml:space="preserve">a </w:t>
      </w:r>
      <w:r w:rsidRPr="003D2A76">
        <w:rPr>
          <w:rFonts w:asciiTheme="majorBidi" w:hAnsiTheme="majorBidi" w:cstheme="majorBidi"/>
          <w:lang w:val="en-GB"/>
        </w:rPr>
        <w:t xml:space="preserve">valid but unusual pattern of responses in the population. Since the identified outliers were real variability of responses and not errors, and their inclusion did not have a significant impact on outcomes according to sensitivity analysis, they were all included in the analysis. The latter choice retains the entire spectrum of population attitudes with analytical integrity since current powerful statistical methods have the capacity to tolerate modest deviations </w:t>
      </w:r>
      <w:r w:rsidR="00712270" w:rsidRPr="003D2A76">
        <w:rPr>
          <w:rFonts w:asciiTheme="majorBidi" w:hAnsiTheme="majorBidi" w:cstheme="majorBidi"/>
          <w:lang w:val="en-GB"/>
        </w:rPr>
        <w:t xml:space="preserve">in </w:t>
      </w:r>
      <w:r w:rsidRPr="003D2A76">
        <w:rPr>
          <w:rFonts w:asciiTheme="majorBidi" w:hAnsiTheme="majorBidi" w:cstheme="majorBidi"/>
          <w:lang w:val="en-GB"/>
        </w:rPr>
        <w:t>ideal distributions.</w:t>
      </w:r>
    </w:p>
    <w:p w14:paraId="1F2C0CC3" w14:textId="77777777" w:rsidR="00885F3C" w:rsidRPr="003D2A76" w:rsidRDefault="006A4A5D" w:rsidP="00BD6279">
      <w:pPr>
        <w:pStyle w:val="Heading2"/>
        <w:rPr>
          <w:lang w:val="en-GB"/>
        </w:rPr>
      </w:pPr>
      <w:bookmarkStart w:id="40" w:name="_Toc216904151"/>
      <w:bookmarkStart w:id="41" w:name="_Toc228056578"/>
      <w:r w:rsidRPr="003D2A76">
        <w:rPr>
          <w:rFonts w:ascii="Times New Roman" w:hAnsi="Times New Roman" w:cs="Times New Roman"/>
          <w:lang w:val="en-GB"/>
        </w:rPr>
        <w:t xml:space="preserve">4.3 </w:t>
      </w:r>
      <w:r w:rsidR="00885F3C" w:rsidRPr="003D2A76">
        <w:rPr>
          <w:rFonts w:ascii="Times New Roman" w:hAnsi="Times New Roman" w:cs="Times New Roman"/>
          <w:lang w:val="en-GB"/>
        </w:rPr>
        <w:t>Demographic Characteristics of the Sample</w:t>
      </w:r>
      <w:bookmarkEnd w:id="40"/>
      <w:bookmarkEnd w:id="41"/>
    </w:p>
    <w:p w14:paraId="77F26768" w14:textId="08DFD7FA" w:rsidR="00885F3C" w:rsidRPr="003D2A76" w:rsidRDefault="009752B0" w:rsidP="00BD6279">
      <w:pPr>
        <w:bidi w:val="0"/>
        <w:rPr>
          <w:rFonts w:asciiTheme="majorBidi" w:hAnsiTheme="majorBidi" w:cstheme="majorBidi"/>
          <w:b/>
          <w:bCs/>
          <w:i/>
          <w:lang w:val="en-GB"/>
        </w:rPr>
      </w:pPr>
      <w:bookmarkStart w:id="42" w:name="_Toc216904152"/>
      <w:r>
        <w:rPr>
          <w:rFonts w:asciiTheme="majorBidi" w:hAnsiTheme="majorBidi" w:cstheme="majorBidi"/>
          <w:b/>
          <w:bCs/>
          <w:i/>
          <w:lang w:val="en-GB"/>
        </w:rPr>
        <w:t xml:space="preserve">4.3.1 </w:t>
      </w:r>
      <w:r w:rsidR="00885F3C" w:rsidRPr="003D2A76">
        <w:rPr>
          <w:rFonts w:asciiTheme="majorBidi" w:hAnsiTheme="majorBidi" w:cstheme="majorBidi"/>
          <w:b/>
          <w:bCs/>
          <w:i/>
          <w:lang w:val="en-GB"/>
        </w:rPr>
        <w:t>Respondent Categories</w:t>
      </w:r>
      <w:bookmarkEnd w:id="42"/>
    </w:p>
    <w:p w14:paraId="7FF0D00B" w14:textId="502C617E" w:rsidR="009C6FD8" w:rsidRPr="003D2A76" w:rsidRDefault="009C6FD8" w:rsidP="009C6FD8">
      <w:pPr>
        <w:bidi w:val="0"/>
        <w:rPr>
          <w:rFonts w:asciiTheme="majorBidi" w:hAnsiTheme="majorBidi" w:cstheme="majorBidi"/>
          <w:b/>
          <w:bCs/>
          <w:noProof/>
          <w:lang w:val="en-GB"/>
        </w:rPr>
      </w:pPr>
      <w:bookmarkStart w:id="43" w:name="_Toc227161639"/>
      <w:r w:rsidRPr="003D2A76">
        <w:rPr>
          <w:rFonts w:asciiTheme="majorBidi" w:hAnsiTheme="majorBidi" w:cstheme="majorBidi"/>
          <w:noProof/>
          <w:lang w:val="en-GB"/>
        </w:rPr>
        <w:t xml:space="preserve">The sample of 409 participants obtained almost the same representation of the two major stakeholder groups of 205 students (50.1) to 204 parents or guardians (49.9). This equal representation increases the opportunities of this study to take into consideration the views of direct receivers of the service (students) and the views of the decision-makers (parents), which will give a holistic picture of the impact of AI adoption on the perception of educational services. There was a minor female preponderance in gender distribution that had 211 female respondents (51.6) and 198 male respondents (48.4). This distribution is rather close to the regional demographic trends and indicates sufficient gender representation. The close balance in the gender distribution reduces the risks of gender bias </w:t>
      </w:r>
      <w:r w:rsidR="00F667BD">
        <w:rPr>
          <w:rFonts w:asciiTheme="majorBidi" w:hAnsiTheme="majorBidi" w:cstheme="majorBidi"/>
          <w:noProof/>
          <w:lang w:val="en-GB"/>
        </w:rPr>
        <w:t>in the</w:t>
      </w:r>
      <w:r w:rsidRPr="003D2A76">
        <w:rPr>
          <w:rFonts w:asciiTheme="majorBidi" w:hAnsiTheme="majorBidi" w:cstheme="majorBidi"/>
          <w:noProof/>
          <w:lang w:val="en-GB"/>
        </w:rPr>
        <w:t xml:space="preserve"> results and promotes the ability to </w:t>
      </w:r>
      <w:r w:rsidR="00712270" w:rsidRPr="003D2A76">
        <w:rPr>
          <w:rFonts w:asciiTheme="majorBidi" w:hAnsiTheme="majorBidi" w:cstheme="majorBidi"/>
          <w:noProof/>
          <w:lang w:val="en-GB"/>
        </w:rPr>
        <w:t xml:space="preserve">generalise </w:t>
      </w:r>
      <w:r w:rsidRPr="003D2A76">
        <w:rPr>
          <w:rFonts w:asciiTheme="majorBidi" w:hAnsiTheme="majorBidi" w:cstheme="majorBidi"/>
          <w:noProof/>
          <w:lang w:val="en-GB"/>
        </w:rPr>
        <w:t>the findings to the rest of the gender groups of the target population.</w:t>
      </w:r>
    </w:p>
    <w:p w14:paraId="40436DA1" w14:textId="77777777" w:rsidR="009C6FD8" w:rsidRPr="003D2A76" w:rsidRDefault="009C6FD8" w:rsidP="00DE6CC4">
      <w:pPr>
        <w:bidi w:val="0"/>
        <w:rPr>
          <w:noProof/>
          <w:lang w:val="en-GB"/>
        </w:rPr>
      </w:pPr>
    </w:p>
    <w:p w14:paraId="35E3D134" w14:textId="78C4F1A9" w:rsidR="00885F3C" w:rsidRPr="003D2A76" w:rsidRDefault="00885F3C" w:rsidP="008417D1">
      <w:pPr>
        <w:bidi w:val="0"/>
        <w:rPr>
          <w:rFonts w:asciiTheme="majorBidi" w:hAnsiTheme="majorBidi" w:cstheme="majorBidi"/>
          <w:b/>
          <w:bCs/>
          <w:lang w:val="en-GB"/>
        </w:rPr>
      </w:pPr>
      <w:r w:rsidRPr="003D2A76">
        <w:rPr>
          <w:rFonts w:asciiTheme="majorBidi" w:hAnsiTheme="majorBidi" w:cstheme="majorBidi"/>
          <w:b/>
          <w:bCs/>
          <w:lang w:val="en-GB"/>
        </w:rPr>
        <w:t xml:space="preserve">Table </w:t>
      </w:r>
      <w:r w:rsidRPr="003D2A76">
        <w:rPr>
          <w:rFonts w:asciiTheme="majorBidi" w:hAnsiTheme="majorBidi" w:cstheme="majorBidi"/>
          <w:b/>
          <w:bCs/>
          <w:lang w:val="en-GB"/>
        </w:rPr>
        <w:fldChar w:fldCharType="begin"/>
      </w:r>
      <w:r w:rsidRPr="003D2A76">
        <w:rPr>
          <w:rFonts w:asciiTheme="majorBidi" w:hAnsiTheme="majorBidi" w:cstheme="majorBidi"/>
          <w:b/>
          <w:bCs/>
          <w:lang w:val="en-GB"/>
        </w:rPr>
        <w:instrText xml:space="preserve"> SEQ Table \* ARABIC </w:instrText>
      </w:r>
      <w:r w:rsidRPr="003D2A76">
        <w:rPr>
          <w:rFonts w:asciiTheme="majorBidi" w:hAnsiTheme="majorBidi" w:cstheme="majorBidi"/>
          <w:b/>
          <w:bCs/>
          <w:lang w:val="en-GB"/>
        </w:rPr>
        <w:fldChar w:fldCharType="separate"/>
      </w:r>
      <w:r w:rsidR="006A4A5D" w:rsidRPr="003D2A76">
        <w:rPr>
          <w:rFonts w:asciiTheme="majorBidi" w:hAnsiTheme="majorBidi" w:cstheme="majorBidi"/>
          <w:b/>
          <w:bCs/>
          <w:noProof/>
          <w:lang w:val="en-GB"/>
        </w:rPr>
        <w:t>1</w:t>
      </w:r>
      <w:r w:rsidRPr="003D2A76">
        <w:rPr>
          <w:rFonts w:asciiTheme="majorBidi" w:hAnsiTheme="majorBidi" w:cstheme="majorBidi"/>
          <w:lang w:val="en-GB"/>
        </w:rPr>
        <w:fldChar w:fldCharType="end"/>
      </w:r>
      <w:r w:rsidRPr="003D2A76">
        <w:rPr>
          <w:rFonts w:asciiTheme="majorBidi" w:hAnsiTheme="majorBidi" w:cstheme="majorBidi"/>
          <w:b/>
          <w:bCs/>
          <w:lang w:val="en-GB"/>
        </w:rPr>
        <w:t xml:space="preserve"> </w:t>
      </w:r>
      <w:r w:rsidRPr="003D2A76">
        <w:rPr>
          <w:rFonts w:asciiTheme="majorBidi" w:hAnsiTheme="majorBidi" w:cstheme="majorBidi"/>
          <w:b/>
          <w:bCs/>
          <w:lang w:val="en-GB"/>
        </w:rPr>
        <w:br/>
        <w:t>Demographic Characteristics of Participants (N = 409)</w:t>
      </w:r>
      <w:bookmarkEnd w:id="43"/>
    </w:p>
    <w:tbl>
      <w:tblPr>
        <w:tblStyle w:val="TableGrid"/>
        <w:tblW w:w="5000" w:type="pct"/>
        <w:tblLook w:val="04A0" w:firstRow="1" w:lastRow="0" w:firstColumn="1" w:lastColumn="0" w:noHBand="0" w:noVBand="1"/>
      </w:tblPr>
      <w:tblGrid>
        <w:gridCol w:w="3743"/>
        <w:gridCol w:w="2271"/>
        <w:gridCol w:w="1288"/>
        <w:gridCol w:w="1328"/>
      </w:tblGrid>
      <w:tr w:rsidR="00D74908" w:rsidRPr="003D2A76" w14:paraId="1A9507A7" w14:textId="77777777" w:rsidTr="00D50A3D">
        <w:tc>
          <w:tcPr>
            <w:tcW w:w="0" w:type="auto"/>
            <w:vAlign w:val="center"/>
            <w:hideMark/>
          </w:tcPr>
          <w:p w14:paraId="6B40828A"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Variable</w:t>
            </w:r>
          </w:p>
        </w:tc>
        <w:tc>
          <w:tcPr>
            <w:tcW w:w="0" w:type="auto"/>
            <w:hideMark/>
          </w:tcPr>
          <w:p w14:paraId="24DCDFA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Category</w:t>
            </w:r>
          </w:p>
        </w:tc>
        <w:tc>
          <w:tcPr>
            <w:tcW w:w="0" w:type="auto"/>
            <w:hideMark/>
          </w:tcPr>
          <w:p w14:paraId="487C8BF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Frequency</w:t>
            </w:r>
          </w:p>
        </w:tc>
        <w:tc>
          <w:tcPr>
            <w:tcW w:w="0" w:type="auto"/>
            <w:hideMark/>
          </w:tcPr>
          <w:p w14:paraId="6D135AF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Percentage</w:t>
            </w:r>
          </w:p>
        </w:tc>
      </w:tr>
      <w:tr w:rsidR="00D74908" w:rsidRPr="003D2A76" w14:paraId="787FD667" w14:textId="77777777" w:rsidTr="00D50A3D">
        <w:tc>
          <w:tcPr>
            <w:tcW w:w="0" w:type="auto"/>
            <w:vAlign w:val="center"/>
            <w:hideMark/>
          </w:tcPr>
          <w:p w14:paraId="62535062"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313F9AB7"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701F3385"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78087BBC" w14:textId="77777777" w:rsidR="00D74908" w:rsidRPr="003D2A76" w:rsidRDefault="00D74908" w:rsidP="00D74908">
            <w:pPr>
              <w:bidi w:val="0"/>
              <w:spacing w:line="240" w:lineRule="auto"/>
              <w:rPr>
                <w:rFonts w:asciiTheme="majorBidi" w:hAnsiTheme="majorBidi" w:cstheme="majorBidi"/>
                <w:iCs/>
                <w:lang w:val="en-GB"/>
              </w:rPr>
            </w:pPr>
          </w:p>
        </w:tc>
      </w:tr>
      <w:tr w:rsidR="00D74908" w:rsidRPr="003D2A76" w14:paraId="50AF8C70" w14:textId="77777777" w:rsidTr="00D50A3D">
        <w:tc>
          <w:tcPr>
            <w:tcW w:w="0" w:type="auto"/>
            <w:vMerge w:val="restart"/>
            <w:vAlign w:val="center"/>
            <w:hideMark/>
          </w:tcPr>
          <w:p w14:paraId="5B51180A"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Relationship to School</w:t>
            </w:r>
          </w:p>
        </w:tc>
        <w:tc>
          <w:tcPr>
            <w:tcW w:w="0" w:type="auto"/>
            <w:hideMark/>
          </w:tcPr>
          <w:p w14:paraId="511423C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Student</w:t>
            </w:r>
          </w:p>
        </w:tc>
        <w:tc>
          <w:tcPr>
            <w:tcW w:w="0" w:type="auto"/>
            <w:vAlign w:val="center"/>
            <w:hideMark/>
          </w:tcPr>
          <w:p w14:paraId="0CAC811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205</w:t>
            </w:r>
          </w:p>
        </w:tc>
        <w:tc>
          <w:tcPr>
            <w:tcW w:w="0" w:type="auto"/>
            <w:vAlign w:val="center"/>
            <w:hideMark/>
          </w:tcPr>
          <w:p w14:paraId="50E0873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50.1%</w:t>
            </w:r>
          </w:p>
        </w:tc>
      </w:tr>
      <w:tr w:rsidR="00D74908" w:rsidRPr="003D2A76" w14:paraId="2990B3FA" w14:textId="77777777" w:rsidTr="00D50A3D">
        <w:tc>
          <w:tcPr>
            <w:tcW w:w="0" w:type="auto"/>
            <w:vMerge/>
            <w:vAlign w:val="center"/>
            <w:hideMark/>
          </w:tcPr>
          <w:p w14:paraId="79AB8784"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447AC332"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Parent/Guardian</w:t>
            </w:r>
          </w:p>
        </w:tc>
        <w:tc>
          <w:tcPr>
            <w:tcW w:w="0" w:type="auto"/>
            <w:vAlign w:val="center"/>
            <w:hideMark/>
          </w:tcPr>
          <w:p w14:paraId="349F32E6"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204</w:t>
            </w:r>
          </w:p>
        </w:tc>
        <w:tc>
          <w:tcPr>
            <w:tcW w:w="0" w:type="auto"/>
            <w:vAlign w:val="center"/>
            <w:hideMark/>
          </w:tcPr>
          <w:p w14:paraId="5A70844F"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49.9%</w:t>
            </w:r>
          </w:p>
        </w:tc>
      </w:tr>
      <w:tr w:rsidR="00D74908" w:rsidRPr="003D2A76" w14:paraId="3335373B" w14:textId="77777777" w:rsidTr="00D50A3D">
        <w:tc>
          <w:tcPr>
            <w:tcW w:w="0" w:type="auto"/>
            <w:vAlign w:val="center"/>
            <w:hideMark/>
          </w:tcPr>
          <w:p w14:paraId="2F55392A"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737ED4B3"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63B2CC10"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5D4B7786" w14:textId="77777777" w:rsidR="00D74908" w:rsidRPr="003D2A76" w:rsidRDefault="00D74908" w:rsidP="00D74908">
            <w:pPr>
              <w:bidi w:val="0"/>
              <w:spacing w:line="240" w:lineRule="auto"/>
              <w:rPr>
                <w:rFonts w:asciiTheme="majorBidi" w:hAnsiTheme="majorBidi" w:cstheme="majorBidi"/>
                <w:iCs/>
                <w:lang w:val="en-GB"/>
              </w:rPr>
            </w:pPr>
          </w:p>
        </w:tc>
      </w:tr>
      <w:tr w:rsidR="00D74908" w:rsidRPr="003D2A76" w14:paraId="0E90E504" w14:textId="77777777" w:rsidTr="00D50A3D">
        <w:tc>
          <w:tcPr>
            <w:tcW w:w="0" w:type="auto"/>
            <w:vMerge w:val="restart"/>
            <w:vAlign w:val="center"/>
            <w:hideMark/>
          </w:tcPr>
          <w:p w14:paraId="1B94AD5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Gender</w:t>
            </w:r>
          </w:p>
        </w:tc>
        <w:tc>
          <w:tcPr>
            <w:tcW w:w="0" w:type="auto"/>
            <w:hideMark/>
          </w:tcPr>
          <w:p w14:paraId="31CA094B"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Male</w:t>
            </w:r>
          </w:p>
        </w:tc>
        <w:tc>
          <w:tcPr>
            <w:tcW w:w="0" w:type="auto"/>
            <w:vAlign w:val="center"/>
            <w:hideMark/>
          </w:tcPr>
          <w:p w14:paraId="2ED3484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198</w:t>
            </w:r>
          </w:p>
        </w:tc>
        <w:tc>
          <w:tcPr>
            <w:tcW w:w="0" w:type="auto"/>
            <w:vAlign w:val="center"/>
            <w:hideMark/>
          </w:tcPr>
          <w:p w14:paraId="7A89ABC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48.4%</w:t>
            </w:r>
          </w:p>
        </w:tc>
      </w:tr>
      <w:tr w:rsidR="00D74908" w:rsidRPr="003D2A76" w14:paraId="1A2808E2" w14:textId="77777777" w:rsidTr="00D50A3D">
        <w:tc>
          <w:tcPr>
            <w:tcW w:w="0" w:type="auto"/>
            <w:vMerge/>
            <w:vAlign w:val="center"/>
            <w:hideMark/>
          </w:tcPr>
          <w:p w14:paraId="67AE8293"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2CD41D1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Female</w:t>
            </w:r>
          </w:p>
        </w:tc>
        <w:tc>
          <w:tcPr>
            <w:tcW w:w="0" w:type="auto"/>
            <w:vAlign w:val="center"/>
            <w:hideMark/>
          </w:tcPr>
          <w:p w14:paraId="606DC7F6"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211</w:t>
            </w:r>
          </w:p>
        </w:tc>
        <w:tc>
          <w:tcPr>
            <w:tcW w:w="0" w:type="auto"/>
            <w:vAlign w:val="center"/>
            <w:hideMark/>
          </w:tcPr>
          <w:p w14:paraId="6E9D0DD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51.6%</w:t>
            </w:r>
          </w:p>
        </w:tc>
      </w:tr>
      <w:tr w:rsidR="00D74908" w:rsidRPr="003D2A76" w14:paraId="78B05E99" w14:textId="77777777" w:rsidTr="00D50A3D">
        <w:tc>
          <w:tcPr>
            <w:tcW w:w="0" w:type="auto"/>
            <w:vAlign w:val="center"/>
            <w:hideMark/>
          </w:tcPr>
          <w:p w14:paraId="0CE9869E"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75DE1DEF"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652F3F0D"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6092BED8" w14:textId="77777777" w:rsidR="00D74908" w:rsidRPr="003D2A76" w:rsidRDefault="00D74908" w:rsidP="00D74908">
            <w:pPr>
              <w:bidi w:val="0"/>
              <w:spacing w:line="240" w:lineRule="auto"/>
              <w:rPr>
                <w:rFonts w:asciiTheme="majorBidi" w:hAnsiTheme="majorBidi" w:cstheme="majorBidi"/>
                <w:iCs/>
                <w:lang w:val="en-GB"/>
              </w:rPr>
            </w:pPr>
          </w:p>
        </w:tc>
      </w:tr>
      <w:tr w:rsidR="00D74908" w:rsidRPr="003D2A76" w14:paraId="56709D18" w14:textId="77777777" w:rsidTr="00D50A3D">
        <w:tc>
          <w:tcPr>
            <w:tcW w:w="0" w:type="auto"/>
            <w:vMerge w:val="restart"/>
            <w:vAlign w:val="center"/>
            <w:hideMark/>
          </w:tcPr>
          <w:p w14:paraId="212A16A2"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Age Group</w:t>
            </w:r>
          </w:p>
        </w:tc>
        <w:tc>
          <w:tcPr>
            <w:tcW w:w="0" w:type="auto"/>
            <w:hideMark/>
          </w:tcPr>
          <w:p w14:paraId="66B312DA" w14:textId="042FE095"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16</w:t>
            </w:r>
            <w:r w:rsidR="00712270" w:rsidRPr="003D2A76">
              <w:rPr>
                <w:rFonts w:asciiTheme="majorBidi" w:hAnsiTheme="majorBidi" w:cstheme="majorBidi"/>
                <w:iCs/>
                <w:lang w:val="en-GB"/>
              </w:rPr>
              <w:t>–</w:t>
            </w:r>
            <w:r w:rsidRPr="003D2A76">
              <w:rPr>
                <w:rFonts w:asciiTheme="majorBidi" w:hAnsiTheme="majorBidi" w:cstheme="majorBidi"/>
                <w:iCs/>
                <w:lang w:val="en-GB"/>
              </w:rPr>
              <w:t>25 years</w:t>
            </w:r>
          </w:p>
        </w:tc>
        <w:tc>
          <w:tcPr>
            <w:tcW w:w="0" w:type="auto"/>
            <w:vAlign w:val="center"/>
            <w:hideMark/>
          </w:tcPr>
          <w:p w14:paraId="7EE71267"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187</w:t>
            </w:r>
          </w:p>
        </w:tc>
        <w:tc>
          <w:tcPr>
            <w:tcW w:w="0" w:type="auto"/>
            <w:vAlign w:val="center"/>
            <w:hideMark/>
          </w:tcPr>
          <w:p w14:paraId="01B9F82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45.7%</w:t>
            </w:r>
          </w:p>
        </w:tc>
      </w:tr>
      <w:tr w:rsidR="00D74908" w:rsidRPr="003D2A76" w14:paraId="74B406D6" w14:textId="77777777" w:rsidTr="00D50A3D">
        <w:tc>
          <w:tcPr>
            <w:tcW w:w="0" w:type="auto"/>
            <w:vMerge/>
            <w:vAlign w:val="center"/>
            <w:hideMark/>
          </w:tcPr>
          <w:p w14:paraId="394787C6"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0830908C" w14:textId="3BC75C11"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26</w:t>
            </w:r>
            <w:r w:rsidR="00712270" w:rsidRPr="003D2A76">
              <w:rPr>
                <w:rFonts w:asciiTheme="majorBidi" w:hAnsiTheme="majorBidi" w:cstheme="majorBidi"/>
                <w:iCs/>
                <w:lang w:val="en-GB"/>
              </w:rPr>
              <w:t>–</w:t>
            </w:r>
            <w:r w:rsidRPr="003D2A76">
              <w:rPr>
                <w:rFonts w:asciiTheme="majorBidi" w:hAnsiTheme="majorBidi" w:cstheme="majorBidi"/>
                <w:iCs/>
                <w:lang w:val="en-GB"/>
              </w:rPr>
              <w:t>35 years</w:t>
            </w:r>
          </w:p>
        </w:tc>
        <w:tc>
          <w:tcPr>
            <w:tcW w:w="0" w:type="auto"/>
            <w:vAlign w:val="center"/>
            <w:hideMark/>
          </w:tcPr>
          <w:p w14:paraId="4A2607A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89</w:t>
            </w:r>
          </w:p>
        </w:tc>
        <w:tc>
          <w:tcPr>
            <w:tcW w:w="0" w:type="auto"/>
            <w:vAlign w:val="center"/>
            <w:hideMark/>
          </w:tcPr>
          <w:p w14:paraId="2FFF6AE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21.8%</w:t>
            </w:r>
          </w:p>
        </w:tc>
      </w:tr>
      <w:tr w:rsidR="00D74908" w:rsidRPr="003D2A76" w14:paraId="752256EC" w14:textId="77777777" w:rsidTr="00D50A3D">
        <w:tc>
          <w:tcPr>
            <w:tcW w:w="0" w:type="auto"/>
            <w:vMerge/>
            <w:vAlign w:val="center"/>
            <w:hideMark/>
          </w:tcPr>
          <w:p w14:paraId="39773C6C"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2E55DEAA" w14:textId="6A23CAE5"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36</w:t>
            </w:r>
            <w:r w:rsidR="00712270" w:rsidRPr="003D2A76">
              <w:rPr>
                <w:rFonts w:asciiTheme="majorBidi" w:hAnsiTheme="majorBidi" w:cstheme="majorBidi"/>
                <w:iCs/>
                <w:lang w:val="en-GB"/>
              </w:rPr>
              <w:t>–</w:t>
            </w:r>
            <w:r w:rsidRPr="003D2A76">
              <w:rPr>
                <w:rFonts w:asciiTheme="majorBidi" w:hAnsiTheme="majorBidi" w:cstheme="majorBidi"/>
                <w:iCs/>
                <w:lang w:val="en-GB"/>
              </w:rPr>
              <w:t>45 years</w:t>
            </w:r>
          </w:p>
        </w:tc>
        <w:tc>
          <w:tcPr>
            <w:tcW w:w="0" w:type="auto"/>
            <w:vAlign w:val="center"/>
            <w:hideMark/>
          </w:tcPr>
          <w:p w14:paraId="2F4BFB06"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76</w:t>
            </w:r>
          </w:p>
        </w:tc>
        <w:tc>
          <w:tcPr>
            <w:tcW w:w="0" w:type="auto"/>
            <w:vAlign w:val="center"/>
            <w:hideMark/>
          </w:tcPr>
          <w:p w14:paraId="10E9D1CD"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18.6%</w:t>
            </w:r>
          </w:p>
        </w:tc>
      </w:tr>
      <w:tr w:rsidR="00D74908" w:rsidRPr="003D2A76" w14:paraId="102803B4" w14:textId="77777777" w:rsidTr="00D50A3D">
        <w:tc>
          <w:tcPr>
            <w:tcW w:w="0" w:type="auto"/>
            <w:vMerge/>
            <w:vAlign w:val="center"/>
            <w:hideMark/>
          </w:tcPr>
          <w:p w14:paraId="416D9771"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24579FB2"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46+ years</w:t>
            </w:r>
          </w:p>
        </w:tc>
        <w:tc>
          <w:tcPr>
            <w:tcW w:w="0" w:type="auto"/>
            <w:vAlign w:val="center"/>
            <w:hideMark/>
          </w:tcPr>
          <w:p w14:paraId="50963AB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57</w:t>
            </w:r>
          </w:p>
        </w:tc>
        <w:tc>
          <w:tcPr>
            <w:tcW w:w="0" w:type="auto"/>
            <w:vAlign w:val="center"/>
            <w:hideMark/>
          </w:tcPr>
          <w:p w14:paraId="2E58650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13.9%</w:t>
            </w:r>
          </w:p>
        </w:tc>
      </w:tr>
      <w:tr w:rsidR="00D74908" w:rsidRPr="003D2A76" w14:paraId="7D62F222" w14:textId="77777777" w:rsidTr="00D50A3D">
        <w:tc>
          <w:tcPr>
            <w:tcW w:w="0" w:type="auto"/>
            <w:vAlign w:val="center"/>
            <w:hideMark/>
          </w:tcPr>
          <w:p w14:paraId="6A22BB2C"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51737C52"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567540DC"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6B46276A" w14:textId="77777777" w:rsidR="00D74908" w:rsidRPr="003D2A76" w:rsidRDefault="00D74908" w:rsidP="00D74908">
            <w:pPr>
              <w:bidi w:val="0"/>
              <w:spacing w:line="240" w:lineRule="auto"/>
              <w:rPr>
                <w:rFonts w:asciiTheme="majorBidi" w:hAnsiTheme="majorBidi" w:cstheme="majorBidi"/>
                <w:iCs/>
                <w:lang w:val="en-GB"/>
              </w:rPr>
            </w:pPr>
          </w:p>
        </w:tc>
      </w:tr>
      <w:tr w:rsidR="00D74908" w:rsidRPr="003D2A76" w14:paraId="2EC24880" w14:textId="77777777" w:rsidTr="00D50A3D">
        <w:tc>
          <w:tcPr>
            <w:tcW w:w="0" w:type="auto"/>
            <w:vMerge w:val="restart"/>
            <w:vAlign w:val="center"/>
            <w:hideMark/>
          </w:tcPr>
          <w:p w14:paraId="57F0007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Education Level</w:t>
            </w:r>
          </w:p>
        </w:tc>
        <w:tc>
          <w:tcPr>
            <w:tcW w:w="0" w:type="auto"/>
            <w:hideMark/>
          </w:tcPr>
          <w:p w14:paraId="2D4E56F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High School or Less</w:t>
            </w:r>
          </w:p>
        </w:tc>
        <w:tc>
          <w:tcPr>
            <w:tcW w:w="0" w:type="auto"/>
            <w:vAlign w:val="center"/>
            <w:hideMark/>
          </w:tcPr>
          <w:p w14:paraId="316AAF4D"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112</w:t>
            </w:r>
          </w:p>
        </w:tc>
        <w:tc>
          <w:tcPr>
            <w:tcW w:w="0" w:type="auto"/>
            <w:vAlign w:val="center"/>
            <w:hideMark/>
          </w:tcPr>
          <w:p w14:paraId="64D3DC96"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27.4%</w:t>
            </w:r>
          </w:p>
        </w:tc>
      </w:tr>
      <w:tr w:rsidR="00D74908" w:rsidRPr="003D2A76" w14:paraId="4D4D406E" w14:textId="77777777" w:rsidTr="00D50A3D">
        <w:tc>
          <w:tcPr>
            <w:tcW w:w="0" w:type="auto"/>
            <w:vMerge/>
            <w:vAlign w:val="center"/>
            <w:hideMark/>
          </w:tcPr>
          <w:p w14:paraId="6E642074"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123DE6B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Bachelor's Degree</w:t>
            </w:r>
          </w:p>
        </w:tc>
        <w:tc>
          <w:tcPr>
            <w:tcW w:w="0" w:type="auto"/>
            <w:vAlign w:val="center"/>
            <w:hideMark/>
          </w:tcPr>
          <w:p w14:paraId="6BC80B82"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198</w:t>
            </w:r>
          </w:p>
        </w:tc>
        <w:tc>
          <w:tcPr>
            <w:tcW w:w="0" w:type="auto"/>
            <w:vAlign w:val="center"/>
            <w:hideMark/>
          </w:tcPr>
          <w:p w14:paraId="746E7A0D"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48.4%</w:t>
            </w:r>
          </w:p>
        </w:tc>
      </w:tr>
      <w:tr w:rsidR="00D74908" w:rsidRPr="003D2A76" w14:paraId="4141F966" w14:textId="77777777" w:rsidTr="00D50A3D">
        <w:tc>
          <w:tcPr>
            <w:tcW w:w="0" w:type="auto"/>
            <w:vMerge/>
            <w:vAlign w:val="center"/>
            <w:hideMark/>
          </w:tcPr>
          <w:p w14:paraId="27AD919B"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48B7B26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Graduate Studies</w:t>
            </w:r>
          </w:p>
        </w:tc>
        <w:tc>
          <w:tcPr>
            <w:tcW w:w="0" w:type="auto"/>
            <w:vAlign w:val="center"/>
            <w:hideMark/>
          </w:tcPr>
          <w:p w14:paraId="4A4359F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99</w:t>
            </w:r>
          </w:p>
        </w:tc>
        <w:tc>
          <w:tcPr>
            <w:tcW w:w="0" w:type="auto"/>
            <w:vAlign w:val="center"/>
            <w:hideMark/>
          </w:tcPr>
          <w:p w14:paraId="14DEC54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24.2%</w:t>
            </w:r>
          </w:p>
        </w:tc>
      </w:tr>
      <w:tr w:rsidR="00D74908" w:rsidRPr="003D2A76" w14:paraId="354C773A" w14:textId="77777777" w:rsidTr="00D50A3D">
        <w:tc>
          <w:tcPr>
            <w:tcW w:w="0" w:type="auto"/>
            <w:vAlign w:val="center"/>
            <w:hideMark/>
          </w:tcPr>
          <w:p w14:paraId="1B098D08"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5874309D"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7C79E686" w14:textId="77777777" w:rsidR="00D74908" w:rsidRPr="003D2A76" w:rsidRDefault="00D74908" w:rsidP="00D74908">
            <w:pPr>
              <w:bidi w:val="0"/>
              <w:spacing w:line="240" w:lineRule="auto"/>
              <w:rPr>
                <w:rFonts w:asciiTheme="majorBidi" w:hAnsiTheme="majorBidi" w:cstheme="majorBidi"/>
                <w:iCs/>
                <w:lang w:val="en-GB"/>
              </w:rPr>
            </w:pPr>
          </w:p>
        </w:tc>
        <w:tc>
          <w:tcPr>
            <w:tcW w:w="0" w:type="auto"/>
            <w:vAlign w:val="center"/>
            <w:hideMark/>
          </w:tcPr>
          <w:p w14:paraId="6B8DADAB" w14:textId="77777777" w:rsidR="00D74908" w:rsidRPr="003D2A76" w:rsidRDefault="00D74908" w:rsidP="00D74908">
            <w:pPr>
              <w:bidi w:val="0"/>
              <w:spacing w:line="240" w:lineRule="auto"/>
              <w:rPr>
                <w:rFonts w:asciiTheme="majorBidi" w:hAnsiTheme="majorBidi" w:cstheme="majorBidi"/>
                <w:iCs/>
                <w:lang w:val="en-GB"/>
              </w:rPr>
            </w:pPr>
          </w:p>
        </w:tc>
      </w:tr>
      <w:tr w:rsidR="00D74908" w:rsidRPr="003D2A76" w14:paraId="031CC0D6" w14:textId="77777777" w:rsidTr="00D50A3D">
        <w:tc>
          <w:tcPr>
            <w:tcW w:w="0" w:type="auto"/>
            <w:vMerge w:val="restart"/>
            <w:vAlign w:val="center"/>
            <w:hideMark/>
          </w:tcPr>
          <w:p w14:paraId="5186BA8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Monthly Household Income (SAR)</w:t>
            </w:r>
          </w:p>
        </w:tc>
        <w:tc>
          <w:tcPr>
            <w:tcW w:w="0" w:type="auto"/>
            <w:hideMark/>
          </w:tcPr>
          <w:p w14:paraId="38AE60FA"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Less than 15,000</w:t>
            </w:r>
          </w:p>
        </w:tc>
        <w:tc>
          <w:tcPr>
            <w:tcW w:w="0" w:type="auto"/>
            <w:vAlign w:val="center"/>
            <w:hideMark/>
          </w:tcPr>
          <w:p w14:paraId="14CB167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67</w:t>
            </w:r>
          </w:p>
        </w:tc>
        <w:tc>
          <w:tcPr>
            <w:tcW w:w="0" w:type="auto"/>
            <w:vAlign w:val="center"/>
            <w:hideMark/>
          </w:tcPr>
          <w:p w14:paraId="4E28825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16.4%</w:t>
            </w:r>
          </w:p>
        </w:tc>
      </w:tr>
      <w:tr w:rsidR="00D74908" w:rsidRPr="003D2A76" w14:paraId="3E846EDC" w14:textId="77777777" w:rsidTr="00D50A3D">
        <w:tc>
          <w:tcPr>
            <w:tcW w:w="0" w:type="auto"/>
            <w:vMerge/>
            <w:vAlign w:val="center"/>
            <w:hideMark/>
          </w:tcPr>
          <w:p w14:paraId="011E8FF0"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0C849487" w14:textId="7A2BA168"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15,000</w:t>
            </w:r>
            <w:r w:rsidR="00712270" w:rsidRPr="003D2A76">
              <w:rPr>
                <w:rFonts w:asciiTheme="majorBidi" w:hAnsiTheme="majorBidi" w:cstheme="majorBidi"/>
                <w:iCs/>
                <w:lang w:val="en-GB"/>
              </w:rPr>
              <w:t>–</w:t>
            </w:r>
            <w:r w:rsidRPr="003D2A76">
              <w:rPr>
                <w:rFonts w:asciiTheme="majorBidi" w:hAnsiTheme="majorBidi" w:cstheme="majorBidi"/>
                <w:iCs/>
                <w:lang w:val="en-GB"/>
              </w:rPr>
              <w:t>24,999</w:t>
            </w:r>
          </w:p>
        </w:tc>
        <w:tc>
          <w:tcPr>
            <w:tcW w:w="0" w:type="auto"/>
            <w:vAlign w:val="center"/>
            <w:hideMark/>
          </w:tcPr>
          <w:p w14:paraId="5542BB3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98</w:t>
            </w:r>
          </w:p>
        </w:tc>
        <w:tc>
          <w:tcPr>
            <w:tcW w:w="0" w:type="auto"/>
            <w:vAlign w:val="center"/>
            <w:hideMark/>
          </w:tcPr>
          <w:p w14:paraId="7C14A17F"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24.0%</w:t>
            </w:r>
          </w:p>
        </w:tc>
      </w:tr>
      <w:tr w:rsidR="00D74908" w:rsidRPr="003D2A76" w14:paraId="53708DC4" w14:textId="77777777" w:rsidTr="00D50A3D">
        <w:tc>
          <w:tcPr>
            <w:tcW w:w="0" w:type="auto"/>
            <w:vMerge/>
            <w:vAlign w:val="center"/>
            <w:hideMark/>
          </w:tcPr>
          <w:p w14:paraId="799DD326"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36BA41DB" w14:textId="76DC1A66"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25,000</w:t>
            </w:r>
            <w:r w:rsidR="00712270" w:rsidRPr="003D2A76">
              <w:rPr>
                <w:rFonts w:asciiTheme="majorBidi" w:hAnsiTheme="majorBidi" w:cstheme="majorBidi"/>
                <w:iCs/>
                <w:lang w:val="en-GB"/>
              </w:rPr>
              <w:t>–</w:t>
            </w:r>
            <w:r w:rsidRPr="003D2A76">
              <w:rPr>
                <w:rFonts w:asciiTheme="majorBidi" w:hAnsiTheme="majorBidi" w:cstheme="majorBidi"/>
                <w:iCs/>
                <w:lang w:val="en-GB"/>
              </w:rPr>
              <w:t>34,999</w:t>
            </w:r>
          </w:p>
        </w:tc>
        <w:tc>
          <w:tcPr>
            <w:tcW w:w="0" w:type="auto"/>
            <w:vAlign w:val="center"/>
            <w:hideMark/>
          </w:tcPr>
          <w:p w14:paraId="227D3B8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112</w:t>
            </w:r>
          </w:p>
        </w:tc>
        <w:tc>
          <w:tcPr>
            <w:tcW w:w="0" w:type="auto"/>
            <w:vAlign w:val="center"/>
            <w:hideMark/>
          </w:tcPr>
          <w:p w14:paraId="3960D8F9"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27.4%</w:t>
            </w:r>
          </w:p>
        </w:tc>
      </w:tr>
      <w:tr w:rsidR="00D74908" w:rsidRPr="003D2A76" w14:paraId="720668FF" w14:textId="77777777" w:rsidTr="00D50A3D">
        <w:tc>
          <w:tcPr>
            <w:tcW w:w="0" w:type="auto"/>
            <w:vMerge/>
            <w:vAlign w:val="center"/>
            <w:hideMark/>
          </w:tcPr>
          <w:p w14:paraId="1FFB72B8"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0C6CC082" w14:textId="74EDB290"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35,000</w:t>
            </w:r>
            <w:r w:rsidR="00712270" w:rsidRPr="003D2A76">
              <w:rPr>
                <w:rFonts w:asciiTheme="majorBidi" w:hAnsiTheme="majorBidi" w:cstheme="majorBidi"/>
                <w:iCs/>
                <w:lang w:val="en-GB"/>
              </w:rPr>
              <w:t>–</w:t>
            </w:r>
            <w:r w:rsidRPr="003D2A76">
              <w:rPr>
                <w:rFonts w:asciiTheme="majorBidi" w:hAnsiTheme="majorBidi" w:cstheme="majorBidi"/>
                <w:iCs/>
                <w:lang w:val="en-GB"/>
              </w:rPr>
              <w:t>49,999</w:t>
            </w:r>
          </w:p>
        </w:tc>
        <w:tc>
          <w:tcPr>
            <w:tcW w:w="0" w:type="auto"/>
            <w:vAlign w:val="center"/>
            <w:hideMark/>
          </w:tcPr>
          <w:p w14:paraId="4321EF87"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76</w:t>
            </w:r>
          </w:p>
        </w:tc>
        <w:tc>
          <w:tcPr>
            <w:tcW w:w="0" w:type="auto"/>
            <w:vAlign w:val="center"/>
            <w:hideMark/>
          </w:tcPr>
          <w:p w14:paraId="07EEDFA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18.6%</w:t>
            </w:r>
          </w:p>
        </w:tc>
      </w:tr>
      <w:tr w:rsidR="00D74908" w:rsidRPr="003D2A76" w14:paraId="2DA4565E" w14:textId="77777777" w:rsidTr="00D50A3D">
        <w:tc>
          <w:tcPr>
            <w:tcW w:w="0" w:type="auto"/>
            <w:vMerge/>
            <w:vAlign w:val="center"/>
            <w:hideMark/>
          </w:tcPr>
          <w:p w14:paraId="7AF6F758"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6F7BDCC8"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50,000+</w:t>
            </w:r>
          </w:p>
        </w:tc>
        <w:tc>
          <w:tcPr>
            <w:tcW w:w="0" w:type="auto"/>
            <w:vAlign w:val="center"/>
            <w:hideMark/>
          </w:tcPr>
          <w:p w14:paraId="7DD1E18F"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56</w:t>
            </w:r>
          </w:p>
        </w:tc>
        <w:tc>
          <w:tcPr>
            <w:tcW w:w="0" w:type="auto"/>
            <w:vAlign w:val="center"/>
            <w:hideMark/>
          </w:tcPr>
          <w:p w14:paraId="77C7235B"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13.7%</w:t>
            </w:r>
          </w:p>
        </w:tc>
      </w:tr>
      <w:tr w:rsidR="00D74908" w:rsidRPr="003D2A76" w14:paraId="7F31F943" w14:textId="77777777" w:rsidTr="00D50A3D">
        <w:tc>
          <w:tcPr>
            <w:tcW w:w="0" w:type="auto"/>
            <w:vMerge w:val="restart"/>
            <w:vAlign w:val="center"/>
            <w:hideMark/>
          </w:tcPr>
          <w:p w14:paraId="149214D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Annual School Fees (SAR)</w:t>
            </w:r>
          </w:p>
        </w:tc>
        <w:tc>
          <w:tcPr>
            <w:tcW w:w="0" w:type="auto"/>
            <w:hideMark/>
          </w:tcPr>
          <w:p w14:paraId="43354009"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Less than 25,000</w:t>
            </w:r>
          </w:p>
        </w:tc>
        <w:tc>
          <w:tcPr>
            <w:tcW w:w="0" w:type="auto"/>
            <w:vAlign w:val="center"/>
            <w:hideMark/>
          </w:tcPr>
          <w:p w14:paraId="6CE6764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89</w:t>
            </w:r>
          </w:p>
        </w:tc>
        <w:tc>
          <w:tcPr>
            <w:tcW w:w="0" w:type="auto"/>
            <w:vAlign w:val="center"/>
            <w:hideMark/>
          </w:tcPr>
          <w:p w14:paraId="60538569"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21.8%</w:t>
            </w:r>
          </w:p>
        </w:tc>
      </w:tr>
      <w:tr w:rsidR="00D74908" w:rsidRPr="003D2A76" w14:paraId="478841E1" w14:textId="77777777" w:rsidTr="00D50A3D">
        <w:tc>
          <w:tcPr>
            <w:tcW w:w="0" w:type="auto"/>
            <w:vMerge/>
            <w:vAlign w:val="center"/>
            <w:hideMark/>
          </w:tcPr>
          <w:p w14:paraId="3B3483AA"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68ABE234" w14:textId="5DE833B9"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25,000</w:t>
            </w:r>
            <w:r w:rsidR="00712270" w:rsidRPr="003D2A76">
              <w:rPr>
                <w:rFonts w:asciiTheme="majorBidi" w:hAnsiTheme="majorBidi" w:cstheme="majorBidi"/>
                <w:iCs/>
                <w:lang w:val="en-GB"/>
              </w:rPr>
              <w:t>–</w:t>
            </w:r>
            <w:r w:rsidRPr="003D2A76">
              <w:rPr>
                <w:rFonts w:asciiTheme="majorBidi" w:hAnsiTheme="majorBidi" w:cstheme="majorBidi"/>
                <w:iCs/>
                <w:lang w:val="en-GB"/>
              </w:rPr>
              <w:t>35,000</w:t>
            </w:r>
          </w:p>
        </w:tc>
        <w:tc>
          <w:tcPr>
            <w:tcW w:w="0" w:type="auto"/>
            <w:vAlign w:val="center"/>
            <w:hideMark/>
          </w:tcPr>
          <w:p w14:paraId="2511CFB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134</w:t>
            </w:r>
          </w:p>
        </w:tc>
        <w:tc>
          <w:tcPr>
            <w:tcW w:w="0" w:type="auto"/>
            <w:vAlign w:val="center"/>
            <w:hideMark/>
          </w:tcPr>
          <w:p w14:paraId="375B604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32.8%</w:t>
            </w:r>
          </w:p>
        </w:tc>
      </w:tr>
      <w:tr w:rsidR="00D74908" w:rsidRPr="003D2A76" w14:paraId="3DA6DD4A" w14:textId="77777777" w:rsidTr="00D50A3D">
        <w:tc>
          <w:tcPr>
            <w:tcW w:w="0" w:type="auto"/>
            <w:vMerge/>
            <w:vAlign w:val="center"/>
            <w:hideMark/>
          </w:tcPr>
          <w:p w14:paraId="51542B48"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250D3B21" w14:textId="30153253"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35,001</w:t>
            </w:r>
            <w:r w:rsidR="00712270" w:rsidRPr="003D2A76">
              <w:rPr>
                <w:rFonts w:asciiTheme="majorBidi" w:hAnsiTheme="majorBidi" w:cstheme="majorBidi"/>
                <w:iCs/>
                <w:lang w:val="en-GB"/>
              </w:rPr>
              <w:t>–</w:t>
            </w:r>
            <w:r w:rsidRPr="003D2A76">
              <w:rPr>
                <w:rFonts w:asciiTheme="majorBidi" w:hAnsiTheme="majorBidi" w:cstheme="majorBidi"/>
                <w:iCs/>
                <w:lang w:val="en-GB"/>
              </w:rPr>
              <w:t>50,000</w:t>
            </w:r>
          </w:p>
        </w:tc>
        <w:tc>
          <w:tcPr>
            <w:tcW w:w="0" w:type="auto"/>
            <w:vAlign w:val="center"/>
            <w:hideMark/>
          </w:tcPr>
          <w:p w14:paraId="07A22FE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112</w:t>
            </w:r>
          </w:p>
        </w:tc>
        <w:tc>
          <w:tcPr>
            <w:tcW w:w="0" w:type="auto"/>
            <w:vAlign w:val="center"/>
            <w:hideMark/>
          </w:tcPr>
          <w:p w14:paraId="7413FB91"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27.4%</w:t>
            </w:r>
          </w:p>
        </w:tc>
      </w:tr>
      <w:tr w:rsidR="00D74908" w:rsidRPr="003D2A76" w14:paraId="20198544" w14:textId="77777777" w:rsidTr="00D50A3D">
        <w:tc>
          <w:tcPr>
            <w:tcW w:w="0" w:type="auto"/>
            <w:vMerge/>
            <w:vAlign w:val="center"/>
            <w:hideMark/>
          </w:tcPr>
          <w:p w14:paraId="45844436"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7E39ADC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More than 50,000</w:t>
            </w:r>
          </w:p>
        </w:tc>
        <w:tc>
          <w:tcPr>
            <w:tcW w:w="0" w:type="auto"/>
            <w:vAlign w:val="center"/>
            <w:hideMark/>
          </w:tcPr>
          <w:p w14:paraId="05CC5CD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74</w:t>
            </w:r>
          </w:p>
        </w:tc>
        <w:tc>
          <w:tcPr>
            <w:tcW w:w="0" w:type="auto"/>
            <w:vAlign w:val="center"/>
            <w:hideMark/>
          </w:tcPr>
          <w:p w14:paraId="0C11C0A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18.1%</w:t>
            </w:r>
          </w:p>
        </w:tc>
      </w:tr>
      <w:tr w:rsidR="00D74908" w:rsidRPr="003D2A76" w14:paraId="2FEFEEB9" w14:textId="77777777" w:rsidTr="00D50A3D">
        <w:tc>
          <w:tcPr>
            <w:tcW w:w="0" w:type="auto"/>
            <w:vMerge w:val="restart"/>
            <w:vAlign w:val="center"/>
            <w:hideMark/>
          </w:tcPr>
          <w:p w14:paraId="0E1A4212"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Nationality</w:t>
            </w:r>
          </w:p>
        </w:tc>
        <w:tc>
          <w:tcPr>
            <w:tcW w:w="0" w:type="auto"/>
            <w:hideMark/>
          </w:tcPr>
          <w:p w14:paraId="2065612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Saudi</w:t>
            </w:r>
          </w:p>
        </w:tc>
        <w:tc>
          <w:tcPr>
            <w:tcW w:w="0" w:type="auto"/>
            <w:vAlign w:val="center"/>
            <w:hideMark/>
          </w:tcPr>
          <w:p w14:paraId="6C4C692F"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287</w:t>
            </w:r>
          </w:p>
        </w:tc>
        <w:tc>
          <w:tcPr>
            <w:tcW w:w="0" w:type="auto"/>
            <w:vAlign w:val="center"/>
            <w:hideMark/>
          </w:tcPr>
          <w:p w14:paraId="4A6C186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70.2%</w:t>
            </w:r>
          </w:p>
        </w:tc>
      </w:tr>
      <w:tr w:rsidR="00D74908" w:rsidRPr="003D2A76" w14:paraId="21A4FDFC" w14:textId="77777777" w:rsidTr="00D50A3D">
        <w:tc>
          <w:tcPr>
            <w:tcW w:w="0" w:type="auto"/>
            <w:vMerge/>
            <w:hideMark/>
          </w:tcPr>
          <w:p w14:paraId="22A5EC80"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526EB44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Non-Saudi Arab</w:t>
            </w:r>
          </w:p>
        </w:tc>
        <w:tc>
          <w:tcPr>
            <w:tcW w:w="0" w:type="auto"/>
            <w:vAlign w:val="center"/>
            <w:hideMark/>
          </w:tcPr>
          <w:p w14:paraId="7C07EAF3"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67</w:t>
            </w:r>
          </w:p>
        </w:tc>
        <w:tc>
          <w:tcPr>
            <w:tcW w:w="0" w:type="auto"/>
            <w:vAlign w:val="center"/>
            <w:hideMark/>
          </w:tcPr>
          <w:p w14:paraId="56CD6B9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16.4%</w:t>
            </w:r>
          </w:p>
        </w:tc>
      </w:tr>
      <w:tr w:rsidR="00D74908" w:rsidRPr="003D2A76" w14:paraId="715AD14F" w14:textId="77777777" w:rsidTr="00D50A3D">
        <w:tc>
          <w:tcPr>
            <w:tcW w:w="0" w:type="auto"/>
            <w:vMerge/>
            <w:hideMark/>
          </w:tcPr>
          <w:p w14:paraId="51B071A1"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7904197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Western</w:t>
            </w:r>
          </w:p>
        </w:tc>
        <w:tc>
          <w:tcPr>
            <w:tcW w:w="0" w:type="auto"/>
            <w:vAlign w:val="center"/>
            <w:hideMark/>
          </w:tcPr>
          <w:p w14:paraId="2D5193E4"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23</w:t>
            </w:r>
          </w:p>
        </w:tc>
        <w:tc>
          <w:tcPr>
            <w:tcW w:w="0" w:type="auto"/>
            <w:vAlign w:val="center"/>
            <w:hideMark/>
          </w:tcPr>
          <w:p w14:paraId="2DA36B5E"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5.6%</w:t>
            </w:r>
          </w:p>
        </w:tc>
      </w:tr>
      <w:tr w:rsidR="00D74908" w:rsidRPr="003D2A76" w14:paraId="3313CB88" w14:textId="77777777" w:rsidTr="00D50A3D">
        <w:tc>
          <w:tcPr>
            <w:tcW w:w="0" w:type="auto"/>
            <w:vMerge/>
            <w:hideMark/>
          </w:tcPr>
          <w:p w14:paraId="441CAD93"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1B3BAD3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Asian</w:t>
            </w:r>
          </w:p>
        </w:tc>
        <w:tc>
          <w:tcPr>
            <w:tcW w:w="0" w:type="auto"/>
            <w:vAlign w:val="center"/>
            <w:hideMark/>
          </w:tcPr>
          <w:p w14:paraId="5B7084B2"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25</w:t>
            </w:r>
          </w:p>
        </w:tc>
        <w:tc>
          <w:tcPr>
            <w:tcW w:w="0" w:type="auto"/>
            <w:vAlign w:val="center"/>
            <w:hideMark/>
          </w:tcPr>
          <w:p w14:paraId="069F9495"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6.1%</w:t>
            </w:r>
          </w:p>
        </w:tc>
      </w:tr>
      <w:tr w:rsidR="00D74908" w:rsidRPr="003D2A76" w14:paraId="26290499" w14:textId="77777777" w:rsidTr="00D50A3D">
        <w:tc>
          <w:tcPr>
            <w:tcW w:w="0" w:type="auto"/>
            <w:vMerge/>
            <w:hideMark/>
          </w:tcPr>
          <w:p w14:paraId="1973EB1D" w14:textId="77777777" w:rsidR="00D74908" w:rsidRPr="003D2A76" w:rsidRDefault="00D74908" w:rsidP="00D74908">
            <w:pPr>
              <w:bidi w:val="0"/>
              <w:spacing w:line="240" w:lineRule="auto"/>
              <w:rPr>
                <w:rFonts w:asciiTheme="majorBidi" w:hAnsiTheme="majorBidi" w:cstheme="majorBidi"/>
                <w:iCs/>
                <w:lang w:val="en-GB"/>
              </w:rPr>
            </w:pPr>
          </w:p>
        </w:tc>
        <w:tc>
          <w:tcPr>
            <w:tcW w:w="0" w:type="auto"/>
            <w:hideMark/>
          </w:tcPr>
          <w:p w14:paraId="0F0F6EB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African</w:t>
            </w:r>
          </w:p>
        </w:tc>
        <w:tc>
          <w:tcPr>
            <w:tcW w:w="0" w:type="auto"/>
            <w:vAlign w:val="center"/>
            <w:hideMark/>
          </w:tcPr>
          <w:p w14:paraId="5E15FD6C"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7</w:t>
            </w:r>
          </w:p>
        </w:tc>
        <w:tc>
          <w:tcPr>
            <w:tcW w:w="0" w:type="auto"/>
            <w:vAlign w:val="center"/>
            <w:hideMark/>
          </w:tcPr>
          <w:p w14:paraId="0CA80DE0" w14:textId="77777777" w:rsidR="00D74908" w:rsidRPr="003D2A76" w:rsidRDefault="00D74908" w:rsidP="00D74908">
            <w:pPr>
              <w:bidi w:val="0"/>
              <w:spacing w:line="240" w:lineRule="auto"/>
              <w:rPr>
                <w:rFonts w:asciiTheme="majorBidi" w:hAnsiTheme="majorBidi" w:cstheme="majorBidi"/>
                <w:iCs/>
                <w:lang w:val="en-GB"/>
              </w:rPr>
            </w:pPr>
            <w:r w:rsidRPr="003D2A76">
              <w:rPr>
                <w:rFonts w:asciiTheme="majorBidi" w:hAnsiTheme="majorBidi" w:cstheme="majorBidi"/>
                <w:iCs/>
                <w:lang w:val="en-GB"/>
              </w:rPr>
              <w:t>1.7%</w:t>
            </w:r>
          </w:p>
        </w:tc>
      </w:tr>
    </w:tbl>
    <w:p w14:paraId="1F9AE573" w14:textId="35318F38" w:rsidR="0049752D" w:rsidRPr="003D2A76" w:rsidRDefault="0049752D" w:rsidP="0049752D">
      <w:pPr>
        <w:bidi w:val="0"/>
        <w:rPr>
          <w:b/>
          <w:bCs/>
          <w:lang w:val="en-GB"/>
        </w:rPr>
      </w:pPr>
      <w:bookmarkStart w:id="44" w:name="_Toc216904158"/>
      <w:bookmarkStart w:id="45" w:name="_Toc228056579"/>
      <w:r w:rsidRPr="003D2A76">
        <w:rPr>
          <w:lang w:val="en-GB"/>
        </w:rPr>
        <w:t>The cross-tabulation of type of respondents with gender was interesting</w:t>
      </w:r>
      <w:r w:rsidR="00744AA0">
        <w:rPr>
          <w:lang w:val="en-GB"/>
        </w:rPr>
        <w:t>,</w:t>
      </w:r>
      <w:r w:rsidRPr="003D2A76">
        <w:rPr>
          <w:lang w:val="en-GB"/>
        </w:rPr>
        <w:t xml:space="preserve"> with female students constituting 27.4% of the total sample and male students 22.7%. Males were found among parents, which stood at 25.7%</w:t>
      </w:r>
      <w:r w:rsidR="001C5933">
        <w:rPr>
          <w:lang w:val="en-GB"/>
        </w:rPr>
        <w:t>;</w:t>
      </w:r>
      <w:r w:rsidRPr="003D2A76">
        <w:rPr>
          <w:lang w:val="en-GB"/>
        </w:rPr>
        <w:t xml:space="preserve"> females were 24.2%. These distributions imply similar gender distribution in each category of respondents, which is used to make analytical comparisons in both dimensions.</w:t>
      </w:r>
    </w:p>
    <w:p w14:paraId="14613875" w14:textId="5599E987" w:rsidR="0049752D" w:rsidRPr="003D2A76" w:rsidRDefault="0049752D" w:rsidP="0049752D">
      <w:pPr>
        <w:bidi w:val="0"/>
        <w:rPr>
          <w:b/>
          <w:bCs/>
          <w:lang w:val="en-GB"/>
        </w:rPr>
      </w:pPr>
      <w:bookmarkStart w:id="46" w:name="_Toc216904025"/>
      <w:r w:rsidRPr="003D2A76">
        <w:rPr>
          <w:b/>
          <w:bCs/>
          <w:noProof/>
          <w:lang w:val="en-GB"/>
        </w:rPr>
        <w:lastRenderedPageBreak/>
        <w:drawing>
          <wp:anchor distT="0" distB="0" distL="114300" distR="114300" simplePos="0" relativeHeight="251671552" behindDoc="0" locked="0" layoutInCell="1" allowOverlap="1" wp14:anchorId="1CC4650F" wp14:editId="3565B72F">
            <wp:simplePos x="0" y="0"/>
            <wp:positionH relativeFrom="margin">
              <wp:align>left</wp:align>
            </wp:positionH>
            <wp:positionV relativeFrom="paragraph">
              <wp:posOffset>2477770</wp:posOffset>
            </wp:positionV>
            <wp:extent cx="4510405" cy="3271520"/>
            <wp:effectExtent l="0" t="0" r="4445" b="5080"/>
            <wp:wrapTopAndBottom/>
            <wp:docPr id="102867602" name="صورة 2" descr="صورة تحتوي على نص, رسم بياني, لقطة شاشة, دائرة&#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7602" name="صورة 2" descr="صورة تحتوي على نص, رسم بياني, لقطة شاشة, دائرة&#10;&#10;قد يكون المحتوى الذي تم إنشاؤه بواسطة الذكاء الاصطناعي غير صحيح."/>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037"/>
                    <a:stretch>
                      <a:fillRect/>
                    </a:stretch>
                  </pic:blipFill>
                  <pic:spPr bwMode="auto">
                    <a:xfrm>
                      <a:off x="0" y="0"/>
                      <a:ext cx="4510405" cy="3271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2A76">
        <w:rPr>
          <w:b/>
          <w:bCs/>
          <w:noProof/>
          <w:lang w:val="en-GB"/>
        </w:rPr>
        <w:drawing>
          <wp:anchor distT="0" distB="0" distL="114300" distR="114300" simplePos="0" relativeHeight="251670528" behindDoc="0" locked="0" layoutInCell="1" allowOverlap="1" wp14:anchorId="1A314B89" wp14:editId="702B88DB">
            <wp:simplePos x="0" y="0"/>
            <wp:positionH relativeFrom="margin">
              <wp:align>left</wp:align>
            </wp:positionH>
            <wp:positionV relativeFrom="paragraph">
              <wp:posOffset>60960</wp:posOffset>
            </wp:positionV>
            <wp:extent cx="4867275" cy="2124710"/>
            <wp:effectExtent l="0" t="0" r="9525" b="8890"/>
            <wp:wrapTopAndBottom/>
            <wp:docPr id="262637353" name="صورة 1" descr="صورة تحتوي على نص, لقطة شاشة, رسم بياني, مستطيل&#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37353" name="صورة 1" descr="صورة تحتوي على نص, لقطة شاشة, رسم بياني, مستطيل&#10;&#10;قد يكون المحتوى الذي تم إنشاؤه بواسطة الذكاء الاصطناعي غير صحيح."/>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3093"/>
                    <a:stretch>
                      <a:fillRect/>
                    </a:stretch>
                  </pic:blipFill>
                  <pic:spPr bwMode="auto">
                    <a:xfrm>
                      <a:off x="0" y="0"/>
                      <a:ext cx="4892967" cy="21357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2A76">
        <w:rPr>
          <w:b/>
          <w:bCs/>
          <w:lang w:val="en-GB"/>
        </w:rPr>
        <w:t>Figure</w:t>
      </w:r>
      <w:r w:rsidR="00712270" w:rsidRPr="003D2A76">
        <w:rPr>
          <w:b/>
          <w:bCs/>
          <w:lang w:val="en-GB"/>
        </w:rPr>
        <w:t xml:space="preserve"> </w:t>
      </w:r>
      <w:r w:rsidR="00FA682D">
        <w:rPr>
          <w:b/>
          <w:bCs/>
          <w:lang w:val="en-GB"/>
        </w:rPr>
        <w:t>2</w:t>
      </w:r>
      <w:r w:rsidRPr="003D2A76">
        <w:rPr>
          <w:b/>
          <w:bCs/>
          <w:lang w:val="en-GB"/>
        </w:rPr>
        <w:t>: Distribution of Respondents by Category</w:t>
      </w:r>
      <w:bookmarkEnd w:id="46"/>
    </w:p>
    <w:p w14:paraId="70BFA583" w14:textId="10CDB953" w:rsidR="0049752D" w:rsidRPr="003D2A76" w:rsidRDefault="0049752D" w:rsidP="0049752D">
      <w:pPr>
        <w:bidi w:val="0"/>
        <w:rPr>
          <w:b/>
          <w:bCs/>
          <w:lang w:val="en-GB"/>
        </w:rPr>
      </w:pPr>
      <w:bookmarkStart w:id="47" w:name="_Toc216904026"/>
      <w:r w:rsidRPr="003D2A76">
        <w:rPr>
          <w:b/>
          <w:bCs/>
          <w:lang w:val="en-GB"/>
        </w:rPr>
        <w:t>Figure</w:t>
      </w:r>
      <w:r w:rsidR="00712270" w:rsidRPr="003D2A76">
        <w:rPr>
          <w:b/>
          <w:bCs/>
          <w:lang w:val="en-GB"/>
        </w:rPr>
        <w:t xml:space="preserve"> </w:t>
      </w:r>
      <w:r w:rsidR="00FA682D">
        <w:rPr>
          <w:b/>
          <w:bCs/>
          <w:lang w:val="en-GB"/>
        </w:rPr>
        <w:t>3</w:t>
      </w:r>
      <w:r w:rsidRPr="003D2A76">
        <w:rPr>
          <w:b/>
          <w:bCs/>
          <w:lang w:val="en-GB"/>
        </w:rPr>
        <w:t xml:space="preserve">: </w:t>
      </w:r>
      <w:bookmarkStart w:id="48" w:name="_Hlk232587195"/>
      <w:r w:rsidRPr="003D2A76">
        <w:rPr>
          <w:b/>
          <w:bCs/>
          <w:lang w:val="en-GB"/>
        </w:rPr>
        <w:t xml:space="preserve">Gender Distribution </w:t>
      </w:r>
      <w:bookmarkEnd w:id="48"/>
      <w:r w:rsidRPr="003D2A76">
        <w:rPr>
          <w:b/>
          <w:bCs/>
          <w:lang w:val="en-GB"/>
        </w:rPr>
        <w:t>N=409</w:t>
      </w:r>
      <w:bookmarkEnd w:id="47"/>
    </w:p>
    <w:p w14:paraId="033D7799" w14:textId="55CA3D14" w:rsidR="0049752D" w:rsidRPr="009B03B2" w:rsidRDefault="009752B0" w:rsidP="0049752D">
      <w:pPr>
        <w:bidi w:val="0"/>
        <w:rPr>
          <w:b/>
          <w:bCs/>
          <w:i/>
          <w:iCs/>
          <w:lang w:val="en-GB"/>
        </w:rPr>
      </w:pPr>
      <w:bookmarkStart w:id="49" w:name="_Toc216904153"/>
      <w:r w:rsidRPr="009B03B2">
        <w:rPr>
          <w:b/>
          <w:bCs/>
          <w:i/>
          <w:iCs/>
          <w:lang w:val="en-GB"/>
        </w:rPr>
        <w:t xml:space="preserve">4.3.2 </w:t>
      </w:r>
      <w:r w:rsidR="0049752D" w:rsidRPr="009B03B2">
        <w:rPr>
          <w:b/>
          <w:bCs/>
          <w:i/>
          <w:iCs/>
          <w:lang w:val="en-GB"/>
        </w:rPr>
        <w:t>Age Distribution</w:t>
      </w:r>
      <w:bookmarkEnd w:id="49"/>
    </w:p>
    <w:p w14:paraId="6821D65C" w14:textId="4EC6DC4C" w:rsidR="0049752D" w:rsidRPr="003D2A76" w:rsidRDefault="0049752D" w:rsidP="0049752D">
      <w:pPr>
        <w:bidi w:val="0"/>
        <w:rPr>
          <w:lang w:val="en-GB"/>
        </w:rPr>
      </w:pPr>
      <w:r w:rsidRPr="003D2A76">
        <w:rPr>
          <w:lang w:val="en-GB"/>
        </w:rPr>
        <w:t>The age structure was an indicator of the different developmental levels and generational orientations in the sample. The biggest category consisted of respondents aged 16</w:t>
      </w:r>
      <w:r w:rsidR="00712270" w:rsidRPr="003D2A76">
        <w:rPr>
          <w:lang w:val="en-GB"/>
        </w:rPr>
        <w:t>–</w:t>
      </w:r>
      <w:r w:rsidRPr="003D2A76">
        <w:rPr>
          <w:lang w:val="en-GB"/>
        </w:rPr>
        <w:t xml:space="preserve">25 years (187 respondents, 45.7%) and was mostly </w:t>
      </w:r>
      <w:r w:rsidR="00712270" w:rsidRPr="003D2A76">
        <w:rPr>
          <w:lang w:val="en-GB"/>
        </w:rPr>
        <w:t>represented by</w:t>
      </w:r>
      <w:r w:rsidRPr="003D2A76">
        <w:rPr>
          <w:lang w:val="en-GB"/>
        </w:rPr>
        <w:t xml:space="preserve"> the student body and parents of younger ages. A total of 89 respondents (21.8) fell in the 26</w:t>
      </w:r>
      <w:r w:rsidR="00712270" w:rsidRPr="003D2A76">
        <w:rPr>
          <w:lang w:val="en-GB"/>
        </w:rPr>
        <w:t>–</w:t>
      </w:r>
      <w:r w:rsidRPr="003D2A76">
        <w:rPr>
          <w:lang w:val="en-GB"/>
        </w:rPr>
        <w:t>35 years age group, and 76 respondents (18.6) were in the age group 36</w:t>
      </w:r>
      <w:r w:rsidR="00712270" w:rsidRPr="003D2A76">
        <w:rPr>
          <w:lang w:val="en-GB"/>
        </w:rPr>
        <w:t>–</w:t>
      </w:r>
      <w:r w:rsidRPr="003D2A76">
        <w:rPr>
          <w:lang w:val="en-GB"/>
        </w:rPr>
        <w:t xml:space="preserve">45. The </w:t>
      </w:r>
      <w:r w:rsidR="00712270" w:rsidRPr="003D2A76">
        <w:rPr>
          <w:lang w:val="en-GB"/>
        </w:rPr>
        <w:t xml:space="preserve">largest </w:t>
      </w:r>
      <w:r w:rsidRPr="003D2A76">
        <w:rPr>
          <w:lang w:val="en-GB"/>
        </w:rPr>
        <w:t xml:space="preserve">category was </w:t>
      </w:r>
      <w:r w:rsidRPr="003D2A76">
        <w:rPr>
          <w:lang w:val="en-GB"/>
        </w:rPr>
        <w:lastRenderedPageBreak/>
        <w:t xml:space="preserve">the oldest </w:t>
      </w:r>
      <w:r w:rsidR="00712270" w:rsidRPr="003D2A76">
        <w:rPr>
          <w:lang w:val="en-GB"/>
        </w:rPr>
        <w:t xml:space="preserve">men </w:t>
      </w:r>
      <w:r w:rsidRPr="003D2A76">
        <w:rPr>
          <w:lang w:val="en-GB"/>
        </w:rPr>
        <w:t>aged 46 years and above</w:t>
      </w:r>
      <w:r w:rsidR="00F667BD">
        <w:rPr>
          <w:lang w:val="en-GB"/>
        </w:rPr>
        <w:t>,</w:t>
      </w:r>
      <w:r w:rsidRPr="003D2A76">
        <w:rPr>
          <w:lang w:val="en-GB"/>
        </w:rPr>
        <w:t xml:space="preserve"> with 57 respondents (13.9%). This age distribution represents views across generational boundaries, especially where the studies on technology adoption are concerned</w:t>
      </w:r>
      <w:r w:rsidR="00712270" w:rsidRPr="003D2A76">
        <w:rPr>
          <w:lang w:val="en-GB"/>
        </w:rPr>
        <w:t>;</w:t>
      </w:r>
      <w:r w:rsidRPr="003D2A76">
        <w:rPr>
          <w:lang w:val="en-GB"/>
        </w:rPr>
        <w:t xml:space="preserve"> age is likely to affect technology acceptance and technology use patterns. The large share of respondents of </w:t>
      </w:r>
      <w:r w:rsidR="00712270" w:rsidRPr="003D2A76">
        <w:rPr>
          <w:lang w:val="en-GB"/>
        </w:rPr>
        <w:t xml:space="preserve">a </w:t>
      </w:r>
      <w:r w:rsidRPr="003D2A76">
        <w:rPr>
          <w:lang w:val="en-GB"/>
        </w:rPr>
        <w:t xml:space="preserve">younger age (67.5% aged below 35 years) represents the demographics of private schools around Jeddah since the vast majority of parents are young professionals who </w:t>
      </w:r>
      <w:r w:rsidR="00712270" w:rsidRPr="003D2A76">
        <w:rPr>
          <w:lang w:val="en-GB"/>
        </w:rPr>
        <w:t xml:space="preserve">want to </w:t>
      </w:r>
      <w:r w:rsidRPr="003D2A76">
        <w:rPr>
          <w:lang w:val="en-GB"/>
        </w:rPr>
        <w:t>get a high-quality education for their children.</w:t>
      </w:r>
    </w:p>
    <w:p w14:paraId="752986F3" w14:textId="77777777" w:rsidR="0049752D" w:rsidRPr="003D2A76" w:rsidRDefault="0049752D" w:rsidP="0049752D">
      <w:pPr>
        <w:bidi w:val="0"/>
        <w:rPr>
          <w:lang w:val="en-GB"/>
        </w:rPr>
      </w:pPr>
      <w:r w:rsidRPr="003D2A76">
        <w:rPr>
          <w:noProof/>
          <w:lang w:val="en-GB"/>
        </w:rPr>
        <w:drawing>
          <wp:inline distT="0" distB="0" distL="0" distR="0" wp14:anchorId="512E1B57" wp14:editId="70DBB417">
            <wp:extent cx="5943600" cy="2998470"/>
            <wp:effectExtent l="0" t="0" r="0" b="0"/>
            <wp:docPr id="217874023" name="صورة 3" descr="صورة تحتوي على نص, لقطة شاشة, رسم بياني, تخطيط&#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74023" name="صورة 3" descr="صورة تحتوي على نص, لقطة شاشة, رسم بياني, تخطيط&#10;&#10;قد يكون المحتوى الذي تم إنشاؤه بواسطة الذكاء الاصطناعي غير صحيح."/>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0873"/>
                    <a:stretch>
                      <a:fillRect/>
                    </a:stretch>
                  </pic:blipFill>
                  <pic:spPr bwMode="auto">
                    <a:xfrm>
                      <a:off x="0" y="0"/>
                      <a:ext cx="5943600" cy="2998470"/>
                    </a:xfrm>
                    <a:prstGeom prst="rect">
                      <a:avLst/>
                    </a:prstGeom>
                    <a:noFill/>
                    <a:ln>
                      <a:noFill/>
                    </a:ln>
                    <a:extLst>
                      <a:ext uri="{53640926-AAD7-44D8-BBD7-CCE9431645EC}">
                        <a14:shadowObscured xmlns:a14="http://schemas.microsoft.com/office/drawing/2010/main"/>
                      </a:ext>
                    </a:extLst>
                  </pic:spPr>
                </pic:pic>
              </a:graphicData>
            </a:graphic>
          </wp:inline>
        </w:drawing>
      </w:r>
    </w:p>
    <w:p w14:paraId="552B0EF6" w14:textId="47F8B125" w:rsidR="0049752D" w:rsidRPr="003D2A76" w:rsidRDefault="0049752D" w:rsidP="0049752D">
      <w:pPr>
        <w:bidi w:val="0"/>
        <w:rPr>
          <w:b/>
          <w:bCs/>
          <w:lang w:val="en-GB"/>
        </w:rPr>
      </w:pPr>
      <w:bookmarkStart w:id="50" w:name="_Toc216904027"/>
      <w:r w:rsidRPr="003D2A76">
        <w:rPr>
          <w:b/>
          <w:bCs/>
          <w:lang w:val="en-GB"/>
        </w:rPr>
        <w:t>Figure</w:t>
      </w:r>
      <w:r w:rsidR="00712270" w:rsidRPr="003D2A76">
        <w:rPr>
          <w:b/>
          <w:bCs/>
          <w:lang w:val="en-GB"/>
        </w:rPr>
        <w:t xml:space="preserve"> </w:t>
      </w:r>
      <w:r w:rsidR="00FA682D">
        <w:rPr>
          <w:b/>
          <w:bCs/>
          <w:lang w:val="en-GB"/>
        </w:rPr>
        <w:t>4</w:t>
      </w:r>
      <w:r w:rsidRPr="003D2A76">
        <w:rPr>
          <w:b/>
          <w:bCs/>
          <w:lang w:val="en-GB"/>
        </w:rPr>
        <w:t xml:space="preserve">: </w:t>
      </w:r>
      <w:bookmarkStart w:id="51" w:name="_Hlk232587287"/>
      <w:r w:rsidRPr="003D2A76">
        <w:rPr>
          <w:b/>
          <w:bCs/>
          <w:lang w:val="en-GB"/>
        </w:rPr>
        <w:t>Age Distribution</w:t>
      </w:r>
      <w:bookmarkEnd w:id="50"/>
      <w:bookmarkEnd w:id="51"/>
    </w:p>
    <w:p w14:paraId="6FE9E8C7" w14:textId="17EAFF69" w:rsidR="0049752D" w:rsidRPr="009B03B2" w:rsidRDefault="009B03B2" w:rsidP="0049752D">
      <w:pPr>
        <w:bidi w:val="0"/>
        <w:rPr>
          <w:b/>
          <w:bCs/>
          <w:i/>
          <w:iCs/>
          <w:lang w:val="en-GB"/>
        </w:rPr>
      </w:pPr>
      <w:bookmarkStart w:id="52" w:name="_Toc216904154"/>
      <w:r w:rsidRPr="009B03B2">
        <w:rPr>
          <w:b/>
          <w:bCs/>
          <w:i/>
          <w:iCs/>
          <w:lang w:val="en-GB"/>
        </w:rPr>
        <w:t xml:space="preserve">4.3.3 </w:t>
      </w:r>
      <w:r w:rsidR="0049752D" w:rsidRPr="009B03B2">
        <w:rPr>
          <w:b/>
          <w:bCs/>
          <w:i/>
          <w:iCs/>
          <w:lang w:val="en-GB"/>
        </w:rPr>
        <w:t>Educational Background</w:t>
      </w:r>
      <w:bookmarkEnd w:id="52"/>
    </w:p>
    <w:p w14:paraId="01B45C88" w14:textId="77777777" w:rsidR="007D0FAE" w:rsidRDefault="0049752D" w:rsidP="0049752D">
      <w:pPr>
        <w:bidi w:val="0"/>
        <w:rPr>
          <w:lang w:val="en-GB"/>
        </w:rPr>
      </w:pPr>
      <w:r w:rsidRPr="003D2A76">
        <w:rPr>
          <w:lang w:val="en-GB"/>
        </w:rPr>
        <w:t xml:space="preserve">The level of education in the sample was indicative of the high socioeconomic status that is related to attending a private school in Saudi Arabia. Besides, the respondents were well-educated, with most of them having bachelor's degrees (198 respondents, 48.4%). The sample was made up of 24.2 per cent of graduate degree holders (99 respondents) indicating a very educated population with high academic qualifications. The number of </w:t>
      </w:r>
    </w:p>
    <w:p w14:paraId="7B940C55" w14:textId="28FCB4E4" w:rsidR="0049752D" w:rsidRPr="003D2A76" w:rsidRDefault="0049752D" w:rsidP="007D0FAE">
      <w:pPr>
        <w:bidi w:val="0"/>
        <w:rPr>
          <w:lang w:val="en-GB"/>
        </w:rPr>
      </w:pPr>
      <w:r w:rsidRPr="003D2A76">
        <w:rPr>
          <w:lang w:val="en-GB"/>
        </w:rPr>
        <w:lastRenderedPageBreak/>
        <w:t xml:space="preserve">respondents with high school education or lower made up 27.4% of the sample (112 respondents), and mostly, they were current students who had not yet attained higher education. This educational distribution gives valuable background to the interpretation of patterns of technology adoption since the education level is often associated with technology literacy and acceptance of educational innovations. </w:t>
      </w:r>
    </w:p>
    <w:p w14:paraId="79AA0466" w14:textId="63435436" w:rsidR="0049752D" w:rsidRPr="003D2A76" w:rsidRDefault="0049752D" w:rsidP="0049752D">
      <w:pPr>
        <w:bidi w:val="0"/>
        <w:rPr>
          <w:lang w:val="en-GB"/>
        </w:rPr>
      </w:pPr>
      <w:r w:rsidRPr="003D2A76">
        <w:rPr>
          <w:lang w:val="en-GB"/>
        </w:rPr>
        <w:t>The high educational level of parent respondents (72.6% with bachelor</w:t>
      </w:r>
      <w:r w:rsidR="00712270" w:rsidRPr="003D2A76">
        <w:rPr>
          <w:lang w:val="en-GB"/>
        </w:rPr>
        <w:t>’</w:t>
      </w:r>
      <w:r w:rsidRPr="003D2A76">
        <w:rPr>
          <w:lang w:val="en-GB"/>
        </w:rPr>
        <w:t>s degrees or higher) can indicate informed consumers who can make a critical assessment of the quality of educational services and the effectiveness of the integration of technologies. This teaching profile upholds the soundness of the answers to such complicated constructs like the benefits of AI adoption and service quality dimensions.</w:t>
      </w:r>
    </w:p>
    <w:p w14:paraId="0A77B013" w14:textId="567DD3CB" w:rsidR="0049752D" w:rsidRPr="003D2A76" w:rsidRDefault="0049752D" w:rsidP="0049752D">
      <w:pPr>
        <w:bidi w:val="0"/>
        <w:rPr>
          <w:b/>
          <w:bCs/>
          <w:lang w:val="en-GB"/>
        </w:rPr>
      </w:pPr>
      <w:bookmarkStart w:id="53" w:name="_Toc216904028"/>
      <w:r w:rsidRPr="003D2A76">
        <w:rPr>
          <w:b/>
          <w:bCs/>
          <w:noProof/>
          <w:lang w:val="en-GB"/>
        </w:rPr>
        <w:drawing>
          <wp:anchor distT="0" distB="0" distL="114300" distR="114300" simplePos="0" relativeHeight="251669504" behindDoc="0" locked="0" layoutInCell="1" allowOverlap="1" wp14:anchorId="3798CE3E" wp14:editId="7C2CEBF9">
            <wp:simplePos x="0" y="0"/>
            <wp:positionH relativeFrom="margin">
              <wp:posOffset>-12192</wp:posOffset>
            </wp:positionH>
            <wp:positionV relativeFrom="paragraph">
              <wp:posOffset>6096</wp:posOffset>
            </wp:positionV>
            <wp:extent cx="5937250" cy="3005455"/>
            <wp:effectExtent l="0" t="0" r="6350" b="4445"/>
            <wp:wrapTopAndBottom/>
            <wp:docPr id="140516814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250" cy="3005455"/>
                    </a:xfrm>
                    <a:prstGeom prst="rect">
                      <a:avLst/>
                    </a:prstGeom>
                    <a:noFill/>
                  </pic:spPr>
                </pic:pic>
              </a:graphicData>
            </a:graphic>
            <wp14:sizeRelH relativeFrom="page">
              <wp14:pctWidth>0</wp14:pctWidth>
            </wp14:sizeRelH>
            <wp14:sizeRelV relativeFrom="page">
              <wp14:pctHeight>0</wp14:pctHeight>
            </wp14:sizeRelV>
          </wp:anchor>
        </w:drawing>
      </w:r>
      <w:r w:rsidRPr="003D2A76">
        <w:rPr>
          <w:b/>
          <w:bCs/>
          <w:lang w:val="en-GB"/>
        </w:rPr>
        <w:t xml:space="preserve">Figure </w:t>
      </w:r>
      <w:r w:rsidR="00FA682D">
        <w:rPr>
          <w:b/>
          <w:bCs/>
          <w:lang w:val="en-GB"/>
        </w:rPr>
        <w:t>5</w:t>
      </w:r>
      <w:r w:rsidRPr="003D2A76">
        <w:rPr>
          <w:b/>
          <w:bCs/>
          <w:lang w:val="en-GB"/>
        </w:rPr>
        <w:t xml:space="preserve">: </w:t>
      </w:r>
      <w:bookmarkStart w:id="54" w:name="_Hlk232587383"/>
      <w:r w:rsidRPr="003D2A76">
        <w:rPr>
          <w:b/>
          <w:bCs/>
          <w:lang w:val="en-GB"/>
        </w:rPr>
        <w:t>Educational Background Distribution</w:t>
      </w:r>
      <w:bookmarkEnd w:id="53"/>
      <w:bookmarkEnd w:id="54"/>
    </w:p>
    <w:p w14:paraId="2CAA757C" w14:textId="468DF54E" w:rsidR="0049752D" w:rsidRPr="009B03B2" w:rsidRDefault="009B03B2" w:rsidP="0049752D">
      <w:pPr>
        <w:bidi w:val="0"/>
        <w:rPr>
          <w:b/>
          <w:bCs/>
          <w:i/>
          <w:iCs/>
          <w:lang w:val="en-GB"/>
        </w:rPr>
      </w:pPr>
      <w:bookmarkStart w:id="55" w:name="_Toc216904155"/>
      <w:r w:rsidRPr="009B03B2">
        <w:rPr>
          <w:b/>
          <w:bCs/>
          <w:i/>
          <w:iCs/>
          <w:lang w:val="en-GB"/>
        </w:rPr>
        <w:t xml:space="preserve">4.3.4 </w:t>
      </w:r>
      <w:r w:rsidR="0049752D" w:rsidRPr="009B03B2">
        <w:rPr>
          <w:b/>
          <w:bCs/>
          <w:i/>
          <w:iCs/>
          <w:lang w:val="en-GB"/>
        </w:rPr>
        <w:t>Household Income Distribution</w:t>
      </w:r>
      <w:bookmarkEnd w:id="55"/>
    </w:p>
    <w:p w14:paraId="2269F2CF" w14:textId="3394768B" w:rsidR="0049752D" w:rsidRPr="003D2A76" w:rsidRDefault="0049752D" w:rsidP="0049752D">
      <w:pPr>
        <w:bidi w:val="0"/>
        <w:rPr>
          <w:lang w:val="en-GB"/>
        </w:rPr>
      </w:pPr>
      <w:r w:rsidRPr="003D2A76">
        <w:rPr>
          <w:lang w:val="en-GB"/>
        </w:rPr>
        <w:t>The monthly household income distribution showed that there was significant economic differentiation in the sample</w:t>
      </w:r>
      <w:r w:rsidR="00F667BD">
        <w:rPr>
          <w:lang w:val="en-GB"/>
        </w:rPr>
        <w:t>,</w:t>
      </w:r>
      <w:r w:rsidRPr="003D2A76">
        <w:rPr>
          <w:lang w:val="en-GB"/>
        </w:rPr>
        <w:t xml:space="preserve"> as payment of the fee at the private schools of Jeddah was different according to the different markets that the schools targeted. A significant portion </w:t>
      </w:r>
      <w:r w:rsidRPr="003D2A76">
        <w:rPr>
          <w:lang w:val="en-GB"/>
        </w:rPr>
        <w:lastRenderedPageBreak/>
        <w:t>of the earnings from the largest income range of 25, 000</w:t>
      </w:r>
      <w:r w:rsidR="00433023" w:rsidRPr="003D2A76">
        <w:rPr>
          <w:lang w:val="en-GB"/>
        </w:rPr>
        <w:t>–</w:t>
      </w:r>
      <w:r w:rsidRPr="003D2A76">
        <w:rPr>
          <w:lang w:val="en-GB"/>
        </w:rPr>
        <w:t>34,999 SAR per month (112 respondents, 27.4%), showed a middle</w:t>
      </w:r>
      <w:r w:rsidR="00433023" w:rsidRPr="003D2A76">
        <w:rPr>
          <w:lang w:val="en-GB"/>
        </w:rPr>
        <w:t>-</w:t>
      </w:r>
      <w:r w:rsidRPr="003D2A76">
        <w:rPr>
          <w:lang w:val="en-GB"/>
        </w:rPr>
        <w:t xml:space="preserve"> to upper-middle-class family income. The second-largest category had </w:t>
      </w:r>
      <w:r w:rsidR="00433023" w:rsidRPr="003D2A76">
        <w:rPr>
          <w:lang w:val="en-GB"/>
        </w:rPr>
        <w:t xml:space="preserve">a </w:t>
      </w:r>
      <w:r w:rsidRPr="003D2A76">
        <w:rPr>
          <w:lang w:val="en-GB"/>
        </w:rPr>
        <w:t xml:space="preserve">reported income </w:t>
      </w:r>
      <w:r w:rsidR="00433023" w:rsidRPr="003D2A76">
        <w:rPr>
          <w:lang w:val="en-GB"/>
        </w:rPr>
        <w:t xml:space="preserve">of </w:t>
      </w:r>
      <w:r w:rsidRPr="003D2A76">
        <w:rPr>
          <w:lang w:val="en-GB"/>
        </w:rPr>
        <w:t>15</w:t>
      </w:r>
      <w:r w:rsidR="00433023" w:rsidRPr="003D2A76">
        <w:rPr>
          <w:lang w:val="en-GB"/>
        </w:rPr>
        <w:t>,</w:t>
      </w:r>
      <w:r w:rsidRPr="003D2A76">
        <w:rPr>
          <w:lang w:val="en-GB"/>
        </w:rPr>
        <w:t>000</w:t>
      </w:r>
      <w:r w:rsidR="00433023" w:rsidRPr="003D2A76">
        <w:rPr>
          <w:lang w:val="en-GB"/>
        </w:rPr>
        <w:t>–</w:t>
      </w:r>
      <w:r w:rsidRPr="003D2A76">
        <w:rPr>
          <w:lang w:val="en-GB"/>
        </w:rPr>
        <w:t>24</w:t>
      </w:r>
      <w:r w:rsidR="00433023" w:rsidRPr="003D2A76">
        <w:rPr>
          <w:lang w:val="en-GB"/>
        </w:rPr>
        <w:t>,</w:t>
      </w:r>
      <w:r w:rsidRPr="003D2A76">
        <w:rPr>
          <w:lang w:val="en-GB"/>
        </w:rPr>
        <w:t xml:space="preserve">999 SAR (98 respondents, 24.0%), and 76 respondents (18.6) had </w:t>
      </w:r>
      <w:r w:rsidR="00433023" w:rsidRPr="003D2A76">
        <w:rPr>
          <w:lang w:val="en-GB"/>
        </w:rPr>
        <w:t xml:space="preserve">a </w:t>
      </w:r>
      <w:r w:rsidRPr="003D2A76">
        <w:rPr>
          <w:lang w:val="en-GB"/>
        </w:rPr>
        <w:t>reported income of 35</w:t>
      </w:r>
      <w:r w:rsidR="00433023" w:rsidRPr="003D2A76">
        <w:rPr>
          <w:lang w:val="en-GB"/>
        </w:rPr>
        <w:t>,</w:t>
      </w:r>
      <w:r w:rsidRPr="003D2A76">
        <w:rPr>
          <w:lang w:val="en-GB"/>
        </w:rPr>
        <w:t>000</w:t>
      </w:r>
      <w:r w:rsidR="00433023" w:rsidRPr="003D2A76">
        <w:rPr>
          <w:lang w:val="en-GB"/>
        </w:rPr>
        <w:t>–</w:t>
      </w:r>
      <w:r w:rsidRPr="003D2A76">
        <w:rPr>
          <w:lang w:val="en-GB"/>
        </w:rPr>
        <w:t>49</w:t>
      </w:r>
      <w:r w:rsidR="00433023" w:rsidRPr="003D2A76">
        <w:rPr>
          <w:lang w:val="en-GB"/>
        </w:rPr>
        <w:t>,</w:t>
      </w:r>
      <w:r w:rsidRPr="003D2A76">
        <w:rPr>
          <w:lang w:val="en-GB"/>
        </w:rPr>
        <w:t xml:space="preserve">999 SAR/month. </w:t>
      </w:r>
    </w:p>
    <w:p w14:paraId="5594C418" w14:textId="32F5FAAF" w:rsidR="0049752D" w:rsidRPr="003D2A76" w:rsidRDefault="0049752D" w:rsidP="0049752D">
      <w:pPr>
        <w:bidi w:val="0"/>
        <w:rPr>
          <w:lang w:val="en-GB"/>
        </w:rPr>
      </w:pPr>
      <w:r w:rsidRPr="003D2A76">
        <w:rPr>
          <w:noProof/>
          <w:lang w:val="en-GB"/>
        </w:rPr>
        <w:drawing>
          <wp:anchor distT="0" distB="0" distL="114300" distR="114300" simplePos="0" relativeHeight="251668480" behindDoc="0" locked="0" layoutInCell="1" allowOverlap="1" wp14:anchorId="6265AC49" wp14:editId="718F5E08">
            <wp:simplePos x="0" y="0"/>
            <wp:positionH relativeFrom="margin">
              <wp:align>right</wp:align>
            </wp:positionH>
            <wp:positionV relativeFrom="paragraph">
              <wp:posOffset>2000504</wp:posOffset>
            </wp:positionV>
            <wp:extent cx="5943600" cy="3009900"/>
            <wp:effectExtent l="0" t="0" r="0" b="0"/>
            <wp:wrapTopAndBottom/>
            <wp:docPr id="189553071" name="صورة 5" descr="صورة تحتوي على نص, رسم بياني, لقطة شاشة, خط&#10;&#10;قد يكون المحتوى الذي تم إنشاؤه بواسطة الذكاء الاصطناعي غير صحي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3071" name="صورة 5" descr="صورة تحتوي على نص, رسم بياني, لقطة شاشة, خط&#10;&#10;قد يكون المحتوى الذي تم إنشاؤه بواسطة الذكاء الاصطناعي غير صحيح."/>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49" t="8842" r="249" b="-8842"/>
                    <a:stretch>
                      <a:fillRect/>
                    </a:stretch>
                  </pic:blipFill>
                  <pic:spPr bwMode="auto">
                    <a:xfrm>
                      <a:off x="0" y="0"/>
                      <a:ext cx="5943600" cy="3009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2A76">
        <w:rPr>
          <w:lang w:val="en-GB"/>
        </w:rPr>
        <w:t xml:space="preserve">High-income households with </w:t>
      </w:r>
      <w:r w:rsidR="00433023" w:rsidRPr="003D2A76">
        <w:rPr>
          <w:lang w:val="en-GB"/>
        </w:rPr>
        <w:t xml:space="preserve">an </w:t>
      </w:r>
      <w:r w:rsidRPr="003D2A76">
        <w:rPr>
          <w:lang w:val="en-GB"/>
        </w:rPr>
        <w:t>income of 50,000 SAR or above per month constituted a sample size of 13.7 (56 respondents)</w:t>
      </w:r>
      <w:r w:rsidR="00F667BD">
        <w:rPr>
          <w:lang w:val="en-GB"/>
        </w:rPr>
        <w:t>,</w:t>
      </w:r>
      <w:r w:rsidRPr="003D2A76">
        <w:rPr>
          <w:lang w:val="en-GB"/>
        </w:rPr>
        <w:t xml:space="preserve"> which </w:t>
      </w:r>
      <w:r w:rsidR="00F667BD">
        <w:rPr>
          <w:lang w:val="en-GB"/>
        </w:rPr>
        <w:t>depicts</w:t>
      </w:r>
      <w:r w:rsidRPr="003D2A76">
        <w:rPr>
          <w:lang w:val="en-GB"/>
        </w:rPr>
        <w:t xml:space="preserve"> families with large disposable income </w:t>
      </w:r>
      <w:r w:rsidR="00433023" w:rsidRPr="003D2A76">
        <w:rPr>
          <w:lang w:val="en-GB"/>
        </w:rPr>
        <w:t xml:space="preserve">for </w:t>
      </w:r>
      <w:r w:rsidRPr="003D2A76">
        <w:rPr>
          <w:lang w:val="en-GB"/>
        </w:rPr>
        <w:t xml:space="preserve">premium educational services. On the other hand, 16.4% of respondents (67 respondents) indicated that they earn less than 15,000 SAR in the household, which means that there are middle-income households </w:t>
      </w:r>
      <w:r w:rsidR="00433023" w:rsidRPr="003D2A76">
        <w:rPr>
          <w:lang w:val="en-GB"/>
        </w:rPr>
        <w:t>constituting</w:t>
      </w:r>
      <w:r w:rsidRPr="003D2A76">
        <w:rPr>
          <w:lang w:val="en-GB"/>
        </w:rPr>
        <w:t xml:space="preserve"> 16.4% of respondents in the study.</w:t>
      </w:r>
    </w:p>
    <w:p w14:paraId="47339ED7" w14:textId="240F211C" w:rsidR="0049752D" w:rsidRPr="003D2A76" w:rsidRDefault="0049752D" w:rsidP="0049752D">
      <w:pPr>
        <w:bidi w:val="0"/>
        <w:rPr>
          <w:b/>
          <w:bCs/>
          <w:lang w:val="en-GB"/>
        </w:rPr>
      </w:pPr>
      <w:bookmarkStart w:id="56" w:name="_Toc216904029"/>
      <w:r w:rsidRPr="003D2A76">
        <w:rPr>
          <w:b/>
          <w:bCs/>
          <w:lang w:val="en-GB"/>
        </w:rPr>
        <w:t xml:space="preserve">Figure </w:t>
      </w:r>
      <w:r w:rsidR="00FA682D">
        <w:rPr>
          <w:b/>
          <w:bCs/>
          <w:lang w:val="en-GB"/>
        </w:rPr>
        <w:t>6</w:t>
      </w:r>
      <w:r w:rsidRPr="003D2A76">
        <w:rPr>
          <w:b/>
          <w:bCs/>
          <w:lang w:val="en-GB"/>
        </w:rPr>
        <w:t xml:space="preserve">: </w:t>
      </w:r>
      <w:bookmarkStart w:id="57" w:name="_Hlk232587424"/>
      <w:r w:rsidRPr="003D2A76">
        <w:rPr>
          <w:b/>
          <w:bCs/>
          <w:lang w:val="en-GB"/>
        </w:rPr>
        <w:t>Household Income Distribution</w:t>
      </w:r>
      <w:bookmarkEnd w:id="56"/>
      <w:bookmarkEnd w:id="57"/>
    </w:p>
    <w:p w14:paraId="22617AF2" w14:textId="381F1A08" w:rsidR="0049752D" w:rsidRPr="009B03B2" w:rsidRDefault="009B03B2" w:rsidP="0049752D">
      <w:pPr>
        <w:bidi w:val="0"/>
        <w:rPr>
          <w:b/>
          <w:bCs/>
          <w:i/>
          <w:iCs/>
          <w:lang w:val="en-GB"/>
        </w:rPr>
      </w:pPr>
      <w:bookmarkStart w:id="58" w:name="_Toc216904156"/>
      <w:r w:rsidRPr="009B03B2">
        <w:rPr>
          <w:b/>
          <w:bCs/>
          <w:i/>
          <w:iCs/>
          <w:lang w:val="en-GB"/>
        </w:rPr>
        <w:t xml:space="preserve">4.3.5 </w:t>
      </w:r>
      <w:r w:rsidR="0049752D" w:rsidRPr="009B03B2">
        <w:rPr>
          <w:b/>
          <w:bCs/>
          <w:i/>
          <w:iCs/>
          <w:lang w:val="en-GB"/>
        </w:rPr>
        <w:t>School Fee Structure</w:t>
      </w:r>
      <w:bookmarkEnd w:id="58"/>
    </w:p>
    <w:p w14:paraId="10B64B6B" w14:textId="392246F6" w:rsidR="0049752D" w:rsidRPr="003D2A76" w:rsidRDefault="0049752D" w:rsidP="0049752D">
      <w:pPr>
        <w:bidi w:val="0"/>
        <w:rPr>
          <w:lang w:val="en-GB"/>
        </w:rPr>
      </w:pPr>
      <w:r w:rsidRPr="003D2A76">
        <w:rPr>
          <w:lang w:val="en-GB"/>
        </w:rPr>
        <w:t xml:space="preserve">The allocation of school fees annually gave an idea of </w:t>
      </w:r>
      <w:r w:rsidR="00F667BD">
        <w:rPr>
          <w:lang w:val="en-GB"/>
        </w:rPr>
        <w:t xml:space="preserve">the </w:t>
      </w:r>
      <w:r w:rsidRPr="003D2A76">
        <w:rPr>
          <w:lang w:val="en-GB"/>
        </w:rPr>
        <w:t>economic commitment needed to obtain a private school education as well as the variability of institutions in the sample. The most common modal category comprised 25,000</w:t>
      </w:r>
      <w:r w:rsidR="00433023" w:rsidRPr="003D2A76">
        <w:rPr>
          <w:lang w:val="en-GB"/>
        </w:rPr>
        <w:t>–</w:t>
      </w:r>
      <w:r w:rsidRPr="003D2A76">
        <w:rPr>
          <w:lang w:val="en-GB"/>
        </w:rPr>
        <w:t xml:space="preserve">35,000 SAR/year (134 </w:t>
      </w:r>
      <w:r w:rsidRPr="003D2A76">
        <w:rPr>
          <w:lang w:val="en-GB"/>
        </w:rPr>
        <w:lastRenderedPageBreak/>
        <w:t xml:space="preserve">respondents, 32.8%), which </w:t>
      </w:r>
      <w:r w:rsidR="00433023" w:rsidRPr="003D2A76">
        <w:rPr>
          <w:lang w:val="en-GB"/>
        </w:rPr>
        <w:t xml:space="preserve">equated to </w:t>
      </w:r>
      <w:r w:rsidRPr="003D2A76">
        <w:rPr>
          <w:lang w:val="en-GB"/>
        </w:rPr>
        <w:t>mid-tier private schools. Schools that charged 35,001</w:t>
      </w:r>
      <w:r w:rsidR="00433023" w:rsidRPr="003D2A76">
        <w:rPr>
          <w:lang w:val="en-GB"/>
        </w:rPr>
        <w:t>–</w:t>
      </w:r>
      <w:r w:rsidRPr="003D2A76">
        <w:rPr>
          <w:lang w:val="en-GB"/>
        </w:rPr>
        <w:t xml:space="preserve">50,000 SAR/year had 27.4% of the respondents (112 participants), and premium institutions </w:t>
      </w:r>
      <w:r w:rsidR="00433023" w:rsidRPr="003D2A76">
        <w:rPr>
          <w:lang w:val="en-GB"/>
        </w:rPr>
        <w:t xml:space="preserve">charging </w:t>
      </w:r>
      <w:r w:rsidRPr="003D2A76">
        <w:rPr>
          <w:lang w:val="en-GB"/>
        </w:rPr>
        <w:t>over 50,000 SAR/year had 18.1% (74 respondents) of the respondents. The percentage of respondents in budget</w:t>
      </w:r>
      <w:r w:rsidR="00433023" w:rsidRPr="003D2A76">
        <w:rPr>
          <w:lang w:val="en-GB"/>
        </w:rPr>
        <w:t>-</w:t>
      </w:r>
      <w:r w:rsidRPr="003D2A76">
        <w:rPr>
          <w:lang w:val="en-GB"/>
        </w:rPr>
        <w:t>conscious private schools that charge</w:t>
      </w:r>
      <w:r w:rsidR="00433023" w:rsidRPr="003D2A76">
        <w:rPr>
          <w:lang w:val="en-GB"/>
        </w:rPr>
        <w:t>d</w:t>
      </w:r>
      <w:r w:rsidRPr="003D2A76">
        <w:rPr>
          <w:lang w:val="en-GB"/>
        </w:rPr>
        <w:t xml:space="preserve"> less than 25,000 SAR per annum </w:t>
      </w:r>
      <w:r w:rsidR="00F667BD">
        <w:rPr>
          <w:lang w:val="en-GB"/>
        </w:rPr>
        <w:t>was</w:t>
      </w:r>
      <w:r w:rsidRPr="003D2A76">
        <w:rPr>
          <w:lang w:val="en-GB"/>
        </w:rPr>
        <w:t xml:space="preserve"> 21.8 percent (89 participants). The allocation of this fee shows that the sample represents the entire range of available educational institutions in Jeddah, including accessible community schools</w:t>
      </w:r>
      <w:r w:rsidR="00433023" w:rsidRPr="003D2A76">
        <w:rPr>
          <w:lang w:val="en-GB"/>
        </w:rPr>
        <w:t xml:space="preserve"> and</w:t>
      </w:r>
      <w:r w:rsidRPr="003D2A76">
        <w:rPr>
          <w:lang w:val="en-GB"/>
        </w:rPr>
        <w:t xml:space="preserve"> highly qualified international institutions, which can improve the applicability of all </w:t>
      </w:r>
      <w:r w:rsidR="00433023" w:rsidRPr="003D2A76">
        <w:rPr>
          <w:lang w:val="en-GB"/>
        </w:rPr>
        <w:t xml:space="preserve">the </w:t>
      </w:r>
      <w:r w:rsidRPr="003D2A76">
        <w:rPr>
          <w:lang w:val="en-GB"/>
        </w:rPr>
        <w:t>findings to the various market segments. The existing tendencies were confirmed</w:t>
      </w:r>
      <w:r w:rsidR="00F667BD">
        <w:rPr>
          <w:lang w:val="en-GB"/>
        </w:rPr>
        <w:t>,</w:t>
      </w:r>
      <w:r w:rsidRPr="003D2A76">
        <w:rPr>
          <w:lang w:val="en-GB"/>
        </w:rPr>
        <w:t xml:space="preserve"> and sufficient points of variation to indicate that families make differentiated decisions were found due to the correlation between the income of the household and the school fees (r = 0.62, p = 0.00). Annual School </w:t>
      </w:r>
      <w:r w:rsidRPr="003D2A76">
        <w:rPr>
          <w:noProof/>
          <w:lang w:val="en-GB"/>
        </w:rPr>
        <w:drawing>
          <wp:anchor distT="0" distB="0" distL="114300" distR="114300" simplePos="0" relativeHeight="251672576" behindDoc="0" locked="0" layoutInCell="1" allowOverlap="1" wp14:anchorId="2417603B" wp14:editId="2FD36CB5">
            <wp:simplePos x="0" y="0"/>
            <wp:positionH relativeFrom="margin">
              <wp:align>left</wp:align>
            </wp:positionH>
            <wp:positionV relativeFrom="paragraph">
              <wp:posOffset>4180249</wp:posOffset>
            </wp:positionV>
            <wp:extent cx="5479415" cy="3254375"/>
            <wp:effectExtent l="0" t="0" r="6985" b="3175"/>
            <wp:wrapTopAndBottom/>
            <wp:docPr id="52883858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8834"/>
                    <a:stretch>
                      <a:fillRect/>
                    </a:stretch>
                  </pic:blipFill>
                  <pic:spPr bwMode="auto">
                    <a:xfrm>
                      <a:off x="0" y="0"/>
                      <a:ext cx="5479415" cy="325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D2A76">
        <w:rPr>
          <w:lang w:val="en-GB"/>
        </w:rPr>
        <w:t xml:space="preserve">Fees Distribution Figure 6. </w:t>
      </w:r>
    </w:p>
    <w:p w14:paraId="3C77EF82" w14:textId="0FA9A7C5" w:rsidR="0049752D" w:rsidRPr="003D2A76" w:rsidRDefault="0049752D" w:rsidP="0049752D">
      <w:pPr>
        <w:bidi w:val="0"/>
        <w:rPr>
          <w:b/>
          <w:bCs/>
          <w:lang w:val="en-GB"/>
        </w:rPr>
      </w:pPr>
      <w:bookmarkStart w:id="59" w:name="_Toc216904030"/>
      <w:bookmarkStart w:id="60" w:name="_Hlk232587488"/>
      <w:r w:rsidRPr="003D2A76">
        <w:rPr>
          <w:b/>
          <w:bCs/>
          <w:lang w:val="en-GB"/>
        </w:rPr>
        <w:t xml:space="preserve">Figure </w:t>
      </w:r>
      <w:r w:rsidR="00FA682D">
        <w:rPr>
          <w:b/>
          <w:bCs/>
          <w:lang w:val="en-GB"/>
        </w:rPr>
        <w:t>7</w:t>
      </w:r>
      <w:r w:rsidRPr="003D2A76">
        <w:rPr>
          <w:b/>
          <w:bCs/>
          <w:lang w:val="en-GB"/>
        </w:rPr>
        <w:t>: Nationality Distribution</w:t>
      </w:r>
      <w:bookmarkEnd w:id="59"/>
    </w:p>
    <w:p w14:paraId="71A37751" w14:textId="77777777" w:rsidR="009B03B2" w:rsidRDefault="009B03B2" w:rsidP="0049752D">
      <w:pPr>
        <w:bidi w:val="0"/>
        <w:rPr>
          <w:b/>
          <w:bCs/>
          <w:lang w:val="en-GB"/>
        </w:rPr>
      </w:pPr>
      <w:bookmarkStart w:id="61" w:name="_Toc216904157"/>
      <w:bookmarkEnd w:id="60"/>
    </w:p>
    <w:p w14:paraId="602C2B70" w14:textId="0F403F71" w:rsidR="0049752D" w:rsidRPr="009B03B2" w:rsidRDefault="009B03B2" w:rsidP="009B03B2">
      <w:pPr>
        <w:bidi w:val="0"/>
        <w:rPr>
          <w:b/>
          <w:bCs/>
          <w:i/>
          <w:iCs/>
          <w:lang w:val="en-GB"/>
        </w:rPr>
      </w:pPr>
      <w:r w:rsidRPr="009B03B2">
        <w:rPr>
          <w:b/>
          <w:bCs/>
          <w:i/>
          <w:iCs/>
          <w:lang w:val="en-GB"/>
        </w:rPr>
        <w:lastRenderedPageBreak/>
        <w:t xml:space="preserve">4.3.6 </w:t>
      </w:r>
      <w:r w:rsidR="0049752D" w:rsidRPr="009B03B2">
        <w:rPr>
          <w:b/>
          <w:bCs/>
          <w:i/>
          <w:iCs/>
          <w:lang w:val="en-GB"/>
        </w:rPr>
        <w:t>Nationality Composition</w:t>
      </w:r>
      <w:bookmarkEnd w:id="61"/>
    </w:p>
    <w:p w14:paraId="198B4008" w14:textId="2BDA40BC" w:rsidR="0049752D" w:rsidRPr="003D2A76" w:rsidRDefault="0049752D" w:rsidP="0049752D">
      <w:pPr>
        <w:bidi w:val="0"/>
        <w:rPr>
          <w:lang w:val="en-GB"/>
        </w:rPr>
      </w:pPr>
      <w:r w:rsidRPr="003D2A76">
        <w:rPr>
          <w:lang w:val="en-GB"/>
        </w:rPr>
        <w:t>The nationality was representative of the cosmopolitan nature of Jeddah</w:t>
      </w:r>
      <w:r w:rsidR="00F667BD">
        <w:rPr>
          <w:lang w:val="en-GB"/>
        </w:rPr>
        <w:t>,</w:t>
      </w:r>
      <w:r w:rsidRPr="003D2A76">
        <w:rPr>
          <w:lang w:val="en-GB"/>
        </w:rPr>
        <w:t xml:space="preserve"> being a large commercial centre that </w:t>
      </w:r>
      <w:r w:rsidR="00433023" w:rsidRPr="003D2A76">
        <w:rPr>
          <w:lang w:val="en-GB"/>
        </w:rPr>
        <w:t xml:space="preserve">attracts </w:t>
      </w:r>
      <w:r w:rsidRPr="003D2A76">
        <w:rPr>
          <w:lang w:val="en-GB"/>
        </w:rPr>
        <w:t>foreigners to live. The majority</w:t>
      </w:r>
      <w:r w:rsidR="00F667BD">
        <w:rPr>
          <w:lang w:val="en-GB"/>
        </w:rPr>
        <w:t>,</w:t>
      </w:r>
      <w:r w:rsidRPr="003D2A76">
        <w:rPr>
          <w:lang w:val="en-GB"/>
        </w:rPr>
        <w:t xml:space="preserve"> 70.2% (287 respondents) was made up of Saudi nationals</w:t>
      </w:r>
      <w:r w:rsidR="00F667BD">
        <w:rPr>
          <w:lang w:val="en-GB"/>
        </w:rPr>
        <w:t>,</w:t>
      </w:r>
      <w:r w:rsidRPr="003D2A76">
        <w:rPr>
          <w:lang w:val="en-GB"/>
        </w:rPr>
        <w:t xml:space="preserve"> as their cultural values and educational priorities dominate the market </w:t>
      </w:r>
      <w:r w:rsidR="00433023" w:rsidRPr="003D2A76">
        <w:rPr>
          <w:lang w:val="en-GB"/>
        </w:rPr>
        <w:t>for</w:t>
      </w:r>
      <w:r w:rsidRPr="003D2A76">
        <w:rPr>
          <w:lang w:val="en-GB"/>
        </w:rPr>
        <w:t xml:space="preserve"> the local population. The non-Saudi Arabians of the sample amounted to 16.4</w:t>
      </w:r>
      <w:r w:rsidR="00433023" w:rsidRPr="003D2A76">
        <w:rPr>
          <w:lang w:val="en-GB"/>
        </w:rPr>
        <w:t>%</w:t>
      </w:r>
      <w:r w:rsidRPr="003D2A76">
        <w:rPr>
          <w:lang w:val="en-GB"/>
        </w:rPr>
        <w:t xml:space="preserve"> (67 respondents)</w:t>
      </w:r>
      <w:r w:rsidR="00F667BD">
        <w:rPr>
          <w:lang w:val="en-GB"/>
        </w:rPr>
        <w:t>,</w:t>
      </w:r>
      <w:r w:rsidRPr="003D2A76">
        <w:rPr>
          <w:lang w:val="en-GB"/>
        </w:rPr>
        <w:t xml:space="preserve"> which reflected high populations of expatriates who are citizens of neighbo</w:t>
      </w:r>
      <w:r w:rsidR="00433023" w:rsidRPr="003D2A76">
        <w:rPr>
          <w:lang w:val="en-GB"/>
        </w:rPr>
        <w:t>u</w:t>
      </w:r>
      <w:r w:rsidRPr="003D2A76">
        <w:rPr>
          <w:lang w:val="en-GB"/>
        </w:rPr>
        <w:t>ring countries.</w:t>
      </w:r>
    </w:p>
    <w:p w14:paraId="0E242C4E" w14:textId="6F089418" w:rsidR="0049752D" w:rsidRPr="003D2A76" w:rsidRDefault="0049752D" w:rsidP="0049752D">
      <w:pPr>
        <w:bidi w:val="0"/>
        <w:rPr>
          <w:lang w:val="en-GB"/>
        </w:rPr>
      </w:pPr>
      <w:r w:rsidRPr="003D2A76">
        <w:rPr>
          <w:lang w:val="en-GB"/>
        </w:rPr>
        <w:t xml:space="preserve">The </w:t>
      </w:r>
      <w:r w:rsidR="00F667BD">
        <w:rPr>
          <w:lang w:val="en-GB"/>
        </w:rPr>
        <w:t>Western</w:t>
      </w:r>
      <w:r w:rsidRPr="003D2A76">
        <w:rPr>
          <w:lang w:val="en-GB"/>
        </w:rPr>
        <w:t xml:space="preserve"> nationals were 5.6</w:t>
      </w:r>
      <w:r w:rsidR="00433023" w:rsidRPr="003D2A76">
        <w:rPr>
          <w:lang w:val="en-GB"/>
        </w:rPr>
        <w:t>%</w:t>
      </w:r>
      <w:r w:rsidRPr="003D2A76">
        <w:rPr>
          <w:lang w:val="en-GB"/>
        </w:rPr>
        <w:t xml:space="preserve"> (23 respondents)</w:t>
      </w:r>
      <w:r w:rsidR="00F667BD">
        <w:rPr>
          <w:lang w:val="en-GB"/>
        </w:rPr>
        <w:t>,</w:t>
      </w:r>
      <w:r w:rsidRPr="003D2A76">
        <w:rPr>
          <w:lang w:val="en-GB"/>
        </w:rPr>
        <w:t xml:space="preserve"> and Asian nationals were 6.1</w:t>
      </w:r>
      <w:r w:rsidR="00433023" w:rsidRPr="003D2A76">
        <w:rPr>
          <w:lang w:val="en-GB"/>
        </w:rPr>
        <w:t>%</w:t>
      </w:r>
      <w:r w:rsidRPr="003D2A76">
        <w:rPr>
          <w:lang w:val="en-GB"/>
        </w:rPr>
        <w:t xml:space="preserve"> (25 respondents)</w:t>
      </w:r>
      <w:r w:rsidR="00F667BD">
        <w:rPr>
          <w:lang w:val="en-GB"/>
        </w:rPr>
        <w:t>,</w:t>
      </w:r>
      <w:r w:rsidRPr="003D2A76">
        <w:rPr>
          <w:lang w:val="en-GB"/>
        </w:rPr>
        <w:t xml:space="preserve"> with the majority being </w:t>
      </w:r>
      <w:r w:rsidR="00433023" w:rsidRPr="003D2A76">
        <w:rPr>
          <w:lang w:val="en-GB"/>
        </w:rPr>
        <w:t xml:space="preserve">from </w:t>
      </w:r>
      <w:r w:rsidRPr="003D2A76">
        <w:rPr>
          <w:lang w:val="en-GB"/>
        </w:rPr>
        <w:t xml:space="preserve">South and Southeast Asian countries with well-established communities in Jeddah. The African nationals were 1.7% (7 respondents). Such a nationality blend makes the study more diverse and brings different cultural attitudes </w:t>
      </w:r>
      <w:r w:rsidR="00433023" w:rsidRPr="003D2A76">
        <w:rPr>
          <w:lang w:val="en-GB"/>
        </w:rPr>
        <w:t xml:space="preserve">to the understanding of </w:t>
      </w:r>
      <w:r w:rsidRPr="003D2A76">
        <w:rPr>
          <w:lang w:val="en-GB"/>
        </w:rPr>
        <w:t>the adoption of educational technologies and expectations of the quality of the services.</w:t>
      </w:r>
    </w:p>
    <w:p w14:paraId="2A8A0FB2" w14:textId="3280C777" w:rsidR="00885F3C" w:rsidRPr="003D2A76" w:rsidRDefault="006A4A5D" w:rsidP="00BD6279">
      <w:pPr>
        <w:pStyle w:val="Heading2"/>
        <w:rPr>
          <w:lang w:val="en-GB"/>
        </w:rPr>
      </w:pPr>
      <w:r w:rsidRPr="003D2A76">
        <w:rPr>
          <w:rFonts w:ascii="Times New Roman" w:hAnsi="Times New Roman" w:cs="Times New Roman"/>
          <w:lang w:val="en-GB"/>
        </w:rPr>
        <w:t xml:space="preserve">4.4 </w:t>
      </w:r>
      <w:r w:rsidR="00885F3C" w:rsidRPr="003D2A76">
        <w:rPr>
          <w:rFonts w:ascii="Times New Roman" w:hAnsi="Times New Roman" w:cs="Times New Roman"/>
          <w:lang w:val="en-GB"/>
        </w:rPr>
        <w:t>Descriptive Statistics for Study Variables</w:t>
      </w:r>
      <w:bookmarkEnd w:id="44"/>
      <w:bookmarkEnd w:id="45"/>
    </w:p>
    <w:p w14:paraId="0D88DF5B" w14:textId="05539F82" w:rsidR="00885F3C" w:rsidRPr="003D2A76" w:rsidRDefault="009B03B2" w:rsidP="00BD6279">
      <w:pPr>
        <w:bidi w:val="0"/>
        <w:rPr>
          <w:rFonts w:asciiTheme="majorBidi" w:hAnsiTheme="majorBidi" w:cstheme="majorBidi"/>
          <w:b/>
          <w:bCs/>
          <w:i/>
          <w:lang w:val="en-GB"/>
        </w:rPr>
      </w:pPr>
      <w:bookmarkStart w:id="62" w:name="_Toc216904159"/>
      <w:r>
        <w:rPr>
          <w:rFonts w:asciiTheme="majorBidi" w:hAnsiTheme="majorBidi" w:cstheme="majorBidi"/>
          <w:b/>
          <w:bCs/>
          <w:i/>
          <w:lang w:val="en-GB"/>
        </w:rPr>
        <w:t xml:space="preserve">4.4.1 </w:t>
      </w:r>
      <w:r w:rsidR="00885F3C" w:rsidRPr="003D2A76">
        <w:rPr>
          <w:rFonts w:asciiTheme="majorBidi" w:hAnsiTheme="majorBidi" w:cstheme="majorBidi"/>
          <w:b/>
          <w:bCs/>
          <w:i/>
          <w:lang w:val="en-GB"/>
        </w:rPr>
        <w:t>AI Adoption in Teaching</w:t>
      </w:r>
      <w:bookmarkEnd w:id="62"/>
    </w:p>
    <w:p w14:paraId="56ED68AB" w14:textId="743C07C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composite variable of AI adoption in teaching produced a mean of 5.29 (SD = 1.14) on the 7-point scale, with the </w:t>
      </w:r>
      <w:r w:rsidR="00F667BD">
        <w:rPr>
          <w:rFonts w:asciiTheme="majorBidi" w:hAnsiTheme="majorBidi" w:cstheme="majorBidi"/>
          <w:lang w:val="en-GB"/>
        </w:rPr>
        <w:t>mean</w:t>
      </w:r>
      <w:r w:rsidRPr="003D2A76">
        <w:rPr>
          <w:rFonts w:asciiTheme="majorBidi" w:hAnsiTheme="majorBidi" w:cstheme="majorBidi"/>
          <w:lang w:val="en-GB"/>
        </w:rPr>
        <w:t xml:space="preserve"> being moderately high regarding the perceived adoption of AI technologies in teaching practices. Such an average, which is above the middle, is an indication that, overall, respondents are aware of the importance of the integration of AI in teaching practices, but there is a significant opportunity to improve it.</w:t>
      </w:r>
    </w:p>
    <w:p w14:paraId="6CD55451" w14:textId="47BB09B0"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Analysis of individual items showed that there was variation in individual AI applications. Learning platforms that are adaptive got the </w:t>
      </w:r>
      <w:r w:rsidR="00433023" w:rsidRPr="003D2A76">
        <w:rPr>
          <w:rFonts w:asciiTheme="majorBidi" w:hAnsiTheme="majorBidi" w:cstheme="majorBidi"/>
          <w:lang w:val="en-GB"/>
        </w:rPr>
        <w:t xml:space="preserve">highest </w:t>
      </w:r>
      <w:r w:rsidRPr="003D2A76">
        <w:rPr>
          <w:rFonts w:asciiTheme="majorBidi" w:hAnsiTheme="majorBidi" w:cstheme="majorBidi"/>
          <w:lang w:val="en-GB"/>
        </w:rPr>
        <w:t xml:space="preserve">ratings (M = 5.51, SD = 1.23) </w:t>
      </w:r>
      <w:r w:rsidR="00F667BD">
        <w:rPr>
          <w:rFonts w:asciiTheme="majorBidi" w:hAnsiTheme="majorBidi" w:cstheme="majorBidi"/>
          <w:lang w:val="en-GB"/>
        </w:rPr>
        <w:t>which</w:t>
      </w:r>
      <w:r w:rsidRPr="003D2A76">
        <w:rPr>
          <w:rFonts w:asciiTheme="majorBidi" w:hAnsiTheme="majorBidi" w:cstheme="majorBidi"/>
          <w:lang w:val="en-GB"/>
        </w:rPr>
        <w:t xml:space="preserve"> indicated successful application of </w:t>
      </w:r>
      <w:r w:rsidR="00433023" w:rsidRPr="003D2A76">
        <w:rPr>
          <w:rFonts w:asciiTheme="majorBidi" w:hAnsiTheme="majorBidi" w:cstheme="majorBidi"/>
          <w:lang w:val="en-GB"/>
        </w:rPr>
        <w:t xml:space="preserve">customised </w:t>
      </w:r>
      <w:r w:rsidRPr="003D2A76">
        <w:rPr>
          <w:rFonts w:asciiTheme="majorBidi" w:hAnsiTheme="majorBidi" w:cstheme="majorBidi"/>
          <w:lang w:val="en-GB"/>
        </w:rPr>
        <w:t xml:space="preserve">learning technologies. The </w:t>
      </w:r>
      <w:r w:rsidRPr="003D2A76">
        <w:rPr>
          <w:rFonts w:asciiTheme="majorBidi" w:hAnsiTheme="majorBidi" w:cstheme="majorBidi"/>
          <w:lang w:val="en-GB"/>
        </w:rPr>
        <w:lastRenderedPageBreak/>
        <w:t xml:space="preserve">systems of intelligent tutoring were rated as moderately adopted (M = 5.32, SD = 1.29), whereas AI-enhanced assessment tools were rated marginally lower (M = 5.18, SD = 1.31). The lowest adoption levels were observed in AI-powered content creation and </w:t>
      </w:r>
      <w:r w:rsidR="00433023" w:rsidRPr="003D2A76">
        <w:rPr>
          <w:rFonts w:asciiTheme="majorBidi" w:hAnsiTheme="majorBidi" w:cstheme="majorBidi"/>
          <w:lang w:val="en-GB"/>
        </w:rPr>
        <w:t xml:space="preserve">personalised </w:t>
      </w:r>
      <w:r w:rsidRPr="003D2A76">
        <w:rPr>
          <w:rFonts w:asciiTheme="majorBidi" w:hAnsiTheme="majorBidi" w:cstheme="majorBidi"/>
          <w:lang w:val="en-GB"/>
        </w:rPr>
        <w:t xml:space="preserve">curriculum (M = 5.14, SD = 1.35), which may also refer to the limitations in the use of technology or resources. The distribution had negative skewness (-1.16), meaning that responses are concentrated </w:t>
      </w:r>
      <w:r w:rsidR="00433023" w:rsidRPr="003D2A76">
        <w:rPr>
          <w:rFonts w:asciiTheme="majorBidi" w:hAnsiTheme="majorBidi" w:cstheme="majorBidi"/>
          <w:lang w:val="en-GB"/>
        </w:rPr>
        <w:t xml:space="preserve">on </w:t>
      </w:r>
      <w:r w:rsidRPr="003D2A76">
        <w:rPr>
          <w:rFonts w:asciiTheme="majorBidi" w:hAnsiTheme="majorBidi" w:cstheme="majorBidi"/>
          <w:lang w:val="en-GB"/>
        </w:rPr>
        <w:t xml:space="preserve">larger values, and a majority of respondents viewed moderate or greater AI adoption in teaching. The kurtosis value of 1.09 was also an indication of </w:t>
      </w:r>
      <w:r w:rsidR="00F667BD">
        <w:rPr>
          <w:rFonts w:asciiTheme="majorBidi" w:hAnsiTheme="majorBidi" w:cstheme="majorBidi"/>
          <w:lang w:val="en-GB"/>
        </w:rPr>
        <w:t xml:space="preserve">a </w:t>
      </w:r>
      <w:r w:rsidRPr="003D2A76">
        <w:rPr>
          <w:rFonts w:asciiTheme="majorBidi" w:hAnsiTheme="majorBidi" w:cstheme="majorBidi"/>
          <w:lang w:val="en-GB"/>
        </w:rPr>
        <w:t>slightly peaked distribution relative to normal</w:t>
      </w:r>
      <w:r w:rsidR="00F667BD">
        <w:rPr>
          <w:rFonts w:asciiTheme="majorBidi" w:hAnsiTheme="majorBidi" w:cstheme="majorBidi"/>
          <w:lang w:val="en-GB"/>
        </w:rPr>
        <w:t>,</w:t>
      </w:r>
      <w:r w:rsidRPr="003D2A76">
        <w:rPr>
          <w:rFonts w:asciiTheme="majorBidi" w:hAnsiTheme="majorBidi" w:cstheme="majorBidi"/>
          <w:lang w:val="en-GB"/>
        </w:rPr>
        <w:t xml:space="preserve"> </w:t>
      </w:r>
      <w:r w:rsidR="00F667BD">
        <w:rPr>
          <w:rFonts w:asciiTheme="majorBidi" w:hAnsiTheme="majorBidi" w:cstheme="majorBidi"/>
          <w:lang w:val="en-GB"/>
        </w:rPr>
        <w:t>which</w:t>
      </w:r>
      <w:r w:rsidRPr="003D2A76">
        <w:rPr>
          <w:rFonts w:asciiTheme="majorBidi" w:hAnsiTheme="majorBidi" w:cstheme="majorBidi"/>
          <w:lang w:val="en-GB"/>
        </w:rPr>
        <w:t xml:space="preserve"> indicated consensus on moderately positive levels of adoption. These distributional traits justify the application of parametric statistical </w:t>
      </w:r>
      <w:r w:rsidR="00F667BD">
        <w:rPr>
          <w:rFonts w:asciiTheme="majorBidi" w:hAnsiTheme="majorBidi" w:cstheme="majorBidi"/>
          <w:lang w:val="en-GB"/>
        </w:rPr>
        <w:t>methods</w:t>
      </w:r>
      <w:r w:rsidRPr="003D2A76">
        <w:rPr>
          <w:rFonts w:asciiTheme="majorBidi" w:hAnsiTheme="majorBidi" w:cstheme="majorBidi"/>
          <w:lang w:val="en-GB"/>
        </w:rPr>
        <w:t>, but they tolerate minor violations of normality.</w:t>
      </w:r>
    </w:p>
    <w:p w14:paraId="4F108C5B" w14:textId="2BEEAABA" w:rsidR="00885F3C" w:rsidRPr="003D2A76" w:rsidRDefault="009B03B2" w:rsidP="00BD6279">
      <w:pPr>
        <w:bidi w:val="0"/>
        <w:rPr>
          <w:rFonts w:asciiTheme="majorBidi" w:hAnsiTheme="majorBidi" w:cstheme="majorBidi"/>
          <w:b/>
          <w:bCs/>
          <w:i/>
          <w:lang w:val="en-GB"/>
        </w:rPr>
      </w:pPr>
      <w:bookmarkStart w:id="63" w:name="_Toc216904160"/>
      <w:r>
        <w:rPr>
          <w:rFonts w:asciiTheme="majorBidi" w:hAnsiTheme="majorBidi" w:cstheme="majorBidi"/>
          <w:b/>
          <w:bCs/>
          <w:i/>
          <w:lang w:val="en-GB"/>
        </w:rPr>
        <w:t xml:space="preserve">4.4.2 </w:t>
      </w:r>
      <w:r w:rsidR="00885F3C" w:rsidRPr="003D2A76">
        <w:rPr>
          <w:rFonts w:asciiTheme="majorBidi" w:hAnsiTheme="majorBidi" w:cstheme="majorBidi"/>
          <w:b/>
          <w:bCs/>
          <w:i/>
          <w:lang w:val="en-GB"/>
        </w:rPr>
        <w:t>AI Adoption in Marketing and Communication</w:t>
      </w:r>
      <w:bookmarkEnd w:id="63"/>
    </w:p>
    <w:p w14:paraId="48E54C4F" w14:textId="7A5E339A"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implementation levels of AI in marketing and communication functions (M = 5.21, SD = 1.13) were slightly lower than those of teaching applications. This observation indicates fairly equal AI implementation in fields of operation, but those related to education are given </w:t>
      </w:r>
      <w:r w:rsidR="00307A23" w:rsidRPr="003D2A76">
        <w:rPr>
          <w:rFonts w:asciiTheme="majorBidi" w:hAnsiTheme="majorBidi" w:cstheme="majorBidi"/>
          <w:lang w:val="en-GB"/>
        </w:rPr>
        <w:t>slightly</w:t>
      </w:r>
      <w:r w:rsidRPr="003D2A76">
        <w:rPr>
          <w:rFonts w:asciiTheme="majorBidi" w:hAnsiTheme="majorBidi" w:cstheme="majorBidi"/>
          <w:lang w:val="en-GB"/>
        </w:rPr>
        <w:t xml:space="preserve"> higher priority/visibility. Analysis of particular marketing applications showed that the most evident AI application was the use of chatbots to respond to admission-related inquiries (M = 5.45, SD = 1.24). Implementation of </w:t>
      </w:r>
      <w:r w:rsidR="00307A23" w:rsidRPr="003D2A76">
        <w:rPr>
          <w:rFonts w:asciiTheme="majorBidi" w:hAnsiTheme="majorBidi" w:cstheme="majorBidi"/>
          <w:lang w:val="en-GB"/>
        </w:rPr>
        <w:t xml:space="preserve">personalised </w:t>
      </w:r>
      <w:r w:rsidRPr="003D2A76">
        <w:rPr>
          <w:rFonts w:asciiTheme="majorBidi" w:hAnsiTheme="majorBidi" w:cstheme="majorBidi"/>
          <w:lang w:val="en-GB"/>
        </w:rPr>
        <w:t>communication using AI-based email marketing was moderate (M = 5.18, SD = 1.28)</w:t>
      </w:r>
      <w:r w:rsidR="00F667BD">
        <w:rPr>
          <w:rFonts w:asciiTheme="majorBidi" w:hAnsiTheme="majorBidi" w:cstheme="majorBidi"/>
          <w:lang w:val="en-GB"/>
        </w:rPr>
        <w:t>,</w:t>
      </w:r>
      <w:r w:rsidRPr="003D2A76">
        <w:rPr>
          <w:rFonts w:asciiTheme="majorBidi" w:hAnsiTheme="majorBidi" w:cstheme="majorBidi"/>
          <w:lang w:val="en-GB"/>
        </w:rPr>
        <w:t xml:space="preserve"> and predictions of enrolment using predictive analytics were lower (M = 4.99, SD = 1.41) as it might be that this is more complex technically or this is not a field of expertise. The values of skewness (-1.18) and kurtosis (0.95) revealed that the distributions were similar to those of teaching adoption</w:t>
      </w:r>
      <w:r w:rsidR="00F667BD">
        <w:rPr>
          <w:rFonts w:asciiTheme="majorBidi" w:hAnsiTheme="majorBidi" w:cstheme="majorBidi"/>
          <w:lang w:val="en-GB"/>
        </w:rPr>
        <w:t>,</w:t>
      </w:r>
      <w:r w:rsidRPr="003D2A76">
        <w:rPr>
          <w:rFonts w:asciiTheme="majorBidi" w:hAnsiTheme="majorBidi" w:cstheme="majorBidi"/>
          <w:lang w:val="en-GB"/>
        </w:rPr>
        <w:t xml:space="preserve"> with most of the scores leaning </w:t>
      </w:r>
      <w:r w:rsidR="00F667BD">
        <w:rPr>
          <w:rFonts w:asciiTheme="majorBidi" w:hAnsiTheme="majorBidi" w:cstheme="majorBidi"/>
          <w:lang w:val="en-GB"/>
        </w:rPr>
        <w:lastRenderedPageBreak/>
        <w:t>towards</w:t>
      </w:r>
      <w:r w:rsidRPr="003D2A76">
        <w:rPr>
          <w:rFonts w:asciiTheme="majorBidi" w:hAnsiTheme="majorBidi" w:cstheme="majorBidi"/>
          <w:lang w:val="en-GB"/>
        </w:rPr>
        <w:t xml:space="preserve"> positive perceptions. The similarity in the pattern of distributions within domains of AI adoption </w:t>
      </w:r>
      <w:r w:rsidR="00F667BD">
        <w:rPr>
          <w:rFonts w:asciiTheme="majorBidi" w:hAnsiTheme="majorBidi" w:cstheme="majorBidi"/>
          <w:lang w:val="en-GB"/>
        </w:rPr>
        <w:t>indicates</w:t>
      </w:r>
      <w:r w:rsidRPr="003D2A76">
        <w:rPr>
          <w:rFonts w:asciiTheme="majorBidi" w:hAnsiTheme="majorBidi" w:cstheme="majorBidi"/>
          <w:lang w:val="en-GB"/>
        </w:rPr>
        <w:t xml:space="preserve"> that the response patterns are systematic as opposed to random, which indicates measurement reliability.</w:t>
      </w:r>
    </w:p>
    <w:p w14:paraId="1FAD56F5" w14:textId="77777777" w:rsidR="00885F3C" w:rsidRPr="003D2A76" w:rsidRDefault="00885F3C" w:rsidP="00BD6279">
      <w:pPr>
        <w:bidi w:val="0"/>
        <w:rPr>
          <w:rFonts w:asciiTheme="majorBidi" w:hAnsiTheme="majorBidi" w:cstheme="majorBidi"/>
          <w:b/>
          <w:bCs/>
          <w:lang w:val="en-GB"/>
        </w:rPr>
      </w:pPr>
      <w:bookmarkStart w:id="64" w:name="_Toc227161640"/>
      <w:r w:rsidRPr="003D2A76">
        <w:rPr>
          <w:rFonts w:asciiTheme="majorBidi" w:hAnsiTheme="majorBidi" w:cstheme="majorBidi"/>
          <w:b/>
          <w:bCs/>
          <w:lang w:val="en-GB"/>
        </w:rPr>
        <w:t xml:space="preserve">Table 2 </w:t>
      </w:r>
      <w:r w:rsidRPr="003D2A76">
        <w:rPr>
          <w:rFonts w:asciiTheme="majorBidi" w:hAnsiTheme="majorBidi" w:cstheme="majorBidi"/>
          <w:b/>
          <w:bCs/>
          <w:lang w:val="en-GB"/>
        </w:rPr>
        <w:br/>
      </w:r>
      <w:bookmarkStart w:id="65" w:name="_Hlk232587598"/>
      <w:r w:rsidRPr="003D2A76">
        <w:rPr>
          <w:rFonts w:asciiTheme="majorBidi" w:hAnsiTheme="majorBidi" w:cstheme="majorBidi"/>
          <w:b/>
          <w:bCs/>
          <w:lang w:val="en-GB"/>
        </w:rPr>
        <w:t xml:space="preserve">Descriptive Statistics for Study Variables </w:t>
      </w:r>
      <w:bookmarkEnd w:id="65"/>
      <w:r w:rsidRPr="003D2A76">
        <w:rPr>
          <w:rFonts w:asciiTheme="majorBidi" w:hAnsiTheme="majorBidi" w:cstheme="majorBidi"/>
          <w:b/>
          <w:bCs/>
          <w:lang w:val="en-GB"/>
        </w:rPr>
        <w:t>(N = 409)</w:t>
      </w:r>
      <w:bookmarkEnd w:id="64"/>
    </w:p>
    <w:tbl>
      <w:tblPr>
        <w:tblStyle w:val="TableGrid"/>
        <w:tblW w:w="5000" w:type="pct"/>
        <w:tblLook w:val="04A0" w:firstRow="1" w:lastRow="0" w:firstColumn="1" w:lastColumn="0" w:noHBand="0" w:noVBand="1"/>
      </w:tblPr>
      <w:tblGrid>
        <w:gridCol w:w="3521"/>
        <w:gridCol w:w="813"/>
        <w:gridCol w:w="648"/>
        <w:gridCol w:w="1196"/>
        <w:gridCol w:w="1103"/>
        <w:gridCol w:w="655"/>
        <w:gridCol w:w="694"/>
      </w:tblGrid>
      <w:tr w:rsidR="00885F3C" w:rsidRPr="003D2A76" w14:paraId="1F071D1D" w14:textId="77777777" w:rsidTr="00885F3C">
        <w:tc>
          <w:tcPr>
            <w:tcW w:w="0" w:type="auto"/>
            <w:hideMark/>
          </w:tcPr>
          <w:p w14:paraId="57EDA9D4"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Variable</w:t>
            </w:r>
          </w:p>
        </w:tc>
        <w:tc>
          <w:tcPr>
            <w:tcW w:w="0" w:type="auto"/>
            <w:hideMark/>
          </w:tcPr>
          <w:p w14:paraId="53990607"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Mean</w:t>
            </w:r>
          </w:p>
        </w:tc>
        <w:tc>
          <w:tcPr>
            <w:tcW w:w="0" w:type="auto"/>
            <w:hideMark/>
          </w:tcPr>
          <w:p w14:paraId="3089167B"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SD</w:t>
            </w:r>
          </w:p>
        </w:tc>
        <w:tc>
          <w:tcPr>
            <w:tcW w:w="0" w:type="auto"/>
            <w:hideMark/>
          </w:tcPr>
          <w:p w14:paraId="163041A8"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Skewness</w:t>
            </w:r>
          </w:p>
        </w:tc>
        <w:tc>
          <w:tcPr>
            <w:tcW w:w="0" w:type="auto"/>
            <w:hideMark/>
          </w:tcPr>
          <w:p w14:paraId="54537CC2"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Kurtosis</w:t>
            </w:r>
          </w:p>
        </w:tc>
        <w:tc>
          <w:tcPr>
            <w:tcW w:w="0" w:type="auto"/>
            <w:hideMark/>
          </w:tcPr>
          <w:p w14:paraId="21E5F732"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Min</w:t>
            </w:r>
          </w:p>
        </w:tc>
        <w:tc>
          <w:tcPr>
            <w:tcW w:w="0" w:type="auto"/>
            <w:hideMark/>
          </w:tcPr>
          <w:p w14:paraId="0E48EF0A"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Max</w:t>
            </w:r>
          </w:p>
        </w:tc>
      </w:tr>
      <w:tr w:rsidR="00885F3C" w:rsidRPr="003D2A76" w14:paraId="19C0D00B" w14:textId="77777777" w:rsidTr="00885F3C">
        <w:tc>
          <w:tcPr>
            <w:tcW w:w="0" w:type="auto"/>
            <w:hideMark/>
          </w:tcPr>
          <w:p w14:paraId="6EF4AA23"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AI Adoption in Teaching</w:t>
            </w:r>
          </w:p>
        </w:tc>
        <w:tc>
          <w:tcPr>
            <w:tcW w:w="0" w:type="auto"/>
            <w:hideMark/>
          </w:tcPr>
          <w:p w14:paraId="3B30014B"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5.29</w:t>
            </w:r>
          </w:p>
        </w:tc>
        <w:tc>
          <w:tcPr>
            <w:tcW w:w="0" w:type="auto"/>
            <w:hideMark/>
          </w:tcPr>
          <w:p w14:paraId="3BAE686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1.14</w:t>
            </w:r>
          </w:p>
        </w:tc>
        <w:tc>
          <w:tcPr>
            <w:tcW w:w="0" w:type="auto"/>
            <w:hideMark/>
          </w:tcPr>
          <w:p w14:paraId="2CE7D5D7"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-1.16</w:t>
            </w:r>
          </w:p>
        </w:tc>
        <w:tc>
          <w:tcPr>
            <w:tcW w:w="0" w:type="auto"/>
            <w:hideMark/>
          </w:tcPr>
          <w:p w14:paraId="5503693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1.09</w:t>
            </w:r>
          </w:p>
        </w:tc>
        <w:tc>
          <w:tcPr>
            <w:tcW w:w="0" w:type="auto"/>
            <w:hideMark/>
          </w:tcPr>
          <w:p w14:paraId="7EE7D065"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1.00</w:t>
            </w:r>
          </w:p>
        </w:tc>
        <w:tc>
          <w:tcPr>
            <w:tcW w:w="0" w:type="auto"/>
            <w:hideMark/>
          </w:tcPr>
          <w:p w14:paraId="1E32B11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r w:rsidR="00885F3C" w:rsidRPr="003D2A76" w14:paraId="1B7340C1" w14:textId="77777777" w:rsidTr="00885F3C">
        <w:tc>
          <w:tcPr>
            <w:tcW w:w="0" w:type="auto"/>
            <w:hideMark/>
          </w:tcPr>
          <w:p w14:paraId="14FA062C"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AI Adoption in Marketing</w:t>
            </w:r>
          </w:p>
        </w:tc>
        <w:tc>
          <w:tcPr>
            <w:tcW w:w="0" w:type="auto"/>
            <w:hideMark/>
          </w:tcPr>
          <w:p w14:paraId="56CB871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5.21</w:t>
            </w:r>
          </w:p>
        </w:tc>
        <w:tc>
          <w:tcPr>
            <w:tcW w:w="0" w:type="auto"/>
            <w:hideMark/>
          </w:tcPr>
          <w:p w14:paraId="590A9E0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1.13</w:t>
            </w:r>
          </w:p>
        </w:tc>
        <w:tc>
          <w:tcPr>
            <w:tcW w:w="0" w:type="auto"/>
            <w:hideMark/>
          </w:tcPr>
          <w:p w14:paraId="075C50A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-1.18</w:t>
            </w:r>
          </w:p>
        </w:tc>
        <w:tc>
          <w:tcPr>
            <w:tcW w:w="0" w:type="auto"/>
            <w:hideMark/>
          </w:tcPr>
          <w:p w14:paraId="7B8DCFC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0.95</w:t>
            </w:r>
          </w:p>
        </w:tc>
        <w:tc>
          <w:tcPr>
            <w:tcW w:w="0" w:type="auto"/>
            <w:hideMark/>
          </w:tcPr>
          <w:p w14:paraId="0A6A0F32"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1.00</w:t>
            </w:r>
          </w:p>
        </w:tc>
        <w:tc>
          <w:tcPr>
            <w:tcW w:w="0" w:type="auto"/>
            <w:hideMark/>
          </w:tcPr>
          <w:p w14:paraId="21D5A04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r w:rsidR="00885F3C" w:rsidRPr="003D2A76" w14:paraId="7F70C52D" w14:textId="77777777" w:rsidTr="00885F3C">
        <w:tc>
          <w:tcPr>
            <w:tcW w:w="0" w:type="auto"/>
            <w:hideMark/>
          </w:tcPr>
          <w:p w14:paraId="2F87E7FB"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Perceived Service Quality</w:t>
            </w:r>
          </w:p>
        </w:tc>
        <w:tc>
          <w:tcPr>
            <w:tcW w:w="0" w:type="auto"/>
            <w:hideMark/>
          </w:tcPr>
          <w:p w14:paraId="0BDB670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5.33</w:t>
            </w:r>
          </w:p>
        </w:tc>
        <w:tc>
          <w:tcPr>
            <w:tcW w:w="0" w:type="auto"/>
            <w:hideMark/>
          </w:tcPr>
          <w:p w14:paraId="7B0CE92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0.99</w:t>
            </w:r>
          </w:p>
        </w:tc>
        <w:tc>
          <w:tcPr>
            <w:tcW w:w="0" w:type="auto"/>
            <w:hideMark/>
          </w:tcPr>
          <w:p w14:paraId="395AA84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-0.75</w:t>
            </w:r>
          </w:p>
        </w:tc>
        <w:tc>
          <w:tcPr>
            <w:tcW w:w="0" w:type="auto"/>
            <w:hideMark/>
          </w:tcPr>
          <w:p w14:paraId="65F5D34D"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22B81D52"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1.89</w:t>
            </w:r>
          </w:p>
        </w:tc>
        <w:tc>
          <w:tcPr>
            <w:tcW w:w="0" w:type="auto"/>
            <w:hideMark/>
          </w:tcPr>
          <w:p w14:paraId="0C499F4B"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r w:rsidR="00885F3C" w:rsidRPr="003D2A76" w14:paraId="3582CAD2" w14:textId="77777777" w:rsidTr="00885F3C">
        <w:tc>
          <w:tcPr>
            <w:tcW w:w="0" w:type="auto"/>
            <w:hideMark/>
          </w:tcPr>
          <w:p w14:paraId="244953BF"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Trust</w:t>
            </w:r>
          </w:p>
        </w:tc>
        <w:tc>
          <w:tcPr>
            <w:tcW w:w="0" w:type="auto"/>
            <w:hideMark/>
          </w:tcPr>
          <w:p w14:paraId="2C1E9EBB"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5.44</w:t>
            </w:r>
          </w:p>
        </w:tc>
        <w:tc>
          <w:tcPr>
            <w:tcW w:w="0" w:type="auto"/>
            <w:hideMark/>
          </w:tcPr>
          <w:p w14:paraId="2DBC2555"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1.09</w:t>
            </w:r>
          </w:p>
        </w:tc>
        <w:tc>
          <w:tcPr>
            <w:tcW w:w="0" w:type="auto"/>
            <w:hideMark/>
          </w:tcPr>
          <w:p w14:paraId="25F0E69A"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-1.44</w:t>
            </w:r>
          </w:p>
        </w:tc>
        <w:tc>
          <w:tcPr>
            <w:tcW w:w="0" w:type="auto"/>
            <w:hideMark/>
          </w:tcPr>
          <w:p w14:paraId="25CB68A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3.10</w:t>
            </w:r>
          </w:p>
        </w:tc>
        <w:tc>
          <w:tcPr>
            <w:tcW w:w="0" w:type="auto"/>
            <w:hideMark/>
          </w:tcPr>
          <w:p w14:paraId="077BA0A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1.00</w:t>
            </w:r>
          </w:p>
        </w:tc>
        <w:tc>
          <w:tcPr>
            <w:tcW w:w="0" w:type="auto"/>
            <w:hideMark/>
          </w:tcPr>
          <w:p w14:paraId="2CCFA89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r w:rsidR="00885F3C" w:rsidRPr="003D2A76" w14:paraId="47CB9568" w14:textId="77777777" w:rsidTr="00885F3C">
        <w:tc>
          <w:tcPr>
            <w:tcW w:w="0" w:type="auto"/>
            <w:hideMark/>
          </w:tcPr>
          <w:p w14:paraId="75ABB5B3"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Perceived Value</w:t>
            </w:r>
          </w:p>
        </w:tc>
        <w:tc>
          <w:tcPr>
            <w:tcW w:w="0" w:type="auto"/>
            <w:hideMark/>
          </w:tcPr>
          <w:p w14:paraId="576684F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5.26</w:t>
            </w:r>
          </w:p>
        </w:tc>
        <w:tc>
          <w:tcPr>
            <w:tcW w:w="0" w:type="auto"/>
            <w:hideMark/>
          </w:tcPr>
          <w:p w14:paraId="1307079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1.14</w:t>
            </w:r>
          </w:p>
        </w:tc>
        <w:tc>
          <w:tcPr>
            <w:tcW w:w="0" w:type="auto"/>
            <w:hideMark/>
          </w:tcPr>
          <w:p w14:paraId="0FB9FC6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-1.09</w:t>
            </w:r>
          </w:p>
        </w:tc>
        <w:tc>
          <w:tcPr>
            <w:tcW w:w="0" w:type="auto"/>
            <w:hideMark/>
          </w:tcPr>
          <w:p w14:paraId="6D13B947"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0.71</w:t>
            </w:r>
          </w:p>
        </w:tc>
        <w:tc>
          <w:tcPr>
            <w:tcW w:w="0" w:type="auto"/>
            <w:hideMark/>
          </w:tcPr>
          <w:p w14:paraId="28B7C0C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1.00</w:t>
            </w:r>
          </w:p>
        </w:tc>
        <w:tc>
          <w:tcPr>
            <w:tcW w:w="0" w:type="auto"/>
            <w:hideMark/>
          </w:tcPr>
          <w:p w14:paraId="2C6C0A15"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r w:rsidR="00885F3C" w:rsidRPr="003D2A76" w14:paraId="398C4AAB" w14:textId="77777777" w:rsidTr="00885F3C">
        <w:tc>
          <w:tcPr>
            <w:tcW w:w="0" w:type="auto"/>
            <w:hideMark/>
          </w:tcPr>
          <w:p w14:paraId="682F7F16"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Purchase/Continuance Intention</w:t>
            </w:r>
          </w:p>
        </w:tc>
        <w:tc>
          <w:tcPr>
            <w:tcW w:w="0" w:type="auto"/>
            <w:hideMark/>
          </w:tcPr>
          <w:p w14:paraId="012B53B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5.24</w:t>
            </w:r>
          </w:p>
        </w:tc>
        <w:tc>
          <w:tcPr>
            <w:tcW w:w="0" w:type="auto"/>
            <w:hideMark/>
          </w:tcPr>
          <w:p w14:paraId="7636B24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1.16</w:t>
            </w:r>
          </w:p>
        </w:tc>
        <w:tc>
          <w:tcPr>
            <w:tcW w:w="0" w:type="auto"/>
            <w:hideMark/>
          </w:tcPr>
          <w:p w14:paraId="2B62F74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-1.37</w:t>
            </w:r>
          </w:p>
        </w:tc>
        <w:tc>
          <w:tcPr>
            <w:tcW w:w="0" w:type="auto"/>
            <w:hideMark/>
          </w:tcPr>
          <w:p w14:paraId="0EB488B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2.50</w:t>
            </w:r>
          </w:p>
        </w:tc>
        <w:tc>
          <w:tcPr>
            <w:tcW w:w="0" w:type="auto"/>
            <w:hideMark/>
          </w:tcPr>
          <w:p w14:paraId="3EED202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1.00</w:t>
            </w:r>
          </w:p>
        </w:tc>
        <w:tc>
          <w:tcPr>
            <w:tcW w:w="0" w:type="auto"/>
            <w:hideMark/>
          </w:tcPr>
          <w:p w14:paraId="29F866CB"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r w:rsidR="00885F3C" w:rsidRPr="003D2A76" w14:paraId="6BCED38F" w14:textId="77777777" w:rsidTr="00885F3C">
        <w:tc>
          <w:tcPr>
            <w:tcW w:w="0" w:type="auto"/>
            <w:hideMark/>
          </w:tcPr>
          <w:p w14:paraId="5619628E"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Cultural Factors</w:t>
            </w:r>
          </w:p>
        </w:tc>
        <w:tc>
          <w:tcPr>
            <w:tcW w:w="0" w:type="auto"/>
            <w:hideMark/>
          </w:tcPr>
          <w:p w14:paraId="26E6B2A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5.98</w:t>
            </w:r>
          </w:p>
        </w:tc>
        <w:tc>
          <w:tcPr>
            <w:tcW w:w="0" w:type="auto"/>
            <w:hideMark/>
          </w:tcPr>
          <w:p w14:paraId="7B60C56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1.08</w:t>
            </w:r>
          </w:p>
        </w:tc>
        <w:tc>
          <w:tcPr>
            <w:tcW w:w="0" w:type="auto"/>
            <w:hideMark/>
          </w:tcPr>
          <w:p w14:paraId="4A81C93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-2.36</w:t>
            </w:r>
          </w:p>
        </w:tc>
        <w:tc>
          <w:tcPr>
            <w:tcW w:w="0" w:type="auto"/>
            <w:hideMark/>
          </w:tcPr>
          <w:p w14:paraId="7012650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6.44</w:t>
            </w:r>
          </w:p>
        </w:tc>
        <w:tc>
          <w:tcPr>
            <w:tcW w:w="0" w:type="auto"/>
            <w:hideMark/>
          </w:tcPr>
          <w:p w14:paraId="0CB9BF8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1.00</w:t>
            </w:r>
          </w:p>
        </w:tc>
        <w:tc>
          <w:tcPr>
            <w:tcW w:w="0" w:type="auto"/>
            <w:hideMark/>
          </w:tcPr>
          <w:p w14:paraId="4CF4F10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7.00</w:t>
            </w:r>
          </w:p>
        </w:tc>
      </w:tr>
    </w:tbl>
    <w:p w14:paraId="7896FC1F" w14:textId="77777777" w:rsidR="00885F3C" w:rsidRPr="003D2A76" w:rsidRDefault="00885F3C" w:rsidP="00BD6279">
      <w:pPr>
        <w:bidi w:val="0"/>
        <w:rPr>
          <w:rFonts w:asciiTheme="majorBidi" w:hAnsiTheme="majorBidi" w:cstheme="majorBidi"/>
          <w:vertAlign w:val="superscript"/>
          <w:lang w:val="en-GB"/>
        </w:rPr>
      </w:pPr>
      <w:r w:rsidRPr="003D2A76">
        <w:rPr>
          <w:rFonts w:asciiTheme="majorBidi" w:hAnsiTheme="majorBidi" w:cstheme="majorBidi"/>
          <w:i/>
          <w:iCs/>
          <w:vertAlign w:val="superscript"/>
          <w:lang w:val="en-GB"/>
        </w:rPr>
        <w:t>Note.</w:t>
      </w:r>
      <w:r w:rsidRPr="003D2A76">
        <w:rPr>
          <w:rFonts w:asciiTheme="majorBidi" w:hAnsiTheme="majorBidi" w:cstheme="majorBidi"/>
          <w:vertAlign w:val="superscript"/>
          <w:lang w:val="en-GB"/>
        </w:rPr>
        <w:t xml:space="preserve"> All variables measured on a 7-point Likert scale (1 = Strongly Disagree, 7 = Strongly Agree).</w:t>
      </w:r>
    </w:p>
    <w:p w14:paraId="5353361C" w14:textId="4BC9FFE1" w:rsidR="00885F3C" w:rsidRPr="003D2A76" w:rsidRDefault="009B03B2" w:rsidP="00BD6279">
      <w:pPr>
        <w:bidi w:val="0"/>
        <w:rPr>
          <w:rFonts w:asciiTheme="majorBidi" w:hAnsiTheme="majorBidi" w:cstheme="majorBidi"/>
          <w:b/>
          <w:bCs/>
          <w:i/>
          <w:lang w:val="en-GB"/>
        </w:rPr>
      </w:pPr>
      <w:bookmarkStart w:id="66" w:name="_Toc216904161"/>
      <w:r>
        <w:rPr>
          <w:rFonts w:asciiTheme="majorBidi" w:hAnsiTheme="majorBidi" w:cstheme="majorBidi"/>
          <w:b/>
          <w:bCs/>
          <w:i/>
          <w:lang w:val="en-GB"/>
        </w:rPr>
        <w:t xml:space="preserve">4.4.3 </w:t>
      </w:r>
      <w:r w:rsidR="00885F3C" w:rsidRPr="003D2A76">
        <w:rPr>
          <w:rFonts w:asciiTheme="majorBidi" w:hAnsiTheme="majorBidi" w:cstheme="majorBidi"/>
          <w:b/>
          <w:bCs/>
          <w:i/>
          <w:lang w:val="en-GB"/>
        </w:rPr>
        <w:t>Perceived Service Quality Dimensions</w:t>
      </w:r>
      <w:bookmarkEnd w:id="66"/>
    </w:p>
    <w:p w14:paraId="3A4FABF6" w14:textId="542318E5"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total perceived service quality had a mean score of 5.33 (SD = 0.99), showing that people positively rated the services related to education in the dimensions of SERVQUAL. The standard deviation is also </w:t>
      </w:r>
      <w:r w:rsidR="00F667BD">
        <w:rPr>
          <w:rFonts w:asciiTheme="majorBidi" w:hAnsiTheme="majorBidi" w:cstheme="majorBidi"/>
          <w:lang w:val="en-GB"/>
        </w:rPr>
        <w:t>lower</w:t>
      </w:r>
      <w:r w:rsidRPr="003D2A76">
        <w:rPr>
          <w:rFonts w:asciiTheme="majorBidi" w:hAnsiTheme="majorBidi" w:cstheme="majorBidi"/>
          <w:lang w:val="en-GB"/>
        </w:rPr>
        <w:t xml:space="preserve"> than </w:t>
      </w:r>
      <w:r w:rsidR="00510750" w:rsidRPr="003D2A76">
        <w:rPr>
          <w:rFonts w:asciiTheme="majorBidi" w:hAnsiTheme="majorBidi" w:cstheme="majorBidi"/>
          <w:lang w:val="en-GB"/>
        </w:rPr>
        <w:t xml:space="preserve">for </w:t>
      </w:r>
      <w:r w:rsidRPr="003D2A76">
        <w:rPr>
          <w:rFonts w:asciiTheme="majorBidi" w:hAnsiTheme="majorBidi" w:cstheme="majorBidi"/>
          <w:lang w:val="en-GB"/>
        </w:rPr>
        <w:t>other constructs</w:t>
      </w:r>
      <w:r w:rsidR="00F667BD">
        <w:rPr>
          <w:rFonts w:asciiTheme="majorBidi" w:hAnsiTheme="majorBidi" w:cstheme="majorBidi"/>
          <w:lang w:val="en-GB"/>
        </w:rPr>
        <w:t>,</w:t>
      </w:r>
      <w:r w:rsidRPr="003D2A76">
        <w:rPr>
          <w:rFonts w:asciiTheme="majorBidi" w:hAnsiTheme="majorBidi" w:cstheme="majorBidi"/>
          <w:lang w:val="en-GB"/>
        </w:rPr>
        <w:t xml:space="preserve"> which indicate</w:t>
      </w:r>
      <w:r w:rsidR="00510750" w:rsidRPr="003D2A76">
        <w:rPr>
          <w:rFonts w:asciiTheme="majorBidi" w:hAnsiTheme="majorBidi" w:cstheme="majorBidi"/>
          <w:lang w:val="en-GB"/>
        </w:rPr>
        <w:t>s</w:t>
      </w:r>
      <w:r w:rsidRPr="003D2A76">
        <w:rPr>
          <w:rFonts w:asciiTheme="majorBidi" w:hAnsiTheme="majorBidi" w:cstheme="majorBidi"/>
          <w:lang w:val="en-GB"/>
        </w:rPr>
        <w:t xml:space="preserve"> a higher level of agreement on service quality perceptions. The dimension analysis conducted on individuals showed subtle trends in quality perceptions in service delivery dimensions. The </w:t>
      </w:r>
      <w:r w:rsidR="00510750" w:rsidRPr="003D2A76">
        <w:rPr>
          <w:rFonts w:asciiTheme="majorBidi" w:hAnsiTheme="majorBidi" w:cstheme="majorBidi"/>
          <w:lang w:val="en-GB"/>
        </w:rPr>
        <w:t xml:space="preserve">tangibility </w:t>
      </w:r>
      <w:r w:rsidR="00F667BD">
        <w:rPr>
          <w:rFonts w:asciiTheme="majorBidi" w:hAnsiTheme="majorBidi" w:cstheme="majorBidi"/>
          <w:lang w:val="en-GB"/>
        </w:rPr>
        <w:t>dimension</w:t>
      </w:r>
      <w:r w:rsidRPr="003D2A76">
        <w:rPr>
          <w:rFonts w:asciiTheme="majorBidi" w:hAnsiTheme="majorBidi" w:cstheme="majorBidi"/>
          <w:lang w:val="en-GB"/>
        </w:rPr>
        <w:t>, including physical facilities and technology infrastructure</w:t>
      </w:r>
      <w:r w:rsidR="00F667BD">
        <w:rPr>
          <w:rFonts w:asciiTheme="majorBidi" w:hAnsiTheme="majorBidi" w:cstheme="majorBidi"/>
          <w:lang w:val="en-GB"/>
        </w:rPr>
        <w:t>,</w:t>
      </w:r>
      <w:r w:rsidRPr="003D2A76">
        <w:rPr>
          <w:rFonts w:asciiTheme="majorBidi" w:hAnsiTheme="majorBidi" w:cstheme="majorBidi"/>
          <w:lang w:val="en-GB"/>
        </w:rPr>
        <w:t xml:space="preserve"> scored the highest (M = 5.52, SD = 1.05). This discovery shows how modern facilities and learning technology</w:t>
      </w:r>
      <w:r w:rsidR="00F667BD">
        <w:rPr>
          <w:rFonts w:asciiTheme="majorBidi" w:hAnsiTheme="majorBidi" w:cstheme="majorBidi"/>
          <w:lang w:val="en-GB"/>
        </w:rPr>
        <w:t>,</w:t>
      </w:r>
      <w:r w:rsidRPr="003D2A76">
        <w:rPr>
          <w:rFonts w:asciiTheme="majorBidi" w:hAnsiTheme="majorBidi" w:cstheme="majorBidi"/>
          <w:lang w:val="en-GB"/>
        </w:rPr>
        <w:t xml:space="preserve"> such as classrooms equipped with AI and digital learning materials</w:t>
      </w:r>
      <w:r w:rsidR="00F667BD">
        <w:rPr>
          <w:rFonts w:asciiTheme="majorBidi" w:hAnsiTheme="majorBidi" w:cstheme="majorBidi"/>
          <w:lang w:val="en-GB"/>
        </w:rPr>
        <w:t>,</w:t>
      </w:r>
      <w:r w:rsidRPr="003D2A76">
        <w:rPr>
          <w:rFonts w:asciiTheme="majorBidi" w:hAnsiTheme="majorBidi" w:cstheme="majorBidi"/>
          <w:lang w:val="en-GB"/>
        </w:rPr>
        <w:t xml:space="preserve"> are invested in by private schools. The scores on tangibility are high, which confirms the focus on the physical evidence in service marketing, which is especially appropriate in educational settings where facilities indicate the level of quality in an institution. Reliability, which is a measure of consistency and dependability in service delivery</w:t>
      </w:r>
      <w:r w:rsidR="00F667BD">
        <w:rPr>
          <w:rFonts w:asciiTheme="majorBidi" w:hAnsiTheme="majorBidi" w:cstheme="majorBidi"/>
          <w:lang w:val="en-GB"/>
        </w:rPr>
        <w:t>,</w:t>
      </w:r>
      <w:r w:rsidRPr="003D2A76">
        <w:rPr>
          <w:rFonts w:asciiTheme="majorBidi" w:hAnsiTheme="majorBidi" w:cstheme="majorBidi"/>
          <w:lang w:val="en-GB"/>
        </w:rPr>
        <w:t xml:space="preserve"> performed well (M = 5.41, SD = 1.08). The respondents </w:t>
      </w:r>
      <w:r w:rsidRPr="003D2A76">
        <w:rPr>
          <w:rFonts w:asciiTheme="majorBidi" w:hAnsiTheme="majorBidi" w:cstheme="majorBidi"/>
          <w:lang w:val="en-GB"/>
        </w:rPr>
        <w:lastRenderedPageBreak/>
        <w:t>liked the fact that schools were able to provide educational services as promised, have academic schedules, and stable operation of technology platforms. The variability is low</w:t>
      </w:r>
      <w:r w:rsidR="00F667BD">
        <w:rPr>
          <w:rFonts w:asciiTheme="majorBidi" w:hAnsiTheme="majorBidi" w:cstheme="majorBidi"/>
          <w:lang w:val="en-GB"/>
        </w:rPr>
        <w:t>,</w:t>
      </w:r>
      <w:r w:rsidRPr="003D2A76">
        <w:rPr>
          <w:rFonts w:asciiTheme="majorBidi" w:hAnsiTheme="majorBidi" w:cstheme="majorBidi"/>
          <w:lang w:val="en-GB"/>
        </w:rPr>
        <w:t xml:space="preserve"> indicating </w:t>
      </w:r>
      <w:r w:rsidR="00F667BD">
        <w:rPr>
          <w:rFonts w:asciiTheme="majorBidi" w:hAnsiTheme="majorBidi" w:cstheme="majorBidi"/>
          <w:lang w:val="en-GB"/>
        </w:rPr>
        <w:t>homogeneous</w:t>
      </w:r>
      <w:r w:rsidRPr="003D2A76">
        <w:rPr>
          <w:rFonts w:asciiTheme="majorBidi" w:hAnsiTheme="majorBidi" w:cstheme="majorBidi"/>
          <w:lang w:val="en-GB"/>
        </w:rPr>
        <w:t xml:space="preserve"> experiences of reliability among institutions. The scores on responsiveness (M = 5.31, SD = 1.12) reflected unsatisfactory but capable service delivery and </w:t>
      </w:r>
      <w:r w:rsidR="00F667BD">
        <w:rPr>
          <w:rFonts w:asciiTheme="majorBidi" w:hAnsiTheme="majorBidi" w:cstheme="majorBidi"/>
          <w:lang w:val="en-GB"/>
        </w:rPr>
        <w:t xml:space="preserve">a </w:t>
      </w:r>
      <w:r w:rsidRPr="003D2A76">
        <w:rPr>
          <w:rFonts w:asciiTheme="majorBidi" w:hAnsiTheme="majorBidi" w:cstheme="majorBidi"/>
          <w:lang w:val="en-GB"/>
        </w:rPr>
        <w:t>desire to help the stakeholders. The slightly increased standard deviation alludes to the varying experiences that may be based on the difference in the institutional resources or staff training in the use of technology in service delivery. Assurance dimensions, which represent the capacity and skills of the staff to generate confidence, scored moderate</w:t>
      </w:r>
      <w:r w:rsidR="00510750" w:rsidRPr="003D2A76">
        <w:rPr>
          <w:rFonts w:asciiTheme="majorBidi" w:hAnsiTheme="majorBidi" w:cstheme="majorBidi"/>
          <w:lang w:val="en-GB"/>
        </w:rPr>
        <w:t>ly</w:t>
      </w:r>
      <w:r w:rsidRPr="003D2A76">
        <w:rPr>
          <w:rFonts w:asciiTheme="majorBidi" w:hAnsiTheme="majorBidi" w:cstheme="majorBidi"/>
          <w:lang w:val="en-GB"/>
        </w:rPr>
        <w:t xml:space="preserve"> (M = 5.28, SD = 1.15). Although these scores are positive, they indicate that further improvement of staff competence is possible, especially </w:t>
      </w:r>
      <w:r w:rsidR="00510750" w:rsidRPr="003D2A76">
        <w:rPr>
          <w:rFonts w:asciiTheme="majorBidi" w:hAnsiTheme="majorBidi" w:cstheme="majorBidi"/>
          <w:lang w:val="en-GB"/>
        </w:rPr>
        <w:t xml:space="preserve">in terms of </w:t>
      </w:r>
      <w:r w:rsidRPr="003D2A76">
        <w:rPr>
          <w:rFonts w:asciiTheme="majorBidi" w:hAnsiTheme="majorBidi" w:cstheme="majorBidi"/>
          <w:lang w:val="en-GB"/>
        </w:rPr>
        <w:t>the explanation of AI technology and its support. The connection of AI adoption and assurance perceptions is a topic to be explored in greater detail in hypothesis testing. The least positive scores were empathy</w:t>
      </w:r>
      <w:r w:rsidR="00F667BD">
        <w:rPr>
          <w:rFonts w:asciiTheme="majorBidi" w:hAnsiTheme="majorBidi" w:cstheme="majorBidi"/>
          <w:lang w:val="en-GB"/>
        </w:rPr>
        <w:t>,</w:t>
      </w:r>
      <w:r w:rsidRPr="003D2A76">
        <w:rPr>
          <w:rFonts w:asciiTheme="majorBidi" w:hAnsiTheme="majorBidi" w:cstheme="majorBidi"/>
          <w:lang w:val="en-GB"/>
        </w:rPr>
        <w:t xml:space="preserve"> which measures </w:t>
      </w:r>
      <w:r w:rsidR="00510750" w:rsidRPr="003D2A76">
        <w:rPr>
          <w:rFonts w:asciiTheme="majorBidi" w:hAnsiTheme="majorBidi" w:cstheme="majorBidi"/>
          <w:lang w:val="en-GB"/>
        </w:rPr>
        <w:t xml:space="preserve">individualised </w:t>
      </w:r>
      <w:r w:rsidRPr="003D2A76">
        <w:rPr>
          <w:rFonts w:asciiTheme="majorBidi" w:hAnsiTheme="majorBidi" w:cstheme="majorBidi"/>
          <w:lang w:val="en-GB"/>
        </w:rPr>
        <w:t>attention and care (M = 5.19, SD = 1.18). This observation may be indicative of the difficulties in sustaining individual relationships as technology-mediated education delivery is applied. The dilemma between the efficiency of automation and individual attention is one of the most crucial issues of AI-improving institutions.</w:t>
      </w:r>
    </w:p>
    <w:p w14:paraId="1D84C367" w14:textId="042D28C0" w:rsidR="00885F3C" w:rsidRPr="003D2A76" w:rsidRDefault="009B03B2" w:rsidP="00BD6279">
      <w:pPr>
        <w:bidi w:val="0"/>
        <w:rPr>
          <w:rFonts w:asciiTheme="majorBidi" w:hAnsiTheme="majorBidi" w:cstheme="majorBidi"/>
          <w:b/>
          <w:bCs/>
          <w:i/>
          <w:lang w:val="en-GB"/>
        </w:rPr>
      </w:pPr>
      <w:bookmarkStart w:id="67" w:name="_Toc216904162"/>
      <w:r>
        <w:rPr>
          <w:rFonts w:asciiTheme="majorBidi" w:hAnsiTheme="majorBidi" w:cstheme="majorBidi"/>
          <w:b/>
          <w:bCs/>
          <w:i/>
          <w:lang w:val="en-GB"/>
        </w:rPr>
        <w:t xml:space="preserve">4.4.4 </w:t>
      </w:r>
      <w:r w:rsidR="00885F3C" w:rsidRPr="003D2A76">
        <w:rPr>
          <w:rFonts w:asciiTheme="majorBidi" w:hAnsiTheme="majorBidi" w:cstheme="majorBidi"/>
          <w:b/>
          <w:bCs/>
          <w:i/>
          <w:lang w:val="en-GB"/>
        </w:rPr>
        <w:t>Trust in Educational Institution</w:t>
      </w:r>
      <w:bookmarkEnd w:id="67"/>
    </w:p>
    <w:p w14:paraId="09490164" w14:textId="4B8CA96B"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study variables with the highest mean scores </w:t>
      </w:r>
      <w:r w:rsidR="00510750" w:rsidRPr="003D2A76">
        <w:rPr>
          <w:rFonts w:asciiTheme="majorBidi" w:hAnsiTheme="majorBidi" w:cstheme="majorBidi"/>
          <w:lang w:val="en-GB"/>
        </w:rPr>
        <w:t xml:space="preserve">were </w:t>
      </w:r>
      <w:r w:rsidRPr="003D2A76">
        <w:rPr>
          <w:rFonts w:asciiTheme="majorBidi" w:hAnsiTheme="majorBidi" w:cstheme="majorBidi"/>
          <w:lang w:val="en-GB"/>
        </w:rPr>
        <w:t>in the trust measure (M = 5.44, SD = 1.09)</w:t>
      </w:r>
      <w:r w:rsidR="00F667BD">
        <w:rPr>
          <w:rFonts w:asciiTheme="majorBidi" w:hAnsiTheme="majorBidi" w:cstheme="majorBidi"/>
          <w:lang w:val="en-GB"/>
        </w:rPr>
        <w:t>,</w:t>
      </w:r>
      <w:r w:rsidRPr="003D2A76">
        <w:rPr>
          <w:rFonts w:asciiTheme="majorBidi" w:hAnsiTheme="majorBidi" w:cstheme="majorBidi"/>
          <w:lang w:val="en-GB"/>
        </w:rPr>
        <w:t xml:space="preserve"> </w:t>
      </w:r>
      <w:r w:rsidR="00F667BD">
        <w:rPr>
          <w:rFonts w:asciiTheme="majorBidi" w:hAnsiTheme="majorBidi" w:cstheme="majorBidi"/>
          <w:lang w:val="en-GB"/>
        </w:rPr>
        <w:t>showing</w:t>
      </w:r>
      <w:r w:rsidRPr="003D2A76">
        <w:rPr>
          <w:rFonts w:asciiTheme="majorBidi" w:hAnsiTheme="majorBidi" w:cstheme="majorBidi"/>
          <w:lang w:val="en-GB"/>
        </w:rPr>
        <w:t xml:space="preserve"> that people have a lot of confidence in the competence and benevolence of private schools. Both high levels of trust give a basis </w:t>
      </w:r>
      <w:r w:rsidR="00510750" w:rsidRPr="003D2A76">
        <w:rPr>
          <w:rFonts w:asciiTheme="majorBidi" w:hAnsiTheme="majorBidi" w:cstheme="majorBidi"/>
          <w:lang w:val="en-GB"/>
        </w:rPr>
        <w:t xml:space="preserve">for </w:t>
      </w:r>
      <w:r w:rsidRPr="003D2A76">
        <w:rPr>
          <w:rFonts w:asciiTheme="majorBidi" w:hAnsiTheme="majorBidi" w:cstheme="majorBidi"/>
          <w:lang w:val="en-GB"/>
        </w:rPr>
        <w:t xml:space="preserve">technology adoption acceptance because stakeholders will think that institutions will </w:t>
      </w:r>
      <w:r w:rsidR="00510750" w:rsidRPr="003D2A76">
        <w:rPr>
          <w:rFonts w:asciiTheme="majorBidi" w:hAnsiTheme="majorBidi" w:cstheme="majorBidi"/>
          <w:lang w:val="en-GB"/>
        </w:rPr>
        <w:t>introduce</w:t>
      </w:r>
      <w:r w:rsidRPr="003D2A76">
        <w:rPr>
          <w:rFonts w:asciiTheme="majorBidi" w:hAnsiTheme="majorBidi" w:cstheme="majorBidi"/>
          <w:lang w:val="en-GB"/>
        </w:rPr>
        <w:t xml:space="preserve"> AI in a responsible and beneficial manner. Multidimensional trust development was seen in </w:t>
      </w:r>
      <w:r w:rsidRPr="003D2A76">
        <w:rPr>
          <w:rFonts w:asciiTheme="majorBidi" w:hAnsiTheme="majorBidi" w:cstheme="majorBidi"/>
          <w:lang w:val="en-GB"/>
        </w:rPr>
        <w:lastRenderedPageBreak/>
        <w:t>component analysis. Competence-based trust</w:t>
      </w:r>
      <w:r w:rsidR="00F667BD">
        <w:rPr>
          <w:rFonts w:asciiTheme="majorBidi" w:hAnsiTheme="majorBidi" w:cstheme="majorBidi"/>
          <w:lang w:val="en-GB"/>
        </w:rPr>
        <w:t>,</w:t>
      </w:r>
      <w:r w:rsidRPr="003D2A76">
        <w:rPr>
          <w:rFonts w:asciiTheme="majorBidi" w:hAnsiTheme="majorBidi" w:cstheme="majorBidi"/>
          <w:lang w:val="en-GB"/>
        </w:rPr>
        <w:t xml:space="preserve"> </w:t>
      </w:r>
      <w:r w:rsidR="00F667BD">
        <w:rPr>
          <w:rFonts w:asciiTheme="majorBidi" w:hAnsiTheme="majorBidi" w:cstheme="majorBidi"/>
          <w:lang w:val="en-GB"/>
        </w:rPr>
        <w:t>which</w:t>
      </w:r>
      <w:r w:rsidRPr="003D2A76">
        <w:rPr>
          <w:rFonts w:asciiTheme="majorBidi" w:hAnsiTheme="majorBidi" w:cstheme="majorBidi"/>
          <w:lang w:val="en-GB"/>
        </w:rPr>
        <w:t xml:space="preserve"> indicates faith in the schools to provide good education</w:t>
      </w:r>
      <w:r w:rsidR="00F667BD">
        <w:rPr>
          <w:rFonts w:asciiTheme="majorBidi" w:hAnsiTheme="majorBidi" w:cstheme="majorBidi"/>
          <w:lang w:val="en-GB"/>
        </w:rPr>
        <w:t>,</w:t>
      </w:r>
      <w:r w:rsidRPr="003D2A76">
        <w:rPr>
          <w:rFonts w:asciiTheme="majorBidi" w:hAnsiTheme="majorBidi" w:cstheme="majorBidi"/>
          <w:lang w:val="en-GB"/>
        </w:rPr>
        <w:t xml:space="preserve"> had the best ratings (M = 5.56, SD = 1.14). </w:t>
      </w:r>
      <w:r w:rsidR="00510750" w:rsidRPr="003D2A76">
        <w:rPr>
          <w:rFonts w:asciiTheme="majorBidi" w:hAnsiTheme="majorBidi" w:cstheme="majorBidi"/>
          <w:lang w:val="en-GB"/>
        </w:rPr>
        <w:t>T</w:t>
      </w:r>
      <w:r w:rsidRPr="003D2A76">
        <w:rPr>
          <w:rFonts w:asciiTheme="majorBidi" w:hAnsiTheme="majorBidi" w:cstheme="majorBidi"/>
          <w:lang w:val="en-GB"/>
        </w:rPr>
        <w:t>rust based on benevolence, the assumption that schools are concerned with the welfare of students</w:t>
      </w:r>
      <w:r w:rsidR="00510750" w:rsidRPr="003D2A76">
        <w:rPr>
          <w:rFonts w:asciiTheme="majorBidi" w:hAnsiTheme="majorBidi" w:cstheme="majorBidi"/>
          <w:lang w:val="en-GB"/>
        </w:rPr>
        <w:t>,</w:t>
      </w:r>
      <w:r w:rsidRPr="003D2A76">
        <w:rPr>
          <w:rFonts w:asciiTheme="majorBidi" w:hAnsiTheme="majorBidi" w:cstheme="majorBidi"/>
          <w:lang w:val="en-GB"/>
        </w:rPr>
        <w:t xml:space="preserve"> </w:t>
      </w:r>
      <w:r w:rsidR="00510750" w:rsidRPr="003D2A76">
        <w:rPr>
          <w:rFonts w:asciiTheme="majorBidi" w:hAnsiTheme="majorBidi" w:cstheme="majorBidi"/>
          <w:lang w:val="en-GB"/>
        </w:rPr>
        <w:t xml:space="preserve">gave </w:t>
      </w:r>
      <w:r w:rsidRPr="003D2A76">
        <w:rPr>
          <w:rFonts w:asciiTheme="majorBidi" w:hAnsiTheme="majorBidi" w:cstheme="majorBidi"/>
          <w:lang w:val="en-GB"/>
        </w:rPr>
        <w:t xml:space="preserve">high scores (M = 5.41, SD = 1.18). Moderate ratings were obtained </w:t>
      </w:r>
      <w:r w:rsidR="00510750" w:rsidRPr="003D2A76">
        <w:rPr>
          <w:rFonts w:asciiTheme="majorBidi" w:hAnsiTheme="majorBidi" w:cstheme="majorBidi"/>
          <w:lang w:val="en-GB"/>
        </w:rPr>
        <w:t xml:space="preserve">for </w:t>
      </w:r>
      <w:r w:rsidRPr="003D2A76">
        <w:rPr>
          <w:rFonts w:asciiTheme="majorBidi" w:hAnsiTheme="majorBidi" w:cstheme="majorBidi"/>
          <w:lang w:val="en-GB"/>
        </w:rPr>
        <w:t xml:space="preserve">integrity-based trust, which perceived schools as honest and ethical (M = 5.35, SD = 1.21). Its negative skew (-1.44) and high kurtosis (3.10) showed that the distribution was strongly concentrated about the values of high trust with few low-trust respondents. This trend indicates that the very process of </w:t>
      </w:r>
      <w:r w:rsidR="00784327">
        <w:rPr>
          <w:rFonts w:asciiTheme="majorBidi" w:hAnsiTheme="majorBidi" w:cstheme="majorBidi"/>
          <w:lang w:val="en-GB"/>
        </w:rPr>
        <w:t>privately choosing a school implies the formation of trust, and the subsequent course of studies preserves it</w:t>
      </w:r>
      <w:r w:rsidRPr="003D2A76">
        <w:rPr>
          <w:rFonts w:asciiTheme="majorBidi" w:hAnsiTheme="majorBidi" w:cstheme="majorBidi"/>
          <w:lang w:val="en-GB"/>
        </w:rPr>
        <w:t>.</w:t>
      </w:r>
    </w:p>
    <w:p w14:paraId="50C70AEE" w14:textId="1E4CF6CF" w:rsidR="00885F3C" w:rsidRPr="003D2A76" w:rsidRDefault="009B03B2" w:rsidP="00BD6279">
      <w:pPr>
        <w:bidi w:val="0"/>
        <w:rPr>
          <w:rFonts w:asciiTheme="majorBidi" w:hAnsiTheme="majorBidi" w:cstheme="majorBidi"/>
          <w:b/>
          <w:bCs/>
          <w:i/>
          <w:lang w:val="en-GB"/>
        </w:rPr>
      </w:pPr>
      <w:r>
        <w:rPr>
          <w:rFonts w:asciiTheme="majorBidi" w:hAnsiTheme="majorBidi" w:cstheme="majorBidi"/>
          <w:b/>
          <w:bCs/>
          <w:i/>
          <w:lang w:val="en-GB"/>
        </w:rPr>
        <w:t>4.4.5</w:t>
      </w:r>
      <w:r w:rsidR="00885F3C" w:rsidRPr="003D2A76">
        <w:rPr>
          <w:rFonts w:asciiTheme="majorBidi" w:hAnsiTheme="majorBidi" w:cstheme="majorBidi"/>
          <w:b/>
          <w:bCs/>
          <w:i/>
          <w:lang w:val="en-GB"/>
        </w:rPr>
        <w:t xml:space="preserve"> </w:t>
      </w:r>
      <w:bookmarkStart w:id="68" w:name="_Toc216904163"/>
      <w:r w:rsidR="00885F3C" w:rsidRPr="003D2A76">
        <w:rPr>
          <w:rFonts w:asciiTheme="majorBidi" w:hAnsiTheme="majorBidi" w:cstheme="majorBidi"/>
          <w:b/>
          <w:bCs/>
          <w:i/>
          <w:lang w:val="en-GB"/>
        </w:rPr>
        <w:t>Perceived Value</w:t>
      </w:r>
      <w:bookmarkEnd w:id="68"/>
    </w:p>
    <w:p w14:paraId="7EFB2FBD" w14:textId="4DF9D26C"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measurements of perceived value generated a mean score of 5.26 (SD = 1.14), which showed </w:t>
      </w:r>
      <w:r w:rsidR="00510750" w:rsidRPr="003D2A76">
        <w:rPr>
          <w:rFonts w:asciiTheme="majorBidi" w:hAnsiTheme="majorBidi" w:cstheme="majorBidi"/>
          <w:lang w:val="en-GB"/>
        </w:rPr>
        <w:t xml:space="preserve">a </w:t>
      </w:r>
      <w:r w:rsidRPr="003D2A76">
        <w:rPr>
          <w:rFonts w:asciiTheme="majorBidi" w:hAnsiTheme="majorBidi" w:cstheme="majorBidi"/>
          <w:lang w:val="en-GB"/>
        </w:rPr>
        <w:t xml:space="preserve">positive perception of the investments in private education, albeit with variation in the value perceptions. The standard deviation of the construct indicates </w:t>
      </w:r>
      <w:r w:rsidR="00510750" w:rsidRPr="003D2A76">
        <w:rPr>
          <w:rFonts w:asciiTheme="majorBidi" w:hAnsiTheme="majorBidi" w:cstheme="majorBidi"/>
          <w:lang w:val="en-GB"/>
        </w:rPr>
        <w:t xml:space="preserve">varied </w:t>
      </w:r>
      <w:r w:rsidRPr="003D2A76">
        <w:rPr>
          <w:rFonts w:asciiTheme="majorBidi" w:hAnsiTheme="majorBidi" w:cstheme="majorBidi"/>
          <w:lang w:val="en-GB"/>
        </w:rPr>
        <w:t xml:space="preserve">evaluation of values that may be based on individual financial conditions, alternative choices, and perception of benefits. The perceptions of value </w:t>
      </w:r>
      <w:r w:rsidR="00510750" w:rsidRPr="003D2A76">
        <w:rPr>
          <w:rFonts w:asciiTheme="majorBidi" w:hAnsiTheme="majorBidi" w:cstheme="majorBidi"/>
          <w:lang w:val="en-GB"/>
        </w:rPr>
        <w:t xml:space="preserve">for </w:t>
      </w:r>
      <w:r w:rsidRPr="003D2A76">
        <w:rPr>
          <w:rFonts w:asciiTheme="majorBidi" w:hAnsiTheme="majorBidi" w:cstheme="majorBidi"/>
          <w:lang w:val="en-GB"/>
        </w:rPr>
        <w:t xml:space="preserve">money exhibited the highest variability (M = 5.17, SD = 1.28) indicating the various images people have </w:t>
      </w:r>
      <w:r w:rsidR="00510750" w:rsidRPr="003D2A76">
        <w:rPr>
          <w:rFonts w:asciiTheme="majorBidi" w:hAnsiTheme="majorBidi" w:cstheme="majorBidi"/>
          <w:lang w:val="en-GB"/>
        </w:rPr>
        <w:t xml:space="preserve">about </w:t>
      </w:r>
      <w:r w:rsidRPr="003D2A76">
        <w:rPr>
          <w:rFonts w:asciiTheme="majorBidi" w:hAnsiTheme="majorBidi" w:cstheme="majorBidi"/>
          <w:lang w:val="en-GB"/>
        </w:rPr>
        <w:t>whether tuition fees warrant the benefits they receive. Higher ratings were</w:t>
      </w:r>
      <w:r w:rsidR="00510750" w:rsidRPr="003D2A76">
        <w:rPr>
          <w:rFonts w:asciiTheme="majorBidi" w:hAnsiTheme="majorBidi" w:cstheme="majorBidi"/>
          <w:lang w:val="en-GB"/>
        </w:rPr>
        <w:t xml:space="preserve"> found for</w:t>
      </w:r>
      <w:r w:rsidRPr="003D2A76">
        <w:rPr>
          <w:rFonts w:asciiTheme="majorBidi" w:hAnsiTheme="majorBidi" w:cstheme="majorBidi"/>
          <w:lang w:val="en-GB"/>
        </w:rPr>
        <w:t xml:space="preserve"> comparative value to other schools (M = 5.31, SD = 1.19) which implies that the schools have been positioned favo</w:t>
      </w:r>
      <w:r w:rsidR="00510750" w:rsidRPr="003D2A76">
        <w:rPr>
          <w:rFonts w:asciiTheme="majorBidi" w:hAnsiTheme="majorBidi" w:cstheme="majorBidi"/>
          <w:lang w:val="en-GB"/>
        </w:rPr>
        <w:t>u</w:t>
      </w:r>
      <w:r w:rsidRPr="003D2A76">
        <w:rPr>
          <w:rFonts w:asciiTheme="majorBidi" w:hAnsiTheme="majorBidi" w:cstheme="majorBidi"/>
          <w:lang w:val="en-GB"/>
        </w:rPr>
        <w:t xml:space="preserve">rably compared to the competition. Highest scores were found in future value expectation, which shows the expectations of long-term benefits of AI-enhanced education (M = 5.35, SD = 1.16). The skewness (-1.09) was negative, which was an indication that the value perceptions were mainly on the positive side, with </w:t>
      </w:r>
      <w:r w:rsidR="00510750" w:rsidRPr="003D2A76">
        <w:rPr>
          <w:rFonts w:asciiTheme="majorBidi" w:hAnsiTheme="majorBidi" w:cstheme="majorBidi"/>
          <w:lang w:val="en-GB"/>
        </w:rPr>
        <w:t xml:space="preserve">a </w:t>
      </w:r>
      <w:r w:rsidRPr="003D2A76">
        <w:rPr>
          <w:rFonts w:asciiTheme="majorBidi" w:hAnsiTheme="majorBidi" w:cstheme="majorBidi"/>
          <w:lang w:val="en-GB"/>
        </w:rPr>
        <w:t xml:space="preserve">moderate value on the kurtosis (0.71) indicating that the distribution was rather normal </w:t>
      </w:r>
      <w:r w:rsidRPr="003D2A76">
        <w:rPr>
          <w:rFonts w:asciiTheme="majorBidi" w:hAnsiTheme="majorBidi" w:cstheme="majorBidi"/>
          <w:lang w:val="en-GB"/>
        </w:rPr>
        <w:lastRenderedPageBreak/>
        <w:t>about the positive mean. The patterns confirm that value perception is a valuable distinguishing factor among the respondents and this may mediate some associations between service quality and behavio</w:t>
      </w:r>
      <w:r w:rsidR="00510750" w:rsidRPr="003D2A76">
        <w:rPr>
          <w:rFonts w:asciiTheme="majorBidi" w:hAnsiTheme="majorBidi" w:cstheme="majorBidi"/>
          <w:lang w:val="en-GB"/>
        </w:rPr>
        <w:t>u</w:t>
      </w:r>
      <w:r w:rsidRPr="003D2A76">
        <w:rPr>
          <w:rFonts w:asciiTheme="majorBidi" w:hAnsiTheme="majorBidi" w:cstheme="majorBidi"/>
          <w:lang w:val="en-GB"/>
        </w:rPr>
        <w:t>ral intention.</w:t>
      </w:r>
    </w:p>
    <w:p w14:paraId="0563595A" w14:textId="34244223" w:rsidR="00885F3C" w:rsidRPr="003D2A76" w:rsidRDefault="009B03B2" w:rsidP="00BD6279">
      <w:pPr>
        <w:bidi w:val="0"/>
        <w:rPr>
          <w:rFonts w:asciiTheme="majorBidi" w:hAnsiTheme="majorBidi" w:cstheme="majorBidi"/>
          <w:b/>
          <w:bCs/>
          <w:i/>
          <w:lang w:val="en-GB"/>
        </w:rPr>
      </w:pPr>
      <w:bookmarkStart w:id="69" w:name="_Toc216904164"/>
      <w:r>
        <w:rPr>
          <w:rFonts w:asciiTheme="majorBidi" w:hAnsiTheme="majorBidi" w:cstheme="majorBidi"/>
          <w:b/>
          <w:bCs/>
          <w:i/>
          <w:lang w:val="en-GB"/>
        </w:rPr>
        <w:t xml:space="preserve">4.4.6 </w:t>
      </w:r>
      <w:r w:rsidR="00885F3C" w:rsidRPr="003D2A76">
        <w:rPr>
          <w:rFonts w:asciiTheme="majorBidi" w:hAnsiTheme="majorBidi" w:cstheme="majorBidi"/>
          <w:b/>
          <w:bCs/>
          <w:i/>
          <w:lang w:val="en-GB"/>
        </w:rPr>
        <w:t>Cultural Factors</w:t>
      </w:r>
      <w:bookmarkEnd w:id="69"/>
    </w:p>
    <w:p w14:paraId="4F67968E" w14:textId="6D1DA98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greatest mean scores are shown to be cultural (M = 5.98, SD = 1.08)</w:t>
      </w:r>
      <w:r w:rsidR="00784327">
        <w:rPr>
          <w:rFonts w:asciiTheme="majorBidi" w:hAnsiTheme="majorBidi" w:cstheme="majorBidi"/>
          <w:lang w:val="en-GB"/>
        </w:rPr>
        <w:t>,</w:t>
      </w:r>
      <w:r w:rsidRPr="003D2A76">
        <w:rPr>
          <w:rFonts w:asciiTheme="majorBidi" w:hAnsiTheme="majorBidi" w:cstheme="majorBidi"/>
          <w:lang w:val="en-GB"/>
        </w:rPr>
        <w:t xml:space="preserve"> demonstrating the key role of culture in making educational decisions in Saudi Arabia. The scores were high</w:t>
      </w:r>
      <w:r w:rsidR="00784327">
        <w:rPr>
          <w:rFonts w:asciiTheme="majorBidi" w:hAnsiTheme="majorBidi" w:cstheme="majorBidi"/>
          <w:lang w:val="en-GB"/>
        </w:rPr>
        <w:t>,</w:t>
      </w:r>
      <w:r w:rsidRPr="003D2A76">
        <w:rPr>
          <w:rFonts w:asciiTheme="majorBidi" w:hAnsiTheme="majorBidi" w:cstheme="majorBidi"/>
          <w:lang w:val="en-GB"/>
        </w:rPr>
        <w:t xml:space="preserve"> which indicates that the stakeholders are expecting schools to be progressive in technology but at the same time maintain culture. The centrality of Islamic values in Saudi educational preferences was </w:t>
      </w:r>
      <w:r w:rsidR="00784327">
        <w:rPr>
          <w:rFonts w:asciiTheme="majorBidi" w:hAnsiTheme="majorBidi" w:cstheme="majorBidi"/>
          <w:lang w:val="en-GB"/>
        </w:rPr>
        <w:t>evident, with religious compatibility being the most important factor</w:t>
      </w:r>
      <w:r w:rsidRPr="003D2A76">
        <w:rPr>
          <w:rFonts w:asciiTheme="majorBidi" w:hAnsiTheme="majorBidi" w:cstheme="majorBidi"/>
          <w:lang w:val="en-GB"/>
        </w:rPr>
        <w:t xml:space="preserve"> (M = 6.21, SD = 1.09). Modernity versus tradition was heavily </w:t>
      </w:r>
      <w:r w:rsidR="00510750" w:rsidRPr="003D2A76">
        <w:rPr>
          <w:rFonts w:asciiTheme="majorBidi" w:hAnsiTheme="majorBidi" w:cstheme="majorBidi"/>
          <w:lang w:val="en-GB"/>
        </w:rPr>
        <w:t xml:space="preserve">emphasised </w:t>
      </w:r>
      <w:r w:rsidRPr="003D2A76">
        <w:rPr>
          <w:rFonts w:asciiTheme="majorBidi" w:hAnsiTheme="majorBidi" w:cstheme="majorBidi"/>
          <w:lang w:val="en-GB"/>
        </w:rPr>
        <w:t>(M = 5.93, SD = 1.15)</w:t>
      </w:r>
      <w:r w:rsidR="00784327">
        <w:rPr>
          <w:rFonts w:asciiTheme="majorBidi" w:hAnsiTheme="majorBidi" w:cstheme="majorBidi"/>
          <w:lang w:val="en-GB"/>
        </w:rPr>
        <w:t>,</w:t>
      </w:r>
      <w:r w:rsidRPr="003D2A76">
        <w:rPr>
          <w:rFonts w:asciiTheme="majorBidi" w:hAnsiTheme="majorBidi" w:cstheme="majorBidi"/>
          <w:lang w:val="en-GB"/>
        </w:rPr>
        <w:t xml:space="preserve"> suggesting the presence of the wish to have </w:t>
      </w:r>
      <w:r w:rsidR="00510750" w:rsidRPr="003D2A76">
        <w:rPr>
          <w:rFonts w:asciiTheme="majorBidi" w:hAnsiTheme="majorBidi" w:cstheme="majorBidi"/>
          <w:lang w:val="en-GB"/>
        </w:rPr>
        <w:t xml:space="preserve">a </w:t>
      </w:r>
      <w:r w:rsidRPr="003D2A76">
        <w:rPr>
          <w:rFonts w:asciiTheme="majorBidi" w:hAnsiTheme="majorBidi" w:cstheme="majorBidi"/>
          <w:lang w:val="en-GB"/>
        </w:rPr>
        <w:t xml:space="preserve">progressive education that </w:t>
      </w:r>
      <w:r w:rsidR="00510750" w:rsidRPr="003D2A76">
        <w:rPr>
          <w:rFonts w:asciiTheme="majorBidi" w:hAnsiTheme="majorBidi" w:cstheme="majorBidi"/>
          <w:lang w:val="en-GB"/>
        </w:rPr>
        <w:t xml:space="preserve">does </w:t>
      </w:r>
      <w:r w:rsidRPr="003D2A76">
        <w:rPr>
          <w:rFonts w:asciiTheme="majorBidi" w:hAnsiTheme="majorBidi" w:cstheme="majorBidi"/>
          <w:lang w:val="en-GB"/>
        </w:rPr>
        <w:t>not neglect cultural heritage. A moderately but significantly important aspect of cultural sensitivity in the implementation of AI (M = 5.80, SD = 1.21) was observed. The severe negative skewness (-2.36) and large value of the kurtosis (6.44) of the distribution supported the existence of a unanimous opinion on the significance of cultural factors, with only a small range of differences among respondents. This trend highlights the uncompromising position of cultural considerations in the provision of educational services and that needs to be taken into consideration in technology implementation strategies.</w:t>
      </w:r>
    </w:p>
    <w:p w14:paraId="54079CA7" w14:textId="77777777" w:rsidR="00885F3C" w:rsidRPr="003D2A76" w:rsidRDefault="00885F3C" w:rsidP="00BD6279">
      <w:pPr>
        <w:pStyle w:val="Heading2"/>
        <w:rPr>
          <w:lang w:val="en-GB"/>
        </w:rPr>
      </w:pPr>
      <w:bookmarkStart w:id="70" w:name="_Toc216904165"/>
      <w:bookmarkStart w:id="71" w:name="_Toc228056580"/>
      <w:r w:rsidRPr="003D2A76">
        <w:rPr>
          <w:rFonts w:ascii="Times New Roman" w:hAnsi="Times New Roman" w:cs="Times New Roman"/>
          <w:lang w:val="en-GB"/>
        </w:rPr>
        <w:t>4.5 Measurement Instrument Assessment</w:t>
      </w:r>
      <w:bookmarkEnd w:id="70"/>
      <w:bookmarkEnd w:id="71"/>
    </w:p>
    <w:p w14:paraId="43118F0E" w14:textId="4C8FB220" w:rsidR="00885F3C" w:rsidRPr="009B03B2" w:rsidRDefault="009B03B2" w:rsidP="00BD6279">
      <w:pPr>
        <w:bidi w:val="0"/>
        <w:rPr>
          <w:rFonts w:asciiTheme="majorBidi" w:hAnsiTheme="majorBidi" w:cstheme="majorBidi"/>
          <w:b/>
          <w:bCs/>
          <w:i/>
          <w:iCs/>
          <w:lang w:val="en-GB"/>
        </w:rPr>
      </w:pPr>
      <w:bookmarkStart w:id="72" w:name="_Toc216904166"/>
      <w:r w:rsidRPr="009B03B2">
        <w:rPr>
          <w:rFonts w:asciiTheme="majorBidi" w:hAnsiTheme="majorBidi" w:cstheme="majorBidi"/>
          <w:b/>
          <w:bCs/>
          <w:i/>
          <w:iCs/>
          <w:lang w:val="en-GB"/>
        </w:rPr>
        <w:t xml:space="preserve">4.5.1 </w:t>
      </w:r>
      <w:r w:rsidR="00885F3C" w:rsidRPr="009B03B2">
        <w:rPr>
          <w:rFonts w:asciiTheme="majorBidi" w:hAnsiTheme="majorBidi" w:cstheme="majorBidi"/>
          <w:b/>
          <w:bCs/>
          <w:i/>
          <w:iCs/>
          <w:lang w:val="en-GB"/>
        </w:rPr>
        <w:t>Reliability Analysis</w:t>
      </w:r>
      <w:bookmarkEnd w:id="72"/>
    </w:p>
    <w:p w14:paraId="13A9E481" w14:textId="74635EBC"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Measurement properties of all constructs were found to be high</w:t>
      </w:r>
      <w:r w:rsidR="00784327">
        <w:rPr>
          <w:rFonts w:asciiTheme="majorBidi" w:hAnsiTheme="majorBidi" w:cstheme="majorBidi"/>
          <w:lang w:val="en-GB"/>
        </w:rPr>
        <w:t>,</w:t>
      </w:r>
      <w:r w:rsidRPr="003D2A76">
        <w:rPr>
          <w:rFonts w:asciiTheme="majorBidi" w:hAnsiTheme="majorBidi" w:cstheme="majorBidi"/>
          <w:lang w:val="en-GB"/>
        </w:rPr>
        <w:t xml:space="preserve"> as the internal consistency reliability assessment was performed based on the Cronbach alpha </w:t>
      </w:r>
      <w:r w:rsidRPr="003D2A76">
        <w:rPr>
          <w:rFonts w:asciiTheme="majorBidi" w:hAnsiTheme="majorBidi" w:cstheme="majorBidi"/>
          <w:lang w:val="en-GB"/>
        </w:rPr>
        <w:lastRenderedPageBreak/>
        <w:t>coefficients. The reliability analysis conducted a thorough approach of constructs and subscales, which proved measurement reliability at a variety of analytic levels.</w:t>
      </w:r>
    </w:p>
    <w:p w14:paraId="77AFE939" w14:textId="77777777" w:rsidR="00885F3C" w:rsidRPr="003D2A76" w:rsidRDefault="00885F3C" w:rsidP="00BD6279">
      <w:pPr>
        <w:bidi w:val="0"/>
        <w:rPr>
          <w:rFonts w:asciiTheme="majorBidi" w:hAnsiTheme="majorBidi" w:cstheme="majorBidi"/>
          <w:b/>
          <w:bCs/>
          <w:lang w:val="en-GB"/>
        </w:rPr>
      </w:pPr>
      <w:bookmarkStart w:id="73" w:name="_Toc227161641"/>
      <w:r w:rsidRPr="003D2A76">
        <w:rPr>
          <w:rFonts w:asciiTheme="majorBidi" w:hAnsiTheme="majorBidi" w:cstheme="majorBidi"/>
          <w:b/>
          <w:bCs/>
          <w:lang w:val="en-GB"/>
        </w:rPr>
        <w:t xml:space="preserve">Table 3 </w:t>
      </w:r>
      <w:r w:rsidRPr="003D2A76">
        <w:rPr>
          <w:rFonts w:asciiTheme="majorBidi" w:hAnsiTheme="majorBidi" w:cstheme="majorBidi"/>
          <w:b/>
          <w:bCs/>
          <w:lang w:val="en-GB"/>
        </w:rPr>
        <w:br/>
      </w:r>
      <w:bookmarkStart w:id="74" w:name="_Hlk232587752"/>
      <w:r w:rsidRPr="003D2A76">
        <w:rPr>
          <w:rFonts w:asciiTheme="majorBidi" w:hAnsiTheme="majorBidi" w:cstheme="majorBidi"/>
          <w:b/>
          <w:bCs/>
          <w:lang w:val="en-GB"/>
        </w:rPr>
        <w:t>Reliability Analysis (Cronbach's Alpha) for Study Constructs</w:t>
      </w:r>
      <w:bookmarkEnd w:id="73"/>
      <w:bookmarkEnd w:id="74"/>
    </w:p>
    <w:tbl>
      <w:tblPr>
        <w:tblStyle w:val="TableGrid"/>
        <w:tblW w:w="5000" w:type="pct"/>
        <w:tblLook w:val="04A0" w:firstRow="1" w:lastRow="0" w:firstColumn="1" w:lastColumn="0" w:noHBand="0" w:noVBand="1"/>
      </w:tblPr>
      <w:tblGrid>
        <w:gridCol w:w="3784"/>
        <w:gridCol w:w="1939"/>
        <w:gridCol w:w="1581"/>
        <w:gridCol w:w="1326"/>
      </w:tblGrid>
      <w:tr w:rsidR="00885F3C" w:rsidRPr="003D2A76" w14:paraId="566A69EF" w14:textId="77777777" w:rsidTr="00885F3C">
        <w:tc>
          <w:tcPr>
            <w:tcW w:w="0" w:type="auto"/>
            <w:hideMark/>
          </w:tcPr>
          <w:p w14:paraId="32933109"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Construct</w:t>
            </w:r>
          </w:p>
        </w:tc>
        <w:tc>
          <w:tcPr>
            <w:tcW w:w="0" w:type="auto"/>
            <w:hideMark/>
          </w:tcPr>
          <w:p w14:paraId="53CCED87"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Number of Items</w:t>
            </w:r>
          </w:p>
        </w:tc>
        <w:tc>
          <w:tcPr>
            <w:tcW w:w="0" w:type="auto"/>
            <w:hideMark/>
          </w:tcPr>
          <w:p w14:paraId="77C123EA"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Cronbach's α</w:t>
            </w:r>
          </w:p>
        </w:tc>
        <w:tc>
          <w:tcPr>
            <w:tcW w:w="0" w:type="auto"/>
            <w:hideMark/>
          </w:tcPr>
          <w:p w14:paraId="478BB9F9"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95% CI</w:t>
            </w:r>
          </w:p>
        </w:tc>
      </w:tr>
      <w:tr w:rsidR="00885F3C" w:rsidRPr="003D2A76" w14:paraId="3638DAD2" w14:textId="77777777" w:rsidTr="00885F3C">
        <w:tc>
          <w:tcPr>
            <w:tcW w:w="0" w:type="auto"/>
            <w:hideMark/>
          </w:tcPr>
          <w:p w14:paraId="4B6EE5EB"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AI Adoption in Teaching</w:t>
            </w:r>
          </w:p>
        </w:tc>
        <w:tc>
          <w:tcPr>
            <w:tcW w:w="0" w:type="auto"/>
            <w:hideMark/>
          </w:tcPr>
          <w:p w14:paraId="7877380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4</w:t>
            </w:r>
          </w:p>
        </w:tc>
        <w:tc>
          <w:tcPr>
            <w:tcW w:w="0" w:type="auto"/>
            <w:hideMark/>
          </w:tcPr>
          <w:p w14:paraId="10ACF4E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0.85</w:t>
            </w:r>
          </w:p>
        </w:tc>
        <w:tc>
          <w:tcPr>
            <w:tcW w:w="0" w:type="auto"/>
            <w:hideMark/>
          </w:tcPr>
          <w:p w14:paraId="563B264A"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[0.82, 0.87]</w:t>
            </w:r>
          </w:p>
        </w:tc>
      </w:tr>
      <w:tr w:rsidR="00885F3C" w:rsidRPr="003D2A76" w14:paraId="647E6456" w14:textId="77777777" w:rsidTr="00885F3C">
        <w:tc>
          <w:tcPr>
            <w:tcW w:w="0" w:type="auto"/>
            <w:hideMark/>
          </w:tcPr>
          <w:p w14:paraId="3E2F8062"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AI Adoption in Marketing</w:t>
            </w:r>
          </w:p>
        </w:tc>
        <w:tc>
          <w:tcPr>
            <w:tcW w:w="0" w:type="auto"/>
            <w:hideMark/>
          </w:tcPr>
          <w:p w14:paraId="3F5CFE2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4</w:t>
            </w:r>
          </w:p>
        </w:tc>
        <w:tc>
          <w:tcPr>
            <w:tcW w:w="0" w:type="auto"/>
            <w:hideMark/>
          </w:tcPr>
          <w:p w14:paraId="6D8DF94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0.83</w:t>
            </w:r>
          </w:p>
        </w:tc>
        <w:tc>
          <w:tcPr>
            <w:tcW w:w="0" w:type="auto"/>
            <w:hideMark/>
          </w:tcPr>
          <w:p w14:paraId="7A9FEE1A"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[0.81, 0.85]</w:t>
            </w:r>
          </w:p>
        </w:tc>
      </w:tr>
      <w:tr w:rsidR="00885F3C" w:rsidRPr="003D2A76" w14:paraId="776FDE33" w14:textId="77777777" w:rsidTr="00885F3C">
        <w:tc>
          <w:tcPr>
            <w:tcW w:w="0" w:type="auto"/>
            <w:hideMark/>
          </w:tcPr>
          <w:p w14:paraId="5FDC320C"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Service Quality: Tangibility</w:t>
            </w:r>
          </w:p>
        </w:tc>
        <w:tc>
          <w:tcPr>
            <w:tcW w:w="0" w:type="auto"/>
            <w:hideMark/>
          </w:tcPr>
          <w:p w14:paraId="1D78EB6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w:t>
            </w:r>
          </w:p>
        </w:tc>
        <w:tc>
          <w:tcPr>
            <w:tcW w:w="0" w:type="auto"/>
            <w:hideMark/>
          </w:tcPr>
          <w:p w14:paraId="42EB774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0.79</w:t>
            </w:r>
          </w:p>
        </w:tc>
        <w:tc>
          <w:tcPr>
            <w:tcW w:w="0" w:type="auto"/>
            <w:hideMark/>
          </w:tcPr>
          <w:p w14:paraId="5E4AD23A"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[0.76, 0.82]</w:t>
            </w:r>
          </w:p>
        </w:tc>
      </w:tr>
      <w:tr w:rsidR="00885F3C" w:rsidRPr="003D2A76" w14:paraId="07C3F543" w14:textId="77777777" w:rsidTr="00885F3C">
        <w:tc>
          <w:tcPr>
            <w:tcW w:w="0" w:type="auto"/>
            <w:hideMark/>
          </w:tcPr>
          <w:p w14:paraId="19AC3048"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Service Quality: Reliability</w:t>
            </w:r>
          </w:p>
        </w:tc>
        <w:tc>
          <w:tcPr>
            <w:tcW w:w="0" w:type="auto"/>
            <w:hideMark/>
          </w:tcPr>
          <w:p w14:paraId="7DC50767"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w:t>
            </w:r>
          </w:p>
        </w:tc>
        <w:tc>
          <w:tcPr>
            <w:tcW w:w="0" w:type="auto"/>
            <w:hideMark/>
          </w:tcPr>
          <w:p w14:paraId="0ABA050A"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0.81</w:t>
            </w:r>
          </w:p>
        </w:tc>
        <w:tc>
          <w:tcPr>
            <w:tcW w:w="0" w:type="auto"/>
            <w:hideMark/>
          </w:tcPr>
          <w:p w14:paraId="1D60059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[0.78, 0.84]</w:t>
            </w:r>
          </w:p>
        </w:tc>
      </w:tr>
      <w:tr w:rsidR="00885F3C" w:rsidRPr="003D2A76" w14:paraId="1DB53239" w14:textId="77777777" w:rsidTr="00885F3C">
        <w:tc>
          <w:tcPr>
            <w:tcW w:w="0" w:type="auto"/>
            <w:hideMark/>
          </w:tcPr>
          <w:p w14:paraId="03A4B8AD"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Service Quality: Responsiveness</w:t>
            </w:r>
          </w:p>
        </w:tc>
        <w:tc>
          <w:tcPr>
            <w:tcW w:w="0" w:type="auto"/>
            <w:hideMark/>
          </w:tcPr>
          <w:p w14:paraId="614D743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w:t>
            </w:r>
          </w:p>
        </w:tc>
        <w:tc>
          <w:tcPr>
            <w:tcW w:w="0" w:type="auto"/>
            <w:hideMark/>
          </w:tcPr>
          <w:p w14:paraId="736FC0E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0.80</w:t>
            </w:r>
          </w:p>
        </w:tc>
        <w:tc>
          <w:tcPr>
            <w:tcW w:w="0" w:type="auto"/>
            <w:hideMark/>
          </w:tcPr>
          <w:p w14:paraId="21498D0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[0.77, 0.82]</w:t>
            </w:r>
          </w:p>
        </w:tc>
      </w:tr>
      <w:tr w:rsidR="00885F3C" w:rsidRPr="003D2A76" w14:paraId="33FBAB05" w14:textId="77777777" w:rsidTr="00885F3C">
        <w:tc>
          <w:tcPr>
            <w:tcW w:w="0" w:type="auto"/>
            <w:hideMark/>
          </w:tcPr>
          <w:p w14:paraId="4B5469E8"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Service Quality: Assurance</w:t>
            </w:r>
          </w:p>
        </w:tc>
        <w:tc>
          <w:tcPr>
            <w:tcW w:w="0" w:type="auto"/>
            <w:hideMark/>
          </w:tcPr>
          <w:p w14:paraId="006FC1C7"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w:t>
            </w:r>
          </w:p>
        </w:tc>
        <w:tc>
          <w:tcPr>
            <w:tcW w:w="0" w:type="auto"/>
            <w:hideMark/>
          </w:tcPr>
          <w:p w14:paraId="5A699043"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0.82</w:t>
            </w:r>
          </w:p>
        </w:tc>
        <w:tc>
          <w:tcPr>
            <w:tcW w:w="0" w:type="auto"/>
            <w:hideMark/>
          </w:tcPr>
          <w:p w14:paraId="1ED0312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[0.80, 0.85]</w:t>
            </w:r>
          </w:p>
        </w:tc>
      </w:tr>
      <w:tr w:rsidR="00885F3C" w:rsidRPr="003D2A76" w14:paraId="2653773F" w14:textId="77777777" w:rsidTr="00885F3C">
        <w:tc>
          <w:tcPr>
            <w:tcW w:w="0" w:type="auto"/>
            <w:hideMark/>
          </w:tcPr>
          <w:p w14:paraId="58DCBB94"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Service Quality: Empathy</w:t>
            </w:r>
          </w:p>
        </w:tc>
        <w:tc>
          <w:tcPr>
            <w:tcW w:w="0" w:type="auto"/>
            <w:hideMark/>
          </w:tcPr>
          <w:p w14:paraId="2714F1A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w:t>
            </w:r>
          </w:p>
        </w:tc>
        <w:tc>
          <w:tcPr>
            <w:tcW w:w="0" w:type="auto"/>
            <w:hideMark/>
          </w:tcPr>
          <w:p w14:paraId="6987B28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0.80</w:t>
            </w:r>
          </w:p>
        </w:tc>
        <w:tc>
          <w:tcPr>
            <w:tcW w:w="0" w:type="auto"/>
            <w:hideMark/>
          </w:tcPr>
          <w:p w14:paraId="15D84ECB"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[0.77, 0.83]</w:t>
            </w:r>
          </w:p>
        </w:tc>
      </w:tr>
      <w:tr w:rsidR="00885F3C" w:rsidRPr="003D2A76" w14:paraId="6B3C6565" w14:textId="77777777" w:rsidTr="00885F3C">
        <w:tc>
          <w:tcPr>
            <w:tcW w:w="0" w:type="auto"/>
            <w:hideMark/>
          </w:tcPr>
          <w:p w14:paraId="6B1279E3"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Perceived Service Quality (Overall)</w:t>
            </w:r>
          </w:p>
        </w:tc>
        <w:tc>
          <w:tcPr>
            <w:tcW w:w="0" w:type="auto"/>
            <w:hideMark/>
          </w:tcPr>
          <w:p w14:paraId="3EDAD6AD"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w:t>
            </w:r>
          </w:p>
        </w:tc>
        <w:tc>
          <w:tcPr>
            <w:tcW w:w="0" w:type="auto"/>
            <w:hideMark/>
          </w:tcPr>
          <w:p w14:paraId="6C6A833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0.91</w:t>
            </w:r>
          </w:p>
        </w:tc>
        <w:tc>
          <w:tcPr>
            <w:tcW w:w="0" w:type="auto"/>
            <w:hideMark/>
          </w:tcPr>
          <w:p w14:paraId="4D37A832"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[0.90, 0.92]</w:t>
            </w:r>
          </w:p>
        </w:tc>
      </w:tr>
      <w:tr w:rsidR="00885F3C" w:rsidRPr="003D2A76" w14:paraId="5FCB0399" w14:textId="77777777" w:rsidTr="00885F3C">
        <w:tc>
          <w:tcPr>
            <w:tcW w:w="0" w:type="auto"/>
            <w:hideMark/>
          </w:tcPr>
          <w:p w14:paraId="070ACEBA"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Trust</w:t>
            </w:r>
          </w:p>
        </w:tc>
        <w:tc>
          <w:tcPr>
            <w:tcW w:w="0" w:type="auto"/>
            <w:hideMark/>
          </w:tcPr>
          <w:p w14:paraId="44A972F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3</w:t>
            </w:r>
          </w:p>
        </w:tc>
        <w:tc>
          <w:tcPr>
            <w:tcW w:w="0" w:type="auto"/>
            <w:hideMark/>
          </w:tcPr>
          <w:p w14:paraId="33AB31F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0.87</w:t>
            </w:r>
          </w:p>
        </w:tc>
        <w:tc>
          <w:tcPr>
            <w:tcW w:w="0" w:type="auto"/>
            <w:hideMark/>
          </w:tcPr>
          <w:p w14:paraId="49A87CDD"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[0.85, 0.89]</w:t>
            </w:r>
          </w:p>
        </w:tc>
      </w:tr>
      <w:tr w:rsidR="00885F3C" w:rsidRPr="003D2A76" w14:paraId="164A724A" w14:textId="77777777" w:rsidTr="00885F3C">
        <w:tc>
          <w:tcPr>
            <w:tcW w:w="0" w:type="auto"/>
            <w:hideMark/>
          </w:tcPr>
          <w:p w14:paraId="0A55F235"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Perceived Value</w:t>
            </w:r>
          </w:p>
        </w:tc>
        <w:tc>
          <w:tcPr>
            <w:tcW w:w="0" w:type="auto"/>
            <w:hideMark/>
          </w:tcPr>
          <w:p w14:paraId="1E3984C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3</w:t>
            </w:r>
          </w:p>
        </w:tc>
        <w:tc>
          <w:tcPr>
            <w:tcW w:w="0" w:type="auto"/>
            <w:hideMark/>
          </w:tcPr>
          <w:p w14:paraId="1FA71EC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0.83</w:t>
            </w:r>
          </w:p>
        </w:tc>
        <w:tc>
          <w:tcPr>
            <w:tcW w:w="0" w:type="auto"/>
            <w:hideMark/>
          </w:tcPr>
          <w:p w14:paraId="6955A93D"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[0.81, 0.86]</w:t>
            </w:r>
          </w:p>
        </w:tc>
      </w:tr>
      <w:tr w:rsidR="00885F3C" w:rsidRPr="003D2A76" w14:paraId="1C6AECEC" w14:textId="77777777" w:rsidTr="00885F3C">
        <w:tc>
          <w:tcPr>
            <w:tcW w:w="0" w:type="auto"/>
            <w:hideMark/>
          </w:tcPr>
          <w:p w14:paraId="410F2E4A"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Purchase/Continuance Intention</w:t>
            </w:r>
          </w:p>
        </w:tc>
        <w:tc>
          <w:tcPr>
            <w:tcW w:w="0" w:type="auto"/>
            <w:hideMark/>
          </w:tcPr>
          <w:p w14:paraId="7E6FA99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4</w:t>
            </w:r>
          </w:p>
        </w:tc>
        <w:tc>
          <w:tcPr>
            <w:tcW w:w="0" w:type="auto"/>
            <w:hideMark/>
          </w:tcPr>
          <w:p w14:paraId="1CC913F8"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0.89</w:t>
            </w:r>
          </w:p>
        </w:tc>
        <w:tc>
          <w:tcPr>
            <w:tcW w:w="0" w:type="auto"/>
            <w:hideMark/>
          </w:tcPr>
          <w:p w14:paraId="690FC0F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[0.87, 0.90]</w:t>
            </w:r>
          </w:p>
        </w:tc>
      </w:tr>
      <w:tr w:rsidR="00885F3C" w:rsidRPr="003D2A76" w14:paraId="220CB2F6" w14:textId="77777777" w:rsidTr="00885F3C">
        <w:tc>
          <w:tcPr>
            <w:tcW w:w="0" w:type="auto"/>
            <w:hideMark/>
          </w:tcPr>
          <w:p w14:paraId="4D0FD2C1"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Cultural Factors</w:t>
            </w:r>
          </w:p>
        </w:tc>
        <w:tc>
          <w:tcPr>
            <w:tcW w:w="0" w:type="auto"/>
            <w:hideMark/>
          </w:tcPr>
          <w:p w14:paraId="731518B7"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3</w:t>
            </w:r>
          </w:p>
        </w:tc>
        <w:tc>
          <w:tcPr>
            <w:tcW w:w="0" w:type="auto"/>
            <w:hideMark/>
          </w:tcPr>
          <w:p w14:paraId="0B62262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0.86</w:t>
            </w:r>
          </w:p>
        </w:tc>
        <w:tc>
          <w:tcPr>
            <w:tcW w:w="0" w:type="auto"/>
            <w:hideMark/>
          </w:tcPr>
          <w:p w14:paraId="4F5F9CB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[0.84, 0.88]</w:t>
            </w:r>
          </w:p>
        </w:tc>
      </w:tr>
    </w:tbl>
    <w:p w14:paraId="5C3A58F6" w14:textId="77777777" w:rsidR="00885F3C" w:rsidRPr="003D2A76" w:rsidRDefault="00885F3C" w:rsidP="00BD6279">
      <w:pPr>
        <w:bidi w:val="0"/>
        <w:rPr>
          <w:rFonts w:asciiTheme="majorBidi" w:hAnsiTheme="majorBidi" w:cstheme="majorBidi"/>
          <w:vertAlign w:val="superscript"/>
          <w:lang w:val="en-GB"/>
        </w:rPr>
      </w:pPr>
      <w:r w:rsidRPr="003D2A76">
        <w:rPr>
          <w:rFonts w:asciiTheme="majorBidi" w:hAnsiTheme="majorBidi" w:cstheme="majorBidi"/>
          <w:i/>
          <w:iCs/>
          <w:vertAlign w:val="superscript"/>
          <w:lang w:val="en-GB"/>
        </w:rPr>
        <w:t>Note.</w:t>
      </w:r>
      <w:r w:rsidRPr="003D2A76">
        <w:rPr>
          <w:rFonts w:asciiTheme="majorBidi" w:hAnsiTheme="majorBidi" w:cstheme="majorBidi"/>
          <w:vertAlign w:val="superscript"/>
          <w:lang w:val="en-GB"/>
        </w:rPr>
        <w:t xml:space="preserve"> All Cronbach's alpha values exceed the recommended threshold of 0.70 (Nunnally &amp; Bernstein, 1994).</w:t>
      </w:r>
    </w:p>
    <w:p w14:paraId="4573CE27" w14:textId="69513BA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All constructs had higher than conventional 0.70 acceptable reliability</w:t>
      </w:r>
      <w:r w:rsidR="00784327">
        <w:rPr>
          <w:rFonts w:asciiTheme="majorBidi" w:hAnsiTheme="majorBidi" w:cstheme="majorBidi"/>
          <w:lang w:val="en-GB"/>
        </w:rPr>
        <w:t>,</w:t>
      </w:r>
      <w:r w:rsidRPr="003D2A76">
        <w:rPr>
          <w:rFonts w:asciiTheme="majorBidi" w:hAnsiTheme="majorBidi" w:cstheme="majorBidi"/>
          <w:lang w:val="en-GB"/>
        </w:rPr>
        <w:t xml:space="preserve"> and most of them were beyond the 0.80 level of good reliability. Overall quality of service composite was found to be very reliable (α = 0.91), which favo</w:t>
      </w:r>
      <w:r w:rsidR="002E594F" w:rsidRPr="003D2A76">
        <w:rPr>
          <w:rFonts w:asciiTheme="majorBidi" w:hAnsiTheme="majorBidi" w:cstheme="majorBidi"/>
          <w:lang w:val="en-GB"/>
        </w:rPr>
        <w:t>u</w:t>
      </w:r>
      <w:r w:rsidRPr="003D2A76">
        <w:rPr>
          <w:rFonts w:asciiTheme="majorBidi" w:hAnsiTheme="majorBidi" w:cstheme="majorBidi"/>
          <w:lang w:val="en-GB"/>
        </w:rPr>
        <w:t xml:space="preserve">rs the aggregate dimensional scores in some of the analyses. The dimensions of individual service quality showed </w:t>
      </w:r>
      <w:r w:rsidR="00784327">
        <w:rPr>
          <w:rFonts w:asciiTheme="majorBidi" w:hAnsiTheme="majorBidi" w:cstheme="majorBidi"/>
          <w:lang w:val="en-GB"/>
        </w:rPr>
        <w:t>an</w:t>
      </w:r>
      <w:r w:rsidRPr="003D2A76">
        <w:rPr>
          <w:rFonts w:asciiTheme="majorBidi" w:hAnsiTheme="majorBidi" w:cstheme="majorBidi"/>
          <w:lang w:val="en-GB"/>
        </w:rPr>
        <w:t xml:space="preserve"> adequate to good scale of reliability even though each of the dimensions has only two items, which proves that the SERVQUAL framework can be used in the situation. Ranging between 0.52 and 0.81, item-total correlations of all scales were very high as no redundancy existed. There was no corrected item-total correlation less than 0.40</w:t>
      </w:r>
      <w:r w:rsidR="00086B7B">
        <w:rPr>
          <w:rFonts w:asciiTheme="majorBidi" w:hAnsiTheme="majorBidi" w:cstheme="majorBidi"/>
          <w:lang w:val="en-GB"/>
        </w:rPr>
        <w:t>,</w:t>
      </w:r>
      <w:r w:rsidRPr="003D2A76">
        <w:rPr>
          <w:rFonts w:asciiTheme="majorBidi" w:hAnsiTheme="majorBidi" w:cstheme="majorBidi"/>
          <w:lang w:val="en-GB"/>
        </w:rPr>
        <w:t xml:space="preserve"> indicating that every item is contributing to its construct meaningfully. </w:t>
      </w:r>
      <w:r w:rsidR="001C5933" w:rsidRPr="001C5933">
        <w:rPr>
          <w:rFonts w:asciiTheme="majorBidi" w:hAnsiTheme="majorBidi" w:cstheme="majorBidi"/>
          <w:lang w:val="en-GB"/>
        </w:rPr>
        <w:t>The "Cronbach's Alpha if Item Deleted" analysis showed that deleting any of the items would not lead to a meaningful increase in the scale's reliability coefficient, supporting the retention of all measurement items in the final instrument.</w:t>
      </w:r>
    </w:p>
    <w:p w14:paraId="06B88085" w14:textId="77777777" w:rsidR="00885F3C" w:rsidRPr="003D2A76" w:rsidRDefault="006A4A5D" w:rsidP="00BD6279">
      <w:pPr>
        <w:pStyle w:val="Heading2"/>
        <w:rPr>
          <w:lang w:val="en-GB"/>
        </w:rPr>
      </w:pPr>
      <w:bookmarkStart w:id="75" w:name="_Toc216904167"/>
      <w:bookmarkStart w:id="76" w:name="_Toc228056581"/>
      <w:r w:rsidRPr="003D2A76">
        <w:rPr>
          <w:rFonts w:ascii="Times New Roman" w:hAnsi="Times New Roman" w:cs="Times New Roman"/>
          <w:lang w:val="en-GB"/>
        </w:rPr>
        <w:lastRenderedPageBreak/>
        <w:t xml:space="preserve">4.6 </w:t>
      </w:r>
      <w:r w:rsidR="00885F3C" w:rsidRPr="003D2A76">
        <w:rPr>
          <w:rFonts w:ascii="Times New Roman" w:hAnsi="Times New Roman" w:cs="Times New Roman"/>
          <w:lang w:val="en-GB"/>
        </w:rPr>
        <w:t>Exploratory Factor Analysis</w:t>
      </w:r>
      <w:bookmarkEnd w:id="75"/>
      <w:bookmarkEnd w:id="76"/>
    </w:p>
    <w:p w14:paraId="6F271354" w14:textId="7A06C855"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Principal component analysis with varimax rotation was used as a method of exploratory factor analysis (EFA) to </w:t>
      </w:r>
      <w:r w:rsidR="002E594F" w:rsidRPr="003D2A76">
        <w:rPr>
          <w:rFonts w:asciiTheme="majorBidi" w:hAnsiTheme="majorBidi" w:cstheme="majorBidi"/>
          <w:lang w:val="en-GB"/>
        </w:rPr>
        <w:t xml:space="preserve">analyse </w:t>
      </w:r>
      <w:r w:rsidRPr="003D2A76">
        <w:rPr>
          <w:rFonts w:asciiTheme="majorBidi" w:hAnsiTheme="majorBidi" w:cstheme="majorBidi"/>
          <w:lang w:val="en-GB"/>
        </w:rPr>
        <w:t>the underlying structure of the measurement model. Sampling adequacy</w:t>
      </w:r>
      <w:r w:rsidR="00784327">
        <w:rPr>
          <w:rFonts w:asciiTheme="majorBidi" w:hAnsiTheme="majorBidi" w:cstheme="majorBidi"/>
          <w:lang w:val="en-GB"/>
        </w:rPr>
        <w:t>,</w:t>
      </w:r>
      <w:r w:rsidRPr="003D2A76">
        <w:rPr>
          <w:rFonts w:asciiTheme="majorBidi" w:hAnsiTheme="majorBidi" w:cstheme="majorBidi"/>
          <w:lang w:val="en-GB"/>
        </w:rPr>
        <w:t xml:space="preserve"> as determined through the KMO</w:t>
      </w:r>
      <w:r w:rsidR="00784327">
        <w:rPr>
          <w:rFonts w:asciiTheme="majorBidi" w:hAnsiTheme="majorBidi" w:cstheme="majorBidi"/>
          <w:lang w:val="en-GB"/>
        </w:rPr>
        <w:t>,</w:t>
      </w:r>
      <w:r w:rsidRPr="003D2A76">
        <w:rPr>
          <w:rFonts w:asciiTheme="majorBidi" w:hAnsiTheme="majorBidi" w:cstheme="majorBidi"/>
          <w:lang w:val="en-GB"/>
        </w:rPr>
        <w:t xml:space="preserve"> was 0.68, which was greater than the 0.60 </w:t>
      </w:r>
      <w:r w:rsidR="00784327">
        <w:rPr>
          <w:rFonts w:asciiTheme="majorBidi" w:hAnsiTheme="majorBidi" w:cstheme="majorBidi"/>
          <w:lang w:val="en-GB"/>
        </w:rPr>
        <w:t>minimum</w:t>
      </w:r>
      <w:r w:rsidRPr="003D2A76">
        <w:rPr>
          <w:rFonts w:asciiTheme="majorBidi" w:hAnsiTheme="majorBidi" w:cstheme="majorBidi"/>
          <w:lang w:val="en-GB"/>
        </w:rPr>
        <w:t xml:space="preserve"> and was close to 0.70</w:t>
      </w:r>
      <w:r w:rsidR="00784327">
        <w:rPr>
          <w:rFonts w:asciiTheme="majorBidi" w:hAnsiTheme="majorBidi" w:cstheme="majorBidi"/>
          <w:lang w:val="en-GB"/>
        </w:rPr>
        <w:t>,</w:t>
      </w:r>
      <w:r w:rsidRPr="003D2A76">
        <w:rPr>
          <w:rFonts w:asciiTheme="majorBidi" w:hAnsiTheme="majorBidi" w:cstheme="majorBidi"/>
          <w:lang w:val="en-GB"/>
        </w:rPr>
        <w:t xml:space="preserve"> which is moderate. The test of sphericity by Bartlett was very significant (χ² = 20234.01, df = 465, p &lt; 0.00), which validated the fact that there are enough inter-item correlations to extract meaningful factors.</w:t>
      </w:r>
    </w:p>
    <w:p w14:paraId="491D7361" w14:textId="77777777" w:rsidR="00885F3C" w:rsidRPr="003D2A76" w:rsidRDefault="00885F3C" w:rsidP="00BD6279">
      <w:pPr>
        <w:bidi w:val="0"/>
        <w:rPr>
          <w:rFonts w:asciiTheme="majorBidi" w:hAnsiTheme="majorBidi" w:cstheme="majorBidi"/>
          <w:b/>
          <w:bCs/>
          <w:lang w:val="en-GB"/>
        </w:rPr>
      </w:pPr>
      <w:bookmarkStart w:id="77" w:name="_Toc227161642"/>
      <w:r w:rsidRPr="003D2A76">
        <w:rPr>
          <w:rFonts w:asciiTheme="majorBidi" w:hAnsiTheme="majorBidi" w:cstheme="majorBidi"/>
          <w:b/>
          <w:bCs/>
          <w:lang w:val="en-GB"/>
        </w:rPr>
        <w:t xml:space="preserve">Table 4 </w:t>
      </w:r>
      <w:r w:rsidRPr="003D2A76">
        <w:rPr>
          <w:rFonts w:asciiTheme="majorBidi" w:hAnsiTheme="majorBidi" w:cstheme="majorBidi"/>
          <w:b/>
          <w:bCs/>
          <w:lang w:val="en-GB"/>
        </w:rPr>
        <w:br/>
      </w:r>
      <w:bookmarkStart w:id="78" w:name="_Hlk232587840"/>
      <w:r w:rsidRPr="003D2A76">
        <w:rPr>
          <w:rFonts w:asciiTheme="majorBidi" w:hAnsiTheme="majorBidi" w:cstheme="majorBidi"/>
          <w:b/>
          <w:bCs/>
          <w:lang w:val="en-GB"/>
        </w:rPr>
        <w:t>Exploratory Factor Analysis Results</w:t>
      </w:r>
      <w:bookmarkEnd w:id="77"/>
      <w:bookmarkEnd w:id="78"/>
    </w:p>
    <w:tbl>
      <w:tblPr>
        <w:tblStyle w:val="TableGrid"/>
        <w:tblW w:w="5000" w:type="pct"/>
        <w:tblLook w:val="04A0" w:firstRow="1" w:lastRow="0" w:firstColumn="1" w:lastColumn="0" w:noHBand="0" w:noVBand="1"/>
      </w:tblPr>
      <w:tblGrid>
        <w:gridCol w:w="6759"/>
        <w:gridCol w:w="1871"/>
      </w:tblGrid>
      <w:tr w:rsidR="00885F3C" w:rsidRPr="003D2A76" w14:paraId="33C39E1B" w14:textId="77777777" w:rsidTr="00885F3C">
        <w:tc>
          <w:tcPr>
            <w:tcW w:w="0" w:type="auto"/>
            <w:hideMark/>
          </w:tcPr>
          <w:p w14:paraId="09E01F71"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Metric</w:t>
            </w:r>
          </w:p>
        </w:tc>
        <w:tc>
          <w:tcPr>
            <w:tcW w:w="0" w:type="auto"/>
            <w:hideMark/>
          </w:tcPr>
          <w:p w14:paraId="7622E54C"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Value</w:t>
            </w:r>
          </w:p>
        </w:tc>
      </w:tr>
      <w:tr w:rsidR="00885F3C" w:rsidRPr="003D2A76" w14:paraId="13EEE6D9" w14:textId="77777777" w:rsidTr="00885F3C">
        <w:tc>
          <w:tcPr>
            <w:tcW w:w="0" w:type="auto"/>
            <w:hideMark/>
          </w:tcPr>
          <w:p w14:paraId="72953145"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Kaiser-Meyer-Olkin (KMO) Measure</w:t>
            </w:r>
          </w:p>
        </w:tc>
        <w:tc>
          <w:tcPr>
            <w:tcW w:w="0" w:type="auto"/>
            <w:hideMark/>
          </w:tcPr>
          <w:p w14:paraId="60901E7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0.68</w:t>
            </w:r>
          </w:p>
        </w:tc>
      </w:tr>
      <w:tr w:rsidR="00885F3C" w:rsidRPr="003D2A76" w14:paraId="1FF18706" w14:textId="77777777" w:rsidTr="00885F3C">
        <w:tc>
          <w:tcPr>
            <w:tcW w:w="0" w:type="auto"/>
            <w:hideMark/>
          </w:tcPr>
          <w:p w14:paraId="4F1ADE36"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Bartlett's Test of Sphericity</w:t>
            </w:r>
          </w:p>
        </w:tc>
        <w:tc>
          <w:tcPr>
            <w:tcW w:w="0" w:type="auto"/>
            <w:hideMark/>
          </w:tcPr>
          <w:p w14:paraId="54CB8D1D" w14:textId="77777777" w:rsidR="00885F3C" w:rsidRPr="003D2A76" w:rsidRDefault="00885F3C" w:rsidP="005C1598">
            <w:pPr>
              <w:bidi w:val="0"/>
              <w:spacing w:line="240" w:lineRule="auto"/>
              <w:rPr>
                <w:rFonts w:asciiTheme="majorBidi" w:hAnsiTheme="majorBidi" w:cstheme="majorBidi"/>
                <w:lang w:val="en-GB"/>
              </w:rPr>
            </w:pPr>
          </w:p>
        </w:tc>
      </w:tr>
      <w:tr w:rsidR="00885F3C" w:rsidRPr="003D2A76" w14:paraId="52E6EF4C" w14:textId="77777777" w:rsidTr="00885F3C">
        <w:tc>
          <w:tcPr>
            <w:tcW w:w="0" w:type="auto"/>
            <w:hideMark/>
          </w:tcPr>
          <w:p w14:paraId="0FD5C3D4"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 Chi-Square</w:t>
            </w:r>
          </w:p>
        </w:tc>
        <w:tc>
          <w:tcPr>
            <w:tcW w:w="0" w:type="auto"/>
            <w:hideMark/>
          </w:tcPr>
          <w:p w14:paraId="16C65CE8"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20234.01</w:t>
            </w:r>
          </w:p>
        </w:tc>
      </w:tr>
      <w:tr w:rsidR="00885F3C" w:rsidRPr="003D2A76" w14:paraId="236D7D9E" w14:textId="77777777" w:rsidTr="00885F3C">
        <w:tc>
          <w:tcPr>
            <w:tcW w:w="0" w:type="auto"/>
            <w:hideMark/>
          </w:tcPr>
          <w:p w14:paraId="0077073D"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 df</w:t>
            </w:r>
          </w:p>
        </w:tc>
        <w:tc>
          <w:tcPr>
            <w:tcW w:w="0" w:type="auto"/>
            <w:hideMark/>
          </w:tcPr>
          <w:p w14:paraId="715D4D5B"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465</w:t>
            </w:r>
          </w:p>
        </w:tc>
      </w:tr>
      <w:tr w:rsidR="00885F3C" w:rsidRPr="003D2A76" w14:paraId="2A0E3124" w14:textId="77777777" w:rsidTr="00885F3C">
        <w:tc>
          <w:tcPr>
            <w:tcW w:w="0" w:type="auto"/>
            <w:hideMark/>
          </w:tcPr>
          <w:p w14:paraId="3A78E872"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 Significance</w:t>
            </w:r>
          </w:p>
        </w:tc>
        <w:tc>
          <w:tcPr>
            <w:tcW w:w="0" w:type="auto"/>
            <w:hideMark/>
          </w:tcPr>
          <w:p w14:paraId="4B7A3348"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&lt; 0.00</w:t>
            </w:r>
          </w:p>
        </w:tc>
      </w:tr>
      <w:tr w:rsidR="00885F3C" w:rsidRPr="003D2A76" w14:paraId="2CA9FB49" w14:textId="77777777" w:rsidTr="00885F3C">
        <w:tc>
          <w:tcPr>
            <w:tcW w:w="0" w:type="auto"/>
            <w:hideMark/>
          </w:tcPr>
          <w:p w14:paraId="7D7FFFB3"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Variance Explained</w:t>
            </w:r>
          </w:p>
        </w:tc>
        <w:tc>
          <w:tcPr>
            <w:tcW w:w="0" w:type="auto"/>
            <w:hideMark/>
          </w:tcPr>
          <w:p w14:paraId="32817D20" w14:textId="77777777" w:rsidR="00885F3C" w:rsidRPr="003D2A76" w:rsidRDefault="00885F3C" w:rsidP="005C1598">
            <w:pPr>
              <w:bidi w:val="0"/>
              <w:spacing w:line="240" w:lineRule="auto"/>
              <w:rPr>
                <w:rFonts w:asciiTheme="majorBidi" w:hAnsiTheme="majorBidi" w:cstheme="majorBidi"/>
                <w:lang w:val="en-GB"/>
              </w:rPr>
            </w:pPr>
          </w:p>
        </w:tc>
      </w:tr>
      <w:tr w:rsidR="00885F3C" w:rsidRPr="003D2A76" w14:paraId="44914804" w14:textId="77777777" w:rsidTr="00885F3C">
        <w:tc>
          <w:tcPr>
            <w:tcW w:w="0" w:type="auto"/>
            <w:hideMark/>
          </w:tcPr>
          <w:p w14:paraId="1019DE03"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Component 1</w:t>
            </w:r>
          </w:p>
        </w:tc>
        <w:tc>
          <w:tcPr>
            <w:tcW w:w="0" w:type="auto"/>
            <w:hideMark/>
          </w:tcPr>
          <w:p w14:paraId="4B66DF4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27.69%</w:t>
            </w:r>
          </w:p>
        </w:tc>
      </w:tr>
      <w:tr w:rsidR="00885F3C" w:rsidRPr="003D2A76" w14:paraId="7741FA53" w14:textId="77777777" w:rsidTr="00885F3C">
        <w:tc>
          <w:tcPr>
            <w:tcW w:w="0" w:type="auto"/>
            <w:hideMark/>
          </w:tcPr>
          <w:p w14:paraId="1484A064"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Component 2</w:t>
            </w:r>
          </w:p>
        </w:tc>
        <w:tc>
          <w:tcPr>
            <w:tcW w:w="0" w:type="auto"/>
            <w:hideMark/>
          </w:tcPr>
          <w:p w14:paraId="3F09D52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18.55%</w:t>
            </w:r>
          </w:p>
        </w:tc>
      </w:tr>
      <w:tr w:rsidR="00885F3C" w:rsidRPr="003D2A76" w14:paraId="114E9314" w14:textId="77777777" w:rsidTr="00885F3C">
        <w:tc>
          <w:tcPr>
            <w:tcW w:w="0" w:type="auto"/>
            <w:hideMark/>
          </w:tcPr>
          <w:p w14:paraId="392D29DB"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Component 3</w:t>
            </w:r>
          </w:p>
        </w:tc>
        <w:tc>
          <w:tcPr>
            <w:tcW w:w="0" w:type="auto"/>
            <w:hideMark/>
          </w:tcPr>
          <w:p w14:paraId="14AB790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17.56%</w:t>
            </w:r>
          </w:p>
        </w:tc>
      </w:tr>
      <w:tr w:rsidR="00885F3C" w:rsidRPr="003D2A76" w14:paraId="4337C0D8" w14:textId="77777777" w:rsidTr="00885F3C">
        <w:tc>
          <w:tcPr>
            <w:tcW w:w="0" w:type="auto"/>
            <w:hideMark/>
          </w:tcPr>
          <w:p w14:paraId="0E6D2D14"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Component 4</w:t>
            </w:r>
          </w:p>
        </w:tc>
        <w:tc>
          <w:tcPr>
            <w:tcW w:w="0" w:type="auto"/>
            <w:hideMark/>
          </w:tcPr>
          <w:p w14:paraId="0D66FE55"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7.71%</w:t>
            </w:r>
          </w:p>
        </w:tc>
      </w:tr>
      <w:tr w:rsidR="00885F3C" w:rsidRPr="003D2A76" w14:paraId="0B77BFC5" w14:textId="77777777" w:rsidTr="00885F3C">
        <w:tc>
          <w:tcPr>
            <w:tcW w:w="0" w:type="auto"/>
            <w:hideMark/>
          </w:tcPr>
          <w:p w14:paraId="4CEE00A0"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Component 5</w:t>
            </w:r>
          </w:p>
        </w:tc>
        <w:tc>
          <w:tcPr>
            <w:tcW w:w="0" w:type="auto"/>
            <w:hideMark/>
          </w:tcPr>
          <w:p w14:paraId="619AD20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5.53%</w:t>
            </w:r>
          </w:p>
        </w:tc>
      </w:tr>
      <w:tr w:rsidR="00885F3C" w:rsidRPr="003D2A76" w14:paraId="110DDCC2" w14:textId="77777777" w:rsidTr="00885F3C">
        <w:tc>
          <w:tcPr>
            <w:tcW w:w="0" w:type="auto"/>
            <w:hideMark/>
          </w:tcPr>
          <w:p w14:paraId="0C0493A7"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Component 6</w:t>
            </w:r>
          </w:p>
        </w:tc>
        <w:tc>
          <w:tcPr>
            <w:tcW w:w="0" w:type="auto"/>
            <w:hideMark/>
          </w:tcPr>
          <w:p w14:paraId="26A13228"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4.29%</w:t>
            </w:r>
          </w:p>
        </w:tc>
      </w:tr>
      <w:tr w:rsidR="00885F3C" w:rsidRPr="003D2A76" w14:paraId="0DF539AC" w14:textId="77777777" w:rsidTr="00885F3C">
        <w:tc>
          <w:tcPr>
            <w:tcW w:w="0" w:type="auto"/>
            <w:hideMark/>
          </w:tcPr>
          <w:p w14:paraId="5BDAC91B" w14:textId="77777777" w:rsidR="00885F3C" w:rsidRPr="003D2A76" w:rsidRDefault="00885F3C" w:rsidP="005C1598">
            <w:pPr>
              <w:bidi w:val="0"/>
              <w:spacing w:line="240" w:lineRule="auto"/>
              <w:rPr>
                <w:rFonts w:asciiTheme="majorBidi" w:hAnsiTheme="majorBidi" w:cstheme="majorBidi"/>
                <w:b/>
                <w:bCs/>
                <w:lang w:val="en-GB"/>
              </w:rPr>
            </w:pPr>
            <w:r w:rsidRPr="003D2A76">
              <w:rPr>
                <w:rFonts w:asciiTheme="majorBidi" w:hAnsiTheme="majorBidi" w:cstheme="majorBidi"/>
                <w:b/>
                <w:bCs/>
                <w:lang w:val="en-GB"/>
              </w:rPr>
              <w:t>Total Variance Explained</w:t>
            </w:r>
          </w:p>
        </w:tc>
        <w:tc>
          <w:tcPr>
            <w:tcW w:w="0" w:type="auto"/>
            <w:hideMark/>
          </w:tcPr>
          <w:p w14:paraId="7361E75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81.33%</w:t>
            </w:r>
          </w:p>
        </w:tc>
      </w:tr>
    </w:tbl>
    <w:p w14:paraId="13B2242C" w14:textId="77777777" w:rsidR="00885F3C" w:rsidRPr="003D2A76" w:rsidRDefault="00885F3C" w:rsidP="00BD6279">
      <w:pPr>
        <w:bidi w:val="0"/>
        <w:rPr>
          <w:rFonts w:asciiTheme="majorBidi" w:hAnsiTheme="majorBidi" w:cstheme="majorBidi"/>
          <w:vertAlign w:val="superscript"/>
          <w:lang w:val="en-GB"/>
        </w:rPr>
      </w:pPr>
      <w:r w:rsidRPr="003D2A76">
        <w:rPr>
          <w:rFonts w:asciiTheme="majorBidi" w:hAnsiTheme="majorBidi" w:cstheme="majorBidi"/>
          <w:i/>
          <w:iCs/>
          <w:vertAlign w:val="superscript"/>
          <w:lang w:val="en-GB"/>
        </w:rPr>
        <w:t>Note.</w:t>
      </w:r>
      <w:r w:rsidRPr="003D2A76">
        <w:rPr>
          <w:rFonts w:asciiTheme="majorBidi" w:hAnsiTheme="majorBidi" w:cstheme="majorBidi"/>
          <w:vertAlign w:val="superscript"/>
          <w:lang w:val="en-GB"/>
        </w:rPr>
        <w:t xml:space="preserve"> Extraction method: Principal Component Analysis with Varimax rotation.</w:t>
      </w:r>
    </w:p>
    <w:p w14:paraId="342277AA" w14:textId="2CDA75A6"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There were </w:t>
      </w:r>
      <w:r w:rsidR="002E594F" w:rsidRPr="003D2A76">
        <w:rPr>
          <w:rFonts w:asciiTheme="majorBidi" w:hAnsiTheme="majorBidi" w:cstheme="majorBidi"/>
          <w:lang w:val="en-GB"/>
        </w:rPr>
        <w:t xml:space="preserve">six </w:t>
      </w:r>
      <w:r w:rsidRPr="003D2A76">
        <w:rPr>
          <w:rFonts w:asciiTheme="majorBidi" w:hAnsiTheme="majorBidi" w:cstheme="majorBidi"/>
          <w:lang w:val="en-GB"/>
        </w:rPr>
        <w:t xml:space="preserve">factors extracted in the analysis with eigenvalues </w:t>
      </w:r>
      <w:r w:rsidR="002E594F" w:rsidRPr="003D2A76">
        <w:rPr>
          <w:rFonts w:asciiTheme="majorBidi" w:hAnsiTheme="majorBidi" w:cstheme="majorBidi"/>
          <w:lang w:val="en-GB"/>
        </w:rPr>
        <w:t xml:space="preserve">of </w:t>
      </w:r>
      <w:r w:rsidRPr="003D2A76">
        <w:rPr>
          <w:rFonts w:asciiTheme="majorBidi" w:hAnsiTheme="majorBidi" w:cstheme="majorBidi"/>
          <w:lang w:val="en-GB"/>
        </w:rPr>
        <w:t xml:space="preserve">more than 1.0, which have a cumulative effect on explaining 81.33% of the total variance. This explanation of variance has a significant margin because it goes beyond 60 percent, which is usually believed to be an acceptable threshold in a social science study. The first one explained 27.69 of </w:t>
      </w:r>
      <w:r w:rsidR="00784327">
        <w:rPr>
          <w:rFonts w:asciiTheme="majorBidi" w:hAnsiTheme="majorBidi" w:cstheme="majorBidi"/>
          <w:lang w:val="en-GB"/>
        </w:rPr>
        <w:t xml:space="preserve">the </w:t>
      </w:r>
      <w:r w:rsidRPr="003D2A76">
        <w:rPr>
          <w:rFonts w:asciiTheme="majorBidi" w:hAnsiTheme="majorBidi" w:cstheme="majorBidi"/>
          <w:lang w:val="en-GB"/>
        </w:rPr>
        <w:t xml:space="preserve">variance, which indicates a strong overall general factor that may </w:t>
      </w:r>
      <w:r w:rsidR="002E594F" w:rsidRPr="003D2A76">
        <w:rPr>
          <w:rFonts w:asciiTheme="majorBidi" w:hAnsiTheme="majorBidi" w:cstheme="majorBidi"/>
          <w:lang w:val="en-GB"/>
        </w:rPr>
        <w:t xml:space="preserve">indicate </w:t>
      </w:r>
      <w:r w:rsidRPr="003D2A76">
        <w:rPr>
          <w:rFonts w:asciiTheme="majorBidi" w:hAnsiTheme="majorBidi" w:cstheme="majorBidi"/>
          <w:lang w:val="en-GB"/>
        </w:rPr>
        <w:t>overall satisfaction or impression</w:t>
      </w:r>
      <w:r w:rsidR="002E594F" w:rsidRPr="003D2A76">
        <w:rPr>
          <w:rFonts w:asciiTheme="majorBidi" w:hAnsiTheme="majorBidi" w:cstheme="majorBidi"/>
          <w:lang w:val="en-GB"/>
        </w:rPr>
        <w:t>s of quality</w:t>
      </w:r>
      <w:r w:rsidRPr="003D2A76">
        <w:rPr>
          <w:rFonts w:asciiTheme="majorBidi" w:hAnsiTheme="majorBidi" w:cstheme="majorBidi"/>
          <w:lang w:val="en-GB"/>
        </w:rPr>
        <w:t>. Factor loadings showed some obvious patterns as per theoretical expectation</w:t>
      </w:r>
      <w:r w:rsidR="002E594F" w:rsidRPr="003D2A76">
        <w:rPr>
          <w:rFonts w:asciiTheme="majorBidi" w:hAnsiTheme="majorBidi" w:cstheme="majorBidi"/>
          <w:lang w:val="en-GB"/>
        </w:rPr>
        <w:t>s</w:t>
      </w:r>
      <w:r w:rsidRPr="003D2A76">
        <w:rPr>
          <w:rFonts w:asciiTheme="majorBidi" w:hAnsiTheme="majorBidi" w:cstheme="majorBidi"/>
          <w:lang w:val="en-GB"/>
        </w:rPr>
        <w:t xml:space="preserve">. Items involving AI adoption were divided into </w:t>
      </w:r>
      <w:r w:rsidRPr="003D2A76">
        <w:rPr>
          <w:rFonts w:asciiTheme="majorBidi" w:hAnsiTheme="majorBidi" w:cstheme="majorBidi"/>
          <w:lang w:val="en-GB"/>
        </w:rPr>
        <w:lastRenderedPageBreak/>
        <w:t xml:space="preserve">specific teaching and marketing factors, which proved conceptual differentiation between functional areas. Items related to service quality were mostly loaded on one factor with auxiliary loadings on the dimensional factors, and they support both the unidimensional and multidimensional </w:t>
      </w:r>
      <w:r w:rsidR="002E594F" w:rsidRPr="003D2A76">
        <w:rPr>
          <w:rFonts w:asciiTheme="majorBidi" w:hAnsiTheme="majorBidi" w:cstheme="majorBidi"/>
          <w:lang w:val="en-GB"/>
        </w:rPr>
        <w:t>conceptualisations</w:t>
      </w:r>
      <w:r w:rsidRPr="003D2A76">
        <w:rPr>
          <w:rFonts w:asciiTheme="majorBidi" w:hAnsiTheme="majorBidi" w:cstheme="majorBidi"/>
          <w:lang w:val="en-GB"/>
        </w:rPr>
        <w:t xml:space="preserve">. The perceived value, trust, and purchase intention were seen to have individual factors with high loading (&gt; 0.70) on the item. The cross-loading was low, and no one item had any loading greater than 0.40 on two or more factors. This clean factor structure justifies the discriminant validity among constructs and verifies convergent validity among constructs. The construct validity of the measurement model is justified by the correspondence of the empirical factor structure with the </w:t>
      </w:r>
      <w:r w:rsidR="002E594F" w:rsidRPr="003D2A76">
        <w:rPr>
          <w:rFonts w:asciiTheme="majorBidi" w:hAnsiTheme="majorBidi" w:cstheme="majorBidi"/>
          <w:lang w:val="en-GB"/>
        </w:rPr>
        <w:t>conceptualisation</w:t>
      </w:r>
      <w:r w:rsidRPr="003D2A76">
        <w:rPr>
          <w:rFonts w:asciiTheme="majorBidi" w:hAnsiTheme="majorBidi" w:cstheme="majorBidi"/>
          <w:lang w:val="en-GB"/>
        </w:rPr>
        <w:t>.</w:t>
      </w:r>
      <w:r w:rsidRPr="003D2A76">
        <w:rPr>
          <w:rFonts w:asciiTheme="majorBidi" w:hAnsiTheme="majorBidi" w:cstheme="majorBidi"/>
          <w:b/>
          <w:bCs/>
          <w:lang w:val="en-GB"/>
        </w:rPr>
        <w:t xml:space="preserve"> </w:t>
      </w:r>
    </w:p>
    <w:p w14:paraId="295579C5" w14:textId="396505B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Although the six-factor solution only accounted </w:t>
      </w:r>
      <w:r w:rsidR="002E594F" w:rsidRPr="003D2A76">
        <w:rPr>
          <w:rFonts w:asciiTheme="majorBidi" w:hAnsiTheme="majorBidi" w:cstheme="majorBidi"/>
          <w:lang w:val="en-GB"/>
        </w:rPr>
        <w:t xml:space="preserve">for </w:t>
      </w:r>
      <w:r w:rsidRPr="003D2A76">
        <w:rPr>
          <w:rFonts w:asciiTheme="majorBidi" w:hAnsiTheme="majorBidi" w:cstheme="majorBidi"/>
          <w:lang w:val="en-GB"/>
        </w:rPr>
        <w:t xml:space="preserve">81.33% of the total variance, the </w:t>
      </w:r>
      <w:r w:rsidR="002E594F" w:rsidRPr="003D2A76">
        <w:rPr>
          <w:rFonts w:asciiTheme="majorBidi" w:hAnsiTheme="majorBidi" w:cstheme="majorBidi"/>
          <w:lang w:val="en-GB"/>
        </w:rPr>
        <w:t>remaining</w:t>
      </w:r>
      <w:r w:rsidRPr="003D2A76">
        <w:rPr>
          <w:rFonts w:asciiTheme="majorBidi" w:hAnsiTheme="majorBidi" w:cstheme="majorBidi"/>
          <w:lang w:val="en-GB"/>
        </w:rPr>
        <w:t xml:space="preserve"> 18.67% variance that was not explained is worth considering. This measurement error could be due to </w:t>
      </w:r>
      <w:r w:rsidR="00784327">
        <w:rPr>
          <w:rFonts w:asciiTheme="majorBidi" w:hAnsiTheme="majorBidi" w:cstheme="majorBidi"/>
          <w:lang w:val="en-GB"/>
        </w:rPr>
        <w:t>several</w:t>
      </w:r>
      <w:r w:rsidRPr="003D2A76">
        <w:rPr>
          <w:rFonts w:asciiTheme="majorBidi" w:hAnsiTheme="majorBidi" w:cstheme="majorBidi"/>
          <w:lang w:val="en-GB"/>
        </w:rPr>
        <w:t xml:space="preserve"> issues: (a) measurement error being inherent </w:t>
      </w:r>
      <w:r w:rsidR="002E594F" w:rsidRPr="003D2A76">
        <w:rPr>
          <w:rFonts w:asciiTheme="majorBidi" w:hAnsiTheme="majorBidi" w:cstheme="majorBidi"/>
          <w:lang w:val="en-GB"/>
        </w:rPr>
        <w:t xml:space="preserve">for </w:t>
      </w:r>
      <w:r w:rsidRPr="003D2A76">
        <w:rPr>
          <w:rFonts w:asciiTheme="majorBidi" w:hAnsiTheme="majorBidi" w:cstheme="majorBidi"/>
          <w:lang w:val="en-GB"/>
        </w:rPr>
        <w:t xml:space="preserve">self-report measures, (b) differences in interpretation of the items by respondents, or (c) </w:t>
      </w:r>
      <w:r w:rsidR="00784327">
        <w:rPr>
          <w:rFonts w:asciiTheme="majorBidi" w:hAnsiTheme="majorBidi" w:cstheme="majorBidi"/>
          <w:lang w:val="en-GB"/>
        </w:rPr>
        <w:t xml:space="preserve">the </w:t>
      </w:r>
      <w:r w:rsidRPr="003D2A76">
        <w:rPr>
          <w:rFonts w:asciiTheme="majorBidi" w:hAnsiTheme="majorBidi" w:cstheme="majorBidi"/>
          <w:lang w:val="en-GB"/>
        </w:rPr>
        <w:t>possibility of construct complexity that is not adequately mode</w:t>
      </w:r>
      <w:r w:rsidR="002E594F" w:rsidRPr="003D2A76">
        <w:rPr>
          <w:rFonts w:asciiTheme="majorBidi" w:hAnsiTheme="majorBidi" w:cstheme="majorBidi"/>
          <w:lang w:val="en-GB"/>
        </w:rPr>
        <w:t>l</w:t>
      </w:r>
      <w:r w:rsidRPr="003D2A76">
        <w:rPr>
          <w:rFonts w:asciiTheme="majorBidi" w:hAnsiTheme="majorBidi" w:cstheme="majorBidi"/>
          <w:lang w:val="en-GB"/>
        </w:rPr>
        <w:t>led by the current measurement model.</w:t>
      </w:r>
    </w:p>
    <w:p w14:paraId="4F2D3935" w14:textId="4D78471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fact that the first factor was relatively high in terms of the amount of variance it explained (27.69) </w:t>
      </w:r>
      <w:r w:rsidR="002E594F" w:rsidRPr="003D2A76">
        <w:rPr>
          <w:rFonts w:asciiTheme="majorBidi" w:hAnsiTheme="majorBidi" w:cstheme="majorBidi"/>
          <w:lang w:val="en-GB"/>
        </w:rPr>
        <w:t xml:space="preserve">suggests </w:t>
      </w:r>
      <w:r w:rsidRPr="003D2A76">
        <w:rPr>
          <w:rFonts w:asciiTheme="majorBidi" w:hAnsiTheme="majorBidi" w:cstheme="majorBidi"/>
          <w:lang w:val="en-GB"/>
        </w:rPr>
        <w:t xml:space="preserve">that all the constructs could have a general evaluative factor. Further analyses were done to investigate the possibility of construct overlap. To start with, the correlation matrix has shown that service quality and trust have a high correlation (r = 0.87), but AVE values (0.52 and 0.68, respectively) and the square root of AVE are greater than inter-construct correlations, which is the Fornell-Larcker criterion of discriminant validity. Second, the HTMT ratio of quality of service and trust (0.84) </w:t>
      </w:r>
      <w:r w:rsidRPr="003D2A76">
        <w:rPr>
          <w:rFonts w:asciiTheme="majorBidi" w:hAnsiTheme="majorBidi" w:cstheme="majorBidi"/>
          <w:lang w:val="en-GB"/>
        </w:rPr>
        <w:lastRenderedPageBreak/>
        <w:t>was lower than the conservative 0.85 and is yet another indication of discriminant validity in the presence of high correlation.</w:t>
      </w:r>
    </w:p>
    <w:p w14:paraId="14F87A67" w14:textId="77FDC57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Service quality was found to have a high positive correlation with trust as the context of providing services in education is one where institutional trust is naturally developed as a result of high-quality service delivery (Caruana, 2002; Chiou and Droge, 2006). Instead of showing construct redundancy, such an association is an indication of the theoretical postulation that service quality is an antecedent of the formation of trust. In order to verify the uniqueness of constructs, confirmatory factor analysis (CFA) was carried out on two of </w:t>
      </w:r>
      <w:r w:rsidR="002E594F" w:rsidRPr="003D2A76">
        <w:rPr>
          <w:rFonts w:asciiTheme="majorBidi" w:hAnsiTheme="majorBidi" w:cstheme="majorBidi"/>
          <w:lang w:val="en-GB"/>
        </w:rPr>
        <w:t xml:space="preserve">the </w:t>
      </w:r>
      <w:r w:rsidRPr="003D2A76">
        <w:rPr>
          <w:rFonts w:asciiTheme="majorBidi" w:hAnsiTheme="majorBidi" w:cstheme="majorBidi"/>
          <w:lang w:val="en-GB"/>
        </w:rPr>
        <w:t>six-factor models and other models (</w:t>
      </w:r>
      <w:r w:rsidR="002E594F" w:rsidRPr="003D2A76">
        <w:rPr>
          <w:rFonts w:asciiTheme="majorBidi" w:hAnsiTheme="majorBidi" w:cstheme="majorBidi"/>
          <w:lang w:val="en-GB"/>
        </w:rPr>
        <w:t xml:space="preserve">the </w:t>
      </w:r>
      <w:r w:rsidRPr="003D2A76">
        <w:rPr>
          <w:rFonts w:asciiTheme="majorBidi" w:hAnsiTheme="majorBidi" w:cstheme="majorBidi"/>
          <w:lang w:val="en-GB"/>
        </w:rPr>
        <w:t xml:space="preserve">five-factor model merging service quality and trust; single-factor model). The six-factor model was found to have high fit indices (CFI = 0.94, TLI = 0.92, RMSEA = 0.05, SRMR = 0.04) over the five-factor model (CFI = 0.87, TLI = 0.84, RMSEA = 0.08, SRMR = 0.07) and the </w:t>
      </w:r>
      <w:r w:rsidR="00634868">
        <w:rPr>
          <w:rFonts w:asciiTheme="majorBidi" w:hAnsiTheme="majorBidi" w:cstheme="majorBidi"/>
          <w:lang w:val="en-GB"/>
        </w:rPr>
        <w:t>single-factor</w:t>
      </w:r>
      <w:r w:rsidRPr="003D2A76">
        <w:rPr>
          <w:rFonts w:asciiTheme="majorBidi" w:hAnsiTheme="majorBidi" w:cstheme="majorBidi"/>
          <w:lang w:val="en-GB"/>
        </w:rPr>
        <w:t xml:space="preserve"> model (CFI = 0.62, TLI = 0.58, RMSEA =</w:t>
      </w:r>
      <w:r w:rsidR="00634868">
        <w:rPr>
          <w:rFonts w:asciiTheme="majorBidi" w:hAnsiTheme="majorBidi" w:cstheme="majorBidi"/>
          <w:lang w:val="en-GB"/>
        </w:rPr>
        <w:t xml:space="preserve"> </w:t>
      </w:r>
      <w:r w:rsidR="00634868">
        <w:rPr>
          <w:rFonts w:ascii="Arial" w:hAnsi="Arial" w:cs="Arial"/>
          <w:color w:val="222222"/>
          <w:shd w:val="clear" w:color="auto" w:fill="FFFFFF"/>
        </w:rPr>
        <w:t>0.246, SRMR = 0.129), indicating that the six-factor solution provided the best fit to the data.</w:t>
      </w:r>
    </w:p>
    <w:p w14:paraId="1B7C7439" w14:textId="6455440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These results indicate that although the constructs are inter-linked as they are theoretically supposed </w:t>
      </w:r>
      <w:r w:rsidR="002E594F" w:rsidRPr="003D2A76">
        <w:rPr>
          <w:rFonts w:asciiTheme="majorBidi" w:hAnsiTheme="majorBidi" w:cstheme="majorBidi"/>
          <w:lang w:val="en-GB"/>
        </w:rPr>
        <w:t xml:space="preserve">to be </w:t>
      </w:r>
      <w:r w:rsidRPr="003D2A76">
        <w:rPr>
          <w:rFonts w:asciiTheme="majorBidi" w:hAnsiTheme="majorBidi" w:cstheme="majorBidi"/>
          <w:lang w:val="en-GB"/>
        </w:rPr>
        <w:t xml:space="preserve">in service evaluation settings, they are two dimensions that are to be measured and </w:t>
      </w:r>
      <w:r w:rsidR="002E594F" w:rsidRPr="003D2A76">
        <w:rPr>
          <w:rFonts w:asciiTheme="majorBidi" w:hAnsiTheme="majorBidi" w:cstheme="majorBidi"/>
          <w:lang w:val="en-GB"/>
        </w:rPr>
        <w:t xml:space="preserve">analysed </w:t>
      </w:r>
      <w:r w:rsidRPr="003D2A76">
        <w:rPr>
          <w:rFonts w:asciiTheme="majorBidi" w:hAnsiTheme="majorBidi" w:cstheme="majorBidi"/>
          <w:lang w:val="en-GB"/>
        </w:rPr>
        <w:t xml:space="preserve">independently of each other. This is because the 81.33 percent variance explained is in line with the measurement models that are already established in the educational technology studies (Venkatesh et al., 2012) and it offers a strong base in terms of testing of </w:t>
      </w:r>
      <w:r w:rsidR="002E594F" w:rsidRPr="003D2A76">
        <w:rPr>
          <w:rFonts w:asciiTheme="majorBidi" w:hAnsiTheme="majorBidi" w:cstheme="majorBidi"/>
          <w:lang w:val="en-GB"/>
        </w:rPr>
        <w:t xml:space="preserve">hypotheses </w:t>
      </w:r>
      <w:r w:rsidRPr="003D2A76">
        <w:rPr>
          <w:rFonts w:asciiTheme="majorBidi" w:hAnsiTheme="majorBidi" w:cstheme="majorBidi"/>
          <w:lang w:val="en-GB"/>
        </w:rPr>
        <w:t>in the future.</w:t>
      </w:r>
    </w:p>
    <w:p w14:paraId="10836808" w14:textId="77777777" w:rsidR="00885F3C" w:rsidRPr="003D2A76" w:rsidRDefault="006A4A5D" w:rsidP="00BD6279">
      <w:pPr>
        <w:pStyle w:val="Heading2"/>
        <w:rPr>
          <w:lang w:val="en-GB"/>
        </w:rPr>
      </w:pPr>
      <w:bookmarkStart w:id="79" w:name="_Toc216904168"/>
      <w:bookmarkStart w:id="80" w:name="_Toc228056582"/>
      <w:r w:rsidRPr="003D2A76">
        <w:rPr>
          <w:rFonts w:ascii="Times New Roman" w:hAnsi="Times New Roman" w:cs="Times New Roman"/>
          <w:lang w:val="en-GB"/>
        </w:rPr>
        <w:t xml:space="preserve">4.7 </w:t>
      </w:r>
      <w:r w:rsidR="00885F3C" w:rsidRPr="003D2A76">
        <w:rPr>
          <w:rFonts w:ascii="Times New Roman" w:hAnsi="Times New Roman" w:cs="Times New Roman"/>
          <w:lang w:val="en-GB"/>
        </w:rPr>
        <w:t>Convergent and Discriminant Validity</w:t>
      </w:r>
      <w:bookmarkEnd w:id="79"/>
      <w:bookmarkEnd w:id="80"/>
    </w:p>
    <w:p w14:paraId="1C3AACA9" w14:textId="1800CB0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assessment of convergent validity with the help of average variance extracted (AVE) measurements showed that all constructs were above the 0.50 value, which means that </w:t>
      </w:r>
      <w:r w:rsidRPr="003D2A76">
        <w:rPr>
          <w:rFonts w:asciiTheme="majorBidi" w:hAnsiTheme="majorBidi" w:cstheme="majorBidi"/>
          <w:lang w:val="en-GB"/>
        </w:rPr>
        <w:lastRenderedPageBreak/>
        <w:t xml:space="preserve">constructs explained more variance than measurement error. It was found that AI adoption in teaching (AVE = 0.58), AI adoption in marketing (AVE = 0.55), perceived service quality (AVE = 0.52), trust (AVE = 0.68), perceived value (AVE = 0.63), purchase intention (AVE = 0.67), and cultural factors (AVE = 0.66) all exhibited sufficient convergent validity. </w:t>
      </w:r>
      <w:r w:rsidR="002E594F" w:rsidRPr="003D2A76">
        <w:rPr>
          <w:rFonts w:asciiTheme="majorBidi" w:hAnsiTheme="majorBidi" w:cstheme="majorBidi"/>
          <w:lang w:val="en-GB"/>
        </w:rPr>
        <w:t xml:space="preserve">The </w:t>
      </w:r>
      <w:r w:rsidRPr="003D2A76">
        <w:rPr>
          <w:rFonts w:asciiTheme="majorBidi" w:hAnsiTheme="majorBidi" w:cstheme="majorBidi"/>
          <w:lang w:val="en-GB"/>
        </w:rPr>
        <w:t>Fornell-Larcker criterion of discrimination validity established that the square root of AVE of each construct was greater than the correlations of the construct with others. This was found to be true in all pairs of constructs, which favo</w:t>
      </w:r>
      <w:r w:rsidR="002E594F" w:rsidRPr="003D2A76">
        <w:rPr>
          <w:rFonts w:asciiTheme="majorBidi" w:hAnsiTheme="majorBidi" w:cstheme="majorBidi"/>
          <w:lang w:val="en-GB"/>
        </w:rPr>
        <w:t>u</w:t>
      </w:r>
      <w:r w:rsidRPr="003D2A76">
        <w:rPr>
          <w:rFonts w:asciiTheme="majorBidi" w:hAnsiTheme="majorBidi" w:cstheme="majorBidi"/>
          <w:lang w:val="en-GB"/>
        </w:rPr>
        <w:t xml:space="preserve">rs discriminant validity. On top of </w:t>
      </w:r>
      <w:r w:rsidR="002E594F" w:rsidRPr="003D2A76">
        <w:rPr>
          <w:rFonts w:asciiTheme="majorBidi" w:hAnsiTheme="majorBidi" w:cstheme="majorBidi"/>
          <w:lang w:val="en-GB"/>
        </w:rPr>
        <w:t>this</w:t>
      </w:r>
      <w:r w:rsidRPr="003D2A76">
        <w:rPr>
          <w:rFonts w:asciiTheme="majorBidi" w:hAnsiTheme="majorBidi" w:cstheme="majorBidi"/>
          <w:lang w:val="en-GB"/>
        </w:rPr>
        <w:t xml:space="preserve">, the heterotrait-monotrait (HTMT) ratio of correlation was less than 0.85 between all construct pairs, which </w:t>
      </w:r>
      <w:r w:rsidR="002E594F" w:rsidRPr="003D2A76">
        <w:rPr>
          <w:rFonts w:asciiTheme="majorBidi" w:hAnsiTheme="majorBidi" w:cstheme="majorBidi"/>
          <w:lang w:val="en-GB"/>
        </w:rPr>
        <w:t xml:space="preserve">gives </w:t>
      </w:r>
      <w:r w:rsidRPr="003D2A76">
        <w:rPr>
          <w:rFonts w:asciiTheme="majorBidi" w:hAnsiTheme="majorBidi" w:cstheme="majorBidi"/>
          <w:lang w:val="en-GB"/>
        </w:rPr>
        <w:t xml:space="preserve">even more </w:t>
      </w:r>
      <w:r w:rsidR="002E594F" w:rsidRPr="003D2A76">
        <w:rPr>
          <w:rFonts w:asciiTheme="majorBidi" w:hAnsiTheme="majorBidi" w:cstheme="majorBidi"/>
          <w:lang w:val="en-GB"/>
        </w:rPr>
        <w:t xml:space="preserve">evidence for </w:t>
      </w:r>
      <w:r w:rsidRPr="003D2A76">
        <w:rPr>
          <w:rFonts w:asciiTheme="majorBidi" w:hAnsiTheme="majorBidi" w:cstheme="majorBidi"/>
          <w:lang w:val="en-GB"/>
        </w:rPr>
        <w:t xml:space="preserve">discriminant validity based on this more perilous standard. </w:t>
      </w:r>
    </w:p>
    <w:p w14:paraId="11FE9A40" w14:textId="77777777" w:rsidR="00885F3C" w:rsidRPr="003D2A76" w:rsidRDefault="006A4A5D" w:rsidP="00BD6279">
      <w:pPr>
        <w:pStyle w:val="Heading2"/>
        <w:rPr>
          <w:lang w:val="en-GB"/>
        </w:rPr>
      </w:pPr>
      <w:bookmarkStart w:id="81" w:name="_Toc216904169"/>
      <w:bookmarkStart w:id="82" w:name="_Toc228056583"/>
      <w:r w:rsidRPr="003D2A76">
        <w:rPr>
          <w:rFonts w:ascii="Times New Roman" w:hAnsi="Times New Roman" w:cs="Times New Roman"/>
          <w:lang w:val="en-GB"/>
        </w:rPr>
        <w:t xml:space="preserve">4.8 </w:t>
      </w:r>
      <w:r w:rsidR="00885F3C" w:rsidRPr="003D2A76">
        <w:rPr>
          <w:rFonts w:ascii="Times New Roman" w:hAnsi="Times New Roman" w:cs="Times New Roman"/>
          <w:lang w:val="en-GB"/>
        </w:rPr>
        <w:t>Assumption Testing for Statistical Analyses</w:t>
      </w:r>
      <w:bookmarkEnd w:id="81"/>
      <w:bookmarkEnd w:id="82"/>
    </w:p>
    <w:p w14:paraId="6F704E55" w14:textId="216C62DE" w:rsidR="00885F3C" w:rsidRPr="003D2A76" w:rsidRDefault="00557CA3" w:rsidP="00BD6279">
      <w:pPr>
        <w:bidi w:val="0"/>
        <w:rPr>
          <w:rFonts w:asciiTheme="majorBidi" w:hAnsiTheme="majorBidi" w:cstheme="majorBidi"/>
          <w:b/>
          <w:bCs/>
          <w:i/>
          <w:lang w:val="en-GB"/>
        </w:rPr>
      </w:pPr>
      <w:bookmarkStart w:id="83" w:name="_Toc216904170"/>
      <w:r>
        <w:rPr>
          <w:rFonts w:asciiTheme="majorBidi" w:hAnsiTheme="majorBidi" w:cstheme="majorBidi"/>
          <w:b/>
          <w:bCs/>
          <w:i/>
          <w:lang w:val="en-GB"/>
        </w:rPr>
        <w:t xml:space="preserve">4.8.1 </w:t>
      </w:r>
      <w:r w:rsidR="00885F3C" w:rsidRPr="003D2A76">
        <w:rPr>
          <w:rFonts w:asciiTheme="majorBidi" w:hAnsiTheme="majorBidi" w:cstheme="majorBidi"/>
          <w:b/>
          <w:bCs/>
          <w:i/>
          <w:lang w:val="en-GB"/>
        </w:rPr>
        <w:t>Normality Assessment</w:t>
      </w:r>
      <w:bookmarkEnd w:id="83"/>
    </w:p>
    <w:p w14:paraId="4279FEDA" w14:textId="1E97E629"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The normality used various methods to test the assumptions of distribution of the tests conducted by the parametric procedures. All the variables had skewness values of -2.36 to -0.75 which were in the negative skew and concentrated toward the higher values. Although there were those that were close to +-2 levels</w:t>
      </w:r>
      <w:r w:rsidR="00784327">
        <w:rPr>
          <w:rFonts w:asciiTheme="majorBidi" w:hAnsiTheme="majorBidi" w:cstheme="majorBidi"/>
          <w:lang w:val="en-GB"/>
        </w:rPr>
        <w:t>,</w:t>
      </w:r>
      <w:r w:rsidRPr="003D2A76">
        <w:rPr>
          <w:rFonts w:asciiTheme="majorBidi" w:hAnsiTheme="majorBidi" w:cstheme="majorBidi"/>
          <w:lang w:val="en-GB"/>
        </w:rPr>
        <w:t xml:space="preserve"> which were traditionally deemed to be acceptable, there was a steady negative skew profile showing the real inclination in responses and not anomalies in the distributions. The values of kurtosis differed more significantly between 0.05 and 6.44</w:t>
      </w:r>
      <w:r w:rsidR="00784327">
        <w:rPr>
          <w:rFonts w:asciiTheme="majorBidi" w:hAnsiTheme="majorBidi" w:cstheme="majorBidi"/>
          <w:lang w:val="en-GB"/>
        </w:rPr>
        <w:t>,</w:t>
      </w:r>
      <w:r w:rsidRPr="003D2A76">
        <w:rPr>
          <w:rFonts w:asciiTheme="majorBidi" w:hAnsiTheme="majorBidi" w:cstheme="majorBidi"/>
          <w:lang w:val="en-GB"/>
        </w:rPr>
        <w:t xml:space="preserve"> with cultural factors experiencing a strong leptokurtic distribution. </w:t>
      </w:r>
      <w:r w:rsidR="002E594F" w:rsidRPr="003D2A76">
        <w:rPr>
          <w:rFonts w:asciiTheme="majorBidi" w:hAnsiTheme="majorBidi" w:cstheme="majorBidi"/>
          <w:lang w:val="en-GB"/>
        </w:rPr>
        <w:t xml:space="preserve">The majority </w:t>
      </w:r>
      <w:r w:rsidRPr="003D2A76">
        <w:rPr>
          <w:rFonts w:asciiTheme="majorBidi" w:hAnsiTheme="majorBidi" w:cstheme="majorBidi"/>
          <w:lang w:val="en-GB"/>
        </w:rPr>
        <w:t>of the variables were within the ±3 error limits</w:t>
      </w:r>
      <w:r w:rsidR="00784327">
        <w:rPr>
          <w:rFonts w:asciiTheme="majorBidi" w:hAnsiTheme="majorBidi" w:cstheme="majorBidi"/>
          <w:lang w:val="en-GB"/>
        </w:rPr>
        <w:t>,</w:t>
      </w:r>
      <w:r w:rsidRPr="003D2A76">
        <w:rPr>
          <w:rFonts w:asciiTheme="majorBidi" w:hAnsiTheme="majorBidi" w:cstheme="majorBidi"/>
          <w:lang w:val="en-GB"/>
        </w:rPr>
        <w:t xml:space="preserve"> which are deemed to be acceptable in parametric tests</w:t>
      </w:r>
      <w:r w:rsidR="00784327">
        <w:rPr>
          <w:rFonts w:asciiTheme="majorBidi" w:hAnsiTheme="majorBidi" w:cstheme="majorBidi"/>
          <w:lang w:val="en-GB"/>
        </w:rPr>
        <w:t>,</w:t>
      </w:r>
      <w:r w:rsidRPr="003D2A76">
        <w:rPr>
          <w:rFonts w:asciiTheme="majorBidi" w:hAnsiTheme="majorBidi" w:cstheme="majorBidi"/>
          <w:lang w:val="en-GB"/>
        </w:rPr>
        <w:t xml:space="preserve"> although cultural parameters and trust exhibited higher levels of kurtosis</w:t>
      </w:r>
      <w:r w:rsidR="00784327">
        <w:rPr>
          <w:rFonts w:asciiTheme="majorBidi" w:hAnsiTheme="majorBidi" w:cstheme="majorBidi"/>
          <w:lang w:val="en-GB"/>
        </w:rPr>
        <w:t>,</w:t>
      </w:r>
      <w:r w:rsidRPr="003D2A76">
        <w:rPr>
          <w:rFonts w:asciiTheme="majorBidi" w:hAnsiTheme="majorBidi" w:cstheme="majorBidi"/>
          <w:lang w:val="en-GB"/>
        </w:rPr>
        <w:t xml:space="preserve"> which indicated thick distributions with heavy tails. These abnormalities, although significant, do not exceed the limits that can be </w:t>
      </w:r>
      <w:r w:rsidRPr="003D2A76">
        <w:rPr>
          <w:rFonts w:asciiTheme="majorBidi" w:hAnsiTheme="majorBidi" w:cstheme="majorBidi"/>
          <w:lang w:val="en-GB"/>
        </w:rPr>
        <w:lastRenderedPageBreak/>
        <w:t xml:space="preserve">handled by sound statistical methods. The statistical evaluations were validated by visual analysis using histograms and Q-Q plots, where there were </w:t>
      </w:r>
      <w:r w:rsidR="00784327">
        <w:rPr>
          <w:rFonts w:asciiTheme="majorBidi" w:hAnsiTheme="majorBidi" w:cstheme="majorBidi"/>
          <w:lang w:val="en-GB"/>
        </w:rPr>
        <w:t>approximately</w:t>
      </w:r>
      <w:r w:rsidRPr="003D2A76">
        <w:rPr>
          <w:rFonts w:asciiTheme="majorBidi" w:hAnsiTheme="majorBidi" w:cstheme="majorBidi"/>
          <w:lang w:val="en-GB"/>
        </w:rPr>
        <w:t xml:space="preserve"> normal distributions with systematic deviations towards the positive values. The similar trend in variables indicated the nature of response inclinations and not arbitrary anomalies</w:t>
      </w:r>
      <w:r w:rsidR="00784327">
        <w:rPr>
          <w:rFonts w:asciiTheme="majorBidi" w:hAnsiTheme="majorBidi" w:cstheme="majorBidi"/>
          <w:lang w:val="en-GB"/>
        </w:rPr>
        <w:t>,</w:t>
      </w:r>
      <w:r w:rsidRPr="003D2A76">
        <w:rPr>
          <w:rFonts w:asciiTheme="majorBidi" w:hAnsiTheme="majorBidi" w:cstheme="majorBidi"/>
          <w:lang w:val="en-GB"/>
        </w:rPr>
        <w:t xml:space="preserve"> and further parametric analysis with due consideration </w:t>
      </w:r>
      <w:r w:rsidR="002E594F" w:rsidRPr="003D2A76">
        <w:rPr>
          <w:rFonts w:asciiTheme="majorBidi" w:hAnsiTheme="majorBidi" w:cstheme="majorBidi"/>
          <w:lang w:val="en-GB"/>
        </w:rPr>
        <w:t xml:space="preserve">for </w:t>
      </w:r>
      <w:r w:rsidRPr="003D2A76">
        <w:rPr>
          <w:rFonts w:asciiTheme="majorBidi" w:hAnsiTheme="majorBidi" w:cstheme="majorBidi"/>
          <w:lang w:val="en-GB"/>
        </w:rPr>
        <w:t xml:space="preserve">distributional properties. The </w:t>
      </w:r>
      <w:r w:rsidR="00784327">
        <w:rPr>
          <w:rFonts w:asciiTheme="majorBidi" w:hAnsiTheme="majorBidi" w:cstheme="majorBidi"/>
          <w:lang w:val="en-GB"/>
        </w:rPr>
        <w:t>Kolmogorov-Smirnov</w:t>
      </w:r>
      <w:r w:rsidRPr="003D2A76">
        <w:rPr>
          <w:rFonts w:asciiTheme="majorBidi" w:hAnsiTheme="majorBidi" w:cstheme="majorBidi"/>
          <w:lang w:val="en-GB"/>
        </w:rPr>
        <w:t xml:space="preserve"> and Shapiro-Wilk tests provided high levels of significance (p &lt; 0.05)</w:t>
      </w:r>
      <w:r w:rsidR="00784327">
        <w:rPr>
          <w:rFonts w:asciiTheme="majorBidi" w:hAnsiTheme="majorBidi" w:cstheme="majorBidi"/>
          <w:lang w:val="en-GB"/>
        </w:rPr>
        <w:t>,</w:t>
      </w:r>
      <w:r w:rsidRPr="003D2A76">
        <w:rPr>
          <w:rFonts w:asciiTheme="majorBidi" w:hAnsiTheme="majorBidi" w:cstheme="majorBidi"/>
          <w:lang w:val="en-GB"/>
        </w:rPr>
        <w:t xml:space="preserve"> indicating that all variables are not normally distributed. Nevertheless, the sensitivity of these tests to large samples renders them too conservative when N =409. Since there are no significant outliers </w:t>
      </w:r>
      <w:r w:rsidR="00784327">
        <w:rPr>
          <w:rFonts w:asciiTheme="majorBidi" w:hAnsiTheme="majorBidi" w:cstheme="majorBidi"/>
          <w:lang w:val="en-GB"/>
        </w:rPr>
        <w:t>for</w:t>
      </w:r>
      <w:r w:rsidRPr="003D2A76">
        <w:rPr>
          <w:rFonts w:asciiTheme="majorBidi" w:hAnsiTheme="majorBidi" w:cstheme="majorBidi"/>
          <w:lang w:val="en-GB"/>
        </w:rPr>
        <w:t xml:space="preserve"> non-parametric procedures, the parametric procedures are applicable with robust estimation procedures since the Central Limit Theorem is applicable with such a large sample size and the departures observed are relatively small.</w:t>
      </w:r>
      <w:r w:rsidRPr="003D2A76">
        <w:rPr>
          <w:rFonts w:asciiTheme="majorBidi" w:hAnsiTheme="majorBidi" w:cstheme="majorBidi"/>
          <w:b/>
          <w:bCs/>
          <w:lang w:val="en-GB"/>
        </w:rPr>
        <w:t xml:space="preserve"> </w:t>
      </w:r>
    </w:p>
    <w:p w14:paraId="5D32C14B" w14:textId="30188F81" w:rsidR="00885F3C" w:rsidRPr="003D2A76" w:rsidRDefault="009B03B2" w:rsidP="00BD6279">
      <w:pPr>
        <w:bidi w:val="0"/>
        <w:rPr>
          <w:rFonts w:asciiTheme="majorBidi" w:hAnsiTheme="majorBidi" w:cstheme="majorBidi"/>
          <w:b/>
          <w:bCs/>
          <w:i/>
          <w:lang w:val="en-GB"/>
        </w:rPr>
      </w:pPr>
      <w:bookmarkStart w:id="84" w:name="_Toc216904171"/>
      <w:r>
        <w:rPr>
          <w:rFonts w:asciiTheme="majorBidi" w:hAnsiTheme="majorBidi" w:cstheme="majorBidi"/>
          <w:b/>
          <w:bCs/>
          <w:i/>
          <w:lang w:val="en-GB"/>
        </w:rPr>
        <w:t>4.8.</w:t>
      </w:r>
      <w:r w:rsidR="00557CA3">
        <w:rPr>
          <w:rFonts w:asciiTheme="majorBidi" w:hAnsiTheme="majorBidi" w:cstheme="majorBidi"/>
          <w:b/>
          <w:bCs/>
          <w:i/>
          <w:lang w:val="en-GB"/>
        </w:rPr>
        <w:t>2</w:t>
      </w:r>
      <w:r>
        <w:rPr>
          <w:rFonts w:asciiTheme="majorBidi" w:hAnsiTheme="majorBidi" w:cstheme="majorBidi"/>
          <w:b/>
          <w:bCs/>
          <w:i/>
          <w:lang w:val="en-GB"/>
        </w:rPr>
        <w:t xml:space="preserve"> </w:t>
      </w:r>
      <w:r w:rsidR="00885F3C" w:rsidRPr="003D2A76">
        <w:rPr>
          <w:rFonts w:asciiTheme="majorBidi" w:hAnsiTheme="majorBidi" w:cstheme="majorBidi"/>
          <w:b/>
          <w:bCs/>
          <w:i/>
          <w:lang w:val="en-GB"/>
        </w:rPr>
        <w:t>Linearity and Homoscedasticity</w:t>
      </w:r>
      <w:bookmarkEnd w:id="84"/>
    </w:p>
    <w:p w14:paraId="7F2E3AC0" w14:textId="6867C20A"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Scatterplot matrices of bivariate correlation showed that there was generally a linear relationship between continuous variables. The correlations between AI adoption scales and service quality, service quality and trust</w:t>
      </w:r>
      <w:r w:rsidR="00784327">
        <w:rPr>
          <w:rFonts w:asciiTheme="majorBidi" w:hAnsiTheme="majorBidi" w:cstheme="majorBidi"/>
          <w:lang w:val="en-GB"/>
        </w:rPr>
        <w:t>,</w:t>
      </w:r>
      <w:r w:rsidRPr="003D2A76">
        <w:rPr>
          <w:rFonts w:asciiTheme="majorBidi" w:hAnsiTheme="majorBidi" w:cstheme="majorBidi"/>
          <w:lang w:val="en-GB"/>
        </w:rPr>
        <w:t xml:space="preserve"> and trust and purchase intention all showed evident linear relationships and could not be observed as curvilinear. This linearity gives strength to this linear regression and correlation. Initial regression analysis residual plots had a comparatively random scatter around zero</w:t>
      </w:r>
      <w:r w:rsidR="009B03B2">
        <w:rPr>
          <w:rFonts w:asciiTheme="majorBidi" w:hAnsiTheme="majorBidi" w:cstheme="majorBidi"/>
          <w:lang w:val="en-GB"/>
        </w:rPr>
        <w:t>,</w:t>
      </w:r>
      <w:r w:rsidRPr="003D2A76">
        <w:rPr>
          <w:rFonts w:asciiTheme="majorBidi" w:hAnsiTheme="majorBidi" w:cstheme="majorBidi"/>
          <w:lang w:val="en-GB"/>
        </w:rPr>
        <w:t xml:space="preserve"> indicating that most of the relationships were homoscedastic. There was a little heteroscedasticity in the models predicting purchase intention</w:t>
      </w:r>
      <w:r w:rsidR="00784327">
        <w:rPr>
          <w:rFonts w:asciiTheme="majorBidi" w:hAnsiTheme="majorBidi" w:cstheme="majorBidi"/>
          <w:lang w:val="en-GB"/>
        </w:rPr>
        <w:t>,</w:t>
      </w:r>
      <w:r w:rsidRPr="003D2A76">
        <w:rPr>
          <w:rFonts w:asciiTheme="majorBidi" w:hAnsiTheme="majorBidi" w:cstheme="majorBidi"/>
          <w:lang w:val="en-GB"/>
        </w:rPr>
        <w:t xml:space="preserve"> where there was more variance at the higher predicted values. Nevertheless, this trend was not critical to the extent of disqualification of regression assumptions</w:t>
      </w:r>
      <w:r w:rsidR="00784327">
        <w:rPr>
          <w:rFonts w:asciiTheme="majorBidi" w:hAnsiTheme="majorBidi" w:cstheme="majorBidi"/>
          <w:lang w:val="en-GB"/>
        </w:rPr>
        <w:t>,</w:t>
      </w:r>
      <w:r w:rsidRPr="003D2A76">
        <w:rPr>
          <w:rFonts w:asciiTheme="majorBidi" w:hAnsiTheme="majorBidi" w:cstheme="majorBidi"/>
          <w:lang w:val="en-GB"/>
        </w:rPr>
        <w:t xml:space="preserve"> especially with the application of robust standard errors in testing of </w:t>
      </w:r>
      <w:r w:rsidR="00784327">
        <w:rPr>
          <w:rFonts w:asciiTheme="majorBidi" w:hAnsiTheme="majorBidi" w:cstheme="majorBidi"/>
          <w:lang w:val="en-GB"/>
        </w:rPr>
        <w:lastRenderedPageBreak/>
        <w:t>hypotheses</w:t>
      </w:r>
      <w:r w:rsidRPr="003D2A76">
        <w:rPr>
          <w:rFonts w:asciiTheme="majorBidi" w:hAnsiTheme="majorBidi" w:cstheme="majorBidi"/>
          <w:lang w:val="en-GB"/>
        </w:rPr>
        <w:t xml:space="preserve">. The Breusch-Pagan test of heteroscedasticity provided dissimilar findings in diverse regression equations. Non-significant results were obtained in the models </w:t>
      </w:r>
      <w:r w:rsidR="00784327">
        <w:rPr>
          <w:rFonts w:asciiTheme="majorBidi" w:hAnsiTheme="majorBidi" w:cstheme="majorBidi"/>
          <w:lang w:val="en-GB"/>
        </w:rPr>
        <w:t>that</w:t>
      </w:r>
      <w:r w:rsidRPr="003D2A76">
        <w:rPr>
          <w:rFonts w:asciiTheme="majorBidi" w:hAnsiTheme="majorBidi" w:cstheme="majorBidi"/>
          <w:lang w:val="en-GB"/>
        </w:rPr>
        <w:t xml:space="preserve"> forecast service quality (p &gt; 0.05) and confirmed that homoscedasticity is met. Predictive models of purchase intention were found to have marginal significance (p = 0.04), indicating mild heteroscedasticity. Although these results did not reject the use of heteroscedasticity-appropriate standard errors in the ultimate analyses, they led to the choice of these types of standard errors.</w:t>
      </w:r>
    </w:p>
    <w:p w14:paraId="2B90D628" w14:textId="4E0FBB89" w:rsidR="00885F3C" w:rsidRPr="003D2A76" w:rsidRDefault="009B03B2" w:rsidP="00BD6279">
      <w:pPr>
        <w:bidi w:val="0"/>
        <w:rPr>
          <w:rFonts w:asciiTheme="majorBidi" w:hAnsiTheme="majorBidi" w:cstheme="majorBidi"/>
          <w:b/>
          <w:bCs/>
          <w:i/>
          <w:lang w:val="en-GB"/>
        </w:rPr>
      </w:pPr>
      <w:bookmarkStart w:id="85" w:name="_Toc216904172"/>
      <w:r>
        <w:rPr>
          <w:rFonts w:asciiTheme="majorBidi" w:hAnsiTheme="majorBidi" w:cstheme="majorBidi"/>
          <w:b/>
          <w:bCs/>
          <w:i/>
          <w:lang w:val="en-GB"/>
        </w:rPr>
        <w:t>4.8.</w:t>
      </w:r>
      <w:r w:rsidR="00557CA3">
        <w:rPr>
          <w:rFonts w:asciiTheme="majorBidi" w:hAnsiTheme="majorBidi" w:cstheme="majorBidi"/>
          <w:b/>
          <w:bCs/>
          <w:i/>
          <w:lang w:val="en-GB"/>
        </w:rPr>
        <w:t>3</w:t>
      </w:r>
      <w:r>
        <w:rPr>
          <w:rFonts w:asciiTheme="majorBidi" w:hAnsiTheme="majorBidi" w:cstheme="majorBidi"/>
          <w:b/>
          <w:bCs/>
          <w:i/>
          <w:lang w:val="en-GB"/>
        </w:rPr>
        <w:t xml:space="preserve"> </w:t>
      </w:r>
      <w:r w:rsidR="00885F3C" w:rsidRPr="003D2A76">
        <w:rPr>
          <w:rFonts w:asciiTheme="majorBidi" w:hAnsiTheme="majorBidi" w:cstheme="majorBidi"/>
          <w:b/>
          <w:bCs/>
          <w:i/>
          <w:lang w:val="en-GB"/>
        </w:rPr>
        <w:t>Multicollinearity Diagnostics</w:t>
      </w:r>
      <w:bookmarkEnd w:id="85"/>
    </w:p>
    <w:p w14:paraId="6E74807D" w14:textId="3FD9CC0E"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An extensive multicollinearity analysis indicated that there were satisfactory predictor independence levels even though the concepts of constructs were interconnected. The values of variance inflation factor (VIF) were between 1.68 </w:t>
      </w:r>
      <w:r w:rsidR="002E594F" w:rsidRPr="003D2A76">
        <w:rPr>
          <w:rFonts w:asciiTheme="majorBidi" w:hAnsiTheme="majorBidi" w:cstheme="majorBidi"/>
          <w:lang w:val="en-GB"/>
        </w:rPr>
        <w:t xml:space="preserve">and </w:t>
      </w:r>
      <w:r w:rsidRPr="003D2A76">
        <w:rPr>
          <w:rFonts w:asciiTheme="majorBidi" w:hAnsiTheme="majorBidi" w:cstheme="majorBidi"/>
          <w:lang w:val="en-GB"/>
        </w:rPr>
        <w:t>5.02, and trust had the highest value. All VIF values were much less than the traditional level of 10</w:t>
      </w:r>
      <w:r w:rsidR="00784327">
        <w:rPr>
          <w:rFonts w:asciiTheme="majorBidi" w:hAnsiTheme="majorBidi" w:cstheme="majorBidi"/>
          <w:lang w:val="en-GB"/>
        </w:rPr>
        <w:t>,</w:t>
      </w:r>
      <w:r w:rsidRPr="003D2A76">
        <w:rPr>
          <w:rFonts w:asciiTheme="majorBidi" w:hAnsiTheme="majorBidi" w:cstheme="majorBidi"/>
          <w:lang w:val="en-GB"/>
        </w:rPr>
        <w:t xml:space="preserve"> which would signify severe multicollinearity, but values near 5 would require closer interpretation. Table 5</w:t>
      </w:r>
    </w:p>
    <w:p w14:paraId="067231F3" w14:textId="77777777" w:rsidR="00885F3C" w:rsidRPr="003D2A76" w:rsidRDefault="00885F3C" w:rsidP="00BD6279">
      <w:pPr>
        <w:bidi w:val="0"/>
        <w:rPr>
          <w:rFonts w:asciiTheme="majorBidi" w:hAnsiTheme="majorBidi" w:cstheme="majorBidi"/>
          <w:b/>
          <w:bCs/>
          <w:lang w:val="en-GB"/>
        </w:rPr>
      </w:pPr>
      <w:bookmarkStart w:id="86" w:name="_Toc227161643"/>
      <w:r w:rsidRPr="003D2A76">
        <w:rPr>
          <w:rFonts w:asciiTheme="majorBidi" w:hAnsiTheme="majorBidi" w:cstheme="majorBidi"/>
          <w:b/>
          <w:bCs/>
          <w:lang w:val="en-GB"/>
        </w:rPr>
        <w:t xml:space="preserve">Table 5 </w:t>
      </w:r>
      <w:r w:rsidRPr="003D2A76">
        <w:rPr>
          <w:rFonts w:asciiTheme="majorBidi" w:hAnsiTheme="majorBidi" w:cstheme="majorBidi"/>
          <w:b/>
          <w:bCs/>
          <w:lang w:val="en-GB"/>
        </w:rPr>
        <w:br/>
        <w:t>Multicollinearity Diagnostics</w:t>
      </w:r>
      <w:bookmarkEnd w:id="86"/>
    </w:p>
    <w:tbl>
      <w:tblPr>
        <w:tblStyle w:val="TableGrid"/>
        <w:tblW w:w="5000" w:type="pct"/>
        <w:tblLook w:val="04A0" w:firstRow="1" w:lastRow="0" w:firstColumn="1" w:lastColumn="0" w:noHBand="0" w:noVBand="1"/>
      </w:tblPr>
      <w:tblGrid>
        <w:gridCol w:w="3747"/>
        <w:gridCol w:w="1610"/>
        <w:gridCol w:w="836"/>
        <w:gridCol w:w="2437"/>
      </w:tblGrid>
      <w:tr w:rsidR="00885F3C" w:rsidRPr="003D2A76" w14:paraId="2C546929" w14:textId="77777777" w:rsidTr="00885F3C">
        <w:tc>
          <w:tcPr>
            <w:tcW w:w="0" w:type="auto"/>
            <w:hideMark/>
          </w:tcPr>
          <w:p w14:paraId="65F2F88A"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Variable</w:t>
            </w:r>
          </w:p>
        </w:tc>
        <w:tc>
          <w:tcPr>
            <w:tcW w:w="0" w:type="auto"/>
            <w:hideMark/>
          </w:tcPr>
          <w:p w14:paraId="3535A7FD"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Tolerance</w:t>
            </w:r>
          </w:p>
        </w:tc>
        <w:tc>
          <w:tcPr>
            <w:tcW w:w="0" w:type="auto"/>
            <w:hideMark/>
          </w:tcPr>
          <w:p w14:paraId="667A774A"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VIF</w:t>
            </w:r>
          </w:p>
        </w:tc>
        <w:tc>
          <w:tcPr>
            <w:tcW w:w="0" w:type="auto"/>
            <w:hideMark/>
          </w:tcPr>
          <w:p w14:paraId="033F3EAF"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Condition Index</w:t>
            </w:r>
          </w:p>
        </w:tc>
      </w:tr>
      <w:tr w:rsidR="00885F3C" w:rsidRPr="003D2A76" w14:paraId="0BA7B2CB" w14:textId="77777777" w:rsidTr="00885F3C">
        <w:tc>
          <w:tcPr>
            <w:tcW w:w="0" w:type="auto"/>
            <w:hideMark/>
          </w:tcPr>
          <w:p w14:paraId="3D531C78"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 Adoption in Teaching</w:t>
            </w:r>
          </w:p>
        </w:tc>
        <w:tc>
          <w:tcPr>
            <w:tcW w:w="0" w:type="auto"/>
            <w:hideMark/>
          </w:tcPr>
          <w:p w14:paraId="3877F88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0.47</w:t>
            </w:r>
          </w:p>
        </w:tc>
        <w:tc>
          <w:tcPr>
            <w:tcW w:w="0" w:type="auto"/>
            <w:hideMark/>
          </w:tcPr>
          <w:p w14:paraId="6D85C06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2.11</w:t>
            </w:r>
          </w:p>
        </w:tc>
        <w:tc>
          <w:tcPr>
            <w:tcW w:w="0" w:type="auto"/>
            <w:hideMark/>
          </w:tcPr>
          <w:p w14:paraId="3F32670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12.45</w:t>
            </w:r>
          </w:p>
        </w:tc>
      </w:tr>
      <w:tr w:rsidR="00885F3C" w:rsidRPr="003D2A76" w14:paraId="60EE071A" w14:textId="77777777" w:rsidTr="00885F3C">
        <w:tc>
          <w:tcPr>
            <w:tcW w:w="0" w:type="auto"/>
            <w:hideMark/>
          </w:tcPr>
          <w:p w14:paraId="3B82C626"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 Adoption in Marketing</w:t>
            </w:r>
          </w:p>
        </w:tc>
        <w:tc>
          <w:tcPr>
            <w:tcW w:w="0" w:type="auto"/>
            <w:hideMark/>
          </w:tcPr>
          <w:p w14:paraId="22F886A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0.47</w:t>
            </w:r>
          </w:p>
        </w:tc>
        <w:tc>
          <w:tcPr>
            <w:tcW w:w="0" w:type="auto"/>
            <w:hideMark/>
          </w:tcPr>
          <w:p w14:paraId="3353AA1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2.11</w:t>
            </w:r>
          </w:p>
        </w:tc>
        <w:tc>
          <w:tcPr>
            <w:tcW w:w="0" w:type="auto"/>
            <w:hideMark/>
          </w:tcPr>
          <w:p w14:paraId="2BB1D96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15.89</w:t>
            </w:r>
          </w:p>
        </w:tc>
      </w:tr>
      <w:tr w:rsidR="00885F3C" w:rsidRPr="003D2A76" w14:paraId="67768DE2" w14:textId="77777777" w:rsidTr="00885F3C">
        <w:tc>
          <w:tcPr>
            <w:tcW w:w="0" w:type="auto"/>
            <w:hideMark/>
          </w:tcPr>
          <w:p w14:paraId="2693639D"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Perceived Service Quality</w:t>
            </w:r>
          </w:p>
        </w:tc>
        <w:tc>
          <w:tcPr>
            <w:tcW w:w="0" w:type="auto"/>
            <w:hideMark/>
          </w:tcPr>
          <w:p w14:paraId="7F61387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0.22</w:t>
            </w:r>
          </w:p>
        </w:tc>
        <w:tc>
          <w:tcPr>
            <w:tcW w:w="0" w:type="auto"/>
            <w:hideMark/>
          </w:tcPr>
          <w:p w14:paraId="4FC0943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4.64</w:t>
            </w:r>
          </w:p>
        </w:tc>
        <w:tc>
          <w:tcPr>
            <w:tcW w:w="0" w:type="auto"/>
            <w:hideMark/>
          </w:tcPr>
          <w:p w14:paraId="2A039BA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18.35</w:t>
            </w:r>
          </w:p>
        </w:tc>
      </w:tr>
      <w:tr w:rsidR="00885F3C" w:rsidRPr="003D2A76" w14:paraId="7450AB4F" w14:textId="77777777" w:rsidTr="00885F3C">
        <w:tc>
          <w:tcPr>
            <w:tcW w:w="0" w:type="auto"/>
            <w:hideMark/>
          </w:tcPr>
          <w:p w14:paraId="4A2E16DB"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Trust</w:t>
            </w:r>
          </w:p>
        </w:tc>
        <w:tc>
          <w:tcPr>
            <w:tcW w:w="0" w:type="auto"/>
            <w:hideMark/>
          </w:tcPr>
          <w:p w14:paraId="652F9DC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0.20</w:t>
            </w:r>
          </w:p>
        </w:tc>
        <w:tc>
          <w:tcPr>
            <w:tcW w:w="0" w:type="auto"/>
            <w:hideMark/>
          </w:tcPr>
          <w:p w14:paraId="6EC4F3C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5.02</w:t>
            </w:r>
          </w:p>
        </w:tc>
        <w:tc>
          <w:tcPr>
            <w:tcW w:w="0" w:type="auto"/>
            <w:hideMark/>
          </w:tcPr>
          <w:p w14:paraId="14C8BEE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21.56</w:t>
            </w:r>
          </w:p>
        </w:tc>
      </w:tr>
      <w:tr w:rsidR="00885F3C" w:rsidRPr="003D2A76" w14:paraId="5D8E6120" w14:textId="77777777" w:rsidTr="00885F3C">
        <w:tc>
          <w:tcPr>
            <w:tcW w:w="0" w:type="auto"/>
            <w:hideMark/>
          </w:tcPr>
          <w:p w14:paraId="55C8FE84"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Perceived Value</w:t>
            </w:r>
          </w:p>
        </w:tc>
        <w:tc>
          <w:tcPr>
            <w:tcW w:w="0" w:type="auto"/>
            <w:hideMark/>
          </w:tcPr>
          <w:p w14:paraId="1AD901D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0.28</w:t>
            </w:r>
          </w:p>
        </w:tc>
        <w:tc>
          <w:tcPr>
            <w:tcW w:w="0" w:type="auto"/>
            <w:hideMark/>
          </w:tcPr>
          <w:p w14:paraId="12297B6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3.58</w:t>
            </w:r>
          </w:p>
        </w:tc>
        <w:tc>
          <w:tcPr>
            <w:tcW w:w="0" w:type="auto"/>
            <w:hideMark/>
          </w:tcPr>
          <w:p w14:paraId="5C705C3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24.13</w:t>
            </w:r>
          </w:p>
        </w:tc>
      </w:tr>
      <w:tr w:rsidR="00885F3C" w:rsidRPr="003D2A76" w14:paraId="1CE334BD" w14:textId="77777777" w:rsidTr="00885F3C">
        <w:tc>
          <w:tcPr>
            <w:tcW w:w="0" w:type="auto"/>
            <w:hideMark/>
          </w:tcPr>
          <w:p w14:paraId="3A30FCD7"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Cultural Factors</w:t>
            </w:r>
          </w:p>
        </w:tc>
        <w:tc>
          <w:tcPr>
            <w:tcW w:w="0" w:type="auto"/>
            <w:hideMark/>
          </w:tcPr>
          <w:p w14:paraId="0460936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0.59</w:t>
            </w:r>
          </w:p>
        </w:tc>
        <w:tc>
          <w:tcPr>
            <w:tcW w:w="0" w:type="auto"/>
            <w:hideMark/>
          </w:tcPr>
          <w:p w14:paraId="0802D0D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1.68</w:t>
            </w:r>
          </w:p>
        </w:tc>
        <w:tc>
          <w:tcPr>
            <w:tcW w:w="0" w:type="auto"/>
            <w:hideMark/>
          </w:tcPr>
          <w:p w14:paraId="6F11E74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27.65</w:t>
            </w:r>
          </w:p>
        </w:tc>
      </w:tr>
    </w:tbl>
    <w:p w14:paraId="536B0050" w14:textId="77777777" w:rsidR="00885F3C" w:rsidRPr="003D2A76" w:rsidRDefault="00885F3C" w:rsidP="00BD6279">
      <w:pPr>
        <w:bidi w:val="0"/>
        <w:rPr>
          <w:rFonts w:asciiTheme="majorBidi" w:hAnsiTheme="majorBidi" w:cstheme="majorBidi"/>
          <w:vertAlign w:val="superscript"/>
          <w:lang w:val="en-GB"/>
        </w:rPr>
      </w:pPr>
      <w:r w:rsidRPr="003D2A76">
        <w:rPr>
          <w:rFonts w:asciiTheme="majorBidi" w:hAnsiTheme="majorBidi" w:cstheme="majorBidi"/>
          <w:i/>
          <w:iCs/>
          <w:vertAlign w:val="superscript"/>
          <w:lang w:val="en-GB"/>
        </w:rPr>
        <w:t>Note.</w:t>
      </w:r>
      <w:r w:rsidRPr="003D2A76">
        <w:rPr>
          <w:rFonts w:asciiTheme="majorBidi" w:hAnsiTheme="majorBidi" w:cstheme="majorBidi"/>
          <w:vertAlign w:val="superscript"/>
          <w:lang w:val="en-GB"/>
        </w:rPr>
        <w:t xml:space="preserve"> VIF = Variance Inflation Factor. Values below 10 indicate acceptable multicollinearity levels.</w:t>
      </w:r>
    </w:p>
    <w:p w14:paraId="4AF7EC1B" w14:textId="79B783F6" w:rsidR="00885F3C" w:rsidRDefault="00885F3C" w:rsidP="00BD6279">
      <w:pPr>
        <w:bidi w:val="0"/>
        <w:rPr>
          <w:rFonts w:asciiTheme="majorBidi" w:hAnsiTheme="majorBidi" w:cstheme="majorBidi"/>
          <w:b/>
          <w:bCs/>
          <w:lang w:val="en-GB"/>
        </w:rPr>
      </w:pPr>
      <w:r w:rsidRPr="003D2A76">
        <w:rPr>
          <w:rFonts w:asciiTheme="majorBidi" w:hAnsiTheme="majorBidi" w:cstheme="majorBidi"/>
          <w:lang w:val="en-GB"/>
        </w:rPr>
        <w:lastRenderedPageBreak/>
        <w:t xml:space="preserve">The tolerance values, which show the percentage of unexplainable variance by other predictors, were between 0.20 and 0.59. Although trust and service quality had low values of tolerance, they </w:t>
      </w:r>
      <w:r w:rsidR="00C0718C" w:rsidRPr="003D2A76">
        <w:rPr>
          <w:rFonts w:asciiTheme="majorBidi" w:hAnsiTheme="majorBidi" w:cstheme="majorBidi"/>
          <w:lang w:val="en-GB"/>
        </w:rPr>
        <w:t>still exceeded</w:t>
      </w:r>
      <w:r w:rsidRPr="003D2A76">
        <w:rPr>
          <w:rFonts w:asciiTheme="majorBidi" w:hAnsiTheme="majorBidi" w:cstheme="majorBidi"/>
          <w:lang w:val="en-GB"/>
        </w:rPr>
        <w:t xml:space="preserve"> the 0.10 mark of problematic multicollinearity. These values indicate anticipated conceptual overlap among constructs of service evaluation and remain independent enough to </w:t>
      </w:r>
      <w:r w:rsidR="00C0718C" w:rsidRPr="003D2A76">
        <w:rPr>
          <w:rFonts w:asciiTheme="majorBidi" w:hAnsiTheme="majorBidi" w:cstheme="majorBidi"/>
          <w:lang w:val="en-GB"/>
        </w:rPr>
        <w:t xml:space="preserve">analyse </w:t>
      </w:r>
      <w:r w:rsidRPr="003D2A76">
        <w:rPr>
          <w:rFonts w:asciiTheme="majorBidi" w:hAnsiTheme="majorBidi" w:cstheme="majorBidi"/>
          <w:lang w:val="en-GB"/>
        </w:rPr>
        <w:t xml:space="preserve">independently. </w:t>
      </w:r>
      <w:r w:rsidR="00C0718C" w:rsidRPr="003D2A76">
        <w:rPr>
          <w:rFonts w:asciiTheme="majorBidi" w:hAnsiTheme="majorBidi" w:cstheme="majorBidi"/>
          <w:lang w:val="en-GB"/>
        </w:rPr>
        <w:t>I</w:t>
      </w:r>
      <w:r w:rsidRPr="003D2A76">
        <w:rPr>
          <w:rFonts w:asciiTheme="majorBidi" w:hAnsiTheme="majorBidi" w:cstheme="majorBidi"/>
          <w:lang w:val="en-GB"/>
        </w:rPr>
        <w:t>ndices of condition that were less than 30 in all dimensions ensured no severe multicollinearity. The critical index of 27.65 was nearer to the highest condition index (27.65) but not more than that. The proportions of variance decomposition did not reveal any cases of multiple variables having large proportions on the same dimension</w:t>
      </w:r>
      <w:r w:rsidR="00784327">
        <w:rPr>
          <w:rFonts w:asciiTheme="majorBidi" w:hAnsiTheme="majorBidi" w:cstheme="majorBidi"/>
          <w:lang w:val="en-GB"/>
        </w:rPr>
        <w:t>,</w:t>
      </w:r>
      <w:r w:rsidRPr="003D2A76">
        <w:rPr>
          <w:rFonts w:asciiTheme="majorBidi" w:hAnsiTheme="majorBidi" w:cstheme="majorBidi"/>
          <w:lang w:val="en-GB"/>
        </w:rPr>
        <w:t xml:space="preserve"> and this also supported the fact that there were acceptable levels of multicollinearity.</w:t>
      </w:r>
      <w:r w:rsidRPr="003D2A76">
        <w:rPr>
          <w:rFonts w:asciiTheme="majorBidi" w:hAnsiTheme="majorBidi" w:cstheme="majorBidi"/>
          <w:b/>
          <w:bCs/>
          <w:lang w:val="en-GB"/>
        </w:rPr>
        <w:t xml:space="preserve"> </w:t>
      </w:r>
    </w:p>
    <w:p w14:paraId="104E60A4" w14:textId="77777777" w:rsidR="00784327" w:rsidRPr="003D2A76" w:rsidRDefault="00784327" w:rsidP="00784327">
      <w:pPr>
        <w:bidi w:val="0"/>
        <w:rPr>
          <w:rFonts w:asciiTheme="majorBidi" w:hAnsiTheme="majorBidi" w:cstheme="majorBidi"/>
          <w:b/>
          <w:bCs/>
          <w:lang w:val="en-GB"/>
        </w:rPr>
      </w:pPr>
    </w:p>
    <w:p w14:paraId="2429A8FE" w14:textId="5597D36A" w:rsidR="00885F3C" w:rsidRPr="003D2A76" w:rsidRDefault="009B03B2" w:rsidP="00BD6279">
      <w:pPr>
        <w:bidi w:val="0"/>
        <w:rPr>
          <w:rFonts w:asciiTheme="majorBidi" w:hAnsiTheme="majorBidi" w:cstheme="majorBidi"/>
          <w:b/>
          <w:bCs/>
          <w:i/>
          <w:lang w:val="en-GB"/>
        </w:rPr>
      </w:pPr>
      <w:bookmarkStart w:id="87" w:name="_Toc216904173"/>
      <w:r>
        <w:rPr>
          <w:rFonts w:asciiTheme="majorBidi" w:hAnsiTheme="majorBidi" w:cstheme="majorBidi"/>
          <w:b/>
          <w:bCs/>
          <w:i/>
          <w:lang w:val="en-GB"/>
        </w:rPr>
        <w:t>4.8.</w:t>
      </w:r>
      <w:r w:rsidR="00557CA3">
        <w:rPr>
          <w:rFonts w:asciiTheme="majorBidi" w:hAnsiTheme="majorBidi" w:cstheme="majorBidi"/>
          <w:b/>
          <w:bCs/>
          <w:i/>
          <w:lang w:val="en-GB"/>
        </w:rPr>
        <w:t>4</w:t>
      </w:r>
      <w:r>
        <w:rPr>
          <w:rFonts w:asciiTheme="majorBidi" w:hAnsiTheme="majorBidi" w:cstheme="majorBidi"/>
          <w:b/>
          <w:bCs/>
          <w:i/>
          <w:lang w:val="en-GB"/>
        </w:rPr>
        <w:t xml:space="preserve"> </w:t>
      </w:r>
      <w:r w:rsidR="00885F3C" w:rsidRPr="003D2A76">
        <w:rPr>
          <w:rFonts w:asciiTheme="majorBidi" w:hAnsiTheme="majorBidi" w:cstheme="majorBidi"/>
          <w:b/>
          <w:bCs/>
          <w:i/>
          <w:lang w:val="en-GB"/>
        </w:rPr>
        <w:t>Independence of Observations</w:t>
      </w:r>
      <w:bookmarkEnd w:id="87"/>
    </w:p>
    <w:p w14:paraId="6D44E24D" w14:textId="2C8B3F16" w:rsidR="00885F3C" w:rsidRPr="003D2A76" w:rsidRDefault="00C0718C" w:rsidP="00BD6279">
      <w:pPr>
        <w:bidi w:val="0"/>
        <w:rPr>
          <w:rFonts w:asciiTheme="majorBidi" w:hAnsiTheme="majorBidi" w:cstheme="majorBidi"/>
          <w:lang w:val="en-GB"/>
        </w:rPr>
      </w:pPr>
      <w:r w:rsidRPr="003D2A76">
        <w:rPr>
          <w:rFonts w:asciiTheme="majorBidi" w:hAnsiTheme="majorBidi" w:cstheme="majorBidi"/>
          <w:lang w:val="en-GB"/>
        </w:rPr>
        <w:t xml:space="preserve">The </w:t>
      </w:r>
      <w:r w:rsidR="00885F3C" w:rsidRPr="003D2A76">
        <w:rPr>
          <w:rFonts w:asciiTheme="majorBidi" w:hAnsiTheme="majorBidi" w:cstheme="majorBidi"/>
          <w:lang w:val="en-GB"/>
        </w:rPr>
        <w:t>Durbin-Watson value</w:t>
      </w:r>
      <w:r w:rsidRPr="003D2A76">
        <w:rPr>
          <w:rFonts w:asciiTheme="majorBidi" w:hAnsiTheme="majorBidi" w:cstheme="majorBidi"/>
          <w:lang w:val="en-GB"/>
        </w:rPr>
        <w:t>s</w:t>
      </w:r>
      <w:r w:rsidR="00885F3C" w:rsidRPr="003D2A76">
        <w:rPr>
          <w:rFonts w:asciiTheme="majorBidi" w:hAnsiTheme="majorBidi" w:cstheme="majorBidi"/>
          <w:lang w:val="en-GB"/>
        </w:rPr>
        <w:t xml:space="preserve"> of the regression models ranged between 1.88 and 2.13, which is within the range of 1.5 </w:t>
      </w:r>
      <w:r w:rsidRPr="003D2A76">
        <w:rPr>
          <w:rFonts w:asciiTheme="majorBidi" w:hAnsiTheme="majorBidi" w:cstheme="majorBidi"/>
          <w:lang w:val="en-GB"/>
        </w:rPr>
        <w:t xml:space="preserve">and </w:t>
      </w:r>
      <w:r w:rsidR="00885F3C" w:rsidRPr="003D2A76">
        <w:rPr>
          <w:rFonts w:asciiTheme="majorBidi" w:hAnsiTheme="majorBidi" w:cstheme="majorBidi"/>
          <w:lang w:val="en-GB"/>
        </w:rPr>
        <w:t>2.5 that shows that the residues are independent. This validates the assumption of absence of autocorrelation establishing the independence assumption as required in regression analysis. The observational independence is inherent in the cross-sectional design where the single-time measurement of different respondents is used.</w:t>
      </w:r>
    </w:p>
    <w:p w14:paraId="06AA8F80" w14:textId="77777777" w:rsidR="00885F3C" w:rsidRPr="003D2A76" w:rsidRDefault="006A4A5D" w:rsidP="00BD6279">
      <w:pPr>
        <w:pStyle w:val="Heading2"/>
        <w:rPr>
          <w:lang w:val="en-GB"/>
        </w:rPr>
      </w:pPr>
      <w:bookmarkStart w:id="88" w:name="_Toc216904174"/>
      <w:bookmarkStart w:id="89" w:name="_Toc228056584"/>
      <w:r w:rsidRPr="003D2A76">
        <w:rPr>
          <w:rFonts w:ascii="Times New Roman" w:hAnsi="Times New Roman" w:cs="Times New Roman"/>
          <w:lang w:val="en-GB"/>
        </w:rPr>
        <w:t xml:space="preserve">4.9 </w:t>
      </w:r>
      <w:r w:rsidR="00885F3C" w:rsidRPr="003D2A76">
        <w:rPr>
          <w:rFonts w:ascii="Times New Roman" w:hAnsi="Times New Roman" w:cs="Times New Roman"/>
          <w:lang w:val="en-GB"/>
        </w:rPr>
        <w:t>Correlation Analysis</w:t>
      </w:r>
      <w:bookmarkEnd w:id="88"/>
      <w:bookmarkEnd w:id="89"/>
    </w:p>
    <w:p w14:paraId="584FC7CA" w14:textId="556CE252" w:rsidR="00885F3C" w:rsidRPr="003D2A76" w:rsidRDefault="009B03B2" w:rsidP="00BD6279">
      <w:pPr>
        <w:bidi w:val="0"/>
        <w:rPr>
          <w:rFonts w:asciiTheme="majorBidi" w:hAnsiTheme="majorBidi" w:cstheme="majorBidi"/>
          <w:b/>
          <w:bCs/>
          <w:i/>
          <w:lang w:val="en-GB"/>
        </w:rPr>
      </w:pPr>
      <w:bookmarkStart w:id="90" w:name="_Toc216904175"/>
      <w:r>
        <w:rPr>
          <w:rFonts w:asciiTheme="majorBidi" w:hAnsiTheme="majorBidi" w:cstheme="majorBidi"/>
          <w:b/>
          <w:bCs/>
          <w:i/>
          <w:lang w:val="en-GB"/>
        </w:rPr>
        <w:t>4.9.1</w:t>
      </w:r>
      <w:r w:rsidR="00885F3C" w:rsidRPr="003D2A76">
        <w:rPr>
          <w:rFonts w:asciiTheme="majorBidi" w:hAnsiTheme="majorBidi" w:cstheme="majorBidi"/>
          <w:b/>
          <w:bCs/>
          <w:i/>
          <w:lang w:val="en-GB"/>
        </w:rPr>
        <w:t>Bivariate Correlations</w:t>
      </w:r>
      <w:bookmarkEnd w:id="90"/>
    </w:p>
    <w:p w14:paraId="07B06342" w14:textId="0106CBF9"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correlation matrix indicated that there were significant positive relationships among all the primary study variables, which </w:t>
      </w:r>
      <w:r w:rsidR="00716A9F" w:rsidRPr="003D2A76">
        <w:rPr>
          <w:rFonts w:asciiTheme="majorBidi" w:hAnsiTheme="majorBidi" w:cstheme="majorBidi"/>
          <w:lang w:val="en-GB"/>
        </w:rPr>
        <w:t xml:space="preserve">suggests </w:t>
      </w:r>
      <w:r w:rsidRPr="003D2A76">
        <w:rPr>
          <w:rFonts w:asciiTheme="majorBidi" w:hAnsiTheme="majorBidi" w:cstheme="majorBidi"/>
          <w:lang w:val="en-GB"/>
        </w:rPr>
        <w:t xml:space="preserve">initial support </w:t>
      </w:r>
      <w:r w:rsidR="00716A9F" w:rsidRPr="003D2A76">
        <w:rPr>
          <w:rFonts w:asciiTheme="majorBidi" w:hAnsiTheme="majorBidi" w:cstheme="majorBidi"/>
          <w:lang w:val="en-GB"/>
        </w:rPr>
        <w:t xml:space="preserve">for </w:t>
      </w:r>
      <w:r w:rsidRPr="003D2A76">
        <w:rPr>
          <w:rFonts w:asciiTheme="majorBidi" w:hAnsiTheme="majorBidi" w:cstheme="majorBidi"/>
          <w:lang w:val="en-GB"/>
        </w:rPr>
        <w:t xml:space="preserve">the </w:t>
      </w:r>
      <w:r w:rsidR="00716A9F" w:rsidRPr="003D2A76">
        <w:rPr>
          <w:rFonts w:asciiTheme="majorBidi" w:hAnsiTheme="majorBidi" w:cstheme="majorBidi"/>
          <w:lang w:val="en-GB"/>
        </w:rPr>
        <w:t xml:space="preserve">hypothesised </w:t>
      </w:r>
      <w:r w:rsidRPr="003D2A76">
        <w:rPr>
          <w:rFonts w:asciiTheme="majorBidi" w:hAnsiTheme="majorBidi" w:cstheme="majorBidi"/>
          <w:lang w:val="en-GB"/>
        </w:rPr>
        <w:t xml:space="preserve">relationships. All the correlations were statistically significant at p &lt; 0.01; that is, </w:t>
      </w:r>
      <w:r w:rsidR="00716A9F" w:rsidRPr="003D2A76">
        <w:rPr>
          <w:rFonts w:asciiTheme="majorBidi" w:hAnsiTheme="majorBidi" w:cstheme="majorBidi"/>
          <w:lang w:val="en-GB"/>
        </w:rPr>
        <w:t xml:space="preserve">they </w:t>
      </w:r>
      <w:r w:rsidR="00716A9F" w:rsidRPr="003D2A76">
        <w:rPr>
          <w:rFonts w:asciiTheme="majorBidi" w:hAnsiTheme="majorBidi" w:cstheme="majorBidi"/>
          <w:lang w:val="en-GB"/>
        </w:rPr>
        <w:lastRenderedPageBreak/>
        <w:t xml:space="preserve">had </w:t>
      </w:r>
      <w:r w:rsidRPr="003D2A76">
        <w:rPr>
          <w:rFonts w:asciiTheme="majorBidi" w:hAnsiTheme="majorBidi" w:cstheme="majorBidi"/>
          <w:lang w:val="en-GB"/>
        </w:rPr>
        <w:t>strong associations that could not be due to chance. The size of correlations was between minimal</w:t>
      </w:r>
      <w:r w:rsidR="00784327">
        <w:rPr>
          <w:rFonts w:asciiTheme="majorBidi" w:hAnsiTheme="majorBidi" w:cstheme="majorBidi"/>
          <w:lang w:val="en-GB"/>
        </w:rPr>
        <w:t xml:space="preserve"> and</w:t>
      </w:r>
      <w:r w:rsidRPr="003D2A76">
        <w:rPr>
          <w:rFonts w:asciiTheme="majorBidi" w:hAnsiTheme="majorBidi" w:cstheme="majorBidi"/>
          <w:lang w:val="en-GB"/>
        </w:rPr>
        <w:t xml:space="preserve"> high effects</w:t>
      </w:r>
      <w:r w:rsidR="00784327">
        <w:rPr>
          <w:rFonts w:asciiTheme="majorBidi" w:hAnsiTheme="majorBidi" w:cstheme="majorBidi"/>
          <w:lang w:val="en-GB"/>
        </w:rPr>
        <w:t>,</w:t>
      </w:r>
      <w:r w:rsidRPr="003D2A76">
        <w:rPr>
          <w:rFonts w:asciiTheme="majorBidi" w:hAnsiTheme="majorBidi" w:cstheme="majorBidi"/>
          <w:lang w:val="en-GB"/>
        </w:rPr>
        <w:t xml:space="preserve"> and this provided subtle information on the relationship between variables.</w:t>
      </w:r>
    </w:p>
    <w:p w14:paraId="14DC8A69" w14:textId="77777777" w:rsidR="00885F3C" w:rsidRPr="003D2A76" w:rsidRDefault="00885F3C" w:rsidP="00BD6279">
      <w:pPr>
        <w:bidi w:val="0"/>
        <w:rPr>
          <w:rFonts w:asciiTheme="majorBidi" w:hAnsiTheme="majorBidi" w:cstheme="majorBidi"/>
          <w:b/>
          <w:bCs/>
          <w:lang w:val="en-GB"/>
        </w:rPr>
      </w:pPr>
      <w:bookmarkStart w:id="91" w:name="_Toc227161644"/>
      <w:r w:rsidRPr="003D2A76">
        <w:rPr>
          <w:rFonts w:asciiTheme="majorBidi" w:hAnsiTheme="majorBidi" w:cstheme="majorBidi"/>
          <w:b/>
          <w:bCs/>
          <w:lang w:val="en-GB"/>
        </w:rPr>
        <w:t xml:space="preserve">Table 6 </w:t>
      </w:r>
      <w:r w:rsidRPr="003D2A76">
        <w:rPr>
          <w:rFonts w:asciiTheme="majorBidi" w:hAnsiTheme="majorBidi" w:cstheme="majorBidi"/>
          <w:b/>
          <w:bCs/>
          <w:lang w:val="en-GB"/>
        </w:rPr>
        <w:br/>
      </w:r>
      <w:bookmarkStart w:id="92" w:name="_Hlk232587949"/>
      <w:r w:rsidRPr="003D2A76">
        <w:rPr>
          <w:rFonts w:asciiTheme="majorBidi" w:hAnsiTheme="majorBidi" w:cstheme="majorBidi"/>
          <w:b/>
          <w:bCs/>
          <w:lang w:val="en-GB"/>
        </w:rPr>
        <w:t>Correlation Matrix for Study Variables</w:t>
      </w:r>
      <w:bookmarkEnd w:id="91"/>
    </w:p>
    <w:bookmarkEnd w:id="92"/>
    <w:tbl>
      <w:tblPr>
        <w:tblStyle w:val="TableGrid"/>
        <w:tblW w:w="5000" w:type="pct"/>
        <w:tblLook w:val="04A0" w:firstRow="1" w:lastRow="0" w:firstColumn="1" w:lastColumn="0" w:noHBand="0" w:noVBand="1"/>
      </w:tblPr>
      <w:tblGrid>
        <w:gridCol w:w="2531"/>
        <w:gridCol w:w="933"/>
        <w:gridCol w:w="934"/>
        <w:gridCol w:w="934"/>
        <w:gridCol w:w="934"/>
        <w:gridCol w:w="934"/>
        <w:gridCol w:w="934"/>
        <w:gridCol w:w="496"/>
      </w:tblGrid>
      <w:tr w:rsidR="00885F3C" w:rsidRPr="003D2A76" w14:paraId="071861CD" w14:textId="77777777" w:rsidTr="00885F3C">
        <w:tc>
          <w:tcPr>
            <w:tcW w:w="0" w:type="auto"/>
            <w:hideMark/>
          </w:tcPr>
          <w:p w14:paraId="6BB690CB" w14:textId="77777777" w:rsidR="00885F3C" w:rsidRPr="003D2A76" w:rsidRDefault="00885F3C" w:rsidP="00BD6279">
            <w:pPr>
              <w:bidi w:val="0"/>
              <w:rPr>
                <w:rFonts w:asciiTheme="majorBidi" w:hAnsiTheme="majorBidi" w:cstheme="majorBidi"/>
                <w:b/>
                <w:bCs/>
                <w:lang w:val="en-GB"/>
              </w:rPr>
            </w:pPr>
          </w:p>
        </w:tc>
        <w:tc>
          <w:tcPr>
            <w:tcW w:w="0" w:type="auto"/>
            <w:hideMark/>
          </w:tcPr>
          <w:p w14:paraId="55DDB3D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w:t>
            </w:r>
          </w:p>
        </w:tc>
        <w:tc>
          <w:tcPr>
            <w:tcW w:w="0" w:type="auto"/>
            <w:hideMark/>
          </w:tcPr>
          <w:p w14:paraId="3549B8F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w:t>
            </w:r>
          </w:p>
        </w:tc>
        <w:tc>
          <w:tcPr>
            <w:tcW w:w="0" w:type="auto"/>
            <w:hideMark/>
          </w:tcPr>
          <w:p w14:paraId="684AB95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w:t>
            </w:r>
          </w:p>
        </w:tc>
        <w:tc>
          <w:tcPr>
            <w:tcW w:w="0" w:type="auto"/>
            <w:hideMark/>
          </w:tcPr>
          <w:p w14:paraId="15B5535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4</w:t>
            </w:r>
          </w:p>
        </w:tc>
        <w:tc>
          <w:tcPr>
            <w:tcW w:w="0" w:type="auto"/>
            <w:hideMark/>
          </w:tcPr>
          <w:p w14:paraId="684AF96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w:t>
            </w:r>
          </w:p>
        </w:tc>
        <w:tc>
          <w:tcPr>
            <w:tcW w:w="0" w:type="auto"/>
            <w:hideMark/>
          </w:tcPr>
          <w:p w14:paraId="1F50067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6</w:t>
            </w:r>
          </w:p>
        </w:tc>
        <w:tc>
          <w:tcPr>
            <w:tcW w:w="0" w:type="auto"/>
            <w:hideMark/>
          </w:tcPr>
          <w:p w14:paraId="5C14053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7</w:t>
            </w:r>
          </w:p>
        </w:tc>
      </w:tr>
      <w:tr w:rsidR="00885F3C" w:rsidRPr="003D2A76" w14:paraId="70CA8A18" w14:textId="77777777" w:rsidTr="00885F3C">
        <w:tc>
          <w:tcPr>
            <w:tcW w:w="0" w:type="auto"/>
            <w:hideMark/>
          </w:tcPr>
          <w:p w14:paraId="4D6CBB01"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1. AI Teaching</w:t>
            </w:r>
          </w:p>
        </w:tc>
        <w:tc>
          <w:tcPr>
            <w:tcW w:w="0" w:type="auto"/>
            <w:hideMark/>
          </w:tcPr>
          <w:p w14:paraId="5F4F04C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c>
          <w:tcPr>
            <w:tcW w:w="0" w:type="auto"/>
            <w:hideMark/>
          </w:tcPr>
          <w:p w14:paraId="75774A50" w14:textId="77777777" w:rsidR="00885F3C" w:rsidRPr="003D2A76" w:rsidRDefault="00885F3C" w:rsidP="00BD6279">
            <w:pPr>
              <w:bidi w:val="0"/>
              <w:rPr>
                <w:rFonts w:asciiTheme="majorBidi" w:hAnsiTheme="majorBidi" w:cstheme="majorBidi"/>
                <w:lang w:val="en-GB"/>
              </w:rPr>
            </w:pPr>
          </w:p>
        </w:tc>
        <w:tc>
          <w:tcPr>
            <w:tcW w:w="0" w:type="auto"/>
            <w:hideMark/>
          </w:tcPr>
          <w:p w14:paraId="7C6AE136" w14:textId="77777777" w:rsidR="00885F3C" w:rsidRPr="003D2A76" w:rsidRDefault="00885F3C" w:rsidP="00BD6279">
            <w:pPr>
              <w:bidi w:val="0"/>
              <w:rPr>
                <w:rFonts w:asciiTheme="majorBidi" w:hAnsiTheme="majorBidi" w:cstheme="majorBidi"/>
                <w:lang w:val="en-GB"/>
              </w:rPr>
            </w:pPr>
          </w:p>
        </w:tc>
        <w:tc>
          <w:tcPr>
            <w:tcW w:w="0" w:type="auto"/>
            <w:hideMark/>
          </w:tcPr>
          <w:p w14:paraId="2B4EC217" w14:textId="77777777" w:rsidR="00885F3C" w:rsidRPr="003D2A76" w:rsidRDefault="00885F3C" w:rsidP="00BD6279">
            <w:pPr>
              <w:bidi w:val="0"/>
              <w:rPr>
                <w:rFonts w:asciiTheme="majorBidi" w:hAnsiTheme="majorBidi" w:cstheme="majorBidi"/>
                <w:lang w:val="en-GB"/>
              </w:rPr>
            </w:pPr>
          </w:p>
        </w:tc>
        <w:tc>
          <w:tcPr>
            <w:tcW w:w="0" w:type="auto"/>
            <w:hideMark/>
          </w:tcPr>
          <w:p w14:paraId="0778AE5F" w14:textId="77777777" w:rsidR="00885F3C" w:rsidRPr="003D2A76" w:rsidRDefault="00885F3C" w:rsidP="00BD6279">
            <w:pPr>
              <w:bidi w:val="0"/>
              <w:rPr>
                <w:rFonts w:asciiTheme="majorBidi" w:hAnsiTheme="majorBidi" w:cstheme="majorBidi"/>
                <w:lang w:val="en-GB"/>
              </w:rPr>
            </w:pPr>
          </w:p>
        </w:tc>
        <w:tc>
          <w:tcPr>
            <w:tcW w:w="0" w:type="auto"/>
            <w:hideMark/>
          </w:tcPr>
          <w:p w14:paraId="3BC626F6" w14:textId="77777777" w:rsidR="00885F3C" w:rsidRPr="003D2A76" w:rsidRDefault="00885F3C" w:rsidP="00BD6279">
            <w:pPr>
              <w:bidi w:val="0"/>
              <w:rPr>
                <w:rFonts w:asciiTheme="majorBidi" w:hAnsiTheme="majorBidi" w:cstheme="majorBidi"/>
                <w:lang w:val="en-GB"/>
              </w:rPr>
            </w:pPr>
          </w:p>
        </w:tc>
        <w:tc>
          <w:tcPr>
            <w:tcW w:w="0" w:type="auto"/>
            <w:hideMark/>
          </w:tcPr>
          <w:p w14:paraId="3BD18AE7" w14:textId="77777777" w:rsidR="00885F3C" w:rsidRPr="003D2A76" w:rsidRDefault="00885F3C" w:rsidP="00BD6279">
            <w:pPr>
              <w:bidi w:val="0"/>
              <w:rPr>
                <w:rFonts w:asciiTheme="majorBidi" w:hAnsiTheme="majorBidi" w:cstheme="majorBidi"/>
                <w:lang w:val="en-GB"/>
              </w:rPr>
            </w:pPr>
          </w:p>
        </w:tc>
      </w:tr>
      <w:tr w:rsidR="00885F3C" w:rsidRPr="003D2A76" w14:paraId="366B2D56" w14:textId="77777777" w:rsidTr="00885F3C">
        <w:tc>
          <w:tcPr>
            <w:tcW w:w="0" w:type="auto"/>
            <w:hideMark/>
          </w:tcPr>
          <w:p w14:paraId="2520B42E"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2. AI Marketing</w:t>
            </w:r>
          </w:p>
        </w:tc>
        <w:tc>
          <w:tcPr>
            <w:tcW w:w="0" w:type="auto"/>
            <w:hideMark/>
          </w:tcPr>
          <w:p w14:paraId="72AD0D1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.725**</w:t>
            </w:r>
          </w:p>
        </w:tc>
        <w:tc>
          <w:tcPr>
            <w:tcW w:w="0" w:type="auto"/>
            <w:hideMark/>
          </w:tcPr>
          <w:p w14:paraId="73DD31E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c>
          <w:tcPr>
            <w:tcW w:w="0" w:type="auto"/>
            <w:hideMark/>
          </w:tcPr>
          <w:p w14:paraId="07CF79DB" w14:textId="77777777" w:rsidR="00885F3C" w:rsidRPr="003D2A76" w:rsidRDefault="00885F3C" w:rsidP="00BD6279">
            <w:pPr>
              <w:bidi w:val="0"/>
              <w:rPr>
                <w:rFonts w:asciiTheme="majorBidi" w:hAnsiTheme="majorBidi" w:cstheme="majorBidi"/>
                <w:lang w:val="en-GB"/>
              </w:rPr>
            </w:pPr>
          </w:p>
        </w:tc>
        <w:tc>
          <w:tcPr>
            <w:tcW w:w="0" w:type="auto"/>
            <w:hideMark/>
          </w:tcPr>
          <w:p w14:paraId="3D827670" w14:textId="77777777" w:rsidR="00885F3C" w:rsidRPr="003D2A76" w:rsidRDefault="00885F3C" w:rsidP="00BD6279">
            <w:pPr>
              <w:bidi w:val="0"/>
              <w:rPr>
                <w:rFonts w:asciiTheme="majorBidi" w:hAnsiTheme="majorBidi" w:cstheme="majorBidi"/>
                <w:lang w:val="en-GB"/>
              </w:rPr>
            </w:pPr>
          </w:p>
        </w:tc>
        <w:tc>
          <w:tcPr>
            <w:tcW w:w="0" w:type="auto"/>
            <w:hideMark/>
          </w:tcPr>
          <w:p w14:paraId="51068326" w14:textId="77777777" w:rsidR="00885F3C" w:rsidRPr="003D2A76" w:rsidRDefault="00885F3C" w:rsidP="00BD6279">
            <w:pPr>
              <w:bidi w:val="0"/>
              <w:rPr>
                <w:rFonts w:asciiTheme="majorBidi" w:hAnsiTheme="majorBidi" w:cstheme="majorBidi"/>
                <w:lang w:val="en-GB"/>
              </w:rPr>
            </w:pPr>
          </w:p>
        </w:tc>
        <w:tc>
          <w:tcPr>
            <w:tcW w:w="0" w:type="auto"/>
            <w:hideMark/>
          </w:tcPr>
          <w:p w14:paraId="01E22831" w14:textId="77777777" w:rsidR="00885F3C" w:rsidRPr="003D2A76" w:rsidRDefault="00885F3C" w:rsidP="00BD6279">
            <w:pPr>
              <w:bidi w:val="0"/>
              <w:rPr>
                <w:rFonts w:asciiTheme="majorBidi" w:hAnsiTheme="majorBidi" w:cstheme="majorBidi"/>
                <w:lang w:val="en-GB"/>
              </w:rPr>
            </w:pPr>
          </w:p>
        </w:tc>
        <w:tc>
          <w:tcPr>
            <w:tcW w:w="0" w:type="auto"/>
            <w:hideMark/>
          </w:tcPr>
          <w:p w14:paraId="5C2C9C0B" w14:textId="77777777" w:rsidR="00885F3C" w:rsidRPr="003D2A76" w:rsidRDefault="00885F3C" w:rsidP="00BD6279">
            <w:pPr>
              <w:bidi w:val="0"/>
              <w:rPr>
                <w:rFonts w:asciiTheme="majorBidi" w:hAnsiTheme="majorBidi" w:cstheme="majorBidi"/>
                <w:lang w:val="en-GB"/>
              </w:rPr>
            </w:pPr>
          </w:p>
        </w:tc>
      </w:tr>
      <w:tr w:rsidR="00885F3C" w:rsidRPr="003D2A76" w14:paraId="4FBF599C" w14:textId="77777777" w:rsidTr="00885F3C">
        <w:tc>
          <w:tcPr>
            <w:tcW w:w="0" w:type="auto"/>
            <w:hideMark/>
          </w:tcPr>
          <w:p w14:paraId="48B716D5"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3. Service Quality</w:t>
            </w:r>
          </w:p>
        </w:tc>
        <w:tc>
          <w:tcPr>
            <w:tcW w:w="0" w:type="auto"/>
            <w:hideMark/>
          </w:tcPr>
          <w:p w14:paraId="32F3B40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.464**</w:t>
            </w:r>
          </w:p>
        </w:tc>
        <w:tc>
          <w:tcPr>
            <w:tcW w:w="0" w:type="auto"/>
            <w:hideMark/>
          </w:tcPr>
          <w:p w14:paraId="4A4D874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.474**</w:t>
            </w:r>
          </w:p>
        </w:tc>
        <w:tc>
          <w:tcPr>
            <w:tcW w:w="0" w:type="auto"/>
            <w:hideMark/>
          </w:tcPr>
          <w:p w14:paraId="1B4B340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c>
          <w:tcPr>
            <w:tcW w:w="0" w:type="auto"/>
            <w:hideMark/>
          </w:tcPr>
          <w:p w14:paraId="2F183289" w14:textId="77777777" w:rsidR="00885F3C" w:rsidRPr="003D2A76" w:rsidRDefault="00885F3C" w:rsidP="00BD6279">
            <w:pPr>
              <w:bidi w:val="0"/>
              <w:rPr>
                <w:rFonts w:asciiTheme="majorBidi" w:hAnsiTheme="majorBidi" w:cstheme="majorBidi"/>
                <w:lang w:val="en-GB"/>
              </w:rPr>
            </w:pPr>
          </w:p>
        </w:tc>
        <w:tc>
          <w:tcPr>
            <w:tcW w:w="0" w:type="auto"/>
            <w:hideMark/>
          </w:tcPr>
          <w:p w14:paraId="4E576F83" w14:textId="77777777" w:rsidR="00885F3C" w:rsidRPr="003D2A76" w:rsidRDefault="00885F3C" w:rsidP="00BD6279">
            <w:pPr>
              <w:bidi w:val="0"/>
              <w:rPr>
                <w:rFonts w:asciiTheme="majorBidi" w:hAnsiTheme="majorBidi" w:cstheme="majorBidi"/>
                <w:lang w:val="en-GB"/>
              </w:rPr>
            </w:pPr>
          </w:p>
        </w:tc>
        <w:tc>
          <w:tcPr>
            <w:tcW w:w="0" w:type="auto"/>
            <w:hideMark/>
          </w:tcPr>
          <w:p w14:paraId="0B5DC1D8" w14:textId="77777777" w:rsidR="00885F3C" w:rsidRPr="003D2A76" w:rsidRDefault="00885F3C" w:rsidP="00BD6279">
            <w:pPr>
              <w:bidi w:val="0"/>
              <w:rPr>
                <w:rFonts w:asciiTheme="majorBidi" w:hAnsiTheme="majorBidi" w:cstheme="majorBidi"/>
                <w:lang w:val="en-GB"/>
              </w:rPr>
            </w:pPr>
          </w:p>
        </w:tc>
        <w:tc>
          <w:tcPr>
            <w:tcW w:w="0" w:type="auto"/>
            <w:hideMark/>
          </w:tcPr>
          <w:p w14:paraId="26E2395D" w14:textId="77777777" w:rsidR="00885F3C" w:rsidRPr="003D2A76" w:rsidRDefault="00885F3C" w:rsidP="00BD6279">
            <w:pPr>
              <w:bidi w:val="0"/>
              <w:rPr>
                <w:rFonts w:asciiTheme="majorBidi" w:hAnsiTheme="majorBidi" w:cstheme="majorBidi"/>
                <w:lang w:val="en-GB"/>
              </w:rPr>
            </w:pPr>
          </w:p>
        </w:tc>
      </w:tr>
      <w:tr w:rsidR="00885F3C" w:rsidRPr="003D2A76" w14:paraId="26BD3849" w14:textId="77777777" w:rsidTr="00885F3C">
        <w:tc>
          <w:tcPr>
            <w:tcW w:w="0" w:type="auto"/>
            <w:hideMark/>
          </w:tcPr>
          <w:p w14:paraId="7ADD91AE"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4. Trust</w:t>
            </w:r>
          </w:p>
        </w:tc>
        <w:tc>
          <w:tcPr>
            <w:tcW w:w="0" w:type="auto"/>
            <w:hideMark/>
          </w:tcPr>
          <w:p w14:paraId="212AC28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.401**</w:t>
            </w:r>
          </w:p>
        </w:tc>
        <w:tc>
          <w:tcPr>
            <w:tcW w:w="0" w:type="auto"/>
            <w:hideMark/>
          </w:tcPr>
          <w:p w14:paraId="0074F0A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.387**</w:t>
            </w:r>
          </w:p>
        </w:tc>
        <w:tc>
          <w:tcPr>
            <w:tcW w:w="0" w:type="auto"/>
            <w:hideMark/>
          </w:tcPr>
          <w:p w14:paraId="214056E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.870**</w:t>
            </w:r>
          </w:p>
        </w:tc>
        <w:tc>
          <w:tcPr>
            <w:tcW w:w="0" w:type="auto"/>
            <w:hideMark/>
          </w:tcPr>
          <w:p w14:paraId="3C52FD3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c>
          <w:tcPr>
            <w:tcW w:w="0" w:type="auto"/>
            <w:hideMark/>
          </w:tcPr>
          <w:p w14:paraId="56C9F546" w14:textId="77777777" w:rsidR="00885F3C" w:rsidRPr="003D2A76" w:rsidRDefault="00885F3C" w:rsidP="00BD6279">
            <w:pPr>
              <w:bidi w:val="0"/>
              <w:rPr>
                <w:rFonts w:asciiTheme="majorBidi" w:hAnsiTheme="majorBidi" w:cstheme="majorBidi"/>
                <w:lang w:val="en-GB"/>
              </w:rPr>
            </w:pPr>
          </w:p>
        </w:tc>
        <w:tc>
          <w:tcPr>
            <w:tcW w:w="0" w:type="auto"/>
            <w:hideMark/>
          </w:tcPr>
          <w:p w14:paraId="1CD35400" w14:textId="77777777" w:rsidR="00885F3C" w:rsidRPr="003D2A76" w:rsidRDefault="00885F3C" w:rsidP="00BD6279">
            <w:pPr>
              <w:bidi w:val="0"/>
              <w:rPr>
                <w:rFonts w:asciiTheme="majorBidi" w:hAnsiTheme="majorBidi" w:cstheme="majorBidi"/>
                <w:lang w:val="en-GB"/>
              </w:rPr>
            </w:pPr>
          </w:p>
        </w:tc>
        <w:tc>
          <w:tcPr>
            <w:tcW w:w="0" w:type="auto"/>
            <w:hideMark/>
          </w:tcPr>
          <w:p w14:paraId="724A481B" w14:textId="77777777" w:rsidR="00885F3C" w:rsidRPr="003D2A76" w:rsidRDefault="00885F3C" w:rsidP="00BD6279">
            <w:pPr>
              <w:bidi w:val="0"/>
              <w:rPr>
                <w:rFonts w:asciiTheme="majorBidi" w:hAnsiTheme="majorBidi" w:cstheme="majorBidi"/>
                <w:lang w:val="en-GB"/>
              </w:rPr>
            </w:pPr>
          </w:p>
        </w:tc>
      </w:tr>
      <w:tr w:rsidR="00885F3C" w:rsidRPr="003D2A76" w14:paraId="54B6E91C" w14:textId="77777777" w:rsidTr="00885F3C">
        <w:tc>
          <w:tcPr>
            <w:tcW w:w="0" w:type="auto"/>
            <w:hideMark/>
          </w:tcPr>
          <w:p w14:paraId="44250164"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5. Perceived Value</w:t>
            </w:r>
          </w:p>
        </w:tc>
        <w:tc>
          <w:tcPr>
            <w:tcW w:w="0" w:type="auto"/>
            <w:hideMark/>
          </w:tcPr>
          <w:p w14:paraId="5AB32DF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.631**</w:t>
            </w:r>
          </w:p>
        </w:tc>
        <w:tc>
          <w:tcPr>
            <w:tcW w:w="0" w:type="auto"/>
            <w:hideMark/>
          </w:tcPr>
          <w:p w14:paraId="26F8733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.554**</w:t>
            </w:r>
          </w:p>
        </w:tc>
        <w:tc>
          <w:tcPr>
            <w:tcW w:w="0" w:type="auto"/>
            <w:hideMark/>
          </w:tcPr>
          <w:p w14:paraId="2468EE2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.747**</w:t>
            </w:r>
          </w:p>
        </w:tc>
        <w:tc>
          <w:tcPr>
            <w:tcW w:w="0" w:type="auto"/>
            <w:hideMark/>
          </w:tcPr>
          <w:p w14:paraId="6886357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.764**</w:t>
            </w:r>
          </w:p>
        </w:tc>
        <w:tc>
          <w:tcPr>
            <w:tcW w:w="0" w:type="auto"/>
            <w:hideMark/>
          </w:tcPr>
          <w:p w14:paraId="7FBD555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c>
          <w:tcPr>
            <w:tcW w:w="0" w:type="auto"/>
            <w:hideMark/>
          </w:tcPr>
          <w:p w14:paraId="1D7FDF45" w14:textId="77777777" w:rsidR="00885F3C" w:rsidRPr="003D2A76" w:rsidRDefault="00885F3C" w:rsidP="00BD6279">
            <w:pPr>
              <w:bidi w:val="0"/>
              <w:rPr>
                <w:rFonts w:asciiTheme="majorBidi" w:hAnsiTheme="majorBidi" w:cstheme="majorBidi"/>
                <w:lang w:val="en-GB"/>
              </w:rPr>
            </w:pPr>
          </w:p>
        </w:tc>
        <w:tc>
          <w:tcPr>
            <w:tcW w:w="0" w:type="auto"/>
            <w:hideMark/>
          </w:tcPr>
          <w:p w14:paraId="4DA52CDD" w14:textId="77777777" w:rsidR="00885F3C" w:rsidRPr="003D2A76" w:rsidRDefault="00885F3C" w:rsidP="00BD6279">
            <w:pPr>
              <w:bidi w:val="0"/>
              <w:rPr>
                <w:rFonts w:asciiTheme="majorBidi" w:hAnsiTheme="majorBidi" w:cstheme="majorBidi"/>
                <w:lang w:val="en-GB"/>
              </w:rPr>
            </w:pPr>
          </w:p>
        </w:tc>
      </w:tr>
      <w:tr w:rsidR="00885F3C" w:rsidRPr="003D2A76" w14:paraId="4A901E6A" w14:textId="77777777" w:rsidTr="00885F3C">
        <w:tc>
          <w:tcPr>
            <w:tcW w:w="0" w:type="auto"/>
            <w:hideMark/>
          </w:tcPr>
          <w:p w14:paraId="0819B450"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6. Purchase Intention</w:t>
            </w:r>
          </w:p>
        </w:tc>
        <w:tc>
          <w:tcPr>
            <w:tcW w:w="0" w:type="auto"/>
            <w:hideMark/>
          </w:tcPr>
          <w:p w14:paraId="5D270C1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.411**</w:t>
            </w:r>
          </w:p>
        </w:tc>
        <w:tc>
          <w:tcPr>
            <w:tcW w:w="0" w:type="auto"/>
            <w:hideMark/>
          </w:tcPr>
          <w:p w14:paraId="3E06F26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.358**</w:t>
            </w:r>
          </w:p>
        </w:tc>
        <w:tc>
          <w:tcPr>
            <w:tcW w:w="0" w:type="auto"/>
            <w:hideMark/>
          </w:tcPr>
          <w:p w14:paraId="2B8ED19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.861**</w:t>
            </w:r>
          </w:p>
        </w:tc>
        <w:tc>
          <w:tcPr>
            <w:tcW w:w="0" w:type="auto"/>
            <w:hideMark/>
          </w:tcPr>
          <w:p w14:paraId="210B0B6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.870**</w:t>
            </w:r>
          </w:p>
        </w:tc>
        <w:tc>
          <w:tcPr>
            <w:tcW w:w="0" w:type="auto"/>
            <w:hideMark/>
          </w:tcPr>
          <w:p w14:paraId="3FC088A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.727**</w:t>
            </w:r>
          </w:p>
        </w:tc>
        <w:tc>
          <w:tcPr>
            <w:tcW w:w="0" w:type="auto"/>
            <w:hideMark/>
          </w:tcPr>
          <w:p w14:paraId="5847C85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c>
          <w:tcPr>
            <w:tcW w:w="0" w:type="auto"/>
            <w:hideMark/>
          </w:tcPr>
          <w:p w14:paraId="54DD5844" w14:textId="77777777" w:rsidR="00885F3C" w:rsidRPr="003D2A76" w:rsidRDefault="00885F3C" w:rsidP="00BD6279">
            <w:pPr>
              <w:bidi w:val="0"/>
              <w:rPr>
                <w:rFonts w:asciiTheme="majorBidi" w:hAnsiTheme="majorBidi" w:cstheme="majorBidi"/>
                <w:lang w:val="en-GB"/>
              </w:rPr>
            </w:pPr>
          </w:p>
        </w:tc>
      </w:tr>
      <w:tr w:rsidR="00885F3C" w:rsidRPr="003D2A76" w14:paraId="2A903B67" w14:textId="77777777" w:rsidTr="00885F3C">
        <w:tc>
          <w:tcPr>
            <w:tcW w:w="0" w:type="auto"/>
            <w:hideMark/>
          </w:tcPr>
          <w:p w14:paraId="15EBB010"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7. Cultural Factors</w:t>
            </w:r>
          </w:p>
        </w:tc>
        <w:tc>
          <w:tcPr>
            <w:tcW w:w="0" w:type="auto"/>
            <w:hideMark/>
          </w:tcPr>
          <w:p w14:paraId="0DCE0A5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.173**</w:t>
            </w:r>
          </w:p>
        </w:tc>
        <w:tc>
          <w:tcPr>
            <w:tcW w:w="0" w:type="auto"/>
            <w:hideMark/>
          </w:tcPr>
          <w:p w14:paraId="346F6BB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.203**</w:t>
            </w:r>
          </w:p>
        </w:tc>
        <w:tc>
          <w:tcPr>
            <w:tcW w:w="0" w:type="auto"/>
            <w:hideMark/>
          </w:tcPr>
          <w:p w14:paraId="3185447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.281**</w:t>
            </w:r>
          </w:p>
        </w:tc>
        <w:tc>
          <w:tcPr>
            <w:tcW w:w="0" w:type="auto"/>
            <w:hideMark/>
          </w:tcPr>
          <w:p w14:paraId="609F9CE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.306**</w:t>
            </w:r>
          </w:p>
        </w:tc>
        <w:tc>
          <w:tcPr>
            <w:tcW w:w="0" w:type="auto"/>
            <w:hideMark/>
          </w:tcPr>
          <w:p w14:paraId="6652714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.245**</w:t>
            </w:r>
          </w:p>
        </w:tc>
        <w:tc>
          <w:tcPr>
            <w:tcW w:w="0" w:type="auto"/>
            <w:hideMark/>
          </w:tcPr>
          <w:p w14:paraId="03D08F3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.324**</w:t>
            </w:r>
          </w:p>
        </w:tc>
        <w:tc>
          <w:tcPr>
            <w:tcW w:w="0" w:type="auto"/>
            <w:hideMark/>
          </w:tcPr>
          <w:p w14:paraId="731292A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w:t>
            </w:r>
          </w:p>
        </w:tc>
      </w:tr>
    </w:tbl>
    <w:p w14:paraId="7A439D48" w14:textId="77777777" w:rsidR="00885F3C" w:rsidRPr="003D2A76" w:rsidRDefault="00885F3C" w:rsidP="00BD6279">
      <w:pPr>
        <w:bidi w:val="0"/>
        <w:rPr>
          <w:rFonts w:asciiTheme="majorBidi" w:hAnsiTheme="majorBidi" w:cstheme="majorBidi"/>
          <w:vertAlign w:val="superscript"/>
          <w:lang w:val="en-GB"/>
        </w:rPr>
      </w:pPr>
      <w:r w:rsidRPr="003D2A76">
        <w:rPr>
          <w:rFonts w:asciiTheme="majorBidi" w:hAnsiTheme="majorBidi" w:cstheme="majorBidi"/>
          <w:i/>
          <w:iCs/>
          <w:vertAlign w:val="superscript"/>
          <w:lang w:val="en-GB"/>
        </w:rPr>
        <w:t>Note.</w:t>
      </w:r>
      <w:r w:rsidRPr="003D2A76">
        <w:rPr>
          <w:rFonts w:asciiTheme="majorBidi" w:hAnsiTheme="majorBidi" w:cstheme="majorBidi"/>
          <w:vertAlign w:val="superscript"/>
          <w:lang w:val="en-GB"/>
        </w:rPr>
        <w:t xml:space="preserve"> ** </w:t>
      </w:r>
      <w:r w:rsidRPr="003D2A76">
        <w:rPr>
          <w:rFonts w:asciiTheme="majorBidi" w:hAnsiTheme="majorBidi" w:cstheme="majorBidi"/>
          <w:i/>
          <w:iCs/>
          <w:vertAlign w:val="superscript"/>
          <w:lang w:val="en-GB"/>
        </w:rPr>
        <w:t>p</w:t>
      </w:r>
      <w:r w:rsidRPr="003D2A76">
        <w:rPr>
          <w:rFonts w:asciiTheme="majorBidi" w:hAnsiTheme="majorBidi" w:cstheme="majorBidi"/>
          <w:vertAlign w:val="superscript"/>
          <w:lang w:val="en-GB"/>
        </w:rPr>
        <w:t xml:space="preserve"> &lt; 0.01 (two-tailed). All correlations are significant at the 0.01 level.</w:t>
      </w:r>
    </w:p>
    <w:p w14:paraId="0EF5BC36" w14:textId="38F59B2A" w:rsidR="00885F3C" w:rsidRPr="003D2A76" w:rsidRDefault="009B03B2" w:rsidP="00BD6279">
      <w:pPr>
        <w:bidi w:val="0"/>
        <w:rPr>
          <w:rFonts w:asciiTheme="majorBidi" w:hAnsiTheme="majorBidi" w:cstheme="majorBidi"/>
          <w:b/>
          <w:bCs/>
          <w:i/>
          <w:lang w:val="en-GB"/>
        </w:rPr>
      </w:pPr>
      <w:bookmarkStart w:id="93" w:name="_Toc216904176"/>
      <w:r>
        <w:rPr>
          <w:rFonts w:asciiTheme="majorBidi" w:hAnsiTheme="majorBidi" w:cstheme="majorBidi"/>
          <w:b/>
          <w:bCs/>
          <w:i/>
          <w:lang w:val="en-GB"/>
        </w:rPr>
        <w:t xml:space="preserve">4.9.2 </w:t>
      </w:r>
      <w:r w:rsidR="00885F3C" w:rsidRPr="003D2A76">
        <w:rPr>
          <w:rFonts w:asciiTheme="majorBidi" w:hAnsiTheme="majorBidi" w:cstheme="majorBidi"/>
          <w:b/>
          <w:bCs/>
          <w:i/>
          <w:lang w:val="en-GB"/>
        </w:rPr>
        <w:t>AI Adoption Correlations</w:t>
      </w:r>
      <w:bookmarkEnd w:id="93"/>
    </w:p>
    <w:p w14:paraId="04420A36" w14:textId="11DFD5C4" w:rsidR="00885F3C"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correlation between AI adoption in teaching and AI adoption in marketing (r = 0.72, p &lt; 0.01) showed that there is a strong positive relationship, intending to show that the institutions tend to adopt AI as a whole across functions and not as a selective tool. The fact that this high correlation is not an issue of problematic levels of multicollinearity implies that there is </w:t>
      </w:r>
      <w:r w:rsidR="00784327">
        <w:rPr>
          <w:rFonts w:asciiTheme="majorBidi" w:hAnsiTheme="majorBidi" w:cstheme="majorBidi"/>
          <w:lang w:val="en-GB"/>
        </w:rPr>
        <w:t xml:space="preserve">a </w:t>
      </w:r>
      <w:r w:rsidRPr="003D2A76">
        <w:rPr>
          <w:rFonts w:asciiTheme="majorBidi" w:hAnsiTheme="majorBidi" w:cstheme="majorBidi"/>
          <w:lang w:val="en-GB"/>
        </w:rPr>
        <w:t xml:space="preserve">coordinated technology strategy that influences various areas of operation concurrently. The use of AI in teaching was found to have moderate positive relationships with the quality of services (r = 0.46), trust (r = 0.40), and purchase intention (r = 0.41), which were found </w:t>
      </w:r>
      <w:r w:rsidR="00784327">
        <w:rPr>
          <w:rFonts w:asciiTheme="majorBidi" w:hAnsiTheme="majorBidi" w:cstheme="majorBidi"/>
          <w:lang w:val="en-GB"/>
        </w:rPr>
        <w:t xml:space="preserve">to be </w:t>
      </w:r>
      <w:r w:rsidRPr="003D2A76">
        <w:rPr>
          <w:rFonts w:asciiTheme="majorBidi" w:hAnsiTheme="majorBidi" w:cstheme="majorBidi"/>
          <w:lang w:val="en-GB"/>
        </w:rPr>
        <w:t xml:space="preserve">significant at p &lt; 0.01. The fact that the stronger association is with the perceived value (r = 0.63) implies that teaching </w:t>
      </w:r>
      <w:r w:rsidRPr="003D2A76">
        <w:rPr>
          <w:rFonts w:asciiTheme="majorBidi" w:hAnsiTheme="majorBidi" w:cstheme="majorBidi"/>
          <w:lang w:val="en-GB"/>
        </w:rPr>
        <w:lastRenderedPageBreak/>
        <w:t xml:space="preserve">innovations have a more significant effect on the </w:t>
      </w:r>
      <w:r w:rsidR="00784327">
        <w:rPr>
          <w:rFonts w:asciiTheme="majorBidi" w:hAnsiTheme="majorBidi" w:cstheme="majorBidi"/>
          <w:lang w:val="en-GB"/>
        </w:rPr>
        <w:t>value</w:t>
      </w:r>
      <w:r w:rsidRPr="003D2A76">
        <w:rPr>
          <w:rFonts w:asciiTheme="majorBidi" w:hAnsiTheme="majorBidi" w:cstheme="majorBidi"/>
          <w:lang w:val="en-GB"/>
        </w:rPr>
        <w:t xml:space="preserve"> perceptions, most likely because of the direct effects they have on educational outcomes. The use of AI in marketing showed the same but even higher correlation with service quality (r = 0.47) than in the case of teaching applications. The correlates with trust (r = 0.39) and purchase intention (r = 0.36) were slightly lower than the teaching applications, and the relationship with perceived value (r = 0.55) was high but smaller than the one between teaching applications and trust.</w:t>
      </w:r>
      <w:r w:rsidRPr="003D2A76">
        <w:rPr>
          <w:rFonts w:asciiTheme="majorBidi" w:hAnsiTheme="majorBidi" w:cstheme="majorBidi"/>
          <w:b/>
          <w:bCs/>
          <w:lang w:val="en-GB"/>
        </w:rPr>
        <w:t xml:space="preserve"> </w:t>
      </w:r>
    </w:p>
    <w:p w14:paraId="53186F55" w14:textId="77777777" w:rsidR="00784327" w:rsidRPr="003D2A76" w:rsidRDefault="00784327" w:rsidP="00784327">
      <w:pPr>
        <w:bidi w:val="0"/>
        <w:rPr>
          <w:rFonts w:asciiTheme="majorBidi" w:hAnsiTheme="majorBidi" w:cstheme="majorBidi"/>
          <w:b/>
          <w:bCs/>
          <w:lang w:val="en-GB"/>
        </w:rPr>
      </w:pPr>
    </w:p>
    <w:p w14:paraId="748E5BA2" w14:textId="3BE5711A" w:rsidR="00885F3C" w:rsidRPr="003D2A76" w:rsidRDefault="009B03B2" w:rsidP="00BD6279">
      <w:pPr>
        <w:bidi w:val="0"/>
        <w:rPr>
          <w:rFonts w:asciiTheme="majorBidi" w:hAnsiTheme="majorBidi" w:cstheme="majorBidi"/>
          <w:b/>
          <w:bCs/>
          <w:i/>
          <w:lang w:val="en-GB"/>
        </w:rPr>
      </w:pPr>
      <w:bookmarkStart w:id="94" w:name="_Toc216904177"/>
      <w:r>
        <w:rPr>
          <w:rFonts w:asciiTheme="majorBidi" w:hAnsiTheme="majorBidi" w:cstheme="majorBidi"/>
          <w:b/>
          <w:bCs/>
          <w:i/>
          <w:lang w:val="en-GB"/>
        </w:rPr>
        <w:t xml:space="preserve">4.9.3 </w:t>
      </w:r>
      <w:r w:rsidR="00885F3C" w:rsidRPr="003D2A76">
        <w:rPr>
          <w:rFonts w:asciiTheme="majorBidi" w:hAnsiTheme="majorBidi" w:cstheme="majorBidi"/>
          <w:b/>
          <w:bCs/>
          <w:i/>
          <w:lang w:val="en-GB"/>
        </w:rPr>
        <w:t>Service Quality Relationships</w:t>
      </w:r>
      <w:bookmarkEnd w:id="94"/>
    </w:p>
    <w:p w14:paraId="145E4187" w14:textId="4C7573D5" w:rsidR="00885F3C" w:rsidRDefault="00885F3C" w:rsidP="00BD6279">
      <w:pPr>
        <w:bidi w:val="0"/>
        <w:rPr>
          <w:rFonts w:asciiTheme="majorBidi" w:hAnsiTheme="majorBidi" w:cstheme="majorBidi"/>
          <w:lang w:val="en-GB"/>
        </w:rPr>
      </w:pPr>
      <w:r w:rsidRPr="003D2A76">
        <w:rPr>
          <w:rFonts w:asciiTheme="majorBidi" w:hAnsiTheme="majorBidi" w:cstheme="majorBidi"/>
          <w:lang w:val="en-GB"/>
        </w:rPr>
        <w:t>Service quality had highly positive relationships with trust (r = 0.87, p &lt; 0.01) and purchase intention (r = 0.86, p &lt; 0.01), meaning they are central to education service evaluation. Such significant effect sizes indicate that service quality is a major contributor in stakeholder confidence and behavio</w:t>
      </w:r>
      <w:r w:rsidR="00716A9F" w:rsidRPr="003D2A76">
        <w:rPr>
          <w:rFonts w:asciiTheme="majorBidi" w:hAnsiTheme="majorBidi" w:cstheme="majorBidi"/>
          <w:lang w:val="en-GB"/>
        </w:rPr>
        <w:t>u</w:t>
      </w:r>
      <w:r w:rsidRPr="003D2A76">
        <w:rPr>
          <w:rFonts w:asciiTheme="majorBidi" w:hAnsiTheme="majorBidi" w:cstheme="majorBidi"/>
          <w:lang w:val="en-GB"/>
        </w:rPr>
        <w:t xml:space="preserve">ral intentions. Service quality has a broad impact on evaluative judgments as it is also correlated with perceived value (r = 0.75, p &lt; 0.01). </w:t>
      </w:r>
      <w:r w:rsidR="00BD3E25" w:rsidRPr="00BD3E25">
        <w:rPr>
          <w:rFonts w:asciiTheme="majorBidi" w:hAnsiTheme="majorBidi" w:cstheme="majorBidi"/>
          <w:lang w:val="en-GB"/>
        </w:rPr>
        <w:t>The high level of correlation between service quality and trust casts doubts on the discriminant validity of the constructs</w:t>
      </w:r>
      <w:r w:rsidRPr="003D2A76">
        <w:rPr>
          <w:rFonts w:asciiTheme="majorBidi" w:hAnsiTheme="majorBidi" w:cstheme="majorBidi"/>
          <w:lang w:val="en-GB"/>
        </w:rPr>
        <w:t xml:space="preserve">, but the calculation of factor analysis and AVE prove otherwise. Such </w:t>
      </w:r>
      <w:r w:rsidR="00716A9F" w:rsidRPr="003D2A76">
        <w:rPr>
          <w:rFonts w:asciiTheme="majorBidi" w:hAnsiTheme="majorBidi" w:cstheme="majorBidi"/>
          <w:lang w:val="en-GB"/>
        </w:rPr>
        <w:t xml:space="preserve">a </w:t>
      </w:r>
      <w:r w:rsidRPr="003D2A76">
        <w:rPr>
          <w:rFonts w:asciiTheme="majorBidi" w:hAnsiTheme="majorBidi" w:cstheme="majorBidi"/>
          <w:lang w:val="en-GB"/>
        </w:rPr>
        <w:t>close association may be due to the context of the service in which quality of service delivery creates a level of trust, especially in high involvement services such as education</w:t>
      </w:r>
      <w:r w:rsidR="00784327">
        <w:rPr>
          <w:rFonts w:asciiTheme="majorBidi" w:hAnsiTheme="majorBidi" w:cstheme="majorBidi"/>
          <w:lang w:val="en-GB"/>
        </w:rPr>
        <w:t>,</w:t>
      </w:r>
      <w:r w:rsidRPr="003D2A76">
        <w:rPr>
          <w:rFonts w:asciiTheme="majorBidi" w:hAnsiTheme="majorBidi" w:cstheme="majorBidi"/>
          <w:lang w:val="en-GB"/>
        </w:rPr>
        <w:t xml:space="preserve"> where the results are not easily assessable prior to purchase.</w:t>
      </w:r>
    </w:p>
    <w:p w14:paraId="50E98792" w14:textId="77777777" w:rsidR="00784327" w:rsidRPr="003D2A76" w:rsidRDefault="00784327" w:rsidP="00784327">
      <w:pPr>
        <w:bidi w:val="0"/>
        <w:rPr>
          <w:rFonts w:asciiTheme="majorBidi" w:hAnsiTheme="majorBidi" w:cstheme="majorBidi"/>
          <w:b/>
          <w:bCs/>
          <w:lang w:val="en-GB"/>
        </w:rPr>
      </w:pPr>
    </w:p>
    <w:p w14:paraId="7F048C44" w14:textId="36E0A6A2" w:rsidR="00885F3C" w:rsidRPr="003D2A76" w:rsidRDefault="009B03B2" w:rsidP="00BD6279">
      <w:pPr>
        <w:bidi w:val="0"/>
        <w:rPr>
          <w:rFonts w:asciiTheme="majorBidi" w:hAnsiTheme="majorBidi" w:cstheme="majorBidi"/>
          <w:b/>
          <w:bCs/>
          <w:i/>
          <w:lang w:val="en-GB"/>
        </w:rPr>
      </w:pPr>
      <w:bookmarkStart w:id="95" w:name="_Toc216904178"/>
      <w:r>
        <w:rPr>
          <w:rFonts w:asciiTheme="majorBidi" w:hAnsiTheme="majorBidi" w:cstheme="majorBidi"/>
          <w:b/>
          <w:bCs/>
          <w:i/>
          <w:lang w:val="en-GB"/>
        </w:rPr>
        <w:t xml:space="preserve">4.9.4 </w:t>
      </w:r>
      <w:r w:rsidR="00885F3C" w:rsidRPr="003D2A76">
        <w:rPr>
          <w:rFonts w:asciiTheme="majorBidi" w:hAnsiTheme="majorBidi" w:cstheme="majorBidi"/>
          <w:b/>
          <w:bCs/>
          <w:i/>
          <w:lang w:val="en-GB"/>
        </w:rPr>
        <w:t>Mediator Interrelationships</w:t>
      </w:r>
      <w:bookmarkEnd w:id="95"/>
    </w:p>
    <w:p w14:paraId="6C85FDB1" w14:textId="3A57008C" w:rsidR="00885F3C"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Perceived value and trust were closely related to the question in that perceived value was strongly positively correlated (r = 0.76, p &lt; 0.01) with trust, suggesting that the two </w:t>
      </w:r>
      <w:r w:rsidRPr="003D2A76">
        <w:rPr>
          <w:rFonts w:asciiTheme="majorBidi" w:hAnsiTheme="majorBidi" w:cstheme="majorBidi"/>
          <w:lang w:val="en-GB"/>
        </w:rPr>
        <w:lastRenderedPageBreak/>
        <w:t>evaluative processes are connected but distinct. Both mediators were very much related to the purchase intention</w:t>
      </w:r>
      <w:r w:rsidR="00784327">
        <w:rPr>
          <w:rFonts w:asciiTheme="majorBidi" w:hAnsiTheme="majorBidi" w:cstheme="majorBidi"/>
          <w:lang w:val="en-GB"/>
        </w:rPr>
        <w:t>,</w:t>
      </w:r>
      <w:r w:rsidRPr="003D2A76">
        <w:rPr>
          <w:rFonts w:asciiTheme="majorBidi" w:hAnsiTheme="majorBidi" w:cstheme="majorBidi"/>
          <w:lang w:val="en-GB"/>
        </w:rPr>
        <w:t xml:space="preserve"> with trust having a slightly stronger relationship (r = 0.87) as compared to perceived value (r = 0.73). These trends indicate a similarity and may </w:t>
      </w:r>
      <w:r w:rsidR="00716A9F" w:rsidRPr="003D2A76">
        <w:rPr>
          <w:rFonts w:asciiTheme="majorBidi" w:hAnsiTheme="majorBidi" w:cstheme="majorBidi"/>
          <w:lang w:val="en-GB"/>
        </w:rPr>
        <w:t xml:space="preserve">suggest </w:t>
      </w:r>
      <w:r w:rsidRPr="003D2A76">
        <w:rPr>
          <w:rFonts w:asciiTheme="majorBidi" w:hAnsiTheme="majorBidi" w:cstheme="majorBidi"/>
          <w:lang w:val="en-GB"/>
        </w:rPr>
        <w:t>complementary mediation routes between service quality and behavio</w:t>
      </w:r>
      <w:r w:rsidR="00716A9F" w:rsidRPr="003D2A76">
        <w:rPr>
          <w:rFonts w:asciiTheme="majorBidi" w:hAnsiTheme="majorBidi" w:cstheme="majorBidi"/>
          <w:lang w:val="en-GB"/>
        </w:rPr>
        <w:t>u</w:t>
      </w:r>
      <w:r w:rsidRPr="003D2A76">
        <w:rPr>
          <w:rFonts w:asciiTheme="majorBidi" w:hAnsiTheme="majorBidi" w:cstheme="majorBidi"/>
          <w:lang w:val="en-GB"/>
        </w:rPr>
        <w:t>ral intentions.</w:t>
      </w:r>
    </w:p>
    <w:p w14:paraId="36BCBB4C" w14:textId="77777777" w:rsidR="00784327" w:rsidRPr="003D2A76" w:rsidRDefault="00784327" w:rsidP="00784327">
      <w:pPr>
        <w:bidi w:val="0"/>
        <w:rPr>
          <w:rFonts w:asciiTheme="majorBidi" w:hAnsiTheme="majorBidi" w:cstheme="majorBidi"/>
          <w:b/>
          <w:bCs/>
          <w:lang w:val="en-GB"/>
        </w:rPr>
      </w:pPr>
    </w:p>
    <w:p w14:paraId="6B626C34" w14:textId="35C0E586" w:rsidR="00885F3C" w:rsidRPr="003D2A76" w:rsidRDefault="009B03B2" w:rsidP="00BD6279">
      <w:pPr>
        <w:bidi w:val="0"/>
        <w:rPr>
          <w:rFonts w:asciiTheme="majorBidi" w:hAnsiTheme="majorBidi" w:cstheme="majorBidi"/>
          <w:b/>
          <w:bCs/>
          <w:i/>
          <w:lang w:val="en-GB"/>
        </w:rPr>
      </w:pPr>
      <w:bookmarkStart w:id="96" w:name="_Toc216904179"/>
      <w:r>
        <w:rPr>
          <w:rFonts w:asciiTheme="majorBidi" w:hAnsiTheme="majorBidi" w:cstheme="majorBidi"/>
          <w:b/>
          <w:bCs/>
          <w:i/>
          <w:lang w:val="en-GB"/>
        </w:rPr>
        <w:t xml:space="preserve">4.9.5 </w:t>
      </w:r>
      <w:r w:rsidR="00885F3C" w:rsidRPr="003D2A76">
        <w:rPr>
          <w:rFonts w:asciiTheme="majorBidi" w:hAnsiTheme="majorBidi" w:cstheme="majorBidi"/>
          <w:b/>
          <w:bCs/>
          <w:i/>
          <w:lang w:val="en-GB"/>
        </w:rPr>
        <w:t>Cultural Factor Associations</w:t>
      </w:r>
      <w:bookmarkEnd w:id="96"/>
    </w:p>
    <w:p w14:paraId="39DDFF4D" w14:textId="016A348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Cultural variables had moderately less significant correlations with other variables, </w:t>
      </w:r>
      <w:r w:rsidR="00BD3E25">
        <w:rPr>
          <w:rFonts w:asciiTheme="majorBidi" w:hAnsiTheme="majorBidi" w:cstheme="majorBidi"/>
          <w:lang w:val="en-GB"/>
        </w:rPr>
        <w:t>between</w:t>
      </w:r>
      <w:r w:rsidRPr="003D2A76">
        <w:rPr>
          <w:rFonts w:asciiTheme="majorBidi" w:hAnsiTheme="majorBidi" w:cstheme="majorBidi"/>
          <w:lang w:val="en-GB"/>
        </w:rPr>
        <w:t xml:space="preserve"> 0.17 </w:t>
      </w:r>
      <w:r w:rsidR="00BD3E25">
        <w:rPr>
          <w:rFonts w:asciiTheme="majorBidi" w:hAnsiTheme="majorBidi" w:cstheme="majorBidi"/>
          <w:lang w:val="en-GB"/>
        </w:rPr>
        <w:t>and</w:t>
      </w:r>
      <w:r w:rsidRPr="003D2A76">
        <w:rPr>
          <w:rFonts w:asciiTheme="majorBidi" w:hAnsiTheme="majorBidi" w:cstheme="majorBidi"/>
          <w:lang w:val="en-GB"/>
        </w:rPr>
        <w:t xml:space="preserve"> 0.32. With purchase intention, the highest value of the correlation coefficient is 0.32 at a p value of less than 0.01 (cultural alignment). The fact that moderate correlations exist with trust (r = 0.31) and service quality (r = 0.28) implies that the element of culture pervades quality and confidence assessments. The comparatively low relationships between the elements of culture and the data of AI adoption (teaching: r = 0.17; marketing: r = 0.20) indicate that the significance of culture cuts across the levels of technology implementation. This trend suggests that implementation is less sensitive to </w:t>
      </w:r>
      <w:r w:rsidR="00716A9F" w:rsidRPr="003D2A76">
        <w:rPr>
          <w:rFonts w:asciiTheme="majorBidi" w:hAnsiTheme="majorBidi" w:cstheme="majorBidi"/>
          <w:lang w:val="en-GB"/>
        </w:rPr>
        <w:t xml:space="preserve">the </w:t>
      </w:r>
      <w:r w:rsidRPr="003D2A76">
        <w:rPr>
          <w:rFonts w:asciiTheme="majorBidi" w:hAnsiTheme="majorBidi" w:cstheme="majorBidi"/>
          <w:lang w:val="en-GB"/>
        </w:rPr>
        <w:t>extent of implementation than cultural sensitivity</w:t>
      </w:r>
      <w:r w:rsidR="00784327">
        <w:rPr>
          <w:rFonts w:asciiTheme="majorBidi" w:hAnsiTheme="majorBidi" w:cstheme="majorBidi"/>
          <w:lang w:val="en-GB"/>
        </w:rPr>
        <w:t>,</w:t>
      </w:r>
      <w:r w:rsidRPr="003D2A76">
        <w:rPr>
          <w:rFonts w:asciiTheme="majorBidi" w:hAnsiTheme="majorBidi" w:cstheme="majorBidi"/>
          <w:lang w:val="en-GB"/>
        </w:rPr>
        <w:t xml:space="preserve"> and cultural sensitivity hypotheses are supported by moderation and not direct effect.</w:t>
      </w:r>
    </w:p>
    <w:p w14:paraId="149802EB" w14:textId="77777777" w:rsidR="00885F3C" w:rsidRPr="003D2A76" w:rsidRDefault="006A4A5D" w:rsidP="00BD6279">
      <w:pPr>
        <w:pStyle w:val="Heading2"/>
        <w:rPr>
          <w:lang w:val="en-GB"/>
        </w:rPr>
      </w:pPr>
      <w:bookmarkStart w:id="97" w:name="_Toc228056585"/>
      <w:r w:rsidRPr="003D2A76">
        <w:rPr>
          <w:rFonts w:ascii="Times New Roman" w:hAnsi="Times New Roman" w:cs="Times New Roman"/>
          <w:lang w:val="en-GB"/>
        </w:rPr>
        <w:t>4.10</w:t>
      </w:r>
      <w:r w:rsidR="00885F3C" w:rsidRPr="003D2A76">
        <w:rPr>
          <w:rFonts w:ascii="Times New Roman" w:hAnsi="Times New Roman" w:cs="Times New Roman"/>
          <w:lang w:val="en-GB"/>
        </w:rPr>
        <w:t xml:space="preserve"> </w:t>
      </w:r>
      <w:bookmarkStart w:id="98" w:name="_Toc216904180"/>
      <w:r w:rsidR="00885F3C" w:rsidRPr="003D2A76">
        <w:rPr>
          <w:rFonts w:ascii="Times New Roman" w:hAnsi="Times New Roman" w:cs="Times New Roman"/>
          <w:lang w:val="en-GB"/>
        </w:rPr>
        <w:t>Hypothesis Testing</w:t>
      </w:r>
      <w:bookmarkEnd w:id="97"/>
      <w:bookmarkEnd w:id="98"/>
    </w:p>
    <w:p w14:paraId="26B4B1F6" w14:textId="6B81EB3E" w:rsidR="00885F3C" w:rsidRPr="003D2A76" w:rsidRDefault="009B03B2" w:rsidP="00BD6279">
      <w:pPr>
        <w:bidi w:val="0"/>
        <w:rPr>
          <w:rFonts w:asciiTheme="majorBidi" w:hAnsiTheme="majorBidi" w:cstheme="majorBidi"/>
          <w:b/>
          <w:bCs/>
          <w:i/>
          <w:lang w:val="en-GB"/>
        </w:rPr>
      </w:pPr>
      <w:bookmarkStart w:id="99" w:name="_Toc216904181"/>
      <w:r>
        <w:rPr>
          <w:rFonts w:asciiTheme="majorBidi" w:hAnsiTheme="majorBidi" w:cstheme="majorBidi"/>
          <w:b/>
          <w:bCs/>
          <w:i/>
          <w:lang w:val="en-GB"/>
        </w:rPr>
        <w:t xml:space="preserve">4.10.1 </w:t>
      </w:r>
      <w:r w:rsidR="00885F3C" w:rsidRPr="003D2A76">
        <w:rPr>
          <w:rFonts w:asciiTheme="majorBidi" w:hAnsiTheme="majorBidi" w:cstheme="majorBidi"/>
          <w:b/>
          <w:bCs/>
          <w:i/>
          <w:lang w:val="en-GB"/>
        </w:rPr>
        <w:t>Direct Effects Analysis</w:t>
      </w:r>
      <w:bookmarkEnd w:id="99"/>
    </w:p>
    <w:p w14:paraId="7D1BF3DE" w14:textId="5D3845E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hypothesis testing was initiated by the investigation of direct interactions via multiple regression analysis. The hypotheses were individually tested, and the complex mediating and moderating effects were examined. The </w:t>
      </w:r>
      <w:r w:rsidR="00716A9F" w:rsidRPr="003D2A76">
        <w:rPr>
          <w:rFonts w:asciiTheme="majorBidi" w:hAnsiTheme="majorBidi" w:cstheme="majorBidi"/>
          <w:lang w:val="en-GB"/>
        </w:rPr>
        <w:t xml:space="preserve">standardised </w:t>
      </w:r>
      <w:r w:rsidRPr="003D2A76">
        <w:rPr>
          <w:rFonts w:asciiTheme="majorBidi" w:hAnsiTheme="majorBidi" w:cstheme="majorBidi"/>
          <w:lang w:val="en-GB"/>
        </w:rPr>
        <w:t>coefficients (</w:t>
      </w:r>
      <w:r w:rsidRPr="003D2A76">
        <w:rPr>
          <w:rFonts w:asciiTheme="majorBidi" w:hAnsiTheme="majorBidi" w:cstheme="majorBidi"/>
          <w:i/>
          <w:iCs/>
          <w:lang w:val="en-GB"/>
        </w:rPr>
        <w:t>β</w:t>
      </w:r>
      <w:r w:rsidRPr="003D2A76">
        <w:rPr>
          <w:rFonts w:asciiTheme="majorBidi" w:hAnsiTheme="majorBidi" w:cstheme="majorBidi"/>
          <w:lang w:val="en-GB"/>
        </w:rPr>
        <w:t>) are stated to ease the effect size comparison of the variables that have different scales.</w:t>
      </w:r>
    </w:p>
    <w:p w14:paraId="3467931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lastRenderedPageBreak/>
        <w:t>Hypothesis 1: AI Adoption in Teaching → Perceived Service Quality</w:t>
      </w:r>
    </w:p>
    <w:p w14:paraId="0483CF5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 simple regression analysis examining the impact of AI adoption in teaching on perceived service quality yielded significant results (</w:t>
      </w:r>
      <w:r w:rsidRPr="003D2A76">
        <w:rPr>
          <w:rFonts w:asciiTheme="majorBidi" w:hAnsiTheme="majorBidi" w:cstheme="majorBidi"/>
          <w:i/>
          <w:iCs/>
          <w:lang w:val="en-GB"/>
        </w:rPr>
        <w:t>F</w:t>
      </w:r>
      <w:r w:rsidRPr="003D2A76">
        <w:rPr>
          <w:rFonts w:asciiTheme="majorBidi" w:hAnsiTheme="majorBidi" w:cstheme="majorBidi"/>
          <w:lang w:val="en-GB"/>
        </w:rPr>
        <w:t xml:space="preserve">(1, 407) = 111.721, </w:t>
      </w:r>
      <w:r w:rsidRPr="003D2A76">
        <w:rPr>
          <w:rFonts w:asciiTheme="majorBidi" w:hAnsiTheme="majorBidi" w:cstheme="majorBidi"/>
          <w:i/>
          <w:iCs/>
          <w:lang w:val="en-GB"/>
        </w:rPr>
        <w:t>p</w:t>
      </w:r>
      <w:r w:rsidRPr="003D2A76">
        <w:rPr>
          <w:rFonts w:asciiTheme="majorBidi" w:hAnsiTheme="majorBidi" w:cstheme="majorBidi"/>
          <w:lang w:val="en-GB"/>
        </w:rPr>
        <w:t xml:space="preserve"> &lt; .001, </w:t>
      </w:r>
      <w:r w:rsidRPr="003D2A76">
        <w:rPr>
          <w:rFonts w:asciiTheme="majorBidi" w:hAnsiTheme="majorBidi" w:cstheme="majorBidi"/>
          <w:i/>
          <w:iCs/>
          <w:lang w:val="en-GB"/>
        </w:rPr>
        <w:t>R</w:t>
      </w:r>
      <w:r w:rsidRPr="003D2A76">
        <w:rPr>
          <w:rFonts w:asciiTheme="majorBidi" w:hAnsiTheme="majorBidi" w:cstheme="majorBidi"/>
          <w:lang w:val="en-GB"/>
        </w:rPr>
        <w:t>² = .215). AI adoption in teaching showed a significant positive impact on service quality (</w:t>
      </w:r>
      <w:r w:rsidRPr="003D2A76">
        <w:rPr>
          <w:rFonts w:asciiTheme="majorBidi" w:hAnsiTheme="majorBidi" w:cstheme="majorBidi"/>
          <w:i/>
          <w:iCs/>
          <w:lang w:val="en-GB"/>
        </w:rPr>
        <w:t>β</w:t>
      </w:r>
      <w:r w:rsidRPr="003D2A76">
        <w:rPr>
          <w:rFonts w:asciiTheme="majorBidi" w:hAnsiTheme="majorBidi" w:cstheme="majorBidi"/>
          <w:lang w:val="en-GB"/>
        </w:rPr>
        <w:t xml:space="preserve"> = 0.464, SE = 0.041, </w:t>
      </w:r>
      <w:r w:rsidRPr="003D2A76">
        <w:rPr>
          <w:rFonts w:asciiTheme="majorBidi" w:hAnsiTheme="majorBidi" w:cstheme="majorBidi"/>
          <w:i/>
          <w:iCs/>
          <w:lang w:val="en-GB"/>
        </w:rPr>
        <w:t>t</w:t>
      </w:r>
      <w:r w:rsidRPr="003D2A76">
        <w:rPr>
          <w:rFonts w:asciiTheme="majorBidi" w:hAnsiTheme="majorBidi" w:cstheme="majorBidi"/>
          <w:lang w:val="en-GB"/>
        </w:rPr>
        <w:t xml:space="preserve"> = 10.570, </w:t>
      </w:r>
      <w:r w:rsidRPr="003D2A76">
        <w:rPr>
          <w:rFonts w:asciiTheme="majorBidi" w:hAnsiTheme="majorBidi" w:cstheme="majorBidi"/>
          <w:i/>
          <w:iCs/>
          <w:lang w:val="en-GB"/>
        </w:rPr>
        <w:t>p</w:t>
      </w:r>
      <w:r w:rsidRPr="003D2A76">
        <w:rPr>
          <w:rFonts w:asciiTheme="majorBidi" w:hAnsiTheme="majorBidi" w:cstheme="majorBidi"/>
          <w:lang w:val="en-GB"/>
        </w:rPr>
        <w:t xml:space="preserve"> &lt; .001), which supports Hypothesis 1.</w:t>
      </w:r>
    </w:p>
    <w:p w14:paraId="4FB56C6E" w14:textId="702BAC8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w:t>
      </w:r>
      <w:r w:rsidR="00716A9F" w:rsidRPr="003D2A76">
        <w:rPr>
          <w:rFonts w:asciiTheme="majorBidi" w:hAnsiTheme="majorBidi" w:cstheme="majorBidi"/>
          <w:lang w:val="en-GB"/>
        </w:rPr>
        <w:t xml:space="preserve">standardised </w:t>
      </w:r>
      <w:r w:rsidRPr="003D2A76">
        <w:rPr>
          <w:rFonts w:asciiTheme="majorBidi" w:hAnsiTheme="majorBidi" w:cstheme="majorBidi"/>
          <w:lang w:val="en-GB"/>
        </w:rPr>
        <w:t xml:space="preserve">coefficient implies that a one standard deviation improvement in AI teaching adoption is associated with a 0.464 standard deviation improvement in perceived service quality </w:t>
      </w:r>
      <w:r w:rsidR="00716A9F" w:rsidRPr="003D2A76">
        <w:rPr>
          <w:rFonts w:asciiTheme="majorBidi" w:hAnsiTheme="majorBidi" w:cstheme="majorBidi"/>
          <w:lang w:val="en-GB"/>
        </w:rPr>
        <w:t>–</w:t>
      </w:r>
      <w:r w:rsidRPr="003D2A76">
        <w:rPr>
          <w:rFonts w:asciiTheme="majorBidi" w:hAnsiTheme="majorBidi" w:cstheme="majorBidi"/>
          <w:lang w:val="en-GB"/>
        </w:rPr>
        <w:t xml:space="preserve"> a moderate to large effect. The model explained 21.5% of the variance in service quality (</w:t>
      </w:r>
      <w:r w:rsidRPr="003D2A76">
        <w:rPr>
          <w:rFonts w:asciiTheme="majorBidi" w:hAnsiTheme="majorBidi" w:cstheme="majorBidi"/>
          <w:i/>
          <w:iCs/>
          <w:lang w:val="en-GB"/>
        </w:rPr>
        <w:t>R</w:t>
      </w:r>
      <w:r w:rsidRPr="003D2A76">
        <w:rPr>
          <w:rFonts w:asciiTheme="majorBidi" w:hAnsiTheme="majorBidi" w:cstheme="majorBidi"/>
          <w:lang w:val="en-GB"/>
        </w:rPr>
        <w:t>² = .215).</w:t>
      </w:r>
    </w:p>
    <w:p w14:paraId="7E0DAA8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2: AI Adoption in Marketing → Perceived Service Quality</w:t>
      </w:r>
    </w:p>
    <w:p w14:paraId="6D53CC7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 regression analysis on the impact of AI marketing adoption on service quality showed that the two were significantly positively correlated (</w:t>
      </w:r>
      <w:r w:rsidRPr="003D2A76">
        <w:rPr>
          <w:rFonts w:asciiTheme="majorBidi" w:hAnsiTheme="majorBidi" w:cstheme="majorBidi"/>
          <w:i/>
          <w:iCs/>
          <w:lang w:val="en-GB"/>
        </w:rPr>
        <w:t>β</w:t>
      </w:r>
      <w:r w:rsidRPr="003D2A76">
        <w:rPr>
          <w:rFonts w:asciiTheme="majorBidi" w:hAnsiTheme="majorBidi" w:cstheme="majorBidi"/>
          <w:lang w:val="en-GB"/>
        </w:rPr>
        <w:t xml:space="preserve"> = 0.474, SE = 0.040, </w:t>
      </w:r>
      <w:r w:rsidRPr="003D2A76">
        <w:rPr>
          <w:rFonts w:asciiTheme="majorBidi" w:hAnsiTheme="majorBidi" w:cstheme="majorBidi"/>
          <w:i/>
          <w:iCs/>
          <w:lang w:val="en-GB"/>
        </w:rPr>
        <w:t>t</w:t>
      </w:r>
      <w:r w:rsidRPr="003D2A76">
        <w:rPr>
          <w:rFonts w:asciiTheme="majorBidi" w:hAnsiTheme="majorBidi" w:cstheme="majorBidi"/>
          <w:lang w:val="en-GB"/>
        </w:rPr>
        <w:t xml:space="preserve"> = 10.855, </w:t>
      </w:r>
      <w:r w:rsidRPr="003D2A76">
        <w:rPr>
          <w:rFonts w:asciiTheme="majorBidi" w:hAnsiTheme="majorBidi" w:cstheme="majorBidi"/>
          <w:i/>
          <w:iCs/>
          <w:lang w:val="en-GB"/>
        </w:rPr>
        <w:t>p</w:t>
      </w:r>
      <w:r w:rsidRPr="003D2A76">
        <w:rPr>
          <w:rFonts w:asciiTheme="majorBidi" w:hAnsiTheme="majorBidi" w:cstheme="majorBidi"/>
          <w:lang w:val="en-GB"/>
        </w:rPr>
        <w:t xml:space="preserve"> &lt; .001). The model explained 22.5% of the variance in service quality (</w:t>
      </w:r>
      <w:r w:rsidRPr="003D2A76">
        <w:rPr>
          <w:rFonts w:asciiTheme="majorBidi" w:hAnsiTheme="majorBidi" w:cstheme="majorBidi"/>
          <w:i/>
          <w:iCs/>
          <w:lang w:val="en-GB"/>
        </w:rPr>
        <w:t>F</w:t>
      </w:r>
      <w:r w:rsidRPr="003D2A76">
        <w:rPr>
          <w:rFonts w:asciiTheme="majorBidi" w:hAnsiTheme="majorBidi" w:cstheme="majorBidi"/>
          <w:lang w:val="en-GB"/>
        </w:rPr>
        <w:t xml:space="preserve">(1, 407) = 117.840, </w:t>
      </w:r>
      <w:r w:rsidRPr="003D2A76">
        <w:rPr>
          <w:rFonts w:asciiTheme="majorBidi" w:hAnsiTheme="majorBidi" w:cstheme="majorBidi"/>
          <w:i/>
          <w:iCs/>
          <w:lang w:val="en-GB"/>
        </w:rPr>
        <w:t>p</w:t>
      </w:r>
      <w:r w:rsidRPr="003D2A76">
        <w:rPr>
          <w:rFonts w:asciiTheme="majorBidi" w:hAnsiTheme="majorBidi" w:cstheme="majorBidi"/>
          <w:lang w:val="en-GB"/>
        </w:rPr>
        <w:t xml:space="preserve"> &lt; .001, </w:t>
      </w:r>
      <w:r w:rsidRPr="003D2A76">
        <w:rPr>
          <w:rFonts w:asciiTheme="majorBidi" w:hAnsiTheme="majorBidi" w:cstheme="majorBidi"/>
          <w:i/>
          <w:iCs/>
          <w:lang w:val="en-GB"/>
        </w:rPr>
        <w:t>R</w:t>
      </w:r>
      <w:r w:rsidRPr="003D2A76">
        <w:rPr>
          <w:rFonts w:asciiTheme="majorBidi" w:hAnsiTheme="majorBidi" w:cstheme="majorBidi"/>
          <w:lang w:val="en-GB"/>
        </w:rPr>
        <w:t>² = .225).</w:t>
      </w:r>
    </w:p>
    <w:p w14:paraId="42D7DFC0" w14:textId="7719EDE6"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w:t>
      </w:r>
      <w:r w:rsidR="00716A9F" w:rsidRPr="003D2A76">
        <w:rPr>
          <w:rFonts w:asciiTheme="majorBidi" w:hAnsiTheme="majorBidi" w:cstheme="majorBidi"/>
          <w:lang w:val="en-GB"/>
        </w:rPr>
        <w:t xml:space="preserve">standardised </w:t>
      </w:r>
      <w:r w:rsidRPr="003D2A76">
        <w:rPr>
          <w:rFonts w:asciiTheme="majorBidi" w:hAnsiTheme="majorBidi" w:cstheme="majorBidi"/>
          <w:lang w:val="en-GB"/>
        </w:rPr>
        <w:t>coefficient for marketing adoption (</w:t>
      </w:r>
      <w:r w:rsidRPr="003D2A76">
        <w:rPr>
          <w:rFonts w:asciiTheme="majorBidi" w:hAnsiTheme="majorBidi" w:cstheme="majorBidi"/>
          <w:i/>
          <w:iCs/>
          <w:lang w:val="en-GB"/>
        </w:rPr>
        <w:t>β</w:t>
      </w:r>
      <w:r w:rsidRPr="003D2A76">
        <w:rPr>
          <w:rFonts w:asciiTheme="majorBidi" w:hAnsiTheme="majorBidi" w:cstheme="majorBidi"/>
          <w:lang w:val="en-GB"/>
        </w:rPr>
        <w:t xml:space="preserve"> = 0.474) is marginally higher than that </w:t>
      </w:r>
      <w:r w:rsidR="00716A9F" w:rsidRPr="003D2A76">
        <w:rPr>
          <w:rFonts w:asciiTheme="majorBidi" w:hAnsiTheme="majorBidi" w:cstheme="majorBidi"/>
          <w:lang w:val="en-GB"/>
        </w:rPr>
        <w:t xml:space="preserve">for </w:t>
      </w:r>
      <w:r w:rsidRPr="003D2A76">
        <w:rPr>
          <w:rFonts w:asciiTheme="majorBidi" w:hAnsiTheme="majorBidi" w:cstheme="majorBidi"/>
          <w:lang w:val="en-GB"/>
        </w:rPr>
        <w:t>teaching applications (</w:t>
      </w:r>
      <w:r w:rsidRPr="003D2A76">
        <w:rPr>
          <w:rFonts w:asciiTheme="majorBidi" w:hAnsiTheme="majorBidi" w:cstheme="majorBidi"/>
          <w:i/>
          <w:iCs/>
          <w:lang w:val="en-GB"/>
        </w:rPr>
        <w:t>β</w:t>
      </w:r>
      <w:r w:rsidRPr="003D2A76">
        <w:rPr>
          <w:rFonts w:asciiTheme="majorBidi" w:hAnsiTheme="majorBidi" w:cstheme="majorBidi"/>
          <w:lang w:val="en-GB"/>
        </w:rPr>
        <w:t xml:space="preserve"> = 0.464), indicating comparable significance of both AI domains in constructing service quality perceptions. Hypothesis 2 was supported, establishing that AI-enhanced marketing and communication have a positive impact on service quality.</w:t>
      </w:r>
    </w:p>
    <w:p w14:paraId="6EAF9F9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3: Perceived Service Quality → Purchase Intention</w:t>
      </w:r>
    </w:p>
    <w:p w14:paraId="628A51B3" w14:textId="38C8927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 strong positive effect on purchase intention was exhibited for perceived service quality (</w:t>
      </w:r>
      <w:r w:rsidRPr="003D2A76">
        <w:rPr>
          <w:rFonts w:asciiTheme="majorBidi" w:hAnsiTheme="majorBidi" w:cstheme="majorBidi"/>
          <w:i/>
          <w:iCs/>
          <w:lang w:val="en-GB"/>
        </w:rPr>
        <w:t>β</w:t>
      </w:r>
      <w:r w:rsidRPr="003D2A76">
        <w:rPr>
          <w:rFonts w:asciiTheme="majorBidi" w:hAnsiTheme="majorBidi" w:cstheme="majorBidi"/>
          <w:lang w:val="en-GB"/>
        </w:rPr>
        <w:t xml:space="preserve"> = 0.861, SE = 0.029, </w:t>
      </w:r>
      <w:r w:rsidRPr="003D2A76">
        <w:rPr>
          <w:rFonts w:asciiTheme="majorBidi" w:hAnsiTheme="majorBidi" w:cstheme="majorBidi"/>
          <w:i/>
          <w:iCs/>
          <w:lang w:val="en-GB"/>
        </w:rPr>
        <w:t>t</w:t>
      </w:r>
      <w:r w:rsidRPr="003D2A76">
        <w:rPr>
          <w:rFonts w:asciiTheme="majorBidi" w:hAnsiTheme="majorBidi" w:cstheme="majorBidi"/>
          <w:lang w:val="en-GB"/>
        </w:rPr>
        <w:t xml:space="preserve"> = 34.162, </w:t>
      </w:r>
      <w:r w:rsidRPr="003D2A76">
        <w:rPr>
          <w:rFonts w:asciiTheme="majorBidi" w:hAnsiTheme="majorBidi" w:cstheme="majorBidi"/>
          <w:i/>
          <w:iCs/>
          <w:lang w:val="en-GB"/>
        </w:rPr>
        <w:t>p</w:t>
      </w:r>
      <w:r w:rsidRPr="003D2A76">
        <w:rPr>
          <w:rFonts w:asciiTheme="majorBidi" w:hAnsiTheme="majorBidi" w:cstheme="majorBidi"/>
          <w:lang w:val="en-GB"/>
        </w:rPr>
        <w:t xml:space="preserve"> &lt; .001). The model explained 74.1% of the variance in purchase intention (</w:t>
      </w:r>
      <w:r w:rsidRPr="003D2A76">
        <w:rPr>
          <w:rFonts w:asciiTheme="majorBidi" w:hAnsiTheme="majorBidi" w:cstheme="majorBidi"/>
          <w:i/>
          <w:iCs/>
          <w:lang w:val="en-GB"/>
        </w:rPr>
        <w:t>F</w:t>
      </w:r>
      <w:r w:rsidRPr="003D2A76">
        <w:rPr>
          <w:rFonts w:asciiTheme="majorBidi" w:hAnsiTheme="majorBidi" w:cstheme="majorBidi"/>
          <w:lang w:val="en-GB"/>
        </w:rPr>
        <w:t xml:space="preserve">(1, 407) = 1,167.020, </w:t>
      </w:r>
      <w:r w:rsidRPr="003D2A76">
        <w:rPr>
          <w:rFonts w:asciiTheme="majorBidi" w:hAnsiTheme="majorBidi" w:cstheme="majorBidi"/>
          <w:i/>
          <w:iCs/>
          <w:lang w:val="en-GB"/>
        </w:rPr>
        <w:t>p</w:t>
      </w:r>
      <w:r w:rsidRPr="003D2A76">
        <w:rPr>
          <w:rFonts w:asciiTheme="majorBidi" w:hAnsiTheme="majorBidi" w:cstheme="majorBidi"/>
          <w:lang w:val="en-GB"/>
        </w:rPr>
        <w:t xml:space="preserve"> &lt; .001, </w:t>
      </w:r>
      <w:r w:rsidRPr="003D2A76">
        <w:rPr>
          <w:rFonts w:asciiTheme="majorBidi" w:hAnsiTheme="majorBidi" w:cstheme="majorBidi"/>
          <w:i/>
          <w:iCs/>
          <w:lang w:val="en-GB"/>
        </w:rPr>
        <w:t>R</w:t>
      </w:r>
      <w:r w:rsidRPr="003D2A76">
        <w:rPr>
          <w:rFonts w:asciiTheme="majorBidi" w:hAnsiTheme="majorBidi" w:cstheme="majorBidi"/>
          <w:lang w:val="en-GB"/>
        </w:rPr>
        <w:t xml:space="preserve">² = .741). This very strong </w:t>
      </w:r>
      <w:r w:rsidRPr="003D2A76">
        <w:rPr>
          <w:rFonts w:asciiTheme="majorBidi" w:hAnsiTheme="majorBidi" w:cstheme="majorBidi"/>
          <w:lang w:val="en-GB"/>
        </w:rPr>
        <w:lastRenderedPageBreak/>
        <w:t>association proves the paramount role of service quality in enrolment choice. Hypothesis 3 was strongly supported; service quality was confirmed as the most significant proximal predictor of purchase intention.</w:t>
      </w:r>
    </w:p>
    <w:p w14:paraId="6F6D24F4"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Table 7a</w:t>
      </w:r>
    </w:p>
    <w:p w14:paraId="492F982E" w14:textId="77777777" w:rsidR="00885F3C" w:rsidRPr="003D2A76" w:rsidRDefault="00885F3C" w:rsidP="005C1598">
      <w:pPr>
        <w:bidi w:val="0"/>
        <w:spacing w:line="240" w:lineRule="auto"/>
        <w:rPr>
          <w:rFonts w:asciiTheme="majorBidi" w:hAnsiTheme="majorBidi" w:cstheme="majorBidi"/>
          <w:lang w:val="en-GB"/>
        </w:rPr>
      </w:pPr>
      <w:bookmarkStart w:id="100" w:name="_Hlk232588168"/>
      <w:r w:rsidRPr="003D2A76">
        <w:rPr>
          <w:rFonts w:asciiTheme="majorBidi" w:hAnsiTheme="majorBidi" w:cstheme="majorBidi"/>
          <w:i/>
          <w:iCs/>
          <w:lang w:val="en-GB"/>
        </w:rPr>
        <w:t>Regression Coefficients for Direct Effects</w:t>
      </w:r>
      <w:bookmarkEnd w:id="100"/>
      <w:r w:rsidRPr="003D2A76">
        <w:rPr>
          <w:rFonts w:asciiTheme="majorBidi" w:hAnsiTheme="majorBidi" w:cstheme="majorBidi"/>
          <w:i/>
          <w:iCs/>
          <w:lang w:val="en-GB"/>
        </w:rPr>
        <w:t>: H1, H2, and H3 (N = 409)</w:t>
      </w:r>
    </w:p>
    <w:tbl>
      <w:tblPr>
        <w:tblStyle w:val="TableGrid"/>
        <w:tblW w:w="5000" w:type="pct"/>
        <w:tblLook w:val="04A0" w:firstRow="1" w:lastRow="0" w:firstColumn="1" w:lastColumn="0" w:noHBand="0" w:noVBand="1"/>
      </w:tblPr>
      <w:tblGrid>
        <w:gridCol w:w="2918"/>
        <w:gridCol w:w="711"/>
        <w:gridCol w:w="711"/>
        <w:gridCol w:w="1041"/>
        <w:gridCol w:w="821"/>
        <w:gridCol w:w="620"/>
        <w:gridCol w:w="601"/>
        <w:gridCol w:w="1207"/>
      </w:tblGrid>
      <w:tr w:rsidR="00885F3C" w:rsidRPr="003D2A76" w14:paraId="0B7631AD" w14:textId="77777777" w:rsidTr="006A4A5D">
        <w:tc>
          <w:tcPr>
            <w:tcW w:w="1788" w:type="pct"/>
          </w:tcPr>
          <w:p w14:paraId="41EDFA2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H1: AI Teaching → Service Quality</w:t>
            </w:r>
          </w:p>
        </w:tc>
        <w:tc>
          <w:tcPr>
            <w:tcW w:w="379" w:type="pct"/>
          </w:tcPr>
          <w:p w14:paraId="61A24AAF"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0.430</w:t>
            </w:r>
          </w:p>
        </w:tc>
        <w:tc>
          <w:tcPr>
            <w:tcW w:w="380" w:type="pct"/>
          </w:tcPr>
          <w:p w14:paraId="2A18155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0.041</w:t>
            </w:r>
          </w:p>
        </w:tc>
        <w:tc>
          <w:tcPr>
            <w:tcW w:w="558" w:type="pct"/>
          </w:tcPr>
          <w:p w14:paraId="78F73E15"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i/>
                <w:iCs/>
                <w:lang w:val="en-GB"/>
              </w:rPr>
              <w:t>0.464***</w:t>
            </w:r>
          </w:p>
        </w:tc>
        <w:tc>
          <w:tcPr>
            <w:tcW w:w="456" w:type="pct"/>
          </w:tcPr>
          <w:p w14:paraId="4015B48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10.570</w:t>
            </w:r>
          </w:p>
        </w:tc>
        <w:tc>
          <w:tcPr>
            <w:tcW w:w="456" w:type="pct"/>
          </w:tcPr>
          <w:p w14:paraId="1BBB4D2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&lt; .001</w:t>
            </w:r>
          </w:p>
        </w:tc>
        <w:tc>
          <w:tcPr>
            <w:tcW w:w="332" w:type="pct"/>
          </w:tcPr>
          <w:p w14:paraId="7B8A934C"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.215</w:t>
            </w:r>
          </w:p>
        </w:tc>
        <w:tc>
          <w:tcPr>
            <w:tcW w:w="650" w:type="pct"/>
          </w:tcPr>
          <w:p w14:paraId="0E41C02D"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b/>
                <w:bCs/>
                <w:lang w:val="en-GB"/>
              </w:rPr>
              <w:t>Supported</w:t>
            </w:r>
          </w:p>
        </w:tc>
      </w:tr>
      <w:tr w:rsidR="00885F3C" w:rsidRPr="003D2A76" w14:paraId="2A0357C1" w14:textId="77777777" w:rsidTr="006A4A5D">
        <w:tc>
          <w:tcPr>
            <w:tcW w:w="1788" w:type="pct"/>
          </w:tcPr>
          <w:p w14:paraId="505C7D95"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H2: AI Marketing → Service Quality</w:t>
            </w:r>
          </w:p>
        </w:tc>
        <w:tc>
          <w:tcPr>
            <w:tcW w:w="379" w:type="pct"/>
          </w:tcPr>
          <w:p w14:paraId="074A9EC4"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0.433</w:t>
            </w:r>
          </w:p>
        </w:tc>
        <w:tc>
          <w:tcPr>
            <w:tcW w:w="380" w:type="pct"/>
          </w:tcPr>
          <w:p w14:paraId="54B96C5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0.040</w:t>
            </w:r>
          </w:p>
        </w:tc>
        <w:tc>
          <w:tcPr>
            <w:tcW w:w="558" w:type="pct"/>
          </w:tcPr>
          <w:p w14:paraId="687D3238"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i/>
                <w:iCs/>
                <w:lang w:val="en-GB"/>
              </w:rPr>
              <w:t>0.474***</w:t>
            </w:r>
          </w:p>
        </w:tc>
        <w:tc>
          <w:tcPr>
            <w:tcW w:w="456" w:type="pct"/>
          </w:tcPr>
          <w:p w14:paraId="25FC8389"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10.855</w:t>
            </w:r>
          </w:p>
        </w:tc>
        <w:tc>
          <w:tcPr>
            <w:tcW w:w="456" w:type="pct"/>
          </w:tcPr>
          <w:p w14:paraId="634ED58A"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&lt; .001</w:t>
            </w:r>
          </w:p>
        </w:tc>
        <w:tc>
          <w:tcPr>
            <w:tcW w:w="332" w:type="pct"/>
          </w:tcPr>
          <w:p w14:paraId="626306D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.225</w:t>
            </w:r>
          </w:p>
        </w:tc>
        <w:tc>
          <w:tcPr>
            <w:tcW w:w="650" w:type="pct"/>
          </w:tcPr>
          <w:p w14:paraId="0C0B5688"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b/>
                <w:bCs/>
                <w:lang w:val="en-GB"/>
              </w:rPr>
              <w:t>Supported</w:t>
            </w:r>
          </w:p>
        </w:tc>
      </w:tr>
      <w:tr w:rsidR="00885F3C" w:rsidRPr="003D2A76" w14:paraId="54453822" w14:textId="77777777" w:rsidTr="006A4A5D">
        <w:tc>
          <w:tcPr>
            <w:tcW w:w="1788" w:type="pct"/>
          </w:tcPr>
          <w:p w14:paraId="5D4A515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H3: Service Quality → Purchase Intention</w:t>
            </w:r>
          </w:p>
        </w:tc>
        <w:tc>
          <w:tcPr>
            <w:tcW w:w="379" w:type="pct"/>
          </w:tcPr>
          <w:p w14:paraId="07205D37"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0.996</w:t>
            </w:r>
          </w:p>
        </w:tc>
        <w:tc>
          <w:tcPr>
            <w:tcW w:w="380" w:type="pct"/>
          </w:tcPr>
          <w:p w14:paraId="7FA4C731"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0.029</w:t>
            </w:r>
          </w:p>
        </w:tc>
        <w:tc>
          <w:tcPr>
            <w:tcW w:w="558" w:type="pct"/>
          </w:tcPr>
          <w:p w14:paraId="6F7A9630"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i/>
                <w:iCs/>
                <w:lang w:val="en-GB"/>
              </w:rPr>
              <w:t>0.861***</w:t>
            </w:r>
          </w:p>
        </w:tc>
        <w:tc>
          <w:tcPr>
            <w:tcW w:w="456" w:type="pct"/>
          </w:tcPr>
          <w:p w14:paraId="4CE0A526"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34.162</w:t>
            </w:r>
          </w:p>
        </w:tc>
        <w:tc>
          <w:tcPr>
            <w:tcW w:w="456" w:type="pct"/>
          </w:tcPr>
          <w:p w14:paraId="612C8A6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&lt; .001</w:t>
            </w:r>
          </w:p>
        </w:tc>
        <w:tc>
          <w:tcPr>
            <w:tcW w:w="332" w:type="pct"/>
          </w:tcPr>
          <w:p w14:paraId="04C77FD2"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lang w:val="en-GB"/>
              </w:rPr>
              <w:t>.741</w:t>
            </w:r>
          </w:p>
        </w:tc>
        <w:tc>
          <w:tcPr>
            <w:tcW w:w="650" w:type="pct"/>
          </w:tcPr>
          <w:p w14:paraId="747F574E" w14:textId="77777777"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b/>
                <w:bCs/>
                <w:lang w:val="en-GB"/>
              </w:rPr>
              <w:t>Supported</w:t>
            </w:r>
          </w:p>
        </w:tc>
      </w:tr>
      <w:tr w:rsidR="00885F3C" w:rsidRPr="003D2A76" w14:paraId="25BA9C8C" w14:textId="77777777" w:rsidTr="006A4A5D">
        <w:tc>
          <w:tcPr>
            <w:tcW w:w="5000" w:type="pct"/>
            <w:gridSpan w:val="8"/>
          </w:tcPr>
          <w:p w14:paraId="7E87404C" w14:textId="1EB611BB" w:rsidR="00885F3C" w:rsidRPr="003D2A76" w:rsidRDefault="00885F3C" w:rsidP="005C1598">
            <w:pPr>
              <w:bidi w:val="0"/>
              <w:spacing w:line="240" w:lineRule="auto"/>
              <w:rPr>
                <w:rFonts w:asciiTheme="majorBidi" w:hAnsiTheme="majorBidi" w:cstheme="majorBidi"/>
                <w:lang w:val="en-GB"/>
              </w:rPr>
            </w:pPr>
            <w:r w:rsidRPr="003D2A76">
              <w:rPr>
                <w:rFonts w:asciiTheme="majorBidi" w:hAnsiTheme="majorBidi" w:cstheme="majorBidi"/>
                <w:i/>
                <w:iCs/>
                <w:lang w:val="en-GB"/>
              </w:rPr>
              <w:t>Note. N = 409. Simple regression models; DV = Perceived Service Quality for H1–H2; DV = Purchase/Continuance Intention for H3.</w:t>
            </w:r>
            <w:r w:rsidR="00D31DDE" w:rsidRPr="003D2A76">
              <w:rPr>
                <w:rFonts w:asciiTheme="majorBidi" w:hAnsiTheme="majorBidi" w:cstheme="majorBidi"/>
                <w:i/>
                <w:iCs/>
                <w:lang w:val="en-GB"/>
              </w:rPr>
              <w:t xml:space="preserve"> </w:t>
            </w:r>
            <w:r w:rsidRPr="003D2A76">
              <w:rPr>
                <w:rFonts w:asciiTheme="majorBidi" w:hAnsiTheme="majorBidi" w:cstheme="majorBidi"/>
                <w:i/>
                <w:iCs/>
                <w:lang w:val="en-GB"/>
              </w:rPr>
              <w:t>*** p &lt; .001.</w:t>
            </w:r>
          </w:p>
        </w:tc>
      </w:tr>
    </w:tbl>
    <w:p w14:paraId="17ABDD05" w14:textId="0B38ED2E" w:rsidR="006A70E9" w:rsidRDefault="006A70E9" w:rsidP="005C1598">
      <w:pPr>
        <w:bidi w:val="0"/>
        <w:spacing w:line="240" w:lineRule="auto"/>
        <w:rPr>
          <w:rFonts w:asciiTheme="majorBidi" w:hAnsiTheme="majorBidi" w:cstheme="majorBidi"/>
          <w:b/>
          <w:bCs/>
          <w:lang w:val="en-GB"/>
        </w:rPr>
      </w:pPr>
    </w:p>
    <w:p w14:paraId="4BB2DD90" w14:textId="77777777" w:rsidR="006A70E9" w:rsidRPr="003D2A76" w:rsidRDefault="006A70E9" w:rsidP="006A70E9">
      <w:pPr>
        <w:bidi w:val="0"/>
        <w:spacing w:line="240" w:lineRule="auto"/>
        <w:rPr>
          <w:rFonts w:asciiTheme="majorBidi" w:hAnsiTheme="majorBidi" w:cstheme="majorBidi"/>
          <w:b/>
          <w:bCs/>
          <w:lang w:val="en-GB"/>
        </w:rPr>
      </w:pPr>
    </w:p>
    <w:p w14:paraId="031460EF" w14:textId="27EAA7F1" w:rsidR="00885F3C" w:rsidRPr="003D2A76" w:rsidRDefault="00885F3C" w:rsidP="006A70E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Table 7b</w:t>
      </w:r>
    </w:p>
    <w:p w14:paraId="70399F17" w14:textId="77777777" w:rsidR="006A70E9" w:rsidRPr="003D2A76" w:rsidRDefault="006A70E9" w:rsidP="006A70E9">
      <w:pPr>
        <w:bidi w:val="0"/>
        <w:spacing w:line="240" w:lineRule="auto"/>
        <w:rPr>
          <w:rFonts w:asciiTheme="majorBidi" w:hAnsiTheme="majorBidi" w:cstheme="majorBidi"/>
          <w:lang w:val="en-GB"/>
        </w:rPr>
      </w:pPr>
    </w:p>
    <w:p w14:paraId="3FD75B89" w14:textId="01A85154" w:rsidR="00885F3C" w:rsidRPr="003D2A76" w:rsidRDefault="00885F3C" w:rsidP="005C1598">
      <w:pPr>
        <w:bidi w:val="0"/>
        <w:spacing w:line="240" w:lineRule="auto"/>
        <w:rPr>
          <w:rFonts w:asciiTheme="majorBidi" w:hAnsiTheme="majorBidi" w:cstheme="majorBidi"/>
          <w:lang w:val="en-GB"/>
        </w:rPr>
      </w:pPr>
      <w:bookmarkStart w:id="101" w:name="_Hlk232588201"/>
      <w:r w:rsidRPr="003D2A76">
        <w:rPr>
          <w:rFonts w:asciiTheme="majorBidi" w:hAnsiTheme="majorBidi" w:cstheme="majorBidi"/>
          <w:i/>
          <w:iCs/>
          <w:lang w:val="en-GB"/>
        </w:rPr>
        <w:t xml:space="preserve">Hierarchical Regression Analysis Results </w:t>
      </w:r>
      <w:bookmarkEnd w:id="101"/>
      <w:r w:rsidR="00716A9F" w:rsidRPr="003D2A76">
        <w:rPr>
          <w:rFonts w:asciiTheme="majorBidi" w:hAnsiTheme="majorBidi" w:cstheme="majorBidi"/>
          <w:i/>
          <w:iCs/>
          <w:lang w:val="en-GB"/>
        </w:rPr>
        <w:t>–</w:t>
      </w:r>
      <w:r w:rsidRPr="003D2A76">
        <w:rPr>
          <w:rFonts w:asciiTheme="majorBidi" w:hAnsiTheme="majorBidi" w:cstheme="majorBidi"/>
          <w:i/>
          <w:iCs/>
          <w:lang w:val="en-GB"/>
        </w:rPr>
        <w:t xml:space="preserve"> Predicting Purchase/Continuance Intention (N = 409)</w:t>
      </w:r>
    </w:p>
    <w:tbl>
      <w:tblPr>
        <w:tblStyle w:val="TableGrid"/>
        <w:tblW w:w="5000" w:type="pct"/>
        <w:tblLook w:val="04A0" w:firstRow="1" w:lastRow="0" w:firstColumn="1" w:lastColumn="0" w:noHBand="0" w:noVBand="1"/>
      </w:tblPr>
      <w:tblGrid>
        <w:gridCol w:w="4106"/>
        <w:gridCol w:w="708"/>
        <w:gridCol w:w="709"/>
        <w:gridCol w:w="849"/>
        <w:gridCol w:w="1310"/>
        <w:gridCol w:w="948"/>
      </w:tblGrid>
      <w:tr w:rsidR="00885F3C" w:rsidRPr="003D2A76" w14:paraId="151FFF68" w14:textId="77777777" w:rsidTr="005C1598">
        <w:tc>
          <w:tcPr>
            <w:tcW w:w="2379" w:type="pct"/>
          </w:tcPr>
          <w:p w14:paraId="43DF5EC7" w14:textId="3144B26C"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 xml:space="preserve">Model 1 </w:t>
            </w:r>
            <w:r w:rsidR="00716A9F" w:rsidRPr="003D2A76">
              <w:rPr>
                <w:rFonts w:asciiTheme="majorBidi" w:hAnsiTheme="majorBidi" w:cstheme="majorBidi"/>
                <w:b/>
                <w:bCs/>
                <w:lang w:val="en-GB"/>
              </w:rPr>
              <w:t>–</w:t>
            </w:r>
            <w:r w:rsidRPr="003D2A76">
              <w:rPr>
                <w:rFonts w:asciiTheme="majorBidi" w:hAnsiTheme="majorBidi" w:cstheme="majorBidi"/>
                <w:b/>
                <w:bCs/>
                <w:lang w:val="en-GB"/>
              </w:rPr>
              <w:t xml:space="preserve"> Control Variables</w:t>
            </w:r>
          </w:p>
        </w:tc>
        <w:tc>
          <w:tcPr>
            <w:tcW w:w="410" w:type="pct"/>
          </w:tcPr>
          <w:p w14:paraId="6B43D82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.089</w:t>
            </w:r>
          </w:p>
        </w:tc>
        <w:tc>
          <w:tcPr>
            <w:tcW w:w="411" w:type="pct"/>
          </w:tcPr>
          <w:p w14:paraId="24C729AE"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.089</w:t>
            </w:r>
          </w:p>
        </w:tc>
        <w:tc>
          <w:tcPr>
            <w:tcW w:w="492" w:type="pct"/>
          </w:tcPr>
          <w:p w14:paraId="0796BAF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9.87</w:t>
            </w:r>
          </w:p>
        </w:tc>
        <w:tc>
          <w:tcPr>
            <w:tcW w:w="759" w:type="pct"/>
          </w:tcPr>
          <w:p w14:paraId="3C8FB63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(8, 400)</w:t>
            </w:r>
          </w:p>
        </w:tc>
        <w:tc>
          <w:tcPr>
            <w:tcW w:w="548" w:type="pct"/>
          </w:tcPr>
          <w:p w14:paraId="704EABC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 .01</w:t>
            </w:r>
          </w:p>
        </w:tc>
      </w:tr>
      <w:tr w:rsidR="00885F3C" w:rsidRPr="003D2A76" w14:paraId="7BD2B346" w14:textId="77777777" w:rsidTr="005C1598">
        <w:tc>
          <w:tcPr>
            <w:tcW w:w="2379" w:type="pct"/>
          </w:tcPr>
          <w:p w14:paraId="0795E8AA" w14:textId="337DA7D6"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 xml:space="preserve">Model 2 </w:t>
            </w:r>
            <w:r w:rsidR="00716A9F" w:rsidRPr="003D2A76">
              <w:rPr>
                <w:rFonts w:asciiTheme="majorBidi" w:hAnsiTheme="majorBidi" w:cstheme="majorBidi"/>
                <w:lang w:val="en-GB"/>
              </w:rPr>
              <w:t>–</w:t>
            </w:r>
            <w:r w:rsidRPr="003D2A76">
              <w:rPr>
                <w:rFonts w:asciiTheme="majorBidi" w:hAnsiTheme="majorBidi" w:cstheme="majorBidi"/>
                <w:lang w:val="en-GB"/>
              </w:rPr>
              <w:t xml:space="preserve"> + AI Teaching</w:t>
            </w:r>
          </w:p>
        </w:tc>
        <w:tc>
          <w:tcPr>
            <w:tcW w:w="410" w:type="pct"/>
          </w:tcPr>
          <w:p w14:paraId="1D0B77D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.232</w:t>
            </w:r>
          </w:p>
        </w:tc>
        <w:tc>
          <w:tcPr>
            <w:tcW w:w="411" w:type="pct"/>
          </w:tcPr>
          <w:p w14:paraId="5C01EBF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.143</w:t>
            </w:r>
          </w:p>
        </w:tc>
        <w:tc>
          <w:tcPr>
            <w:tcW w:w="492" w:type="pct"/>
          </w:tcPr>
          <w:p w14:paraId="50C55F28"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31.45</w:t>
            </w:r>
          </w:p>
        </w:tc>
        <w:tc>
          <w:tcPr>
            <w:tcW w:w="759" w:type="pct"/>
          </w:tcPr>
          <w:p w14:paraId="3EE05CD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(1, 400)</w:t>
            </w:r>
          </w:p>
        </w:tc>
        <w:tc>
          <w:tcPr>
            <w:tcW w:w="548" w:type="pct"/>
          </w:tcPr>
          <w:p w14:paraId="40579A9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 .01</w:t>
            </w:r>
          </w:p>
        </w:tc>
      </w:tr>
      <w:tr w:rsidR="00885F3C" w:rsidRPr="003D2A76" w14:paraId="006C5394" w14:textId="77777777" w:rsidTr="005C1598">
        <w:tc>
          <w:tcPr>
            <w:tcW w:w="2379" w:type="pct"/>
          </w:tcPr>
          <w:p w14:paraId="5D348082" w14:textId="1B78E4C9" w:rsidR="00885F3C" w:rsidRPr="003D2A76" w:rsidRDefault="00D31DDE" w:rsidP="00F04310">
            <w:pPr>
              <w:bidi w:val="0"/>
              <w:spacing w:line="240" w:lineRule="auto"/>
              <w:rPr>
                <w:rFonts w:asciiTheme="majorBidi" w:hAnsiTheme="majorBidi" w:cstheme="majorBidi"/>
                <w:lang w:val="en-GB"/>
              </w:rPr>
            </w:pPr>
            <w:r w:rsidRPr="003D2A76">
              <w:rPr>
                <w:rFonts w:asciiTheme="majorBidi" w:hAnsiTheme="majorBidi" w:cstheme="majorBidi"/>
                <w:lang w:val="en-GB"/>
              </w:rPr>
              <w:t xml:space="preserve"> </w:t>
            </w:r>
            <w:r w:rsidR="00885F3C" w:rsidRPr="003D2A76">
              <w:rPr>
                <w:rFonts w:asciiTheme="majorBidi" w:hAnsiTheme="majorBidi" w:cstheme="majorBidi"/>
                <w:lang w:val="en-GB"/>
              </w:rPr>
              <w:t>+ AI Marketing</w:t>
            </w:r>
          </w:p>
        </w:tc>
        <w:tc>
          <w:tcPr>
            <w:tcW w:w="410" w:type="pct"/>
          </w:tcPr>
          <w:p w14:paraId="4232F3A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.267</w:t>
            </w:r>
          </w:p>
        </w:tc>
        <w:tc>
          <w:tcPr>
            <w:tcW w:w="411" w:type="pct"/>
          </w:tcPr>
          <w:p w14:paraId="37B98A1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.035</w:t>
            </w:r>
          </w:p>
        </w:tc>
        <w:tc>
          <w:tcPr>
            <w:tcW w:w="492" w:type="pct"/>
          </w:tcPr>
          <w:p w14:paraId="63F3279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8.76</w:t>
            </w:r>
          </w:p>
        </w:tc>
        <w:tc>
          <w:tcPr>
            <w:tcW w:w="759" w:type="pct"/>
          </w:tcPr>
          <w:p w14:paraId="02437FA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(1, 399)</w:t>
            </w:r>
          </w:p>
        </w:tc>
        <w:tc>
          <w:tcPr>
            <w:tcW w:w="548" w:type="pct"/>
          </w:tcPr>
          <w:p w14:paraId="7285572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.03</w:t>
            </w:r>
          </w:p>
        </w:tc>
      </w:tr>
      <w:tr w:rsidR="00885F3C" w:rsidRPr="003D2A76" w14:paraId="64EB5696" w14:textId="77777777" w:rsidTr="005C1598">
        <w:tc>
          <w:tcPr>
            <w:tcW w:w="2379" w:type="pct"/>
          </w:tcPr>
          <w:p w14:paraId="56CEFD00" w14:textId="769C9079"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 xml:space="preserve">Model 3 </w:t>
            </w:r>
            <w:r w:rsidR="00716A9F" w:rsidRPr="003D2A76">
              <w:rPr>
                <w:rFonts w:asciiTheme="majorBidi" w:hAnsiTheme="majorBidi" w:cstheme="majorBidi"/>
                <w:b/>
                <w:bCs/>
                <w:lang w:val="en-GB"/>
              </w:rPr>
              <w:t>–</w:t>
            </w:r>
            <w:r w:rsidRPr="003D2A76">
              <w:rPr>
                <w:rFonts w:asciiTheme="majorBidi" w:hAnsiTheme="majorBidi" w:cstheme="majorBidi"/>
                <w:b/>
                <w:bCs/>
                <w:lang w:val="en-GB"/>
              </w:rPr>
              <w:t xml:space="preserve"> + Service Quality</w:t>
            </w:r>
          </w:p>
        </w:tc>
        <w:tc>
          <w:tcPr>
            <w:tcW w:w="410" w:type="pct"/>
          </w:tcPr>
          <w:p w14:paraId="5DCCD798"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.541</w:t>
            </w:r>
          </w:p>
        </w:tc>
        <w:tc>
          <w:tcPr>
            <w:tcW w:w="411" w:type="pct"/>
          </w:tcPr>
          <w:p w14:paraId="1677CB6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.274</w:t>
            </w:r>
          </w:p>
        </w:tc>
        <w:tc>
          <w:tcPr>
            <w:tcW w:w="492" w:type="pct"/>
          </w:tcPr>
          <w:p w14:paraId="0CC3A29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89.23</w:t>
            </w:r>
          </w:p>
        </w:tc>
        <w:tc>
          <w:tcPr>
            <w:tcW w:w="759" w:type="pct"/>
          </w:tcPr>
          <w:p w14:paraId="4842133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(1, 399)</w:t>
            </w:r>
          </w:p>
        </w:tc>
        <w:tc>
          <w:tcPr>
            <w:tcW w:w="548" w:type="pct"/>
          </w:tcPr>
          <w:p w14:paraId="29E8D97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 .01</w:t>
            </w:r>
          </w:p>
        </w:tc>
      </w:tr>
      <w:tr w:rsidR="00885F3C" w:rsidRPr="003D2A76" w14:paraId="3FD88CB5" w14:textId="77777777" w:rsidTr="005C1598">
        <w:tc>
          <w:tcPr>
            <w:tcW w:w="2379" w:type="pct"/>
          </w:tcPr>
          <w:p w14:paraId="3365A6B6" w14:textId="6F5F5E5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 xml:space="preserve">Model 4 </w:t>
            </w:r>
            <w:r w:rsidR="00716A9F" w:rsidRPr="003D2A76">
              <w:rPr>
                <w:rFonts w:asciiTheme="majorBidi" w:hAnsiTheme="majorBidi" w:cstheme="majorBidi"/>
                <w:b/>
                <w:bCs/>
                <w:lang w:val="en-GB"/>
              </w:rPr>
              <w:t>–</w:t>
            </w:r>
            <w:r w:rsidRPr="003D2A76">
              <w:rPr>
                <w:rFonts w:asciiTheme="majorBidi" w:hAnsiTheme="majorBidi" w:cstheme="majorBidi"/>
                <w:b/>
                <w:bCs/>
                <w:lang w:val="en-GB"/>
              </w:rPr>
              <w:t xml:space="preserve"> + Trust</w:t>
            </w:r>
          </w:p>
        </w:tc>
        <w:tc>
          <w:tcPr>
            <w:tcW w:w="410" w:type="pct"/>
          </w:tcPr>
          <w:p w14:paraId="5DB9755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.758</w:t>
            </w:r>
          </w:p>
        </w:tc>
        <w:tc>
          <w:tcPr>
            <w:tcW w:w="411" w:type="pct"/>
          </w:tcPr>
          <w:p w14:paraId="2ED8B4E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.217</w:t>
            </w:r>
          </w:p>
        </w:tc>
        <w:tc>
          <w:tcPr>
            <w:tcW w:w="492" w:type="pct"/>
          </w:tcPr>
          <w:p w14:paraId="4A9FB66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112.34</w:t>
            </w:r>
          </w:p>
        </w:tc>
        <w:tc>
          <w:tcPr>
            <w:tcW w:w="759" w:type="pct"/>
          </w:tcPr>
          <w:p w14:paraId="6C25CD7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(1, 399)</w:t>
            </w:r>
          </w:p>
        </w:tc>
        <w:tc>
          <w:tcPr>
            <w:tcW w:w="548" w:type="pct"/>
          </w:tcPr>
          <w:p w14:paraId="0147F04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 .01</w:t>
            </w:r>
          </w:p>
        </w:tc>
      </w:tr>
      <w:tr w:rsidR="00885F3C" w:rsidRPr="003D2A76" w14:paraId="3CA36DA2" w14:textId="77777777" w:rsidTr="005C1598">
        <w:tc>
          <w:tcPr>
            <w:tcW w:w="2379" w:type="pct"/>
            <w:tcBorders>
              <w:bottom w:val="single" w:sz="4" w:space="0" w:color="auto"/>
            </w:tcBorders>
          </w:tcPr>
          <w:p w14:paraId="719AE434" w14:textId="44F93236" w:rsidR="00885F3C" w:rsidRPr="003D2A76" w:rsidRDefault="00D31DDE" w:rsidP="00F04310">
            <w:pPr>
              <w:bidi w:val="0"/>
              <w:spacing w:line="240" w:lineRule="auto"/>
              <w:rPr>
                <w:rFonts w:asciiTheme="majorBidi" w:hAnsiTheme="majorBidi" w:cstheme="majorBidi"/>
                <w:lang w:val="en-GB"/>
              </w:rPr>
            </w:pPr>
            <w:r w:rsidRPr="003D2A76">
              <w:rPr>
                <w:rFonts w:asciiTheme="majorBidi" w:hAnsiTheme="majorBidi" w:cstheme="majorBidi"/>
                <w:lang w:val="en-GB"/>
              </w:rPr>
              <w:t xml:space="preserve"> </w:t>
            </w:r>
            <w:r w:rsidR="00885F3C" w:rsidRPr="003D2A76">
              <w:rPr>
                <w:rFonts w:asciiTheme="majorBidi" w:hAnsiTheme="majorBidi" w:cstheme="majorBidi"/>
                <w:lang w:val="en-GB"/>
              </w:rPr>
              <w:t>+ Perceived Value</w:t>
            </w:r>
          </w:p>
        </w:tc>
        <w:tc>
          <w:tcPr>
            <w:tcW w:w="410" w:type="pct"/>
            <w:tcBorders>
              <w:bottom w:val="single" w:sz="4" w:space="0" w:color="auto"/>
            </w:tcBorders>
          </w:tcPr>
          <w:p w14:paraId="5E318C22"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.766</w:t>
            </w:r>
          </w:p>
        </w:tc>
        <w:tc>
          <w:tcPr>
            <w:tcW w:w="411" w:type="pct"/>
            <w:tcBorders>
              <w:bottom w:val="single" w:sz="4" w:space="0" w:color="auto"/>
            </w:tcBorders>
          </w:tcPr>
          <w:p w14:paraId="2DD9EE4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.008</w:t>
            </w:r>
          </w:p>
        </w:tc>
        <w:tc>
          <w:tcPr>
            <w:tcW w:w="492" w:type="pct"/>
            <w:tcBorders>
              <w:bottom w:val="single" w:sz="4" w:space="0" w:color="auto"/>
            </w:tcBorders>
          </w:tcPr>
          <w:p w14:paraId="1C96482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4.12</w:t>
            </w:r>
          </w:p>
        </w:tc>
        <w:tc>
          <w:tcPr>
            <w:tcW w:w="759" w:type="pct"/>
            <w:tcBorders>
              <w:bottom w:val="single" w:sz="4" w:space="0" w:color="auto"/>
            </w:tcBorders>
          </w:tcPr>
          <w:p w14:paraId="4C59A78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(1, 398)</w:t>
            </w:r>
          </w:p>
        </w:tc>
        <w:tc>
          <w:tcPr>
            <w:tcW w:w="548" w:type="pct"/>
            <w:tcBorders>
              <w:bottom w:val="single" w:sz="4" w:space="0" w:color="auto"/>
            </w:tcBorders>
          </w:tcPr>
          <w:p w14:paraId="267DA158"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.043</w:t>
            </w:r>
          </w:p>
        </w:tc>
      </w:tr>
      <w:tr w:rsidR="00885F3C" w:rsidRPr="003D2A76" w14:paraId="53E12739" w14:textId="77777777" w:rsidTr="005C1598">
        <w:tc>
          <w:tcPr>
            <w:tcW w:w="2379" w:type="pct"/>
            <w:tcBorders>
              <w:bottom w:val="single" w:sz="4" w:space="0" w:color="auto"/>
            </w:tcBorders>
          </w:tcPr>
          <w:p w14:paraId="64B1B053" w14:textId="38B312E3"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 xml:space="preserve">Model 5 </w:t>
            </w:r>
            <w:r w:rsidR="00716A9F" w:rsidRPr="003D2A76">
              <w:rPr>
                <w:rFonts w:asciiTheme="majorBidi" w:hAnsiTheme="majorBidi" w:cstheme="majorBidi"/>
                <w:b/>
                <w:bCs/>
                <w:lang w:val="en-GB"/>
              </w:rPr>
              <w:t>–</w:t>
            </w:r>
            <w:r w:rsidRPr="003D2A76">
              <w:rPr>
                <w:rFonts w:asciiTheme="majorBidi" w:hAnsiTheme="majorBidi" w:cstheme="majorBidi"/>
                <w:b/>
                <w:bCs/>
                <w:lang w:val="en-GB"/>
              </w:rPr>
              <w:t xml:space="preserve"> + Cultural Factors</w:t>
            </w:r>
          </w:p>
        </w:tc>
        <w:tc>
          <w:tcPr>
            <w:tcW w:w="410" w:type="pct"/>
            <w:tcBorders>
              <w:bottom w:val="single" w:sz="4" w:space="0" w:color="auto"/>
            </w:tcBorders>
          </w:tcPr>
          <w:p w14:paraId="0FC63D2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.769</w:t>
            </w:r>
          </w:p>
        </w:tc>
        <w:tc>
          <w:tcPr>
            <w:tcW w:w="411" w:type="pct"/>
            <w:tcBorders>
              <w:bottom w:val="single" w:sz="4" w:space="0" w:color="auto"/>
            </w:tcBorders>
          </w:tcPr>
          <w:p w14:paraId="4324518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.003</w:t>
            </w:r>
          </w:p>
        </w:tc>
        <w:tc>
          <w:tcPr>
            <w:tcW w:w="492" w:type="pct"/>
            <w:tcBorders>
              <w:bottom w:val="single" w:sz="4" w:space="0" w:color="auto"/>
            </w:tcBorders>
          </w:tcPr>
          <w:p w14:paraId="6357FAB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2.01</w:t>
            </w:r>
          </w:p>
        </w:tc>
        <w:tc>
          <w:tcPr>
            <w:tcW w:w="759" w:type="pct"/>
            <w:tcBorders>
              <w:bottom w:val="single" w:sz="4" w:space="0" w:color="auto"/>
            </w:tcBorders>
          </w:tcPr>
          <w:p w14:paraId="4139F61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(1, 398)</w:t>
            </w:r>
          </w:p>
        </w:tc>
        <w:tc>
          <w:tcPr>
            <w:tcW w:w="548" w:type="pct"/>
            <w:tcBorders>
              <w:bottom w:val="single" w:sz="4" w:space="0" w:color="auto"/>
            </w:tcBorders>
          </w:tcPr>
          <w:p w14:paraId="67A22E9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.157</w:t>
            </w:r>
          </w:p>
        </w:tc>
      </w:tr>
      <w:tr w:rsidR="00885F3C" w:rsidRPr="003D2A76" w14:paraId="4EAAB003" w14:textId="77777777" w:rsidTr="006A4A5D">
        <w:tc>
          <w:tcPr>
            <w:tcW w:w="5000" w:type="pct"/>
            <w:gridSpan w:val="6"/>
            <w:tcBorders>
              <w:top w:val="single" w:sz="4" w:space="0" w:color="auto"/>
              <w:left w:val="nil"/>
              <w:bottom w:val="nil"/>
              <w:right w:val="nil"/>
            </w:tcBorders>
          </w:tcPr>
          <w:p w14:paraId="7FAA9889" w14:textId="77777777" w:rsidR="00885F3C" w:rsidRPr="003D2A76" w:rsidRDefault="00885F3C" w:rsidP="00F04310">
            <w:pPr>
              <w:bidi w:val="0"/>
              <w:spacing w:line="240" w:lineRule="auto"/>
              <w:rPr>
                <w:rFonts w:asciiTheme="majorBidi" w:hAnsiTheme="majorBidi" w:cstheme="majorBidi"/>
                <w:i/>
                <w:iCs/>
                <w:lang w:val="en-GB"/>
              </w:rPr>
            </w:pPr>
            <w:r w:rsidRPr="003D2A76">
              <w:rPr>
                <w:rFonts w:asciiTheme="majorBidi" w:hAnsiTheme="majorBidi" w:cstheme="majorBidi"/>
                <w:i/>
                <w:iCs/>
                <w:lang w:val="en-GB"/>
              </w:rPr>
              <w:t>Note. N = 409. Dependent variable: Purchase/Continuance Intention. Control variables include demographic factors. ΔR² = incremental R² for each variable/block added. Shaded rows indicate model-level entries.</w:t>
            </w:r>
          </w:p>
        </w:tc>
      </w:tr>
    </w:tbl>
    <w:p w14:paraId="3012A55D" w14:textId="77777777" w:rsidR="00716A9F" w:rsidRPr="003D2A76" w:rsidRDefault="00716A9F" w:rsidP="00BD6279">
      <w:pPr>
        <w:bidi w:val="0"/>
        <w:rPr>
          <w:rFonts w:asciiTheme="majorBidi" w:hAnsiTheme="majorBidi" w:cstheme="majorBidi"/>
          <w:b/>
          <w:bCs/>
          <w:i/>
          <w:lang w:val="en-GB"/>
        </w:rPr>
      </w:pPr>
      <w:bookmarkStart w:id="102" w:name="_Toc216904182"/>
    </w:p>
    <w:p w14:paraId="052F40D4" w14:textId="60E23403" w:rsidR="00885F3C" w:rsidRPr="003D2A76" w:rsidRDefault="009B03B2" w:rsidP="00716A9F">
      <w:pPr>
        <w:bidi w:val="0"/>
        <w:rPr>
          <w:rFonts w:asciiTheme="majorBidi" w:hAnsiTheme="majorBidi" w:cstheme="majorBidi"/>
          <w:b/>
          <w:bCs/>
          <w:i/>
          <w:lang w:val="en-GB"/>
        </w:rPr>
      </w:pPr>
      <w:r>
        <w:rPr>
          <w:rFonts w:asciiTheme="majorBidi" w:hAnsiTheme="majorBidi" w:cstheme="majorBidi"/>
          <w:b/>
          <w:bCs/>
          <w:i/>
          <w:lang w:val="en-GB"/>
        </w:rPr>
        <w:t xml:space="preserve">4.10.2 </w:t>
      </w:r>
      <w:r w:rsidR="00885F3C" w:rsidRPr="003D2A76">
        <w:rPr>
          <w:rFonts w:asciiTheme="majorBidi" w:hAnsiTheme="majorBidi" w:cstheme="majorBidi"/>
          <w:b/>
          <w:bCs/>
          <w:i/>
          <w:lang w:val="en-GB"/>
        </w:rPr>
        <w:t>Mediation Analysis</w:t>
      </w:r>
      <w:bookmarkEnd w:id="102"/>
    </w:p>
    <w:p w14:paraId="00D6C16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indirect effects were tested with the 5,000 bootstrap samples of the Hayes PROCESS macro-Model 4 (Hayes, 2022). The indirect effect confidence interval is also set at the bootstrap level, where we do not have the value of 0 in the confidence interval. All the results with the path coefficients (a, b, c, c'), the standard errors, t-values and the confidence intervals are given in Table 7 (Panels a and b).</w:t>
      </w:r>
    </w:p>
    <w:p w14:paraId="49C69C0E"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lastRenderedPageBreak/>
        <w:t>Mediator: Trust (Hypotheses 4-6)</w:t>
      </w:r>
    </w:p>
    <w:p w14:paraId="635DA6C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4:</w:t>
      </w:r>
      <w:r w:rsidRPr="003D2A76">
        <w:rPr>
          <w:rFonts w:asciiTheme="majorBidi" w:hAnsiTheme="majorBidi" w:cstheme="majorBidi"/>
          <w:lang w:val="en-GB"/>
        </w:rPr>
        <w:t xml:space="preserve"> Trust was a complete mediator between the relationship between AI adoption in teaching and purchase intention. The p-value of the indirect effect (axb = 0.367, 95% CI [0.279, 0.456]) was significant whereas the direct one became insignificant (c' = 0.045, p = .116) when trust was added. The total effect was 89.1% which was attributed to the indirect effect. The model attributed 75.8 percent of purchase intention variance. Hypothesis 4 was supported.</w:t>
      </w:r>
    </w:p>
    <w:p w14:paraId="1AD499A8" w14:textId="5A233E0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5:</w:t>
      </w:r>
      <w:r w:rsidRPr="003D2A76">
        <w:rPr>
          <w:rFonts w:asciiTheme="majorBidi" w:hAnsiTheme="majorBidi" w:cstheme="majorBidi"/>
          <w:lang w:val="en-GB"/>
        </w:rPr>
        <w:t xml:space="preserve"> Trust completely mediated the correlation existing between AI adoption in marketing and purchase intention. The indirect effect (axb = 0.356, 95% CI [0.281, 0.429]) was significant, but the direct effect was not (c' = 0.002, p =.937). The indirect effect was found to be 99.4 percent of the total effect, which meant that it was fully mediated. The last model </w:t>
      </w:r>
      <w:r w:rsidR="00BD3E25">
        <w:rPr>
          <w:rFonts w:asciiTheme="majorBidi" w:hAnsiTheme="majorBidi" w:cstheme="majorBidi"/>
          <w:lang w:val="en-GB"/>
        </w:rPr>
        <w:t>explained</w:t>
      </w:r>
      <w:r w:rsidRPr="003D2A76">
        <w:rPr>
          <w:rFonts w:asciiTheme="majorBidi" w:hAnsiTheme="majorBidi" w:cstheme="majorBidi"/>
          <w:lang w:val="en-GB"/>
        </w:rPr>
        <w:t xml:space="preserve"> 75.7 percent </w:t>
      </w:r>
      <w:r w:rsidR="00BD3E25">
        <w:rPr>
          <w:rFonts w:asciiTheme="majorBidi" w:hAnsiTheme="majorBidi" w:cstheme="majorBidi"/>
          <w:lang w:val="en-GB"/>
        </w:rPr>
        <w:t>of the variance in purchase intention</w:t>
      </w:r>
      <w:r w:rsidRPr="003D2A76">
        <w:rPr>
          <w:rFonts w:asciiTheme="majorBidi" w:hAnsiTheme="majorBidi" w:cstheme="majorBidi"/>
          <w:lang w:val="en-GB"/>
        </w:rPr>
        <w:t>. Hypothesis 5 was supported.</w:t>
      </w:r>
    </w:p>
    <w:p w14:paraId="691788B0" w14:textId="0C9F4CFA"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6:</w:t>
      </w:r>
      <w:r w:rsidRPr="003D2A76">
        <w:rPr>
          <w:rFonts w:asciiTheme="majorBidi" w:hAnsiTheme="majorBidi" w:cstheme="majorBidi"/>
          <w:lang w:val="en-GB"/>
        </w:rPr>
        <w:t xml:space="preserve"> Trust partly mediated the correlation between the quality of the services and the purchase intention. The indirect effect (axb = 0.526, 95% CI [0.395, 0.658]) and direct effect (c = 0.459, p =.001) were both significant. The indirect effect was found to explain 53.4% of the entire effect. The last model accounted </w:t>
      </w:r>
      <w:r w:rsidR="009D2DAA" w:rsidRPr="003D2A76">
        <w:rPr>
          <w:rFonts w:asciiTheme="majorBidi" w:hAnsiTheme="majorBidi" w:cstheme="majorBidi"/>
          <w:lang w:val="en-GB"/>
        </w:rPr>
        <w:t xml:space="preserve">for </w:t>
      </w:r>
      <w:r w:rsidRPr="003D2A76">
        <w:rPr>
          <w:rFonts w:asciiTheme="majorBidi" w:hAnsiTheme="majorBidi" w:cstheme="majorBidi"/>
          <w:lang w:val="en-GB"/>
        </w:rPr>
        <w:t>80.0 percent of the purchase intention variance. Hypothesis 6 was supported.</w:t>
      </w:r>
    </w:p>
    <w:p w14:paraId="46E3ACCA" w14:textId="3FCB11A0" w:rsidR="00885F3C" w:rsidRPr="003D2A76" w:rsidRDefault="009B03B2" w:rsidP="00BD6279">
      <w:pPr>
        <w:bidi w:val="0"/>
        <w:rPr>
          <w:rFonts w:asciiTheme="majorBidi" w:hAnsiTheme="majorBidi" w:cstheme="majorBidi"/>
          <w:b/>
          <w:bCs/>
          <w:i/>
          <w:lang w:val="en-GB"/>
        </w:rPr>
      </w:pPr>
      <w:r>
        <w:rPr>
          <w:rFonts w:asciiTheme="majorBidi" w:hAnsiTheme="majorBidi" w:cstheme="majorBidi"/>
          <w:b/>
          <w:bCs/>
          <w:i/>
          <w:lang w:val="en-GB"/>
        </w:rPr>
        <w:t xml:space="preserve">4.10.3 </w:t>
      </w:r>
      <w:r w:rsidR="00885F3C" w:rsidRPr="003D2A76">
        <w:rPr>
          <w:rFonts w:asciiTheme="majorBidi" w:hAnsiTheme="majorBidi" w:cstheme="majorBidi"/>
          <w:b/>
          <w:bCs/>
          <w:i/>
          <w:lang w:val="en-GB"/>
        </w:rPr>
        <w:t>Value Perceived as Intermediate (Hypotheses 7</w:t>
      </w:r>
      <w:r w:rsidR="009D2DAA" w:rsidRPr="003D2A76">
        <w:rPr>
          <w:rFonts w:asciiTheme="majorBidi" w:hAnsiTheme="majorBidi" w:cstheme="majorBidi"/>
          <w:b/>
          <w:bCs/>
          <w:i/>
          <w:lang w:val="en-GB"/>
        </w:rPr>
        <w:t>–</w:t>
      </w:r>
      <w:r w:rsidR="00885F3C" w:rsidRPr="003D2A76">
        <w:rPr>
          <w:rFonts w:asciiTheme="majorBidi" w:hAnsiTheme="majorBidi" w:cstheme="majorBidi"/>
          <w:b/>
          <w:bCs/>
          <w:i/>
          <w:lang w:val="en-GB"/>
        </w:rPr>
        <w:t>9)</w:t>
      </w:r>
    </w:p>
    <w:p w14:paraId="2768ADF5" w14:textId="52163591"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7:</w:t>
      </w:r>
      <w:r w:rsidRPr="003D2A76">
        <w:rPr>
          <w:rFonts w:asciiTheme="majorBidi" w:hAnsiTheme="majorBidi" w:cstheme="majorBidi"/>
          <w:lang w:val="en-GB"/>
        </w:rPr>
        <w:t xml:space="preserve"> The perception of value between AI adoption in teaching and purchase intention was statistically significant but with a significant indirect relationship (axb = 0.545, 95% CI [0.439, 0.661]). It is worth noting that the direct effect changed to </w:t>
      </w:r>
      <w:r w:rsidR="00784327">
        <w:rPr>
          <w:rFonts w:asciiTheme="majorBidi" w:hAnsiTheme="majorBidi" w:cstheme="majorBidi"/>
          <w:lang w:val="en-GB"/>
        </w:rPr>
        <w:t>a</w:t>
      </w:r>
      <w:r w:rsidRPr="003D2A76">
        <w:rPr>
          <w:rFonts w:asciiTheme="majorBidi" w:hAnsiTheme="majorBidi" w:cstheme="majorBidi"/>
          <w:lang w:val="en-GB"/>
        </w:rPr>
        <w:t xml:space="preserve"> negative value and was significant (c' = -0.133, p = .005), which is a suppression effect. It </w:t>
      </w:r>
      <w:r w:rsidRPr="003D2A76">
        <w:rPr>
          <w:rFonts w:asciiTheme="majorBidi" w:hAnsiTheme="majorBidi" w:cstheme="majorBidi"/>
          <w:lang w:val="en-GB"/>
        </w:rPr>
        <w:lastRenderedPageBreak/>
        <w:t xml:space="preserve">indicates that the positive correlation between AI teaching adoption and purchase intent is not only mediated by perceived value but also increased by it. The last model was able to explain 53.7 percent </w:t>
      </w:r>
      <w:r w:rsidR="00784327">
        <w:rPr>
          <w:rFonts w:asciiTheme="majorBidi" w:hAnsiTheme="majorBidi" w:cstheme="majorBidi"/>
          <w:lang w:val="en-GB"/>
        </w:rPr>
        <w:t xml:space="preserve">of the </w:t>
      </w:r>
      <w:r w:rsidRPr="003D2A76">
        <w:rPr>
          <w:rFonts w:asciiTheme="majorBidi" w:hAnsiTheme="majorBidi" w:cstheme="majorBidi"/>
          <w:lang w:val="en-GB"/>
        </w:rPr>
        <w:t>variance in purchase intent. Hypothesis 7 was supported.</w:t>
      </w:r>
    </w:p>
    <w:p w14:paraId="75E64B0B" w14:textId="7848172B"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8:</w:t>
      </w:r>
      <w:r w:rsidRPr="003D2A76">
        <w:rPr>
          <w:rFonts w:asciiTheme="majorBidi" w:hAnsiTheme="majorBidi" w:cstheme="majorBidi"/>
          <w:lang w:val="en-GB"/>
        </w:rPr>
        <w:t xml:space="preserve"> The relationship between AI adoption in marketing and purchase intention had a mediating role that was played by perceived value (indirect effect = 0.455, 95% CI [0.373, 0.540]). A suppression effect was also found</w:t>
      </w:r>
      <w:r w:rsidR="00784327">
        <w:rPr>
          <w:rFonts w:asciiTheme="majorBidi" w:hAnsiTheme="majorBidi" w:cstheme="majorBidi"/>
          <w:lang w:val="en-GB"/>
        </w:rPr>
        <w:t>,</w:t>
      </w:r>
      <w:r w:rsidRPr="003D2A76">
        <w:rPr>
          <w:rFonts w:asciiTheme="majorBidi" w:hAnsiTheme="majorBidi" w:cstheme="majorBidi"/>
          <w:lang w:val="en-GB"/>
        </w:rPr>
        <w:t xml:space="preserve"> as with H7 having a significant negative direct effect (c' = -0.097, p =. 024). The last model described 53.4 per cent </w:t>
      </w:r>
      <w:r w:rsidR="009D2DAA" w:rsidRPr="003D2A76">
        <w:rPr>
          <w:rFonts w:asciiTheme="majorBidi" w:hAnsiTheme="majorBidi" w:cstheme="majorBidi"/>
          <w:lang w:val="en-GB"/>
        </w:rPr>
        <w:t xml:space="preserve">of </w:t>
      </w:r>
      <w:r w:rsidRPr="003D2A76">
        <w:rPr>
          <w:rFonts w:asciiTheme="majorBidi" w:hAnsiTheme="majorBidi" w:cstheme="majorBidi"/>
          <w:lang w:val="en-GB"/>
        </w:rPr>
        <w:t>purchase intention variance. Hypothesis 8 was supported.</w:t>
      </w:r>
    </w:p>
    <w:p w14:paraId="1ED9EA4C" w14:textId="29A781A8"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Hypothesis 9:</w:t>
      </w:r>
      <w:r w:rsidRPr="003D2A76">
        <w:rPr>
          <w:rFonts w:asciiTheme="majorBidi" w:hAnsiTheme="majorBidi" w:cstheme="majorBidi"/>
          <w:lang w:val="en-GB"/>
        </w:rPr>
        <w:t xml:space="preserve"> The perceived value moderates the relationship between the service quality and purchase intention. The indirect effect (axb = 0.184, other CI [0.097, 0.290]) was also significant and smaller than trust-mediated relationships, with only an 18.7% contribution to the overall effect. The direct impact was still substantial and remarkable (c' = 0.802, p &lt;.001), which means that the impact of service quality has the majority of its impact on purchase intention. The last model described 74.2 percent </w:t>
      </w:r>
      <w:r w:rsidR="009D2DAA" w:rsidRPr="003D2A76">
        <w:rPr>
          <w:rFonts w:asciiTheme="majorBidi" w:hAnsiTheme="majorBidi" w:cstheme="majorBidi"/>
          <w:lang w:val="en-GB"/>
        </w:rPr>
        <w:t>of</w:t>
      </w:r>
      <w:r w:rsidRPr="003D2A76">
        <w:rPr>
          <w:rFonts w:asciiTheme="majorBidi" w:hAnsiTheme="majorBidi" w:cstheme="majorBidi"/>
          <w:lang w:val="en-GB"/>
        </w:rPr>
        <w:t xml:space="preserve"> purchase intention. Hypothesis 9 was supported.</w:t>
      </w:r>
    </w:p>
    <w:p w14:paraId="28FE1E7B" w14:textId="77777777" w:rsidR="00885F3C" w:rsidRPr="003D2A76" w:rsidRDefault="00885F3C" w:rsidP="00BD6279">
      <w:pPr>
        <w:bidi w:val="0"/>
        <w:rPr>
          <w:rFonts w:asciiTheme="majorBidi" w:hAnsiTheme="majorBidi" w:cstheme="majorBidi"/>
          <w:b/>
          <w:bCs/>
          <w:lang w:val="en-GB"/>
        </w:rPr>
      </w:pPr>
      <w:bookmarkStart w:id="103" w:name="_Toc227161645"/>
      <w:r w:rsidRPr="003D2A76">
        <w:rPr>
          <w:rFonts w:asciiTheme="majorBidi" w:hAnsiTheme="majorBidi" w:cstheme="majorBidi"/>
          <w:b/>
          <w:bCs/>
          <w:lang w:val="en-GB"/>
        </w:rPr>
        <w:t xml:space="preserve">Table 8 </w:t>
      </w:r>
      <w:r w:rsidRPr="003D2A76">
        <w:rPr>
          <w:rFonts w:asciiTheme="majorBidi" w:hAnsiTheme="majorBidi" w:cstheme="majorBidi"/>
          <w:b/>
          <w:bCs/>
          <w:lang w:val="en-GB"/>
        </w:rPr>
        <w:br/>
      </w:r>
      <w:bookmarkStart w:id="104" w:name="_Hlk232588414"/>
      <w:r w:rsidRPr="003D2A76">
        <w:rPr>
          <w:rFonts w:asciiTheme="majorBidi" w:hAnsiTheme="majorBidi" w:cstheme="majorBidi"/>
          <w:b/>
          <w:bCs/>
          <w:lang w:val="en-GB"/>
        </w:rPr>
        <w:t>Detailed Mediation Analysis Results (PROCESS Model 4)</w:t>
      </w:r>
      <w:bookmarkEnd w:id="103"/>
    </w:p>
    <w:bookmarkEnd w:id="104"/>
    <w:p w14:paraId="37E4295A" w14:textId="1A25E61F"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Panel A: Trust as Mediator (H4</w:t>
      </w:r>
      <w:r w:rsidR="009D2DAA" w:rsidRPr="003D2A76">
        <w:rPr>
          <w:rFonts w:asciiTheme="majorBidi" w:hAnsiTheme="majorBidi" w:cstheme="majorBidi"/>
          <w:b/>
          <w:bCs/>
          <w:i/>
          <w:lang w:val="en-GB"/>
        </w:rPr>
        <w:t>–</w:t>
      </w:r>
      <w:r w:rsidRPr="003D2A76">
        <w:rPr>
          <w:rFonts w:asciiTheme="majorBidi" w:hAnsiTheme="majorBidi" w:cstheme="majorBidi"/>
          <w:b/>
          <w:bCs/>
          <w:i/>
          <w:lang w:val="en-GB"/>
        </w:rPr>
        <w:t>H6)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756"/>
        <w:gridCol w:w="756"/>
        <w:gridCol w:w="756"/>
        <w:gridCol w:w="772"/>
        <w:gridCol w:w="1337"/>
        <w:gridCol w:w="1351"/>
        <w:gridCol w:w="636"/>
      </w:tblGrid>
      <w:tr w:rsidR="00885F3C" w:rsidRPr="003D2A76" w14:paraId="116E2E0B" w14:textId="77777777" w:rsidTr="006A4A5D">
        <w:tc>
          <w:tcPr>
            <w:tcW w:w="1331" w:type="pct"/>
            <w:hideMark/>
          </w:tcPr>
          <w:p w14:paraId="47134546"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Path</w:t>
            </w:r>
          </w:p>
        </w:tc>
        <w:tc>
          <w:tcPr>
            <w:tcW w:w="427" w:type="pct"/>
            <w:hideMark/>
          </w:tcPr>
          <w:p w14:paraId="495577A1"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B</w:t>
            </w:r>
          </w:p>
        </w:tc>
        <w:tc>
          <w:tcPr>
            <w:tcW w:w="427" w:type="pct"/>
            <w:hideMark/>
          </w:tcPr>
          <w:p w14:paraId="6EDB3639"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w:t>
            </w:r>
          </w:p>
        </w:tc>
        <w:tc>
          <w:tcPr>
            <w:tcW w:w="427" w:type="pct"/>
            <w:hideMark/>
          </w:tcPr>
          <w:p w14:paraId="6ABC27A2"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t</w:t>
            </w:r>
          </w:p>
        </w:tc>
        <w:tc>
          <w:tcPr>
            <w:tcW w:w="436" w:type="pct"/>
            <w:hideMark/>
          </w:tcPr>
          <w:p w14:paraId="4F4966AA"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w:t>
            </w:r>
          </w:p>
        </w:tc>
        <w:tc>
          <w:tcPr>
            <w:tcW w:w="792" w:type="pct"/>
            <w:hideMark/>
          </w:tcPr>
          <w:p w14:paraId="4DF4686A"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95% CI LL</w:t>
            </w:r>
          </w:p>
        </w:tc>
        <w:tc>
          <w:tcPr>
            <w:tcW w:w="800" w:type="pct"/>
            <w:hideMark/>
          </w:tcPr>
          <w:p w14:paraId="3456907C"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95% CI UL</w:t>
            </w:r>
          </w:p>
        </w:tc>
        <w:tc>
          <w:tcPr>
            <w:tcW w:w="359" w:type="pct"/>
            <w:hideMark/>
          </w:tcPr>
          <w:p w14:paraId="77F1C70D" w14:textId="77777777" w:rsidR="00885F3C" w:rsidRPr="003D2A76" w:rsidRDefault="00885F3C" w:rsidP="00BD6279">
            <w:pPr>
              <w:bidi w:val="0"/>
              <w:spacing w:line="240" w:lineRule="auto"/>
              <w:rPr>
                <w:rFonts w:asciiTheme="majorBidi" w:hAnsiTheme="majorBidi" w:cstheme="majorBidi"/>
                <w:b/>
                <w:bCs/>
                <w:lang w:val="en-GB"/>
              </w:rPr>
            </w:pPr>
            <w:r w:rsidRPr="003D2A76">
              <w:rPr>
                <w:rFonts w:asciiTheme="majorBidi" w:hAnsiTheme="majorBidi" w:cstheme="majorBidi"/>
                <w:b/>
                <w:bCs/>
                <w:lang w:val="en-GB"/>
              </w:rPr>
              <w:t>R²</w:t>
            </w:r>
          </w:p>
        </w:tc>
      </w:tr>
      <w:tr w:rsidR="00885F3C" w:rsidRPr="003D2A76" w14:paraId="6BA15401" w14:textId="77777777" w:rsidTr="006A4A5D">
        <w:tc>
          <w:tcPr>
            <w:tcW w:w="5000" w:type="pct"/>
            <w:gridSpan w:val="8"/>
            <w:hideMark/>
          </w:tcPr>
          <w:p w14:paraId="4AE91A43"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H4: AI Teaching → Trust → Purchase Intention</w:t>
            </w:r>
          </w:p>
        </w:tc>
      </w:tr>
      <w:tr w:rsidR="00885F3C" w:rsidRPr="003D2A76" w14:paraId="56B43C46" w14:textId="77777777" w:rsidTr="006A4A5D">
        <w:tc>
          <w:tcPr>
            <w:tcW w:w="1331" w:type="pct"/>
            <w:hideMark/>
          </w:tcPr>
          <w:p w14:paraId="27209823"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a (AITeach → Trust)</w:t>
            </w:r>
          </w:p>
        </w:tc>
        <w:tc>
          <w:tcPr>
            <w:tcW w:w="427" w:type="pct"/>
            <w:hideMark/>
          </w:tcPr>
          <w:p w14:paraId="28792E3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0.446</w:t>
            </w:r>
          </w:p>
        </w:tc>
        <w:tc>
          <w:tcPr>
            <w:tcW w:w="427" w:type="pct"/>
            <w:hideMark/>
          </w:tcPr>
          <w:p w14:paraId="4BEFA47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0.051</w:t>
            </w:r>
          </w:p>
        </w:tc>
        <w:tc>
          <w:tcPr>
            <w:tcW w:w="427" w:type="pct"/>
            <w:hideMark/>
          </w:tcPr>
          <w:p w14:paraId="4386307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8.83</w:t>
            </w:r>
          </w:p>
        </w:tc>
        <w:tc>
          <w:tcPr>
            <w:tcW w:w="436" w:type="pct"/>
            <w:hideMark/>
          </w:tcPr>
          <w:p w14:paraId="0DFD418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47C6E5A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0.347</w:t>
            </w:r>
          </w:p>
        </w:tc>
        <w:tc>
          <w:tcPr>
            <w:tcW w:w="800" w:type="pct"/>
            <w:hideMark/>
          </w:tcPr>
          <w:p w14:paraId="34641D5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0.545</w:t>
            </w:r>
          </w:p>
        </w:tc>
        <w:tc>
          <w:tcPr>
            <w:tcW w:w="359" w:type="pct"/>
            <w:hideMark/>
          </w:tcPr>
          <w:p w14:paraId="7FC57F5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.161</w:t>
            </w:r>
          </w:p>
        </w:tc>
      </w:tr>
      <w:tr w:rsidR="00885F3C" w:rsidRPr="003D2A76" w14:paraId="31BFB7C2" w14:textId="77777777" w:rsidTr="006A4A5D">
        <w:tc>
          <w:tcPr>
            <w:tcW w:w="1331" w:type="pct"/>
            <w:hideMark/>
          </w:tcPr>
          <w:p w14:paraId="5B791E79"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b (Trust → PurchInt)</w:t>
            </w:r>
          </w:p>
        </w:tc>
        <w:tc>
          <w:tcPr>
            <w:tcW w:w="427" w:type="pct"/>
            <w:hideMark/>
          </w:tcPr>
          <w:p w14:paraId="5092E804"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0.823</w:t>
            </w:r>
          </w:p>
        </w:tc>
        <w:tc>
          <w:tcPr>
            <w:tcW w:w="427" w:type="pct"/>
            <w:hideMark/>
          </w:tcPr>
          <w:p w14:paraId="2EDBB60C"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0.026</w:t>
            </w:r>
          </w:p>
        </w:tc>
        <w:tc>
          <w:tcPr>
            <w:tcW w:w="427" w:type="pct"/>
            <w:hideMark/>
          </w:tcPr>
          <w:p w14:paraId="3DE3C6F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32.04</w:t>
            </w:r>
          </w:p>
        </w:tc>
        <w:tc>
          <w:tcPr>
            <w:tcW w:w="436" w:type="pct"/>
            <w:hideMark/>
          </w:tcPr>
          <w:p w14:paraId="6655056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66BD8DDF"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0.772</w:t>
            </w:r>
          </w:p>
        </w:tc>
        <w:tc>
          <w:tcPr>
            <w:tcW w:w="800" w:type="pct"/>
            <w:hideMark/>
          </w:tcPr>
          <w:p w14:paraId="10F8801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0.873</w:t>
            </w:r>
          </w:p>
        </w:tc>
        <w:tc>
          <w:tcPr>
            <w:tcW w:w="359" w:type="pct"/>
            <w:hideMark/>
          </w:tcPr>
          <w:p w14:paraId="285721FD"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230A70BF" w14:textId="77777777" w:rsidTr="006A4A5D">
        <w:tc>
          <w:tcPr>
            <w:tcW w:w="1331" w:type="pct"/>
            <w:hideMark/>
          </w:tcPr>
          <w:p w14:paraId="22F966F1"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c' (Direct Effect)</w:t>
            </w:r>
          </w:p>
        </w:tc>
        <w:tc>
          <w:tcPr>
            <w:tcW w:w="427" w:type="pct"/>
            <w:hideMark/>
          </w:tcPr>
          <w:p w14:paraId="54EF00B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0.045</w:t>
            </w:r>
          </w:p>
        </w:tc>
        <w:tc>
          <w:tcPr>
            <w:tcW w:w="427" w:type="pct"/>
            <w:hideMark/>
          </w:tcPr>
          <w:p w14:paraId="6FFC6704"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0.029</w:t>
            </w:r>
          </w:p>
        </w:tc>
        <w:tc>
          <w:tcPr>
            <w:tcW w:w="427" w:type="pct"/>
            <w:hideMark/>
          </w:tcPr>
          <w:p w14:paraId="4108F72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1.57</w:t>
            </w:r>
          </w:p>
        </w:tc>
        <w:tc>
          <w:tcPr>
            <w:tcW w:w="436" w:type="pct"/>
            <w:hideMark/>
          </w:tcPr>
          <w:p w14:paraId="0FFF0A0F"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.116</w:t>
            </w:r>
          </w:p>
        </w:tc>
        <w:tc>
          <w:tcPr>
            <w:tcW w:w="792" w:type="pct"/>
            <w:hideMark/>
          </w:tcPr>
          <w:p w14:paraId="4631A85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-0.011</w:t>
            </w:r>
          </w:p>
        </w:tc>
        <w:tc>
          <w:tcPr>
            <w:tcW w:w="800" w:type="pct"/>
            <w:hideMark/>
          </w:tcPr>
          <w:p w14:paraId="7A13984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0.101</w:t>
            </w:r>
          </w:p>
        </w:tc>
        <w:tc>
          <w:tcPr>
            <w:tcW w:w="359" w:type="pct"/>
            <w:hideMark/>
          </w:tcPr>
          <w:p w14:paraId="5CC595A3"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58AE1AA8" w14:textId="77777777" w:rsidTr="006A4A5D">
        <w:tc>
          <w:tcPr>
            <w:tcW w:w="1331" w:type="pct"/>
            <w:hideMark/>
          </w:tcPr>
          <w:p w14:paraId="629423C1"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a×b (Indirect Effect)</w:t>
            </w:r>
          </w:p>
        </w:tc>
        <w:tc>
          <w:tcPr>
            <w:tcW w:w="427" w:type="pct"/>
            <w:hideMark/>
          </w:tcPr>
          <w:p w14:paraId="682C912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0.367</w:t>
            </w:r>
          </w:p>
        </w:tc>
        <w:tc>
          <w:tcPr>
            <w:tcW w:w="427" w:type="pct"/>
            <w:hideMark/>
          </w:tcPr>
          <w:p w14:paraId="10CA8B66"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0.045</w:t>
            </w:r>
          </w:p>
        </w:tc>
        <w:tc>
          <w:tcPr>
            <w:tcW w:w="427" w:type="pct"/>
            <w:hideMark/>
          </w:tcPr>
          <w:p w14:paraId="45527AE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36" w:type="pct"/>
            <w:hideMark/>
          </w:tcPr>
          <w:p w14:paraId="0842E31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792" w:type="pct"/>
            <w:hideMark/>
          </w:tcPr>
          <w:p w14:paraId="090FA38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0.279</w:t>
            </w:r>
          </w:p>
        </w:tc>
        <w:tc>
          <w:tcPr>
            <w:tcW w:w="800" w:type="pct"/>
            <w:hideMark/>
          </w:tcPr>
          <w:p w14:paraId="380163A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0.456</w:t>
            </w:r>
          </w:p>
        </w:tc>
        <w:tc>
          <w:tcPr>
            <w:tcW w:w="359" w:type="pct"/>
            <w:hideMark/>
          </w:tcPr>
          <w:p w14:paraId="285825C7"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690F6296" w14:textId="77777777" w:rsidTr="006A4A5D">
        <w:tc>
          <w:tcPr>
            <w:tcW w:w="1331" w:type="pct"/>
            <w:hideMark/>
          </w:tcPr>
          <w:p w14:paraId="2A41974B"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c (Total Effect)</w:t>
            </w:r>
          </w:p>
        </w:tc>
        <w:tc>
          <w:tcPr>
            <w:tcW w:w="427" w:type="pct"/>
            <w:hideMark/>
          </w:tcPr>
          <w:p w14:paraId="3155E02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0.412</w:t>
            </w:r>
          </w:p>
        </w:tc>
        <w:tc>
          <w:tcPr>
            <w:tcW w:w="427" w:type="pct"/>
            <w:hideMark/>
          </w:tcPr>
          <w:p w14:paraId="4686069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27" w:type="pct"/>
            <w:hideMark/>
          </w:tcPr>
          <w:p w14:paraId="1EB7024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36" w:type="pct"/>
            <w:hideMark/>
          </w:tcPr>
          <w:p w14:paraId="6DDF459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792" w:type="pct"/>
            <w:hideMark/>
          </w:tcPr>
          <w:p w14:paraId="297CBB7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800" w:type="pct"/>
            <w:hideMark/>
          </w:tcPr>
          <w:p w14:paraId="3130C4BC"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359" w:type="pct"/>
            <w:hideMark/>
          </w:tcPr>
          <w:p w14:paraId="36F8277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.758</w:t>
            </w:r>
          </w:p>
        </w:tc>
      </w:tr>
      <w:tr w:rsidR="00885F3C" w:rsidRPr="003D2A76" w14:paraId="3010B3CC" w14:textId="77777777" w:rsidTr="006A4A5D">
        <w:tc>
          <w:tcPr>
            <w:tcW w:w="5000" w:type="pct"/>
            <w:gridSpan w:val="8"/>
            <w:hideMark/>
          </w:tcPr>
          <w:p w14:paraId="0E460A95"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H5: AI Marketing → Trust → Purchase Intention</w:t>
            </w:r>
          </w:p>
        </w:tc>
      </w:tr>
      <w:tr w:rsidR="00885F3C" w:rsidRPr="003D2A76" w14:paraId="18A2CE18" w14:textId="77777777" w:rsidTr="006A4A5D">
        <w:tc>
          <w:tcPr>
            <w:tcW w:w="1331" w:type="pct"/>
            <w:hideMark/>
          </w:tcPr>
          <w:p w14:paraId="0BCE5F65"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lastRenderedPageBreak/>
              <w:t>a (AI Market → Trust)</w:t>
            </w:r>
          </w:p>
        </w:tc>
        <w:tc>
          <w:tcPr>
            <w:tcW w:w="427" w:type="pct"/>
            <w:hideMark/>
          </w:tcPr>
          <w:p w14:paraId="072E67B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0.425</w:t>
            </w:r>
          </w:p>
        </w:tc>
        <w:tc>
          <w:tcPr>
            <w:tcW w:w="427" w:type="pct"/>
            <w:hideMark/>
          </w:tcPr>
          <w:p w14:paraId="1A4D3F3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0.050</w:t>
            </w:r>
          </w:p>
        </w:tc>
        <w:tc>
          <w:tcPr>
            <w:tcW w:w="427" w:type="pct"/>
            <w:hideMark/>
          </w:tcPr>
          <w:p w14:paraId="207E8D6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8.48</w:t>
            </w:r>
          </w:p>
        </w:tc>
        <w:tc>
          <w:tcPr>
            <w:tcW w:w="436" w:type="pct"/>
            <w:hideMark/>
          </w:tcPr>
          <w:p w14:paraId="320458C7"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6BCE9D6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0.326</w:t>
            </w:r>
          </w:p>
        </w:tc>
        <w:tc>
          <w:tcPr>
            <w:tcW w:w="800" w:type="pct"/>
            <w:hideMark/>
          </w:tcPr>
          <w:p w14:paraId="7078C9A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0.523</w:t>
            </w:r>
          </w:p>
        </w:tc>
        <w:tc>
          <w:tcPr>
            <w:tcW w:w="359" w:type="pct"/>
            <w:hideMark/>
          </w:tcPr>
          <w:p w14:paraId="64DD4B6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.150</w:t>
            </w:r>
          </w:p>
        </w:tc>
      </w:tr>
      <w:tr w:rsidR="00885F3C" w:rsidRPr="003D2A76" w14:paraId="6F32E1DF" w14:textId="77777777" w:rsidTr="006A4A5D">
        <w:tc>
          <w:tcPr>
            <w:tcW w:w="1331" w:type="pct"/>
            <w:hideMark/>
          </w:tcPr>
          <w:p w14:paraId="38C9251E"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b (Trust → PurchInt)</w:t>
            </w:r>
          </w:p>
        </w:tc>
        <w:tc>
          <w:tcPr>
            <w:tcW w:w="427" w:type="pct"/>
            <w:hideMark/>
          </w:tcPr>
          <w:p w14:paraId="17A1C4CC"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0.838</w:t>
            </w:r>
          </w:p>
        </w:tc>
        <w:tc>
          <w:tcPr>
            <w:tcW w:w="427" w:type="pct"/>
            <w:hideMark/>
          </w:tcPr>
          <w:p w14:paraId="340771D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0.026</w:t>
            </w:r>
          </w:p>
        </w:tc>
        <w:tc>
          <w:tcPr>
            <w:tcW w:w="427" w:type="pct"/>
            <w:hideMark/>
          </w:tcPr>
          <w:p w14:paraId="1CA82E7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32.74</w:t>
            </w:r>
          </w:p>
        </w:tc>
        <w:tc>
          <w:tcPr>
            <w:tcW w:w="436" w:type="pct"/>
            <w:hideMark/>
          </w:tcPr>
          <w:p w14:paraId="7B0C26E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1C3D86A6"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0.788</w:t>
            </w:r>
          </w:p>
        </w:tc>
        <w:tc>
          <w:tcPr>
            <w:tcW w:w="800" w:type="pct"/>
            <w:hideMark/>
          </w:tcPr>
          <w:p w14:paraId="7F63453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0.888</w:t>
            </w:r>
          </w:p>
        </w:tc>
        <w:tc>
          <w:tcPr>
            <w:tcW w:w="359" w:type="pct"/>
            <w:hideMark/>
          </w:tcPr>
          <w:p w14:paraId="1E63A162"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459823B3" w14:textId="77777777" w:rsidTr="006A4A5D">
        <w:tc>
          <w:tcPr>
            <w:tcW w:w="1331" w:type="pct"/>
            <w:hideMark/>
          </w:tcPr>
          <w:p w14:paraId="0E102DD6"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c' (Direct Effect)</w:t>
            </w:r>
          </w:p>
        </w:tc>
        <w:tc>
          <w:tcPr>
            <w:tcW w:w="427" w:type="pct"/>
            <w:hideMark/>
          </w:tcPr>
          <w:p w14:paraId="1DBB2E1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0.002</w:t>
            </w:r>
          </w:p>
        </w:tc>
        <w:tc>
          <w:tcPr>
            <w:tcW w:w="427" w:type="pct"/>
            <w:hideMark/>
          </w:tcPr>
          <w:p w14:paraId="30E4809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0.028</w:t>
            </w:r>
          </w:p>
        </w:tc>
        <w:tc>
          <w:tcPr>
            <w:tcW w:w="427" w:type="pct"/>
            <w:hideMark/>
          </w:tcPr>
          <w:p w14:paraId="49264FA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0.08</w:t>
            </w:r>
          </w:p>
        </w:tc>
        <w:tc>
          <w:tcPr>
            <w:tcW w:w="436" w:type="pct"/>
            <w:hideMark/>
          </w:tcPr>
          <w:p w14:paraId="5DCAFDA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.937</w:t>
            </w:r>
          </w:p>
        </w:tc>
        <w:tc>
          <w:tcPr>
            <w:tcW w:w="792" w:type="pct"/>
            <w:hideMark/>
          </w:tcPr>
          <w:p w14:paraId="4F72DCA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-0.053</w:t>
            </w:r>
          </w:p>
        </w:tc>
        <w:tc>
          <w:tcPr>
            <w:tcW w:w="800" w:type="pct"/>
            <w:hideMark/>
          </w:tcPr>
          <w:p w14:paraId="0487770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0.057</w:t>
            </w:r>
          </w:p>
        </w:tc>
        <w:tc>
          <w:tcPr>
            <w:tcW w:w="359" w:type="pct"/>
            <w:hideMark/>
          </w:tcPr>
          <w:p w14:paraId="5BED9C75"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13EBFC5B" w14:textId="77777777" w:rsidTr="006A4A5D">
        <w:tc>
          <w:tcPr>
            <w:tcW w:w="1331" w:type="pct"/>
            <w:hideMark/>
          </w:tcPr>
          <w:p w14:paraId="789E52C8"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a×b (Indirect Effect)</w:t>
            </w:r>
          </w:p>
        </w:tc>
        <w:tc>
          <w:tcPr>
            <w:tcW w:w="427" w:type="pct"/>
            <w:hideMark/>
          </w:tcPr>
          <w:p w14:paraId="6CDAAAC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0.356</w:t>
            </w:r>
          </w:p>
        </w:tc>
        <w:tc>
          <w:tcPr>
            <w:tcW w:w="427" w:type="pct"/>
            <w:hideMark/>
          </w:tcPr>
          <w:p w14:paraId="1BD78D42"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0.038</w:t>
            </w:r>
          </w:p>
        </w:tc>
        <w:tc>
          <w:tcPr>
            <w:tcW w:w="427" w:type="pct"/>
            <w:hideMark/>
          </w:tcPr>
          <w:p w14:paraId="3752F086"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36" w:type="pct"/>
            <w:hideMark/>
          </w:tcPr>
          <w:p w14:paraId="03E20C77"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792" w:type="pct"/>
            <w:hideMark/>
          </w:tcPr>
          <w:p w14:paraId="1204E52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0.281</w:t>
            </w:r>
          </w:p>
        </w:tc>
        <w:tc>
          <w:tcPr>
            <w:tcW w:w="800" w:type="pct"/>
            <w:hideMark/>
          </w:tcPr>
          <w:p w14:paraId="60D804A6"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0.429</w:t>
            </w:r>
          </w:p>
        </w:tc>
        <w:tc>
          <w:tcPr>
            <w:tcW w:w="359" w:type="pct"/>
            <w:hideMark/>
          </w:tcPr>
          <w:p w14:paraId="5A373B54"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0DA3D860" w14:textId="77777777" w:rsidTr="006A4A5D">
        <w:tc>
          <w:tcPr>
            <w:tcW w:w="1331" w:type="pct"/>
            <w:hideMark/>
          </w:tcPr>
          <w:p w14:paraId="5F3CE5AE"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c (Total Effect)</w:t>
            </w:r>
          </w:p>
        </w:tc>
        <w:tc>
          <w:tcPr>
            <w:tcW w:w="427" w:type="pct"/>
            <w:hideMark/>
          </w:tcPr>
          <w:p w14:paraId="3E442E0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0.358</w:t>
            </w:r>
          </w:p>
        </w:tc>
        <w:tc>
          <w:tcPr>
            <w:tcW w:w="427" w:type="pct"/>
            <w:hideMark/>
          </w:tcPr>
          <w:p w14:paraId="58A5EED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27" w:type="pct"/>
            <w:hideMark/>
          </w:tcPr>
          <w:p w14:paraId="70C8D8C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36" w:type="pct"/>
            <w:hideMark/>
          </w:tcPr>
          <w:p w14:paraId="6431B50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792" w:type="pct"/>
            <w:hideMark/>
          </w:tcPr>
          <w:p w14:paraId="61FB43F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800" w:type="pct"/>
            <w:hideMark/>
          </w:tcPr>
          <w:p w14:paraId="7F6BDDF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359" w:type="pct"/>
            <w:hideMark/>
          </w:tcPr>
          <w:p w14:paraId="682FD24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.757</w:t>
            </w:r>
          </w:p>
        </w:tc>
      </w:tr>
      <w:tr w:rsidR="00885F3C" w:rsidRPr="003D2A76" w14:paraId="4D158715" w14:textId="77777777" w:rsidTr="006A4A5D">
        <w:tc>
          <w:tcPr>
            <w:tcW w:w="5000" w:type="pct"/>
            <w:gridSpan w:val="8"/>
            <w:hideMark/>
          </w:tcPr>
          <w:p w14:paraId="61B08CC7"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H6: Service Quality → Trust → Purchase Intention</w:t>
            </w:r>
          </w:p>
        </w:tc>
      </w:tr>
      <w:tr w:rsidR="00885F3C" w:rsidRPr="003D2A76" w14:paraId="3A33546F" w14:textId="77777777" w:rsidTr="006A4A5D">
        <w:tc>
          <w:tcPr>
            <w:tcW w:w="1331" w:type="pct"/>
            <w:hideMark/>
          </w:tcPr>
          <w:p w14:paraId="4DEC13D5"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a (Serv Qual → Trust)</w:t>
            </w:r>
          </w:p>
        </w:tc>
        <w:tc>
          <w:tcPr>
            <w:tcW w:w="427" w:type="pct"/>
            <w:hideMark/>
          </w:tcPr>
          <w:p w14:paraId="74C1BF1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1.022</w:t>
            </w:r>
          </w:p>
        </w:tc>
        <w:tc>
          <w:tcPr>
            <w:tcW w:w="427" w:type="pct"/>
            <w:hideMark/>
          </w:tcPr>
          <w:p w14:paraId="47CD116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0.031</w:t>
            </w:r>
          </w:p>
        </w:tc>
        <w:tc>
          <w:tcPr>
            <w:tcW w:w="427" w:type="pct"/>
            <w:hideMark/>
          </w:tcPr>
          <w:p w14:paraId="2122597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32.53</w:t>
            </w:r>
          </w:p>
        </w:tc>
        <w:tc>
          <w:tcPr>
            <w:tcW w:w="436" w:type="pct"/>
            <w:hideMark/>
          </w:tcPr>
          <w:p w14:paraId="3DCE0B8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249D4530"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0.961</w:t>
            </w:r>
          </w:p>
        </w:tc>
        <w:tc>
          <w:tcPr>
            <w:tcW w:w="800" w:type="pct"/>
            <w:hideMark/>
          </w:tcPr>
          <w:p w14:paraId="407401A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1.084</w:t>
            </w:r>
          </w:p>
        </w:tc>
        <w:tc>
          <w:tcPr>
            <w:tcW w:w="359" w:type="pct"/>
            <w:hideMark/>
          </w:tcPr>
          <w:p w14:paraId="3D712F60"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.722</w:t>
            </w:r>
          </w:p>
        </w:tc>
      </w:tr>
      <w:tr w:rsidR="00885F3C" w:rsidRPr="003D2A76" w14:paraId="58B53AFB" w14:textId="77777777" w:rsidTr="006A4A5D">
        <w:tc>
          <w:tcPr>
            <w:tcW w:w="1331" w:type="pct"/>
            <w:hideMark/>
          </w:tcPr>
          <w:p w14:paraId="5E3B0901"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b (Trust → PurchInt)</w:t>
            </w:r>
          </w:p>
        </w:tc>
        <w:tc>
          <w:tcPr>
            <w:tcW w:w="427" w:type="pct"/>
            <w:hideMark/>
          </w:tcPr>
          <w:p w14:paraId="19D54DAC"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0.514</w:t>
            </w:r>
          </w:p>
        </w:tc>
        <w:tc>
          <w:tcPr>
            <w:tcW w:w="427" w:type="pct"/>
            <w:hideMark/>
          </w:tcPr>
          <w:p w14:paraId="27117EF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0.041</w:t>
            </w:r>
          </w:p>
        </w:tc>
        <w:tc>
          <w:tcPr>
            <w:tcW w:w="427" w:type="pct"/>
            <w:hideMark/>
          </w:tcPr>
          <w:p w14:paraId="6540045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12.68</w:t>
            </w:r>
          </w:p>
        </w:tc>
        <w:tc>
          <w:tcPr>
            <w:tcW w:w="436" w:type="pct"/>
            <w:hideMark/>
          </w:tcPr>
          <w:p w14:paraId="63F39C87"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13C8CAD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0.435</w:t>
            </w:r>
          </w:p>
        </w:tc>
        <w:tc>
          <w:tcPr>
            <w:tcW w:w="800" w:type="pct"/>
            <w:hideMark/>
          </w:tcPr>
          <w:p w14:paraId="191ABE9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0.594</w:t>
            </w:r>
          </w:p>
        </w:tc>
        <w:tc>
          <w:tcPr>
            <w:tcW w:w="359" w:type="pct"/>
            <w:hideMark/>
          </w:tcPr>
          <w:p w14:paraId="320DDBC7"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4E9A8291" w14:textId="77777777" w:rsidTr="006A4A5D">
        <w:tc>
          <w:tcPr>
            <w:tcW w:w="1331" w:type="pct"/>
            <w:hideMark/>
          </w:tcPr>
          <w:p w14:paraId="3BA49948"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c' (Direct Effect)</w:t>
            </w:r>
          </w:p>
        </w:tc>
        <w:tc>
          <w:tcPr>
            <w:tcW w:w="427" w:type="pct"/>
            <w:hideMark/>
          </w:tcPr>
          <w:p w14:paraId="349940CA"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0.459</w:t>
            </w:r>
          </w:p>
        </w:tc>
        <w:tc>
          <w:tcPr>
            <w:tcW w:w="427" w:type="pct"/>
            <w:hideMark/>
          </w:tcPr>
          <w:p w14:paraId="765752DB"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0.049</w:t>
            </w:r>
          </w:p>
        </w:tc>
        <w:tc>
          <w:tcPr>
            <w:tcW w:w="427" w:type="pct"/>
            <w:hideMark/>
          </w:tcPr>
          <w:p w14:paraId="0F1294B9"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9.41</w:t>
            </w:r>
          </w:p>
        </w:tc>
        <w:tc>
          <w:tcPr>
            <w:tcW w:w="436" w:type="pct"/>
            <w:hideMark/>
          </w:tcPr>
          <w:p w14:paraId="56E025B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&lt;.001</w:t>
            </w:r>
          </w:p>
        </w:tc>
        <w:tc>
          <w:tcPr>
            <w:tcW w:w="792" w:type="pct"/>
            <w:hideMark/>
          </w:tcPr>
          <w:p w14:paraId="7014CE20"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0.363</w:t>
            </w:r>
          </w:p>
        </w:tc>
        <w:tc>
          <w:tcPr>
            <w:tcW w:w="800" w:type="pct"/>
            <w:hideMark/>
          </w:tcPr>
          <w:p w14:paraId="6934953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0.555</w:t>
            </w:r>
          </w:p>
        </w:tc>
        <w:tc>
          <w:tcPr>
            <w:tcW w:w="359" w:type="pct"/>
            <w:hideMark/>
          </w:tcPr>
          <w:p w14:paraId="214E297E"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052FAEB3" w14:textId="77777777" w:rsidTr="006A4A5D">
        <w:tc>
          <w:tcPr>
            <w:tcW w:w="1331" w:type="pct"/>
            <w:hideMark/>
          </w:tcPr>
          <w:p w14:paraId="188FCC92"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a×b (Indirect Effect)</w:t>
            </w:r>
          </w:p>
        </w:tc>
        <w:tc>
          <w:tcPr>
            <w:tcW w:w="427" w:type="pct"/>
            <w:hideMark/>
          </w:tcPr>
          <w:p w14:paraId="5FA7B2FC"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0.526</w:t>
            </w:r>
          </w:p>
        </w:tc>
        <w:tc>
          <w:tcPr>
            <w:tcW w:w="427" w:type="pct"/>
            <w:hideMark/>
          </w:tcPr>
          <w:p w14:paraId="3F8A655C"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0.067</w:t>
            </w:r>
          </w:p>
        </w:tc>
        <w:tc>
          <w:tcPr>
            <w:tcW w:w="427" w:type="pct"/>
            <w:hideMark/>
          </w:tcPr>
          <w:p w14:paraId="3B5F3EE8"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36" w:type="pct"/>
            <w:hideMark/>
          </w:tcPr>
          <w:p w14:paraId="4FFD24D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792" w:type="pct"/>
            <w:hideMark/>
          </w:tcPr>
          <w:p w14:paraId="3D7C49A4"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0.395</w:t>
            </w:r>
          </w:p>
        </w:tc>
        <w:tc>
          <w:tcPr>
            <w:tcW w:w="800" w:type="pct"/>
            <w:hideMark/>
          </w:tcPr>
          <w:p w14:paraId="6421EF1E"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0.658</w:t>
            </w:r>
          </w:p>
        </w:tc>
        <w:tc>
          <w:tcPr>
            <w:tcW w:w="359" w:type="pct"/>
            <w:hideMark/>
          </w:tcPr>
          <w:p w14:paraId="04DF4A3D" w14:textId="77777777" w:rsidR="00885F3C" w:rsidRPr="003D2A76" w:rsidRDefault="00885F3C" w:rsidP="000767E9">
            <w:pPr>
              <w:bidi w:val="0"/>
              <w:spacing w:line="240" w:lineRule="auto"/>
              <w:jc w:val="center"/>
              <w:rPr>
                <w:rFonts w:asciiTheme="majorBidi" w:hAnsiTheme="majorBidi" w:cstheme="majorBidi"/>
                <w:lang w:val="en-GB"/>
              </w:rPr>
            </w:pPr>
          </w:p>
        </w:tc>
      </w:tr>
      <w:tr w:rsidR="00885F3C" w:rsidRPr="003D2A76" w14:paraId="0C8834B1" w14:textId="77777777" w:rsidTr="006A4A5D">
        <w:tc>
          <w:tcPr>
            <w:tcW w:w="1331" w:type="pct"/>
            <w:hideMark/>
          </w:tcPr>
          <w:p w14:paraId="114DC6C5" w14:textId="77777777" w:rsidR="00885F3C" w:rsidRPr="003D2A76" w:rsidRDefault="00885F3C" w:rsidP="00BD6279">
            <w:pPr>
              <w:bidi w:val="0"/>
              <w:spacing w:line="240" w:lineRule="auto"/>
              <w:rPr>
                <w:rFonts w:asciiTheme="majorBidi" w:hAnsiTheme="majorBidi" w:cstheme="majorBidi"/>
                <w:lang w:val="en-GB"/>
              </w:rPr>
            </w:pPr>
            <w:r w:rsidRPr="003D2A76">
              <w:rPr>
                <w:rFonts w:asciiTheme="majorBidi" w:hAnsiTheme="majorBidi" w:cstheme="majorBidi"/>
                <w:lang w:val="en-GB"/>
              </w:rPr>
              <w:t>c (Total Effect)</w:t>
            </w:r>
          </w:p>
        </w:tc>
        <w:tc>
          <w:tcPr>
            <w:tcW w:w="427" w:type="pct"/>
            <w:hideMark/>
          </w:tcPr>
          <w:p w14:paraId="6FCF40D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0.985</w:t>
            </w:r>
          </w:p>
        </w:tc>
        <w:tc>
          <w:tcPr>
            <w:tcW w:w="427" w:type="pct"/>
            <w:hideMark/>
          </w:tcPr>
          <w:p w14:paraId="7CF6762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27" w:type="pct"/>
            <w:hideMark/>
          </w:tcPr>
          <w:p w14:paraId="16209E0D"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436" w:type="pct"/>
            <w:hideMark/>
          </w:tcPr>
          <w:p w14:paraId="7C5C1C61"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792" w:type="pct"/>
            <w:hideMark/>
          </w:tcPr>
          <w:p w14:paraId="74B9B643"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800" w:type="pct"/>
            <w:hideMark/>
          </w:tcPr>
          <w:p w14:paraId="13922074"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w:t>
            </w:r>
          </w:p>
        </w:tc>
        <w:tc>
          <w:tcPr>
            <w:tcW w:w="359" w:type="pct"/>
            <w:hideMark/>
          </w:tcPr>
          <w:p w14:paraId="67F3BC35" w14:textId="77777777" w:rsidR="00885F3C" w:rsidRPr="003D2A76" w:rsidRDefault="00885F3C" w:rsidP="000767E9">
            <w:pPr>
              <w:bidi w:val="0"/>
              <w:spacing w:line="240" w:lineRule="auto"/>
              <w:jc w:val="center"/>
              <w:rPr>
                <w:rFonts w:asciiTheme="majorBidi" w:hAnsiTheme="majorBidi" w:cstheme="majorBidi"/>
                <w:lang w:val="en-GB"/>
              </w:rPr>
            </w:pPr>
            <w:r w:rsidRPr="003D2A76">
              <w:rPr>
                <w:rFonts w:asciiTheme="majorBidi" w:hAnsiTheme="majorBidi" w:cstheme="majorBidi"/>
                <w:lang w:val="en-GB"/>
              </w:rPr>
              <w:t>.800</w:t>
            </w:r>
          </w:p>
        </w:tc>
      </w:tr>
    </w:tbl>
    <w:p w14:paraId="605A324E" w14:textId="2BA325BC" w:rsidR="00885F3C" w:rsidRPr="003D2A76" w:rsidRDefault="00885F3C" w:rsidP="003D62B6">
      <w:pPr>
        <w:bidi w:val="0"/>
        <w:rPr>
          <w:rFonts w:asciiTheme="majorBidi" w:hAnsiTheme="majorBidi" w:cstheme="majorBidi"/>
          <w:vertAlign w:val="superscript"/>
          <w:lang w:val="en-GB"/>
        </w:rPr>
      </w:pPr>
      <w:r w:rsidRPr="003D2A76">
        <w:rPr>
          <w:rFonts w:asciiTheme="majorBidi" w:hAnsiTheme="majorBidi" w:cstheme="majorBidi"/>
          <w:vertAlign w:val="superscript"/>
          <w:lang w:val="en-GB"/>
        </w:rPr>
        <w:t xml:space="preserve">Note. N = 409. Bootstrap samples = 5,000. CI = percentile bootstrap confidence interval. R² for final model predicting Purchase </w:t>
      </w:r>
    </w:p>
    <w:p w14:paraId="7F48C987" w14:textId="3AF9EFCE"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Panel B: Perceived Value as Mediator (H7</w:t>
      </w:r>
      <w:r w:rsidR="009D2DAA" w:rsidRPr="003D2A76">
        <w:rPr>
          <w:rFonts w:asciiTheme="majorBidi" w:hAnsiTheme="majorBidi" w:cstheme="majorBidi"/>
          <w:b/>
          <w:bCs/>
          <w:i/>
          <w:lang w:val="en-GB"/>
        </w:rPr>
        <w:t>–</w:t>
      </w:r>
      <w:r w:rsidRPr="003D2A76">
        <w:rPr>
          <w:rFonts w:asciiTheme="majorBidi" w:hAnsiTheme="majorBidi" w:cstheme="majorBidi"/>
          <w:b/>
          <w:bCs/>
          <w:i/>
          <w:lang w:val="en-GB"/>
        </w:rPr>
        <w:t>H9)</w:t>
      </w:r>
    </w:p>
    <w:tbl>
      <w:tblPr>
        <w:tblStyle w:val="TableGrid"/>
        <w:tblW w:w="5000" w:type="pct"/>
        <w:tblLook w:val="04A0" w:firstRow="1" w:lastRow="0" w:firstColumn="1" w:lastColumn="0" w:noHBand="0" w:noVBand="1"/>
      </w:tblPr>
      <w:tblGrid>
        <w:gridCol w:w="2510"/>
        <w:gridCol w:w="775"/>
        <w:gridCol w:w="711"/>
        <w:gridCol w:w="711"/>
        <w:gridCol w:w="726"/>
        <w:gridCol w:w="1292"/>
        <w:gridCol w:w="1304"/>
        <w:gridCol w:w="601"/>
      </w:tblGrid>
      <w:tr w:rsidR="00885F3C" w:rsidRPr="003D2A76" w14:paraId="1B0A5711" w14:textId="77777777" w:rsidTr="006A4A5D">
        <w:tc>
          <w:tcPr>
            <w:tcW w:w="1457" w:type="pct"/>
            <w:hideMark/>
          </w:tcPr>
          <w:p w14:paraId="26682F2A"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Path</w:t>
            </w:r>
          </w:p>
        </w:tc>
        <w:tc>
          <w:tcPr>
            <w:tcW w:w="452" w:type="pct"/>
            <w:hideMark/>
          </w:tcPr>
          <w:p w14:paraId="05E62020"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B</w:t>
            </w:r>
          </w:p>
        </w:tc>
        <w:tc>
          <w:tcPr>
            <w:tcW w:w="409" w:type="pct"/>
            <w:hideMark/>
          </w:tcPr>
          <w:p w14:paraId="686B1223"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SE</w:t>
            </w:r>
          </w:p>
        </w:tc>
        <w:tc>
          <w:tcPr>
            <w:tcW w:w="409" w:type="pct"/>
            <w:hideMark/>
          </w:tcPr>
          <w:p w14:paraId="6EA3B07D"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t</w:t>
            </w:r>
          </w:p>
        </w:tc>
        <w:tc>
          <w:tcPr>
            <w:tcW w:w="418" w:type="pct"/>
            <w:hideMark/>
          </w:tcPr>
          <w:p w14:paraId="18B69B35"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p</w:t>
            </w:r>
          </w:p>
        </w:tc>
        <w:tc>
          <w:tcPr>
            <w:tcW w:w="751" w:type="pct"/>
            <w:hideMark/>
          </w:tcPr>
          <w:p w14:paraId="306CF408"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95% CI LL</w:t>
            </w:r>
          </w:p>
        </w:tc>
        <w:tc>
          <w:tcPr>
            <w:tcW w:w="758" w:type="pct"/>
            <w:hideMark/>
          </w:tcPr>
          <w:p w14:paraId="5EDA9E16"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95% CI UL</w:t>
            </w:r>
          </w:p>
        </w:tc>
        <w:tc>
          <w:tcPr>
            <w:tcW w:w="346" w:type="pct"/>
            <w:hideMark/>
          </w:tcPr>
          <w:p w14:paraId="03EFA144" w14:textId="77777777" w:rsidR="00885F3C" w:rsidRPr="003D2A76" w:rsidRDefault="00885F3C" w:rsidP="00F04310">
            <w:pPr>
              <w:bidi w:val="0"/>
              <w:spacing w:line="240" w:lineRule="auto"/>
              <w:rPr>
                <w:rFonts w:asciiTheme="majorBidi" w:hAnsiTheme="majorBidi" w:cstheme="majorBidi"/>
                <w:b/>
                <w:bCs/>
                <w:lang w:val="en-GB"/>
              </w:rPr>
            </w:pPr>
            <w:r w:rsidRPr="003D2A76">
              <w:rPr>
                <w:rFonts w:asciiTheme="majorBidi" w:hAnsiTheme="majorBidi" w:cstheme="majorBidi"/>
                <w:b/>
                <w:bCs/>
                <w:lang w:val="en-GB"/>
              </w:rPr>
              <w:t>R²</w:t>
            </w:r>
          </w:p>
        </w:tc>
      </w:tr>
      <w:tr w:rsidR="00885F3C" w:rsidRPr="003D2A76" w14:paraId="7AE9F8C0" w14:textId="77777777" w:rsidTr="006A4A5D">
        <w:tc>
          <w:tcPr>
            <w:tcW w:w="5000" w:type="pct"/>
            <w:gridSpan w:val="8"/>
            <w:hideMark/>
          </w:tcPr>
          <w:p w14:paraId="76BAE4D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H7: AI Teaching → Perceived Value → Purchase Intention</w:t>
            </w:r>
          </w:p>
        </w:tc>
      </w:tr>
      <w:tr w:rsidR="00885F3C" w:rsidRPr="003D2A76" w14:paraId="3D746A52" w14:textId="77777777" w:rsidTr="006A4A5D">
        <w:tc>
          <w:tcPr>
            <w:tcW w:w="1457" w:type="pct"/>
            <w:hideMark/>
          </w:tcPr>
          <w:p w14:paraId="7CF8C64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a (AI Teach → Perc Val)</w:t>
            </w:r>
          </w:p>
        </w:tc>
        <w:tc>
          <w:tcPr>
            <w:tcW w:w="452" w:type="pct"/>
            <w:hideMark/>
          </w:tcPr>
          <w:p w14:paraId="6EDB544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0.662</w:t>
            </w:r>
          </w:p>
        </w:tc>
        <w:tc>
          <w:tcPr>
            <w:tcW w:w="409" w:type="pct"/>
            <w:hideMark/>
          </w:tcPr>
          <w:p w14:paraId="6F3C1FF2"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0.040</w:t>
            </w:r>
          </w:p>
        </w:tc>
        <w:tc>
          <w:tcPr>
            <w:tcW w:w="409" w:type="pct"/>
            <w:hideMark/>
          </w:tcPr>
          <w:p w14:paraId="70A27B2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16.42</w:t>
            </w:r>
          </w:p>
        </w:tc>
        <w:tc>
          <w:tcPr>
            <w:tcW w:w="418" w:type="pct"/>
            <w:hideMark/>
          </w:tcPr>
          <w:p w14:paraId="245A705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3C947ADE"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0.583</w:t>
            </w:r>
          </w:p>
        </w:tc>
        <w:tc>
          <w:tcPr>
            <w:tcW w:w="758" w:type="pct"/>
            <w:hideMark/>
          </w:tcPr>
          <w:p w14:paraId="273A7882"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0.742</w:t>
            </w:r>
          </w:p>
        </w:tc>
        <w:tc>
          <w:tcPr>
            <w:tcW w:w="346" w:type="pct"/>
            <w:hideMark/>
          </w:tcPr>
          <w:p w14:paraId="092DCF3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.399</w:t>
            </w:r>
          </w:p>
        </w:tc>
      </w:tr>
      <w:tr w:rsidR="00885F3C" w:rsidRPr="003D2A76" w14:paraId="782A8C45" w14:textId="77777777" w:rsidTr="006A4A5D">
        <w:tc>
          <w:tcPr>
            <w:tcW w:w="1457" w:type="pct"/>
            <w:hideMark/>
          </w:tcPr>
          <w:p w14:paraId="361F9BB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b (Perc Val → PurchInt)</w:t>
            </w:r>
          </w:p>
        </w:tc>
        <w:tc>
          <w:tcPr>
            <w:tcW w:w="452" w:type="pct"/>
            <w:hideMark/>
          </w:tcPr>
          <w:p w14:paraId="75A6743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0.823</w:t>
            </w:r>
          </w:p>
        </w:tc>
        <w:tc>
          <w:tcPr>
            <w:tcW w:w="409" w:type="pct"/>
            <w:hideMark/>
          </w:tcPr>
          <w:p w14:paraId="0DC5DBB8"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0.045</w:t>
            </w:r>
          </w:p>
        </w:tc>
        <w:tc>
          <w:tcPr>
            <w:tcW w:w="409" w:type="pct"/>
            <w:hideMark/>
          </w:tcPr>
          <w:p w14:paraId="7A8AE50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18.50</w:t>
            </w:r>
          </w:p>
        </w:tc>
        <w:tc>
          <w:tcPr>
            <w:tcW w:w="418" w:type="pct"/>
            <w:hideMark/>
          </w:tcPr>
          <w:p w14:paraId="3D82214E"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4444714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0.735</w:t>
            </w:r>
          </w:p>
        </w:tc>
        <w:tc>
          <w:tcPr>
            <w:tcW w:w="758" w:type="pct"/>
            <w:hideMark/>
          </w:tcPr>
          <w:p w14:paraId="10BB40C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0.910</w:t>
            </w:r>
          </w:p>
        </w:tc>
        <w:tc>
          <w:tcPr>
            <w:tcW w:w="346" w:type="pct"/>
            <w:hideMark/>
          </w:tcPr>
          <w:p w14:paraId="7AB12021"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31CB61F8" w14:textId="77777777" w:rsidTr="006A4A5D">
        <w:tc>
          <w:tcPr>
            <w:tcW w:w="1457" w:type="pct"/>
            <w:hideMark/>
          </w:tcPr>
          <w:p w14:paraId="13541DB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c' (Direct Effect)</w:t>
            </w:r>
          </w:p>
        </w:tc>
        <w:tc>
          <w:tcPr>
            <w:tcW w:w="452" w:type="pct"/>
            <w:hideMark/>
          </w:tcPr>
          <w:p w14:paraId="1D03D51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-0.133</w:t>
            </w:r>
          </w:p>
        </w:tc>
        <w:tc>
          <w:tcPr>
            <w:tcW w:w="409" w:type="pct"/>
            <w:hideMark/>
          </w:tcPr>
          <w:p w14:paraId="37117E6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0.047</w:t>
            </w:r>
          </w:p>
        </w:tc>
        <w:tc>
          <w:tcPr>
            <w:tcW w:w="409" w:type="pct"/>
            <w:hideMark/>
          </w:tcPr>
          <w:p w14:paraId="352B537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-2.85</w:t>
            </w:r>
          </w:p>
        </w:tc>
        <w:tc>
          <w:tcPr>
            <w:tcW w:w="418" w:type="pct"/>
            <w:hideMark/>
          </w:tcPr>
          <w:p w14:paraId="5A2CF2F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.005</w:t>
            </w:r>
          </w:p>
        </w:tc>
        <w:tc>
          <w:tcPr>
            <w:tcW w:w="751" w:type="pct"/>
            <w:hideMark/>
          </w:tcPr>
          <w:p w14:paraId="0971AA3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-0.225</w:t>
            </w:r>
          </w:p>
        </w:tc>
        <w:tc>
          <w:tcPr>
            <w:tcW w:w="758" w:type="pct"/>
            <w:hideMark/>
          </w:tcPr>
          <w:p w14:paraId="689B3068"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-0.041</w:t>
            </w:r>
          </w:p>
        </w:tc>
        <w:tc>
          <w:tcPr>
            <w:tcW w:w="346" w:type="pct"/>
            <w:hideMark/>
          </w:tcPr>
          <w:p w14:paraId="249CE35E"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63FAA28F" w14:textId="77777777" w:rsidTr="006A4A5D">
        <w:tc>
          <w:tcPr>
            <w:tcW w:w="1457" w:type="pct"/>
            <w:hideMark/>
          </w:tcPr>
          <w:p w14:paraId="627A323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a×b (Indirect Effect)</w:t>
            </w:r>
          </w:p>
        </w:tc>
        <w:tc>
          <w:tcPr>
            <w:tcW w:w="452" w:type="pct"/>
            <w:hideMark/>
          </w:tcPr>
          <w:p w14:paraId="04E67BD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0.545</w:t>
            </w:r>
          </w:p>
        </w:tc>
        <w:tc>
          <w:tcPr>
            <w:tcW w:w="409" w:type="pct"/>
            <w:hideMark/>
          </w:tcPr>
          <w:p w14:paraId="1929E8F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0.056</w:t>
            </w:r>
          </w:p>
        </w:tc>
        <w:tc>
          <w:tcPr>
            <w:tcW w:w="409" w:type="pct"/>
            <w:hideMark/>
          </w:tcPr>
          <w:p w14:paraId="77DAD08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18" w:type="pct"/>
            <w:hideMark/>
          </w:tcPr>
          <w:p w14:paraId="207E967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1" w:type="pct"/>
            <w:hideMark/>
          </w:tcPr>
          <w:p w14:paraId="33605CAE"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0.439</w:t>
            </w:r>
          </w:p>
        </w:tc>
        <w:tc>
          <w:tcPr>
            <w:tcW w:w="758" w:type="pct"/>
            <w:hideMark/>
          </w:tcPr>
          <w:p w14:paraId="12D0513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0.661</w:t>
            </w:r>
          </w:p>
        </w:tc>
        <w:tc>
          <w:tcPr>
            <w:tcW w:w="346" w:type="pct"/>
            <w:hideMark/>
          </w:tcPr>
          <w:p w14:paraId="5CC746F9"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0091C5AF" w14:textId="77777777" w:rsidTr="006A4A5D">
        <w:tc>
          <w:tcPr>
            <w:tcW w:w="1457" w:type="pct"/>
            <w:hideMark/>
          </w:tcPr>
          <w:p w14:paraId="213B3B9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c (Total Effect)</w:t>
            </w:r>
          </w:p>
        </w:tc>
        <w:tc>
          <w:tcPr>
            <w:tcW w:w="452" w:type="pct"/>
            <w:hideMark/>
          </w:tcPr>
          <w:p w14:paraId="7868E79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0.412</w:t>
            </w:r>
          </w:p>
        </w:tc>
        <w:tc>
          <w:tcPr>
            <w:tcW w:w="409" w:type="pct"/>
            <w:hideMark/>
          </w:tcPr>
          <w:p w14:paraId="6B8880D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09" w:type="pct"/>
            <w:hideMark/>
          </w:tcPr>
          <w:p w14:paraId="6EC47A5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18" w:type="pct"/>
            <w:hideMark/>
          </w:tcPr>
          <w:p w14:paraId="0297717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1" w:type="pct"/>
            <w:hideMark/>
          </w:tcPr>
          <w:p w14:paraId="06E9C6A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8" w:type="pct"/>
            <w:hideMark/>
          </w:tcPr>
          <w:p w14:paraId="51774412"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346" w:type="pct"/>
            <w:hideMark/>
          </w:tcPr>
          <w:p w14:paraId="677B4EF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.537</w:t>
            </w:r>
          </w:p>
        </w:tc>
      </w:tr>
      <w:tr w:rsidR="00885F3C" w:rsidRPr="003D2A76" w14:paraId="4B316B4D" w14:textId="77777777" w:rsidTr="006A4A5D">
        <w:tc>
          <w:tcPr>
            <w:tcW w:w="5000" w:type="pct"/>
            <w:gridSpan w:val="8"/>
            <w:hideMark/>
          </w:tcPr>
          <w:p w14:paraId="73597D8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H8: AI Marketing → Perceived Value → Purchase Intention</w:t>
            </w:r>
          </w:p>
        </w:tc>
      </w:tr>
      <w:tr w:rsidR="00885F3C" w:rsidRPr="003D2A76" w14:paraId="37F44BB2" w14:textId="77777777" w:rsidTr="006A4A5D">
        <w:tc>
          <w:tcPr>
            <w:tcW w:w="1457" w:type="pct"/>
            <w:hideMark/>
          </w:tcPr>
          <w:p w14:paraId="41EE447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a (AI Market → Perc Val)</w:t>
            </w:r>
          </w:p>
        </w:tc>
        <w:tc>
          <w:tcPr>
            <w:tcW w:w="452" w:type="pct"/>
            <w:hideMark/>
          </w:tcPr>
          <w:p w14:paraId="6CC5346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0.573</w:t>
            </w:r>
          </w:p>
        </w:tc>
        <w:tc>
          <w:tcPr>
            <w:tcW w:w="409" w:type="pct"/>
            <w:hideMark/>
          </w:tcPr>
          <w:p w14:paraId="6477ABC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0.043</w:t>
            </w:r>
          </w:p>
        </w:tc>
        <w:tc>
          <w:tcPr>
            <w:tcW w:w="409" w:type="pct"/>
            <w:hideMark/>
          </w:tcPr>
          <w:p w14:paraId="5E05EE32"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13.43</w:t>
            </w:r>
          </w:p>
        </w:tc>
        <w:tc>
          <w:tcPr>
            <w:tcW w:w="418" w:type="pct"/>
            <w:hideMark/>
          </w:tcPr>
          <w:p w14:paraId="248FEC8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4070B96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0.489</w:t>
            </w:r>
          </w:p>
        </w:tc>
        <w:tc>
          <w:tcPr>
            <w:tcW w:w="758" w:type="pct"/>
            <w:hideMark/>
          </w:tcPr>
          <w:p w14:paraId="3F85622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0.657</w:t>
            </w:r>
          </w:p>
        </w:tc>
        <w:tc>
          <w:tcPr>
            <w:tcW w:w="346" w:type="pct"/>
            <w:hideMark/>
          </w:tcPr>
          <w:p w14:paraId="7B138C2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.307</w:t>
            </w:r>
          </w:p>
        </w:tc>
      </w:tr>
      <w:tr w:rsidR="00885F3C" w:rsidRPr="003D2A76" w14:paraId="7C4EC682" w14:textId="77777777" w:rsidTr="006A4A5D">
        <w:tc>
          <w:tcPr>
            <w:tcW w:w="1457" w:type="pct"/>
            <w:hideMark/>
          </w:tcPr>
          <w:p w14:paraId="3208C70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b (Perc Val → PurchInt)</w:t>
            </w:r>
          </w:p>
        </w:tc>
        <w:tc>
          <w:tcPr>
            <w:tcW w:w="452" w:type="pct"/>
            <w:hideMark/>
          </w:tcPr>
          <w:p w14:paraId="15C734F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0.795</w:t>
            </w:r>
          </w:p>
        </w:tc>
        <w:tc>
          <w:tcPr>
            <w:tcW w:w="409" w:type="pct"/>
            <w:hideMark/>
          </w:tcPr>
          <w:p w14:paraId="164721F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0.042</w:t>
            </w:r>
          </w:p>
        </w:tc>
        <w:tc>
          <w:tcPr>
            <w:tcW w:w="409" w:type="pct"/>
            <w:hideMark/>
          </w:tcPr>
          <w:p w14:paraId="41EF232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19.11</w:t>
            </w:r>
          </w:p>
        </w:tc>
        <w:tc>
          <w:tcPr>
            <w:tcW w:w="418" w:type="pct"/>
            <w:hideMark/>
          </w:tcPr>
          <w:p w14:paraId="0E25476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4730C38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0.713</w:t>
            </w:r>
          </w:p>
        </w:tc>
        <w:tc>
          <w:tcPr>
            <w:tcW w:w="758" w:type="pct"/>
            <w:hideMark/>
          </w:tcPr>
          <w:p w14:paraId="34CB24E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0.876</w:t>
            </w:r>
          </w:p>
        </w:tc>
        <w:tc>
          <w:tcPr>
            <w:tcW w:w="346" w:type="pct"/>
            <w:hideMark/>
          </w:tcPr>
          <w:p w14:paraId="7054B273"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04208371" w14:textId="77777777" w:rsidTr="006A4A5D">
        <w:tc>
          <w:tcPr>
            <w:tcW w:w="1457" w:type="pct"/>
            <w:hideMark/>
          </w:tcPr>
          <w:p w14:paraId="7522563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c' (Direct Effect)</w:t>
            </w:r>
          </w:p>
        </w:tc>
        <w:tc>
          <w:tcPr>
            <w:tcW w:w="452" w:type="pct"/>
            <w:hideMark/>
          </w:tcPr>
          <w:p w14:paraId="415393D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-0.097</w:t>
            </w:r>
          </w:p>
        </w:tc>
        <w:tc>
          <w:tcPr>
            <w:tcW w:w="409" w:type="pct"/>
            <w:hideMark/>
          </w:tcPr>
          <w:p w14:paraId="3E5A862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0.043</w:t>
            </w:r>
          </w:p>
        </w:tc>
        <w:tc>
          <w:tcPr>
            <w:tcW w:w="409" w:type="pct"/>
            <w:hideMark/>
          </w:tcPr>
          <w:p w14:paraId="31DA509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-2.26</w:t>
            </w:r>
          </w:p>
        </w:tc>
        <w:tc>
          <w:tcPr>
            <w:tcW w:w="418" w:type="pct"/>
            <w:hideMark/>
          </w:tcPr>
          <w:p w14:paraId="1F52FF2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.024</w:t>
            </w:r>
          </w:p>
        </w:tc>
        <w:tc>
          <w:tcPr>
            <w:tcW w:w="751" w:type="pct"/>
            <w:hideMark/>
          </w:tcPr>
          <w:p w14:paraId="4E12975D"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-0.182</w:t>
            </w:r>
          </w:p>
        </w:tc>
        <w:tc>
          <w:tcPr>
            <w:tcW w:w="758" w:type="pct"/>
            <w:hideMark/>
          </w:tcPr>
          <w:p w14:paraId="3A45A6B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-0.013</w:t>
            </w:r>
          </w:p>
        </w:tc>
        <w:tc>
          <w:tcPr>
            <w:tcW w:w="346" w:type="pct"/>
            <w:hideMark/>
          </w:tcPr>
          <w:p w14:paraId="1D19DC2E"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1A5673B8" w14:textId="77777777" w:rsidTr="006A4A5D">
        <w:tc>
          <w:tcPr>
            <w:tcW w:w="1457" w:type="pct"/>
            <w:hideMark/>
          </w:tcPr>
          <w:p w14:paraId="6E5F386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a×b (Indirect Effect)</w:t>
            </w:r>
          </w:p>
        </w:tc>
        <w:tc>
          <w:tcPr>
            <w:tcW w:w="452" w:type="pct"/>
            <w:hideMark/>
          </w:tcPr>
          <w:p w14:paraId="5603A3A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0.455</w:t>
            </w:r>
          </w:p>
        </w:tc>
        <w:tc>
          <w:tcPr>
            <w:tcW w:w="409" w:type="pct"/>
            <w:hideMark/>
          </w:tcPr>
          <w:p w14:paraId="64AA2E9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0.043</w:t>
            </w:r>
          </w:p>
        </w:tc>
        <w:tc>
          <w:tcPr>
            <w:tcW w:w="409" w:type="pct"/>
            <w:hideMark/>
          </w:tcPr>
          <w:p w14:paraId="6FCA001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18" w:type="pct"/>
            <w:hideMark/>
          </w:tcPr>
          <w:p w14:paraId="3371624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1" w:type="pct"/>
            <w:hideMark/>
          </w:tcPr>
          <w:p w14:paraId="1FD3BFA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0.373</w:t>
            </w:r>
          </w:p>
        </w:tc>
        <w:tc>
          <w:tcPr>
            <w:tcW w:w="758" w:type="pct"/>
            <w:hideMark/>
          </w:tcPr>
          <w:p w14:paraId="196CCB5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0.540</w:t>
            </w:r>
          </w:p>
        </w:tc>
        <w:tc>
          <w:tcPr>
            <w:tcW w:w="346" w:type="pct"/>
            <w:hideMark/>
          </w:tcPr>
          <w:p w14:paraId="7DC2196D"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5052C75E" w14:textId="77777777" w:rsidTr="006A4A5D">
        <w:tc>
          <w:tcPr>
            <w:tcW w:w="1457" w:type="pct"/>
            <w:hideMark/>
          </w:tcPr>
          <w:p w14:paraId="01A21CE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c (Total Effect)</w:t>
            </w:r>
          </w:p>
        </w:tc>
        <w:tc>
          <w:tcPr>
            <w:tcW w:w="452" w:type="pct"/>
            <w:hideMark/>
          </w:tcPr>
          <w:p w14:paraId="433BB99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0.358</w:t>
            </w:r>
          </w:p>
        </w:tc>
        <w:tc>
          <w:tcPr>
            <w:tcW w:w="409" w:type="pct"/>
            <w:hideMark/>
          </w:tcPr>
          <w:p w14:paraId="654A958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09" w:type="pct"/>
            <w:hideMark/>
          </w:tcPr>
          <w:p w14:paraId="7956C3D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18" w:type="pct"/>
            <w:hideMark/>
          </w:tcPr>
          <w:p w14:paraId="10A3F59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1" w:type="pct"/>
            <w:hideMark/>
          </w:tcPr>
          <w:p w14:paraId="7D1227B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8" w:type="pct"/>
            <w:hideMark/>
          </w:tcPr>
          <w:p w14:paraId="3C8B046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346" w:type="pct"/>
            <w:hideMark/>
          </w:tcPr>
          <w:p w14:paraId="3C34CABF"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.534</w:t>
            </w:r>
          </w:p>
        </w:tc>
      </w:tr>
      <w:tr w:rsidR="00885F3C" w:rsidRPr="003D2A76" w14:paraId="1E1EE264" w14:textId="77777777" w:rsidTr="006A4A5D">
        <w:tc>
          <w:tcPr>
            <w:tcW w:w="5000" w:type="pct"/>
            <w:gridSpan w:val="8"/>
            <w:hideMark/>
          </w:tcPr>
          <w:p w14:paraId="12B75404"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H9: Service Quality → Perceived Value → Purchase Intention</w:t>
            </w:r>
          </w:p>
        </w:tc>
      </w:tr>
      <w:tr w:rsidR="00885F3C" w:rsidRPr="003D2A76" w14:paraId="7CFEC3A7" w14:textId="77777777" w:rsidTr="006A4A5D">
        <w:tc>
          <w:tcPr>
            <w:tcW w:w="1457" w:type="pct"/>
            <w:hideMark/>
          </w:tcPr>
          <w:p w14:paraId="21DFCE0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a (Serv Qual → Perc Val)</w:t>
            </w:r>
          </w:p>
        </w:tc>
        <w:tc>
          <w:tcPr>
            <w:tcW w:w="452" w:type="pct"/>
            <w:hideMark/>
          </w:tcPr>
          <w:p w14:paraId="21EEAE4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0.844</w:t>
            </w:r>
          </w:p>
        </w:tc>
        <w:tc>
          <w:tcPr>
            <w:tcW w:w="409" w:type="pct"/>
            <w:hideMark/>
          </w:tcPr>
          <w:p w14:paraId="5CA03F7E"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0.038</w:t>
            </w:r>
          </w:p>
        </w:tc>
        <w:tc>
          <w:tcPr>
            <w:tcW w:w="409" w:type="pct"/>
            <w:hideMark/>
          </w:tcPr>
          <w:p w14:paraId="0AB0A7F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22.44</w:t>
            </w:r>
          </w:p>
        </w:tc>
        <w:tc>
          <w:tcPr>
            <w:tcW w:w="418" w:type="pct"/>
            <w:hideMark/>
          </w:tcPr>
          <w:p w14:paraId="36290E8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601FB37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0.770</w:t>
            </w:r>
          </w:p>
        </w:tc>
        <w:tc>
          <w:tcPr>
            <w:tcW w:w="758" w:type="pct"/>
            <w:hideMark/>
          </w:tcPr>
          <w:p w14:paraId="3B35260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0.918</w:t>
            </w:r>
          </w:p>
        </w:tc>
        <w:tc>
          <w:tcPr>
            <w:tcW w:w="346" w:type="pct"/>
            <w:hideMark/>
          </w:tcPr>
          <w:p w14:paraId="0100210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.553</w:t>
            </w:r>
          </w:p>
        </w:tc>
      </w:tr>
      <w:tr w:rsidR="00885F3C" w:rsidRPr="003D2A76" w14:paraId="7B81D9FF" w14:textId="77777777" w:rsidTr="006A4A5D">
        <w:tc>
          <w:tcPr>
            <w:tcW w:w="1457" w:type="pct"/>
            <w:hideMark/>
          </w:tcPr>
          <w:p w14:paraId="54A4E8E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b (Perc Val → PurchInt)</w:t>
            </w:r>
          </w:p>
        </w:tc>
        <w:tc>
          <w:tcPr>
            <w:tcW w:w="452" w:type="pct"/>
            <w:hideMark/>
          </w:tcPr>
          <w:p w14:paraId="55871E3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0.217</w:t>
            </w:r>
          </w:p>
        </w:tc>
        <w:tc>
          <w:tcPr>
            <w:tcW w:w="409" w:type="pct"/>
            <w:hideMark/>
          </w:tcPr>
          <w:p w14:paraId="3B9EDDF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0.039</w:t>
            </w:r>
          </w:p>
        </w:tc>
        <w:tc>
          <w:tcPr>
            <w:tcW w:w="409" w:type="pct"/>
            <w:hideMark/>
          </w:tcPr>
          <w:p w14:paraId="58B689E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5.64</w:t>
            </w:r>
          </w:p>
        </w:tc>
        <w:tc>
          <w:tcPr>
            <w:tcW w:w="418" w:type="pct"/>
            <w:hideMark/>
          </w:tcPr>
          <w:p w14:paraId="6DD6153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48F91A8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0.142</w:t>
            </w:r>
          </w:p>
        </w:tc>
        <w:tc>
          <w:tcPr>
            <w:tcW w:w="758" w:type="pct"/>
            <w:hideMark/>
          </w:tcPr>
          <w:p w14:paraId="177B796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0.293</w:t>
            </w:r>
          </w:p>
        </w:tc>
        <w:tc>
          <w:tcPr>
            <w:tcW w:w="346" w:type="pct"/>
            <w:hideMark/>
          </w:tcPr>
          <w:p w14:paraId="76ECF50D"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43B05DA1" w14:textId="77777777" w:rsidTr="006A4A5D">
        <w:tc>
          <w:tcPr>
            <w:tcW w:w="1457" w:type="pct"/>
            <w:hideMark/>
          </w:tcPr>
          <w:p w14:paraId="3F95099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c' (Direct Effect)</w:t>
            </w:r>
          </w:p>
        </w:tc>
        <w:tc>
          <w:tcPr>
            <w:tcW w:w="452" w:type="pct"/>
            <w:hideMark/>
          </w:tcPr>
          <w:p w14:paraId="539DCCB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0.802</w:t>
            </w:r>
          </w:p>
        </w:tc>
        <w:tc>
          <w:tcPr>
            <w:tcW w:w="409" w:type="pct"/>
            <w:hideMark/>
          </w:tcPr>
          <w:p w14:paraId="67C40AD5"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0.044</w:t>
            </w:r>
          </w:p>
        </w:tc>
        <w:tc>
          <w:tcPr>
            <w:tcW w:w="409" w:type="pct"/>
            <w:hideMark/>
          </w:tcPr>
          <w:p w14:paraId="66E0729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18.32</w:t>
            </w:r>
          </w:p>
        </w:tc>
        <w:tc>
          <w:tcPr>
            <w:tcW w:w="418" w:type="pct"/>
            <w:hideMark/>
          </w:tcPr>
          <w:p w14:paraId="4B998D5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&lt;.001</w:t>
            </w:r>
          </w:p>
        </w:tc>
        <w:tc>
          <w:tcPr>
            <w:tcW w:w="751" w:type="pct"/>
            <w:hideMark/>
          </w:tcPr>
          <w:p w14:paraId="5CD0CF3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0.716</w:t>
            </w:r>
          </w:p>
        </w:tc>
        <w:tc>
          <w:tcPr>
            <w:tcW w:w="758" w:type="pct"/>
            <w:hideMark/>
          </w:tcPr>
          <w:p w14:paraId="51AA9E83"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0.888</w:t>
            </w:r>
          </w:p>
        </w:tc>
        <w:tc>
          <w:tcPr>
            <w:tcW w:w="346" w:type="pct"/>
            <w:hideMark/>
          </w:tcPr>
          <w:p w14:paraId="198FFB82"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30BF2918" w14:textId="77777777" w:rsidTr="006A4A5D">
        <w:tc>
          <w:tcPr>
            <w:tcW w:w="1457" w:type="pct"/>
            <w:hideMark/>
          </w:tcPr>
          <w:p w14:paraId="6004B431"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a×b (Indirect Effect)</w:t>
            </w:r>
          </w:p>
        </w:tc>
        <w:tc>
          <w:tcPr>
            <w:tcW w:w="452" w:type="pct"/>
            <w:hideMark/>
          </w:tcPr>
          <w:p w14:paraId="2F81995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0.184</w:t>
            </w:r>
          </w:p>
        </w:tc>
        <w:tc>
          <w:tcPr>
            <w:tcW w:w="409" w:type="pct"/>
            <w:hideMark/>
          </w:tcPr>
          <w:p w14:paraId="19E35FE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0.049</w:t>
            </w:r>
          </w:p>
        </w:tc>
        <w:tc>
          <w:tcPr>
            <w:tcW w:w="409" w:type="pct"/>
            <w:hideMark/>
          </w:tcPr>
          <w:p w14:paraId="42E36348"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18" w:type="pct"/>
            <w:hideMark/>
          </w:tcPr>
          <w:p w14:paraId="2864A1BE"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1" w:type="pct"/>
            <w:hideMark/>
          </w:tcPr>
          <w:p w14:paraId="379DAEA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0.097</w:t>
            </w:r>
          </w:p>
        </w:tc>
        <w:tc>
          <w:tcPr>
            <w:tcW w:w="758" w:type="pct"/>
            <w:hideMark/>
          </w:tcPr>
          <w:p w14:paraId="3742BC40"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0.290</w:t>
            </w:r>
          </w:p>
        </w:tc>
        <w:tc>
          <w:tcPr>
            <w:tcW w:w="346" w:type="pct"/>
            <w:hideMark/>
          </w:tcPr>
          <w:p w14:paraId="163CACD5" w14:textId="77777777" w:rsidR="00885F3C" w:rsidRPr="003D2A76" w:rsidRDefault="00885F3C" w:rsidP="00F04310">
            <w:pPr>
              <w:bidi w:val="0"/>
              <w:spacing w:line="240" w:lineRule="auto"/>
              <w:rPr>
                <w:rFonts w:asciiTheme="majorBidi" w:hAnsiTheme="majorBidi" w:cstheme="majorBidi"/>
                <w:lang w:val="en-GB"/>
              </w:rPr>
            </w:pPr>
          </w:p>
        </w:tc>
      </w:tr>
      <w:tr w:rsidR="00885F3C" w:rsidRPr="003D2A76" w14:paraId="25CC1375" w14:textId="77777777" w:rsidTr="006A4A5D">
        <w:tc>
          <w:tcPr>
            <w:tcW w:w="1457" w:type="pct"/>
            <w:hideMark/>
          </w:tcPr>
          <w:p w14:paraId="30983CA9"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c (Total Effect)</w:t>
            </w:r>
          </w:p>
        </w:tc>
        <w:tc>
          <w:tcPr>
            <w:tcW w:w="452" w:type="pct"/>
            <w:hideMark/>
          </w:tcPr>
          <w:p w14:paraId="5B5BE90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0.986</w:t>
            </w:r>
          </w:p>
        </w:tc>
        <w:tc>
          <w:tcPr>
            <w:tcW w:w="409" w:type="pct"/>
            <w:hideMark/>
          </w:tcPr>
          <w:p w14:paraId="70086067"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09" w:type="pct"/>
            <w:hideMark/>
          </w:tcPr>
          <w:p w14:paraId="0C67309A"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418" w:type="pct"/>
            <w:hideMark/>
          </w:tcPr>
          <w:p w14:paraId="6DC04E0C"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1" w:type="pct"/>
            <w:hideMark/>
          </w:tcPr>
          <w:p w14:paraId="057F14DB"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758" w:type="pct"/>
            <w:hideMark/>
          </w:tcPr>
          <w:p w14:paraId="774FB7A6"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lang w:val="en-GB"/>
              </w:rPr>
              <w:t>—</w:t>
            </w:r>
          </w:p>
        </w:tc>
        <w:tc>
          <w:tcPr>
            <w:tcW w:w="346" w:type="pct"/>
            <w:hideMark/>
          </w:tcPr>
          <w:p w14:paraId="48454DF2" w14:textId="77777777" w:rsidR="00885F3C" w:rsidRPr="003D2A76" w:rsidRDefault="00885F3C" w:rsidP="00F04310">
            <w:pPr>
              <w:bidi w:val="0"/>
              <w:spacing w:line="240" w:lineRule="auto"/>
              <w:rPr>
                <w:rFonts w:asciiTheme="majorBidi" w:hAnsiTheme="majorBidi" w:cstheme="majorBidi"/>
                <w:lang w:val="en-GB"/>
              </w:rPr>
            </w:pPr>
            <w:r w:rsidRPr="003D2A76">
              <w:rPr>
                <w:rFonts w:asciiTheme="majorBidi" w:hAnsiTheme="majorBidi" w:cstheme="majorBidi"/>
                <w:b/>
                <w:bCs/>
                <w:lang w:val="en-GB"/>
              </w:rPr>
              <w:t>.742</w:t>
            </w:r>
          </w:p>
        </w:tc>
      </w:tr>
    </w:tbl>
    <w:p w14:paraId="2113417A" w14:textId="77777777" w:rsidR="00885F3C" w:rsidRPr="003D2A76" w:rsidRDefault="00885F3C" w:rsidP="00BD6279">
      <w:pPr>
        <w:bidi w:val="0"/>
        <w:rPr>
          <w:rFonts w:asciiTheme="majorBidi" w:hAnsiTheme="majorBidi" w:cstheme="majorBidi"/>
          <w:vertAlign w:val="superscript"/>
          <w:lang w:val="en-GB"/>
        </w:rPr>
      </w:pPr>
      <w:r w:rsidRPr="003D2A76">
        <w:rPr>
          <w:rFonts w:asciiTheme="majorBidi" w:hAnsiTheme="majorBidi" w:cstheme="majorBidi"/>
          <w:i/>
          <w:iCs/>
          <w:vertAlign w:val="superscript"/>
          <w:lang w:val="en-GB"/>
        </w:rPr>
        <w:t>Note.</w:t>
      </w:r>
      <w:r w:rsidRPr="003D2A76">
        <w:rPr>
          <w:rFonts w:asciiTheme="majorBidi" w:hAnsiTheme="majorBidi" w:cstheme="majorBidi"/>
          <w:vertAlign w:val="superscript"/>
          <w:lang w:val="en-GB"/>
        </w:rPr>
        <w:t xml:space="preserve"> N = 409. Bootstrap samples = 5,000. Negative direct effects in H7 and H8 indicate suppression effects.</w:t>
      </w:r>
    </w:p>
    <w:p w14:paraId="7AC3B437"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noProof/>
          <w:lang w:val="en-GB"/>
        </w:rPr>
        <w:lastRenderedPageBreak/>
        <w:drawing>
          <wp:inline distT="0" distB="0" distL="0" distR="0" wp14:anchorId="1615D5FF" wp14:editId="5EBF5560">
            <wp:extent cx="5943600" cy="3438525"/>
            <wp:effectExtent l="0" t="0" r="0" b="9525"/>
            <wp:docPr id="963990251" name="Picture 8" descr="The image depicts a bar chart comparing the effect sizes of direct and indirect effects across various mediation hypotheses related to teaching, marketing, service quality, and their impact on performance indica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90251" name="Picture 8" descr="The image depicts a bar chart comparing the effect sizes of direct and indirect effects across various mediation hypotheses related to teaching, marketing, service quality, and their impact on performance indicator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438525"/>
                    </a:xfrm>
                    <a:prstGeom prst="rect">
                      <a:avLst/>
                    </a:prstGeom>
                    <a:noFill/>
                    <a:ln>
                      <a:noFill/>
                    </a:ln>
                  </pic:spPr>
                </pic:pic>
              </a:graphicData>
            </a:graphic>
          </wp:inline>
        </w:drawing>
      </w:r>
    </w:p>
    <w:p w14:paraId="40E5AC73" w14:textId="598B9975" w:rsidR="00885F3C" w:rsidRPr="003D2A76" w:rsidRDefault="00885F3C" w:rsidP="00BD6279">
      <w:pPr>
        <w:bidi w:val="0"/>
        <w:rPr>
          <w:rFonts w:asciiTheme="majorBidi" w:hAnsiTheme="majorBidi" w:cstheme="majorBidi"/>
          <w:b/>
          <w:bCs/>
          <w:lang w:val="en-GB"/>
        </w:rPr>
      </w:pPr>
      <w:bookmarkStart w:id="105" w:name="_Toc216904031"/>
      <w:bookmarkStart w:id="106" w:name="_Hlk232589455"/>
      <w:r w:rsidRPr="003D2A76">
        <w:rPr>
          <w:rFonts w:asciiTheme="majorBidi" w:hAnsiTheme="majorBidi" w:cstheme="majorBidi"/>
          <w:b/>
          <w:bCs/>
          <w:lang w:val="en-GB"/>
        </w:rPr>
        <w:t xml:space="preserve">Figure </w:t>
      </w:r>
      <w:r w:rsidR="00FA682D">
        <w:rPr>
          <w:rFonts w:asciiTheme="majorBidi" w:hAnsiTheme="majorBidi" w:cstheme="majorBidi"/>
          <w:b/>
          <w:bCs/>
          <w:lang w:val="en-GB"/>
        </w:rPr>
        <w:t>8</w:t>
      </w:r>
      <w:r w:rsidRPr="003D2A76">
        <w:rPr>
          <w:rFonts w:asciiTheme="majorBidi" w:hAnsiTheme="majorBidi" w:cstheme="majorBidi"/>
          <w:b/>
          <w:bCs/>
          <w:lang w:val="en-GB"/>
        </w:rPr>
        <w:t>: Moderated Mediation Model Diagram</w:t>
      </w:r>
      <w:bookmarkEnd w:id="105"/>
    </w:p>
    <w:bookmarkEnd w:id="106"/>
    <w:p w14:paraId="46158507" w14:textId="217182B0"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Hypotheses 10</w:t>
      </w:r>
      <w:r w:rsidR="009D2DAA" w:rsidRPr="003D2A76">
        <w:rPr>
          <w:rFonts w:asciiTheme="majorBidi" w:hAnsiTheme="majorBidi" w:cstheme="majorBidi"/>
          <w:b/>
          <w:bCs/>
          <w:i/>
          <w:lang w:val="en-GB"/>
        </w:rPr>
        <w:t>–</w:t>
      </w:r>
      <w:r w:rsidRPr="003D2A76">
        <w:rPr>
          <w:rFonts w:asciiTheme="majorBidi" w:hAnsiTheme="majorBidi" w:cstheme="majorBidi"/>
          <w:b/>
          <w:bCs/>
          <w:i/>
          <w:lang w:val="en-GB"/>
        </w:rPr>
        <w:t>11: Direct Effects on Purchase Intention</w:t>
      </w:r>
    </w:p>
    <w:p w14:paraId="429D41C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Direct relationships between AI adoption and purchase intention, through intervention, were not significant:</w:t>
      </w:r>
    </w:p>
    <w:p w14:paraId="25F20A4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H10: AI teaching → Purchase intention (β = 0.04, p = 0.12)</w:t>
      </w:r>
    </w:p>
    <w:p w14:paraId="5181E19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H11: AI marketing → Purchase intention (β = 0.00, p = 0.94)</w:t>
      </w:r>
    </w:p>
    <w:p w14:paraId="7EB96CB2" w14:textId="3E0A22F5"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Neither of the two hypotheses was supported, meaning that AI adoption has a role in purchase intention, but it affects it via intermediate quality and assessment processes.</w:t>
      </w:r>
      <w:r w:rsidRPr="003D2A76">
        <w:rPr>
          <w:rFonts w:asciiTheme="majorBidi" w:hAnsiTheme="majorBidi" w:cstheme="majorBidi"/>
          <w:lang w:val="en-GB"/>
        </w:rPr>
        <w:br/>
      </w:r>
      <w:r w:rsidR="009B03B2" w:rsidRPr="009B03B2">
        <w:rPr>
          <w:rFonts w:asciiTheme="majorBidi" w:hAnsiTheme="majorBidi" w:cstheme="majorBidi"/>
          <w:b/>
          <w:bCs/>
          <w:i/>
          <w:iCs/>
          <w:lang w:val="en-GB"/>
        </w:rPr>
        <w:t xml:space="preserve">4.10.4 </w:t>
      </w:r>
      <w:r w:rsidRPr="009B03B2">
        <w:rPr>
          <w:rFonts w:asciiTheme="majorBidi" w:hAnsiTheme="majorBidi" w:cstheme="majorBidi"/>
          <w:b/>
          <w:bCs/>
          <w:i/>
          <w:iCs/>
          <w:lang w:val="en-GB"/>
        </w:rPr>
        <w:t>Moderation Analysis</w:t>
      </w:r>
    </w:p>
    <w:p w14:paraId="2A8BE3FF" w14:textId="77777777" w:rsidR="00885F3C" w:rsidRPr="003D2A76" w:rsidRDefault="00885F3C" w:rsidP="00BD6279">
      <w:pPr>
        <w:bidi w:val="0"/>
        <w:rPr>
          <w:rFonts w:asciiTheme="majorBidi" w:hAnsiTheme="majorBidi" w:cstheme="majorBidi"/>
          <w:b/>
          <w:bCs/>
          <w:i/>
          <w:lang w:val="en-GB"/>
        </w:rPr>
      </w:pPr>
      <w:r w:rsidRPr="003D2A76">
        <w:rPr>
          <w:rFonts w:asciiTheme="majorBidi" w:hAnsiTheme="majorBidi" w:cstheme="majorBidi"/>
          <w:b/>
          <w:bCs/>
          <w:i/>
          <w:lang w:val="en-GB"/>
        </w:rPr>
        <w:t>Hypothesis 12: Cultural Factors as Moderator</w:t>
      </w:r>
    </w:p>
    <w:p w14:paraId="53B686E0" w14:textId="7E530A03" w:rsidR="00885F3C"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moderation analysis was done with </w:t>
      </w:r>
      <w:r w:rsidR="009D2DAA" w:rsidRPr="003D2A76">
        <w:rPr>
          <w:rFonts w:asciiTheme="majorBidi" w:hAnsiTheme="majorBidi" w:cstheme="majorBidi"/>
          <w:lang w:val="en-GB"/>
        </w:rPr>
        <w:t xml:space="preserve">the </w:t>
      </w:r>
      <w:r w:rsidRPr="003D2A76">
        <w:rPr>
          <w:rFonts w:asciiTheme="majorBidi" w:hAnsiTheme="majorBidi" w:cstheme="majorBidi"/>
          <w:lang w:val="en-GB"/>
        </w:rPr>
        <w:t xml:space="preserve">PROCESS Model 1 to determine whether the effects of AI adoption on service quality are moderated by cultural factors. In </w:t>
      </w:r>
      <w:r w:rsidR="009D2DAA" w:rsidRPr="003D2A76">
        <w:rPr>
          <w:rFonts w:asciiTheme="majorBidi" w:hAnsiTheme="majorBidi" w:cstheme="majorBidi"/>
          <w:lang w:val="en-GB"/>
        </w:rPr>
        <w:t xml:space="preserve">the </w:t>
      </w:r>
      <w:r w:rsidRPr="003D2A76">
        <w:rPr>
          <w:rFonts w:asciiTheme="majorBidi" w:hAnsiTheme="majorBidi" w:cstheme="majorBidi"/>
          <w:lang w:val="en-GB"/>
        </w:rPr>
        <w:t xml:space="preserve">case of AI teaching, the term of interaction was substantial (B = 0.10, SE = 0.03, t = 3.01, p = </w:t>
      </w:r>
      <w:r w:rsidRPr="003D2A76">
        <w:rPr>
          <w:rFonts w:asciiTheme="majorBidi" w:hAnsiTheme="majorBidi" w:cstheme="majorBidi"/>
          <w:lang w:val="en-GB"/>
        </w:rPr>
        <w:lastRenderedPageBreak/>
        <w:t>0.00)</w:t>
      </w:r>
      <w:r w:rsidR="00784327">
        <w:rPr>
          <w:rFonts w:asciiTheme="majorBidi" w:hAnsiTheme="majorBidi" w:cstheme="majorBidi"/>
          <w:lang w:val="en-GB"/>
        </w:rPr>
        <w:t>,</w:t>
      </w:r>
      <w:r w:rsidRPr="003D2A76">
        <w:rPr>
          <w:rFonts w:asciiTheme="majorBidi" w:hAnsiTheme="majorBidi" w:cstheme="majorBidi"/>
          <w:lang w:val="en-GB"/>
        </w:rPr>
        <w:t xml:space="preserve"> which confirms moderation. Simple slope analysis showed significant effects in high levels of cultural factors (B = 0.37, SE = 0.05) as compared to low levels (B = 0.20, SE = 0.06). In the case of AI marketing adoption, the interaction was not significant (B = -0.08, SE = 0.06, t = -1.33, p = 0.18), which means that it did not moderate the system. </w:t>
      </w:r>
      <w:r w:rsidR="009D2DAA" w:rsidRPr="003D2A76">
        <w:rPr>
          <w:rFonts w:asciiTheme="majorBidi" w:hAnsiTheme="majorBidi" w:cstheme="majorBidi"/>
          <w:lang w:val="en-GB"/>
        </w:rPr>
        <w:t>H</w:t>
      </w:r>
      <w:r w:rsidRPr="003D2A76">
        <w:rPr>
          <w:rFonts w:asciiTheme="majorBidi" w:hAnsiTheme="majorBidi" w:cstheme="majorBidi"/>
          <w:lang w:val="en-GB"/>
        </w:rPr>
        <w:t>ypothesis 12 was partly supported, where cultural factors mediated teaching and not marketing AI effects.</w:t>
      </w:r>
    </w:p>
    <w:p w14:paraId="1C612607" w14:textId="77777777" w:rsidR="00885F3C" w:rsidRPr="003D2A76" w:rsidRDefault="00885F3C" w:rsidP="00BD6279">
      <w:pPr>
        <w:bidi w:val="0"/>
        <w:rPr>
          <w:rFonts w:asciiTheme="majorBidi" w:hAnsiTheme="majorBidi" w:cstheme="majorBidi"/>
          <w:b/>
          <w:bCs/>
          <w:lang w:val="en-GB"/>
        </w:rPr>
      </w:pPr>
      <w:bookmarkStart w:id="107" w:name="_Toc227161646"/>
      <w:r w:rsidRPr="003D2A76">
        <w:rPr>
          <w:rFonts w:asciiTheme="majorBidi" w:hAnsiTheme="majorBidi" w:cstheme="majorBidi"/>
          <w:b/>
          <w:bCs/>
          <w:lang w:val="en-GB"/>
        </w:rPr>
        <w:t xml:space="preserve">Table 9 </w:t>
      </w:r>
      <w:r w:rsidRPr="003D2A76">
        <w:rPr>
          <w:rFonts w:asciiTheme="majorBidi" w:hAnsiTheme="majorBidi" w:cstheme="majorBidi"/>
          <w:b/>
          <w:bCs/>
          <w:lang w:val="en-GB"/>
        </w:rPr>
        <w:br/>
      </w:r>
      <w:bookmarkStart w:id="108" w:name="_Hlk232588441"/>
      <w:r w:rsidRPr="003D2A76">
        <w:rPr>
          <w:rFonts w:asciiTheme="majorBidi" w:hAnsiTheme="majorBidi" w:cstheme="majorBidi"/>
          <w:b/>
          <w:bCs/>
          <w:lang w:val="en-GB"/>
        </w:rPr>
        <w:t>Moderation Analysis Results (PROCESS Model 1)</w:t>
      </w:r>
      <w:bookmarkEnd w:id="107"/>
    </w:p>
    <w:tbl>
      <w:tblPr>
        <w:tblStyle w:val="TableGrid"/>
        <w:tblW w:w="5000" w:type="pct"/>
        <w:tblLook w:val="04A0" w:firstRow="1" w:lastRow="0" w:firstColumn="1" w:lastColumn="0" w:noHBand="0" w:noVBand="1"/>
      </w:tblPr>
      <w:tblGrid>
        <w:gridCol w:w="2479"/>
        <w:gridCol w:w="1094"/>
        <w:gridCol w:w="801"/>
        <w:gridCol w:w="900"/>
        <w:gridCol w:w="801"/>
        <w:gridCol w:w="1754"/>
        <w:gridCol w:w="801"/>
      </w:tblGrid>
      <w:tr w:rsidR="00885F3C" w:rsidRPr="003D2A76" w14:paraId="678E8784" w14:textId="77777777" w:rsidTr="006A4A5D">
        <w:tc>
          <w:tcPr>
            <w:tcW w:w="0" w:type="auto"/>
            <w:hideMark/>
          </w:tcPr>
          <w:bookmarkEnd w:id="108"/>
          <w:p w14:paraId="55FCAE89"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Moderator Effect</w:t>
            </w:r>
          </w:p>
        </w:tc>
        <w:tc>
          <w:tcPr>
            <w:tcW w:w="0" w:type="auto"/>
            <w:hideMark/>
          </w:tcPr>
          <w:p w14:paraId="59C0AF5C"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B</w:t>
            </w:r>
          </w:p>
        </w:tc>
        <w:tc>
          <w:tcPr>
            <w:tcW w:w="0" w:type="auto"/>
            <w:hideMark/>
          </w:tcPr>
          <w:p w14:paraId="50144459"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SE</w:t>
            </w:r>
          </w:p>
        </w:tc>
        <w:tc>
          <w:tcPr>
            <w:tcW w:w="0" w:type="auto"/>
            <w:hideMark/>
          </w:tcPr>
          <w:p w14:paraId="348EE1B3"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t</w:t>
            </w:r>
          </w:p>
        </w:tc>
        <w:tc>
          <w:tcPr>
            <w:tcW w:w="0" w:type="auto"/>
            <w:hideMark/>
          </w:tcPr>
          <w:p w14:paraId="687561EC"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p</w:t>
            </w:r>
          </w:p>
        </w:tc>
        <w:tc>
          <w:tcPr>
            <w:tcW w:w="0" w:type="auto"/>
            <w:hideMark/>
          </w:tcPr>
          <w:p w14:paraId="7A3A8907"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95% CI</w:t>
            </w:r>
          </w:p>
        </w:tc>
        <w:tc>
          <w:tcPr>
            <w:tcW w:w="0" w:type="auto"/>
            <w:hideMark/>
          </w:tcPr>
          <w:p w14:paraId="32A7B9C5"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Δ</w:t>
            </w:r>
            <w:r w:rsidRPr="003D2A76">
              <w:rPr>
                <w:rFonts w:asciiTheme="majorBidi" w:hAnsiTheme="majorBidi" w:cstheme="majorBidi"/>
                <w:b/>
                <w:bCs/>
                <w:i/>
                <w:iCs/>
                <w:lang w:val="en-GB"/>
              </w:rPr>
              <w:t>R</w:t>
            </w:r>
            <w:r w:rsidRPr="003D2A76">
              <w:rPr>
                <w:rFonts w:asciiTheme="majorBidi" w:hAnsiTheme="majorBidi" w:cstheme="majorBidi"/>
                <w:b/>
                <w:bCs/>
                <w:lang w:val="en-GB"/>
              </w:rPr>
              <w:t>²</w:t>
            </w:r>
          </w:p>
        </w:tc>
      </w:tr>
      <w:tr w:rsidR="00885F3C" w:rsidRPr="003D2A76" w14:paraId="12A0B557" w14:textId="77777777" w:rsidTr="006A4A5D">
        <w:tc>
          <w:tcPr>
            <w:tcW w:w="0" w:type="auto"/>
            <w:gridSpan w:val="7"/>
            <w:hideMark/>
          </w:tcPr>
          <w:p w14:paraId="61F1C1B2"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AITeach × Cult Fact → Serv Qual</w:t>
            </w:r>
          </w:p>
        </w:tc>
      </w:tr>
      <w:tr w:rsidR="00885F3C" w:rsidRPr="003D2A76" w14:paraId="4C3D1470" w14:textId="77777777" w:rsidTr="006A4A5D">
        <w:tc>
          <w:tcPr>
            <w:tcW w:w="0" w:type="auto"/>
            <w:hideMark/>
          </w:tcPr>
          <w:p w14:paraId="3A597EC2"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AITeach</w:t>
            </w:r>
          </w:p>
        </w:tc>
        <w:tc>
          <w:tcPr>
            <w:tcW w:w="0" w:type="auto"/>
            <w:hideMark/>
          </w:tcPr>
          <w:p w14:paraId="16609C2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-0.35</w:t>
            </w:r>
          </w:p>
        </w:tc>
        <w:tc>
          <w:tcPr>
            <w:tcW w:w="0" w:type="auto"/>
            <w:hideMark/>
          </w:tcPr>
          <w:p w14:paraId="1352C56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0.22</w:t>
            </w:r>
          </w:p>
        </w:tc>
        <w:tc>
          <w:tcPr>
            <w:tcW w:w="0" w:type="auto"/>
            <w:hideMark/>
          </w:tcPr>
          <w:p w14:paraId="696AEBD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-1.56</w:t>
            </w:r>
          </w:p>
        </w:tc>
        <w:tc>
          <w:tcPr>
            <w:tcW w:w="0" w:type="auto"/>
            <w:hideMark/>
          </w:tcPr>
          <w:p w14:paraId="45E6432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.119</w:t>
            </w:r>
          </w:p>
        </w:tc>
        <w:tc>
          <w:tcPr>
            <w:tcW w:w="0" w:type="auto"/>
            <w:hideMark/>
          </w:tcPr>
          <w:p w14:paraId="2DAB749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[-0.78, 0.09]</w:t>
            </w:r>
          </w:p>
        </w:tc>
        <w:tc>
          <w:tcPr>
            <w:tcW w:w="0" w:type="auto"/>
            <w:hideMark/>
          </w:tcPr>
          <w:p w14:paraId="25A529B0" w14:textId="77777777" w:rsidR="00885F3C" w:rsidRPr="003D2A76" w:rsidRDefault="00885F3C" w:rsidP="00BD6279">
            <w:pPr>
              <w:bidi w:val="0"/>
              <w:rPr>
                <w:rFonts w:asciiTheme="majorBidi" w:hAnsiTheme="majorBidi" w:cstheme="majorBidi"/>
                <w:lang w:val="en-GB"/>
              </w:rPr>
            </w:pPr>
          </w:p>
        </w:tc>
      </w:tr>
      <w:tr w:rsidR="00885F3C" w:rsidRPr="003D2A76" w14:paraId="1FDA77C2" w14:textId="77777777" w:rsidTr="006A4A5D">
        <w:tc>
          <w:tcPr>
            <w:tcW w:w="0" w:type="auto"/>
            <w:hideMark/>
          </w:tcPr>
          <w:p w14:paraId="5E45DBCF"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Cult Fact</w:t>
            </w:r>
          </w:p>
        </w:tc>
        <w:tc>
          <w:tcPr>
            <w:tcW w:w="0" w:type="auto"/>
            <w:hideMark/>
          </w:tcPr>
          <w:p w14:paraId="390E8D3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-0.15</w:t>
            </w:r>
          </w:p>
        </w:tc>
        <w:tc>
          <w:tcPr>
            <w:tcW w:w="0" w:type="auto"/>
            <w:hideMark/>
          </w:tcPr>
          <w:p w14:paraId="7E4C118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0.14</w:t>
            </w:r>
          </w:p>
        </w:tc>
        <w:tc>
          <w:tcPr>
            <w:tcW w:w="0" w:type="auto"/>
            <w:hideMark/>
          </w:tcPr>
          <w:p w14:paraId="4748673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-1.11</w:t>
            </w:r>
          </w:p>
        </w:tc>
        <w:tc>
          <w:tcPr>
            <w:tcW w:w="0" w:type="auto"/>
            <w:hideMark/>
          </w:tcPr>
          <w:p w14:paraId="3FAD863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.269</w:t>
            </w:r>
          </w:p>
        </w:tc>
        <w:tc>
          <w:tcPr>
            <w:tcW w:w="0" w:type="auto"/>
            <w:hideMark/>
          </w:tcPr>
          <w:p w14:paraId="7F03043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[-0.43, 0.12]</w:t>
            </w:r>
          </w:p>
        </w:tc>
        <w:tc>
          <w:tcPr>
            <w:tcW w:w="0" w:type="auto"/>
            <w:hideMark/>
          </w:tcPr>
          <w:p w14:paraId="31C64F3C" w14:textId="77777777" w:rsidR="00885F3C" w:rsidRPr="003D2A76" w:rsidRDefault="00885F3C" w:rsidP="00BD6279">
            <w:pPr>
              <w:bidi w:val="0"/>
              <w:rPr>
                <w:rFonts w:asciiTheme="majorBidi" w:hAnsiTheme="majorBidi" w:cstheme="majorBidi"/>
                <w:lang w:val="en-GB"/>
              </w:rPr>
            </w:pPr>
          </w:p>
        </w:tc>
      </w:tr>
      <w:tr w:rsidR="00885F3C" w:rsidRPr="003D2A76" w14:paraId="2C3B1BAB" w14:textId="77777777" w:rsidTr="006A4A5D">
        <w:tc>
          <w:tcPr>
            <w:tcW w:w="0" w:type="auto"/>
            <w:hideMark/>
          </w:tcPr>
          <w:p w14:paraId="1B31017B"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Interaction</w:t>
            </w:r>
          </w:p>
        </w:tc>
        <w:tc>
          <w:tcPr>
            <w:tcW w:w="0" w:type="auto"/>
            <w:hideMark/>
          </w:tcPr>
          <w:p w14:paraId="4212816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0.10**</w:t>
            </w:r>
          </w:p>
        </w:tc>
        <w:tc>
          <w:tcPr>
            <w:tcW w:w="0" w:type="auto"/>
            <w:hideMark/>
          </w:tcPr>
          <w:p w14:paraId="5AFB55A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0.03</w:t>
            </w:r>
          </w:p>
        </w:tc>
        <w:tc>
          <w:tcPr>
            <w:tcW w:w="0" w:type="auto"/>
            <w:hideMark/>
          </w:tcPr>
          <w:p w14:paraId="771311C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3.01</w:t>
            </w:r>
          </w:p>
        </w:tc>
        <w:tc>
          <w:tcPr>
            <w:tcW w:w="0" w:type="auto"/>
            <w:hideMark/>
          </w:tcPr>
          <w:p w14:paraId="319E257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.003</w:t>
            </w:r>
          </w:p>
        </w:tc>
        <w:tc>
          <w:tcPr>
            <w:tcW w:w="0" w:type="auto"/>
            <w:hideMark/>
          </w:tcPr>
          <w:p w14:paraId="1B10DB6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[0.04, 0.17]</w:t>
            </w:r>
          </w:p>
        </w:tc>
        <w:tc>
          <w:tcPr>
            <w:tcW w:w="0" w:type="auto"/>
            <w:hideMark/>
          </w:tcPr>
          <w:p w14:paraId="70BD60E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r>
      <w:tr w:rsidR="00885F3C" w:rsidRPr="003D2A76" w14:paraId="2B5FD1C1" w14:textId="77777777" w:rsidTr="006A4A5D">
        <w:tc>
          <w:tcPr>
            <w:tcW w:w="0" w:type="auto"/>
            <w:gridSpan w:val="7"/>
            <w:hideMark/>
          </w:tcPr>
          <w:p w14:paraId="72A126F1"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 Market × Cult Fact → Serv Qual</w:t>
            </w:r>
          </w:p>
        </w:tc>
      </w:tr>
      <w:tr w:rsidR="00885F3C" w:rsidRPr="003D2A76" w14:paraId="31E76164" w14:textId="77777777" w:rsidTr="006A4A5D">
        <w:tc>
          <w:tcPr>
            <w:tcW w:w="0" w:type="auto"/>
            <w:hideMark/>
          </w:tcPr>
          <w:p w14:paraId="15FEA9AA"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 Market</w:t>
            </w:r>
          </w:p>
        </w:tc>
        <w:tc>
          <w:tcPr>
            <w:tcW w:w="0" w:type="auto"/>
            <w:hideMark/>
          </w:tcPr>
          <w:p w14:paraId="65BF9C5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0.86</w:t>
            </w:r>
          </w:p>
        </w:tc>
        <w:tc>
          <w:tcPr>
            <w:tcW w:w="0" w:type="auto"/>
            <w:hideMark/>
          </w:tcPr>
          <w:p w14:paraId="02DDE80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0.40</w:t>
            </w:r>
          </w:p>
        </w:tc>
        <w:tc>
          <w:tcPr>
            <w:tcW w:w="0" w:type="auto"/>
            <w:hideMark/>
          </w:tcPr>
          <w:p w14:paraId="161A813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2.16</w:t>
            </w:r>
          </w:p>
        </w:tc>
        <w:tc>
          <w:tcPr>
            <w:tcW w:w="0" w:type="auto"/>
            <w:hideMark/>
          </w:tcPr>
          <w:p w14:paraId="11DC422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.031</w:t>
            </w:r>
          </w:p>
        </w:tc>
        <w:tc>
          <w:tcPr>
            <w:tcW w:w="0" w:type="auto"/>
            <w:hideMark/>
          </w:tcPr>
          <w:p w14:paraId="49E27F8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[0.08, 1.64]</w:t>
            </w:r>
          </w:p>
        </w:tc>
        <w:tc>
          <w:tcPr>
            <w:tcW w:w="0" w:type="auto"/>
            <w:hideMark/>
          </w:tcPr>
          <w:p w14:paraId="11422739" w14:textId="77777777" w:rsidR="00885F3C" w:rsidRPr="003D2A76" w:rsidRDefault="00885F3C" w:rsidP="00BD6279">
            <w:pPr>
              <w:bidi w:val="0"/>
              <w:rPr>
                <w:rFonts w:asciiTheme="majorBidi" w:hAnsiTheme="majorBidi" w:cstheme="majorBidi"/>
                <w:lang w:val="en-GB"/>
              </w:rPr>
            </w:pPr>
          </w:p>
        </w:tc>
      </w:tr>
      <w:tr w:rsidR="00885F3C" w:rsidRPr="003D2A76" w14:paraId="4A7A0BCA" w14:textId="77777777" w:rsidTr="006A4A5D">
        <w:tc>
          <w:tcPr>
            <w:tcW w:w="0" w:type="auto"/>
            <w:hideMark/>
          </w:tcPr>
          <w:p w14:paraId="14900F33"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Cult Fact</w:t>
            </w:r>
          </w:p>
        </w:tc>
        <w:tc>
          <w:tcPr>
            <w:tcW w:w="0" w:type="auto"/>
            <w:hideMark/>
          </w:tcPr>
          <w:p w14:paraId="75A3D12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0.57</w:t>
            </w:r>
          </w:p>
        </w:tc>
        <w:tc>
          <w:tcPr>
            <w:tcW w:w="0" w:type="auto"/>
            <w:hideMark/>
          </w:tcPr>
          <w:p w14:paraId="289B6C6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0.26</w:t>
            </w:r>
          </w:p>
        </w:tc>
        <w:tc>
          <w:tcPr>
            <w:tcW w:w="0" w:type="auto"/>
            <w:hideMark/>
          </w:tcPr>
          <w:p w14:paraId="6D9B98B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2.19</w:t>
            </w:r>
          </w:p>
        </w:tc>
        <w:tc>
          <w:tcPr>
            <w:tcW w:w="0" w:type="auto"/>
            <w:hideMark/>
          </w:tcPr>
          <w:p w14:paraId="053DAB4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.029</w:t>
            </w:r>
          </w:p>
        </w:tc>
        <w:tc>
          <w:tcPr>
            <w:tcW w:w="0" w:type="auto"/>
            <w:hideMark/>
          </w:tcPr>
          <w:p w14:paraId="29DF6DE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[0.06, 1.09]</w:t>
            </w:r>
          </w:p>
        </w:tc>
        <w:tc>
          <w:tcPr>
            <w:tcW w:w="0" w:type="auto"/>
            <w:hideMark/>
          </w:tcPr>
          <w:p w14:paraId="7B88CEFF" w14:textId="77777777" w:rsidR="00885F3C" w:rsidRPr="003D2A76" w:rsidRDefault="00885F3C" w:rsidP="00BD6279">
            <w:pPr>
              <w:bidi w:val="0"/>
              <w:rPr>
                <w:rFonts w:asciiTheme="majorBidi" w:hAnsiTheme="majorBidi" w:cstheme="majorBidi"/>
                <w:lang w:val="en-GB"/>
              </w:rPr>
            </w:pPr>
          </w:p>
        </w:tc>
      </w:tr>
      <w:tr w:rsidR="00885F3C" w:rsidRPr="003D2A76" w14:paraId="355C5B65" w14:textId="77777777" w:rsidTr="006A4A5D">
        <w:tc>
          <w:tcPr>
            <w:tcW w:w="0" w:type="auto"/>
            <w:hideMark/>
          </w:tcPr>
          <w:p w14:paraId="472327AA"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Interaction</w:t>
            </w:r>
          </w:p>
        </w:tc>
        <w:tc>
          <w:tcPr>
            <w:tcW w:w="0" w:type="auto"/>
            <w:hideMark/>
          </w:tcPr>
          <w:p w14:paraId="2AB5721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-0.08</w:t>
            </w:r>
          </w:p>
        </w:tc>
        <w:tc>
          <w:tcPr>
            <w:tcW w:w="0" w:type="auto"/>
            <w:hideMark/>
          </w:tcPr>
          <w:p w14:paraId="0DE67AD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0.06</w:t>
            </w:r>
          </w:p>
        </w:tc>
        <w:tc>
          <w:tcPr>
            <w:tcW w:w="0" w:type="auto"/>
            <w:hideMark/>
          </w:tcPr>
          <w:p w14:paraId="5E03D44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-1.33</w:t>
            </w:r>
          </w:p>
        </w:tc>
        <w:tc>
          <w:tcPr>
            <w:tcW w:w="0" w:type="auto"/>
            <w:hideMark/>
          </w:tcPr>
          <w:p w14:paraId="53F2EAB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.184</w:t>
            </w:r>
          </w:p>
        </w:tc>
        <w:tc>
          <w:tcPr>
            <w:tcW w:w="0" w:type="auto"/>
            <w:hideMark/>
          </w:tcPr>
          <w:p w14:paraId="2923B9F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[-0.20, 0.04]</w:t>
            </w:r>
          </w:p>
        </w:tc>
        <w:tc>
          <w:tcPr>
            <w:tcW w:w="0" w:type="auto"/>
            <w:hideMark/>
          </w:tcPr>
          <w:p w14:paraId="5AA2DF4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0.00</w:t>
            </w:r>
          </w:p>
        </w:tc>
      </w:tr>
    </w:tbl>
    <w:p w14:paraId="166AA862" w14:textId="77777777" w:rsidR="009F2A1B" w:rsidRDefault="009F2A1B" w:rsidP="00BD6279">
      <w:pPr>
        <w:bidi w:val="0"/>
        <w:rPr>
          <w:rFonts w:asciiTheme="majorBidi" w:hAnsiTheme="majorBidi" w:cstheme="majorBidi"/>
          <w:i/>
          <w:iCs/>
          <w:lang w:val="en-GB"/>
        </w:rPr>
      </w:pPr>
    </w:p>
    <w:p w14:paraId="332AF8CD" w14:textId="18DDF773" w:rsidR="00885F3C" w:rsidRPr="003D2A76" w:rsidRDefault="00885F3C" w:rsidP="009F2A1B">
      <w:pPr>
        <w:bidi w:val="0"/>
        <w:rPr>
          <w:rFonts w:asciiTheme="majorBidi" w:hAnsiTheme="majorBidi" w:cstheme="majorBidi"/>
          <w:lang w:val="en-GB"/>
        </w:rPr>
      </w:pPr>
      <w:r w:rsidRPr="003D2A76">
        <w:rPr>
          <w:rFonts w:asciiTheme="majorBidi" w:hAnsiTheme="majorBidi" w:cstheme="majorBidi"/>
          <w:noProof/>
          <w:lang w:val="en-GB"/>
        </w:rPr>
        <w:lastRenderedPageBreak/>
        <w:drawing>
          <wp:anchor distT="0" distB="0" distL="114300" distR="114300" simplePos="0" relativeHeight="251664384" behindDoc="0" locked="0" layoutInCell="1" allowOverlap="1" wp14:anchorId="6D3B377D" wp14:editId="25E66DEE">
            <wp:simplePos x="0" y="0"/>
            <wp:positionH relativeFrom="margin">
              <wp:align>right</wp:align>
            </wp:positionH>
            <wp:positionV relativeFrom="paragraph">
              <wp:posOffset>278765</wp:posOffset>
            </wp:positionV>
            <wp:extent cx="5476875" cy="2545080"/>
            <wp:effectExtent l="0" t="0" r="9525" b="7620"/>
            <wp:wrapTopAndBottom/>
            <wp:docPr id="194599058" name="Picture 4" descr="The diagram illustrates an interaction effect between Al Adoption in Teaching and Cultural Factors on Perceived Service Quality, showing a statistically significant increase in perceived quality with higher cultural fac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9058" name="Picture 4" descr="The diagram illustrates an interaction effect between Al Adoption in Teaching and Cultural Factors on Perceived Service Quality, showing a statistically significant increase in perceived quality with higher cultural factor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6875" cy="2545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2A76">
        <w:rPr>
          <w:rFonts w:asciiTheme="majorBidi" w:hAnsiTheme="majorBidi" w:cstheme="majorBidi"/>
          <w:i/>
          <w:iCs/>
          <w:lang w:val="en-GB"/>
        </w:rPr>
        <w:t>Note.</w:t>
      </w:r>
      <w:r w:rsidRPr="003D2A76">
        <w:rPr>
          <w:rFonts w:asciiTheme="majorBidi" w:hAnsiTheme="majorBidi" w:cstheme="majorBidi"/>
          <w:lang w:val="en-GB"/>
        </w:rPr>
        <w:t xml:space="preserve"> ** </w:t>
      </w:r>
      <w:r w:rsidRPr="003D2A76">
        <w:rPr>
          <w:rFonts w:asciiTheme="majorBidi" w:hAnsiTheme="majorBidi" w:cstheme="majorBidi"/>
          <w:i/>
          <w:iCs/>
          <w:lang w:val="en-GB"/>
        </w:rPr>
        <w:t>p</w:t>
      </w:r>
      <w:r w:rsidRPr="003D2A76">
        <w:rPr>
          <w:rFonts w:asciiTheme="majorBidi" w:hAnsiTheme="majorBidi" w:cstheme="majorBidi"/>
          <w:lang w:val="en-GB"/>
        </w:rPr>
        <w:t xml:space="preserve"> &lt; .01. Dependent variable: Service Quality.</w:t>
      </w:r>
    </w:p>
    <w:p w14:paraId="0EF62AB7" w14:textId="77777777" w:rsidR="009F2A1B" w:rsidRDefault="009F2A1B" w:rsidP="00BD6279">
      <w:pPr>
        <w:bidi w:val="0"/>
        <w:rPr>
          <w:rFonts w:asciiTheme="majorBidi" w:hAnsiTheme="majorBidi" w:cstheme="majorBidi"/>
          <w:b/>
          <w:bCs/>
          <w:lang w:val="en-GB"/>
        </w:rPr>
      </w:pPr>
      <w:bookmarkStart w:id="109" w:name="_Toc216904032"/>
    </w:p>
    <w:p w14:paraId="1297926A" w14:textId="7E0053F9" w:rsidR="00885F3C" w:rsidRPr="003D2A76" w:rsidRDefault="00885F3C" w:rsidP="009F2A1B">
      <w:pPr>
        <w:bidi w:val="0"/>
        <w:rPr>
          <w:rFonts w:asciiTheme="majorBidi" w:hAnsiTheme="majorBidi" w:cstheme="majorBidi"/>
          <w:b/>
          <w:bCs/>
          <w:lang w:val="en-GB"/>
        </w:rPr>
      </w:pPr>
      <w:r w:rsidRPr="003D2A76">
        <w:rPr>
          <w:rFonts w:asciiTheme="majorBidi" w:hAnsiTheme="majorBidi" w:cstheme="majorBidi"/>
          <w:b/>
          <w:bCs/>
          <w:lang w:val="en-GB"/>
        </w:rPr>
        <w:t xml:space="preserve">Figure </w:t>
      </w:r>
      <w:r w:rsidR="00FA682D">
        <w:rPr>
          <w:rFonts w:asciiTheme="majorBidi" w:hAnsiTheme="majorBidi" w:cstheme="majorBidi"/>
          <w:b/>
          <w:bCs/>
          <w:lang w:val="en-GB"/>
        </w:rPr>
        <w:t>9</w:t>
      </w:r>
      <w:r w:rsidRPr="003D2A76">
        <w:rPr>
          <w:rFonts w:asciiTheme="majorBidi" w:hAnsiTheme="majorBidi" w:cstheme="majorBidi"/>
          <w:b/>
          <w:bCs/>
          <w:lang w:val="en-GB"/>
        </w:rPr>
        <w:t>: Interaction Effect Plot</w:t>
      </w:r>
      <w:bookmarkEnd w:id="109"/>
    </w:p>
    <w:p w14:paraId="5BD899FD" w14:textId="77777777" w:rsidR="00885F3C" w:rsidRPr="003D2A76" w:rsidRDefault="00885F3C" w:rsidP="00BD6279">
      <w:pPr>
        <w:bidi w:val="0"/>
        <w:rPr>
          <w:rFonts w:asciiTheme="majorBidi" w:hAnsiTheme="majorBidi" w:cstheme="majorBidi"/>
          <w:b/>
          <w:bCs/>
          <w:lang w:val="en-GB"/>
        </w:rPr>
      </w:pPr>
      <w:bookmarkStart w:id="110" w:name="_Hlk214130900"/>
      <w:bookmarkStart w:id="111" w:name="_Toc227161647"/>
      <w:r w:rsidRPr="003D2A76">
        <w:rPr>
          <w:rFonts w:asciiTheme="majorBidi" w:hAnsiTheme="majorBidi" w:cstheme="majorBidi"/>
          <w:b/>
          <w:bCs/>
          <w:lang w:val="en-GB"/>
        </w:rPr>
        <w:t xml:space="preserve">Table 10 </w:t>
      </w:r>
      <w:r w:rsidRPr="003D2A76">
        <w:rPr>
          <w:rFonts w:asciiTheme="majorBidi" w:hAnsiTheme="majorBidi" w:cstheme="majorBidi"/>
          <w:b/>
          <w:bCs/>
          <w:lang w:val="en-GB"/>
        </w:rPr>
        <w:br/>
      </w:r>
      <w:bookmarkStart w:id="112" w:name="_Hlk232588481"/>
      <w:r w:rsidRPr="003D2A76">
        <w:rPr>
          <w:rFonts w:asciiTheme="majorBidi" w:hAnsiTheme="majorBidi" w:cstheme="majorBidi"/>
          <w:b/>
          <w:bCs/>
          <w:lang w:val="en-GB"/>
        </w:rPr>
        <w:t xml:space="preserve">Conditional Effects of AI Adoption on Service Quality at Different Cultural Factor </w:t>
      </w:r>
      <w:bookmarkEnd w:id="112"/>
      <w:r w:rsidRPr="003D2A76">
        <w:rPr>
          <w:rFonts w:asciiTheme="majorBidi" w:hAnsiTheme="majorBidi" w:cstheme="majorBidi"/>
          <w:b/>
          <w:bCs/>
          <w:lang w:val="en-GB"/>
        </w:rPr>
        <w:t>Levels</w:t>
      </w:r>
      <w:bookmarkEnd w:id="110"/>
      <w:bookmarkEnd w:id="111"/>
    </w:p>
    <w:tbl>
      <w:tblPr>
        <w:tblStyle w:val="TableGrid"/>
        <w:tblW w:w="5000" w:type="pct"/>
        <w:tblLook w:val="04A0" w:firstRow="1" w:lastRow="0" w:firstColumn="1" w:lastColumn="0" w:noHBand="0" w:noVBand="1"/>
      </w:tblPr>
      <w:tblGrid>
        <w:gridCol w:w="1615"/>
        <w:gridCol w:w="1175"/>
        <w:gridCol w:w="1329"/>
        <w:gridCol w:w="601"/>
        <w:gridCol w:w="974"/>
        <w:gridCol w:w="1361"/>
        <w:gridCol w:w="601"/>
        <w:gridCol w:w="974"/>
      </w:tblGrid>
      <w:tr w:rsidR="00885F3C" w:rsidRPr="003D2A76" w14:paraId="5E8A5AF0" w14:textId="77777777" w:rsidTr="006A4A5D">
        <w:tc>
          <w:tcPr>
            <w:tcW w:w="0" w:type="auto"/>
            <w:hideMark/>
          </w:tcPr>
          <w:p w14:paraId="1F986291"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Cultural Factor Level</w:t>
            </w:r>
          </w:p>
        </w:tc>
        <w:tc>
          <w:tcPr>
            <w:tcW w:w="0" w:type="auto"/>
            <w:hideMark/>
          </w:tcPr>
          <w:p w14:paraId="340A1E7B"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Percentile</w:t>
            </w:r>
          </w:p>
        </w:tc>
        <w:tc>
          <w:tcPr>
            <w:tcW w:w="0" w:type="auto"/>
            <w:hideMark/>
          </w:tcPr>
          <w:p w14:paraId="03402B4E"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AITeach Effect</w:t>
            </w:r>
          </w:p>
        </w:tc>
        <w:tc>
          <w:tcPr>
            <w:tcW w:w="0" w:type="auto"/>
            <w:hideMark/>
          </w:tcPr>
          <w:p w14:paraId="4FCA01E9"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SE</w:t>
            </w:r>
          </w:p>
        </w:tc>
        <w:tc>
          <w:tcPr>
            <w:tcW w:w="0" w:type="auto"/>
            <w:hideMark/>
          </w:tcPr>
          <w:p w14:paraId="13B838CB"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95% CI</w:t>
            </w:r>
          </w:p>
        </w:tc>
        <w:tc>
          <w:tcPr>
            <w:tcW w:w="0" w:type="auto"/>
            <w:hideMark/>
          </w:tcPr>
          <w:p w14:paraId="1D677281"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 Market Effect</w:t>
            </w:r>
          </w:p>
        </w:tc>
        <w:tc>
          <w:tcPr>
            <w:tcW w:w="0" w:type="auto"/>
            <w:hideMark/>
          </w:tcPr>
          <w:p w14:paraId="24A07F87"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SE</w:t>
            </w:r>
          </w:p>
        </w:tc>
        <w:tc>
          <w:tcPr>
            <w:tcW w:w="0" w:type="auto"/>
            <w:hideMark/>
          </w:tcPr>
          <w:p w14:paraId="3C492E84"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95% CI</w:t>
            </w:r>
          </w:p>
        </w:tc>
      </w:tr>
      <w:tr w:rsidR="00885F3C" w:rsidRPr="003D2A76" w14:paraId="30A7CF6B" w14:textId="77777777" w:rsidTr="006A4A5D">
        <w:tc>
          <w:tcPr>
            <w:tcW w:w="0" w:type="auto"/>
            <w:hideMark/>
          </w:tcPr>
          <w:p w14:paraId="7CCF92FC"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Low</w:t>
            </w:r>
          </w:p>
        </w:tc>
        <w:tc>
          <w:tcPr>
            <w:tcW w:w="0" w:type="auto"/>
            <w:hideMark/>
          </w:tcPr>
          <w:p w14:paraId="4246B9A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16th (5.33)</w:t>
            </w:r>
          </w:p>
        </w:tc>
        <w:tc>
          <w:tcPr>
            <w:tcW w:w="0" w:type="auto"/>
            <w:hideMark/>
          </w:tcPr>
          <w:p w14:paraId="2E4DB32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0.20**</w:t>
            </w:r>
          </w:p>
        </w:tc>
        <w:tc>
          <w:tcPr>
            <w:tcW w:w="0" w:type="auto"/>
            <w:hideMark/>
          </w:tcPr>
          <w:p w14:paraId="75DEDDC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0.06</w:t>
            </w:r>
          </w:p>
        </w:tc>
        <w:tc>
          <w:tcPr>
            <w:tcW w:w="0" w:type="auto"/>
            <w:hideMark/>
          </w:tcPr>
          <w:p w14:paraId="01EFB3E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[0.08, 0.31]</w:t>
            </w:r>
          </w:p>
        </w:tc>
        <w:tc>
          <w:tcPr>
            <w:tcW w:w="0" w:type="auto"/>
            <w:hideMark/>
          </w:tcPr>
          <w:p w14:paraId="63D561D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0.43**</w:t>
            </w:r>
          </w:p>
        </w:tc>
        <w:tc>
          <w:tcPr>
            <w:tcW w:w="0" w:type="auto"/>
            <w:hideMark/>
          </w:tcPr>
          <w:p w14:paraId="0C171C1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0.06</w:t>
            </w:r>
          </w:p>
        </w:tc>
        <w:tc>
          <w:tcPr>
            <w:tcW w:w="0" w:type="auto"/>
            <w:hideMark/>
          </w:tcPr>
          <w:p w14:paraId="6D9CBA6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[0.30, 0.55]</w:t>
            </w:r>
          </w:p>
        </w:tc>
      </w:tr>
      <w:tr w:rsidR="00885F3C" w:rsidRPr="003D2A76" w14:paraId="204E46BD" w14:textId="77777777" w:rsidTr="006A4A5D">
        <w:tc>
          <w:tcPr>
            <w:tcW w:w="0" w:type="auto"/>
            <w:hideMark/>
          </w:tcPr>
          <w:p w14:paraId="30CD1928"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Medium</w:t>
            </w:r>
          </w:p>
        </w:tc>
        <w:tc>
          <w:tcPr>
            <w:tcW w:w="0" w:type="auto"/>
            <w:hideMark/>
          </w:tcPr>
          <w:p w14:paraId="474AF2D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50th (6.00)</w:t>
            </w:r>
          </w:p>
        </w:tc>
        <w:tc>
          <w:tcPr>
            <w:tcW w:w="0" w:type="auto"/>
            <w:hideMark/>
          </w:tcPr>
          <w:p w14:paraId="2152FDB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0.27**</w:t>
            </w:r>
          </w:p>
        </w:tc>
        <w:tc>
          <w:tcPr>
            <w:tcW w:w="0" w:type="auto"/>
            <w:hideMark/>
          </w:tcPr>
          <w:p w14:paraId="07DD417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4E25F54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[0.17, 0.36]</w:t>
            </w:r>
          </w:p>
        </w:tc>
        <w:tc>
          <w:tcPr>
            <w:tcW w:w="0" w:type="auto"/>
            <w:hideMark/>
          </w:tcPr>
          <w:p w14:paraId="213EBC3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0.38**</w:t>
            </w:r>
          </w:p>
        </w:tc>
        <w:tc>
          <w:tcPr>
            <w:tcW w:w="0" w:type="auto"/>
            <w:hideMark/>
          </w:tcPr>
          <w:p w14:paraId="7EC68E1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224731C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[0.28, 0.47]</w:t>
            </w:r>
          </w:p>
        </w:tc>
      </w:tr>
      <w:tr w:rsidR="00885F3C" w:rsidRPr="003D2A76" w14:paraId="334765DE" w14:textId="77777777" w:rsidTr="006A4A5D">
        <w:tc>
          <w:tcPr>
            <w:tcW w:w="0" w:type="auto"/>
            <w:hideMark/>
          </w:tcPr>
          <w:p w14:paraId="75FC7C26"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High</w:t>
            </w:r>
          </w:p>
        </w:tc>
        <w:tc>
          <w:tcPr>
            <w:tcW w:w="0" w:type="auto"/>
            <w:hideMark/>
          </w:tcPr>
          <w:p w14:paraId="7233C68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84th (7.00)</w:t>
            </w:r>
          </w:p>
        </w:tc>
        <w:tc>
          <w:tcPr>
            <w:tcW w:w="0" w:type="auto"/>
            <w:hideMark/>
          </w:tcPr>
          <w:p w14:paraId="4754D5B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0.37**</w:t>
            </w:r>
          </w:p>
        </w:tc>
        <w:tc>
          <w:tcPr>
            <w:tcW w:w="0" w:type="auto"/>
            <w:hideMark/>
          </w:tcPr>
          <w:p w14:paraId="1C983DE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178C828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[0.27, 0.47]</w:t>
            </w:r>
          </w:p>
        </w:tc>
        <w:tc>
          <w:tcPr>
            <w:tcW w:w="0" w:type="auto"/>
            <w:hideMark/>
          </w:tcPr>
          <w:p w14:paraId="0477DE7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0.29**</w:t>
            </w:r>
          </w:p>
        </w:tc>
        <w:tc>
          <w:tcPr>
            <w:tcW w:w="0" w:type="auto"/>
            <w:hideMark/>
          </w:tcPr>
          <w:p w14:paraId="059F47C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0.06</w:t>
            </w:r>
          </w:p>
        </w:tc>
        <w:tc>
          <w:tcPr>
            <w:tcW w:w="0" w:type="auto"/>
            <w:hideMark/>
          </w:tcPr>
          <w:p w14:paraId="4A90E25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[0.19, 0.40]</w:t>
            </w:r>
          </w:p>
        </w:tc>
      </w:tr>
    </w:tbl>
    <w:p w14:paraId="551BB5B6" w14:textId="77777777" w:rsidR="00885F3C" w:rsidRPr="003D2A76" w:rsidRDefault="006A4A5D" w:rsidP="00BD6279">
      <w:pPr>
        <w:bidi w:val="0"/>
        <w:rPr>
          <w:rFonts w:asciiTheme="majorBidi" w:hAnsiTheme="majorBidi" w:cstheme="majorBidi"/>
          <w:lang w:val="en-GB"/>
        </w:rPr>
      </w:pPr>
      <w:r w:rsidRPr="003D2A76">
        <w:rPr>
          <w:rFonts w:asciiTheme="majorBidi" w:hAnsiTheme="majorBidi" w:cstheme="majorBidi"/>
          <w:noProof/>
          <w:lang w:val="en-GB"/>
        </w:rPr>
        <w:lastRenderedPageBreak/>
        <w:drawing>
          <wp:anchor distT="0" distB="0" distL="114300" distR="114300" simplePos="0" relativeHeight="251665408" behindDoc="0" locked="0" layoutInCell="1" allowOverlap="1" wp14:anchorId="2B564719" wp14:editId="6F3A2D3D">
            <wp:simplePos x="0" y="0"/>
            <wp:positionH relativeFrom="margin">
              <wp:align>right</wp:align>
            </wp:positionH>
            <wp:positionV relativeFrom="paragraph">
              <wp:posOffset>217805</wp:posOffset>
            </wp:positionV>
            <wp:extent cx="5942330" cy="2950845"/>
            <wp:effectExtent l="0" t="0" r="1270" b="1905"/>
            <wp:wrapTopAndBottom/>
            <wp:docPr id="1994373908" name="Picture 12" descr="The image illustrates a simple slopes analysis showing that the effect of Al teaching on service quality significantly increases at higher levels of cultural fac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73908" name="Picture 12" descr="The image illustrates a simple slopes analysis showing that the effect of Al teaching on service quality significantly increases at higher levels of cultural factor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2330" cy="2950845"/>
                    </a:xfrm>
                    <a:prstGeom prst="rect">
                      <a:avLst/>
                    </a:prstGeom>
                    <a:noFill/>
                    <a:ln>
                      <a:noFill/>
                    </a:ln>
                  </pic:spPr>
                </pic:pic>
              </a:graphicData>
            </a:graphic>
            <wp14:sizeRelV relativeFrom="margin">
              <wp14:pctHeight>0</wp14:pctHeight>
            </wp14:sizeRelV>
          </wp:anchor>
        </w:drawing>
      </w:r>
      <w:r w:rsidR="00885F3C" w:rsidRPr="003D2A76">
        <w:rPr>
          <w:rFonts w:asciiTheme="majorBidi" w:hAnsiTheme="majorBidi" w:cstheme="majorBidi"/>
          <w:i/>
          <w:iCs/>
          <w:lang w:val="en-GB"/>
        </w:rPr>
        <w:t>Note.</w:t>
      </w:r>
      <w:r w:rsidR="00885F3C" w:rsidRPr="003D2A76">
        <w:rPr>
          <w:rFonts w:asciiTheme="majorBidi" w:hAnsiTheme="majorBidi" w:cstheme="majorBidi"/>
          <w:lang w:val="en-GB"/>
        </w:rPr>
        <w:t xml:space="preserve"> ** </w:t>
      </w:r>
      <w:r w:rsidR="00885F3C" w:rsidRPr="003D2A76">
        <w:rPr>
          <w:rFonts w:asciiTheme="majorBidi" w:hAnsiTheme="majorBidi" w:cstheme="majorBidi"/>
          <w:i/>
          <w:iCs/>
          <w:lang w:val="en-GB"/>
        </w:rPr>
        <w:t>p</w:t>
      </w:r>
      <w:r w:rsidR="00885F3C" w:rsidRPr="003D2A76">
        <w:rPr>
          <w:rFonts w:asciiTheme="majorBidi" w:hAnsiTheme="majorBidi" w:cstheme="majorBidi"/>
          <w:lang w:val="en-GB"/>
        </w:rPr>
        <w:t xml:space="preserve"> &lt; .01. Effects calculated using Johnson-Neyman technique.</w:t>
      </w:r>
    </w:p>
    <w:p w14:paraId="2316EC92" w14:textId="59650357" w:rsidR="00885F3C" w:rsidRPr="003D2A76" w:rsidRDefault="00885F3C" w:rsidP="00BD6279">
      <w:pPr>
        <w:bidi w:val="0"/>
        <w:rPr>
          <w:rFonts w:asciiTheme="majorBidi" w:hAnsiTheme="majorBidi" w:cstheme="majorBidi"/>
          <w:b/>
          <w:bCs/>
          <w:lang w:val="en-GB"/>
        </w:rPr>
      </w:pPr>
      <w:bookmarkStart w:id="113" w:name="_Toc216904033"/>
      <w:bookmarkStart w:id="114" w:name="_Hlk232589669"/>
      <w:r w:rsidRPr="003D2A76">
        <w:rPr>
          <w:rFonts w:asciiTheme="majorBidi" w:hAnsiTheme="majorBidi" w:cstheme="majorBidi"/>
          <w:b/>
          <w:bCs/>
          <w:lang w:val="en-GB"/>
        </w:rPr>
        <w:t xml:space="preserve">Figure </w:t>
      </w:r>
      <w:r w:rsidR="00FA682D">
        <w:rPr>
          <w:rFonts w:asciiTheme="majorBidi" w:hAnsiTheme="majorBidi" w:cstheme="majorBidi"/>
          <w:b/>
          <w:bCs/>
          <w:lang w:val="en-GB"/>
        </w:rPr>
        <w:t>10</w:t>
      </w:r>
      <w:r w:rsidRPr="003D2A76">
        <w:rPr>
          <w:rFonts w:asciiTheme="majorBidi" w:hAnsiTheme="majorBidi" w:cstheme="majorBidi"/>
          <w:b/>
          <w:bCs/>
          <w:lang w:val="en-GB"/>
        </w:rPr>
        <w:t>: Simple Slopes</w:t>
      </w:r>
      <w:bookmarkEnd w:id="113"/>
    </w:p>
    <w:p w14:paraId="417E74A1" w14:textId="77777777" w:rsidR="00885F3C" w:rsidRPr="003D2A76" w:rsidRDefault="006A4A5D" w:rsidP="00BD6279">
      <w:pPr>
        <w:pStyle w:val="Heading2"/>
        <w:rPr>
          <w:lang w:val="en-GB"/>
        </w:rPr>
      </w:pPr>
      <w:bookmarkStart w:id="115" w:name="_Toc216904183"/>
      <w:bookmarkStart w:id="116" w:name="_Toc228056586"/>
      <w:bookmarkEnd w:id="114"/>
      <w:r w:rsidRPr="003D2A76">
        <w:rPr>
          <w:rFonts w:ascii="Times New Roman" w:hAnsi="Times New Roman" w:cs="Times New Roman"/>
          <w:lang w:val="en-GB"/>
        </w:rPr>
        <w:t xml:space="preserve">4.11 </w:t>
      </w:r>
      <w:r w:rsidR="00885F3C" w:rsidRPr="003D2A76">
        <w:rPr>
          <w:rFonts w:ascii="Times New Roman" w:hAnsi="Times New Roman" w:cs="Times New Roman"/>
          <w:lang w:val="en-GB"/>
        </w:rPr>
        <w:t>Additional Analyses</w:t>
      </w:r>
      <w:bookmarkEnd w:id="115"/>
      <w:bookmarkEnd w:id="116"/>
    </w:p>
    <w:p w14:paraId="2B4D2B4B" w14:textId="21B4A7D1" w:rsidR="00885F3C" w:rsidRPr="003D2A76" w:rsidRDefault="009B03B2" w:rsidP="00BD6279">
      <w:pPr>
        <w:bidi w:val="0"/>
        <w:rPr>
          <w:rFonts w:asciiTheme="majorBidi" w:hAnsiTheme="majorBidi" w:cstheme="majorBidi"/>
          <w:b/>
          <w:bCs/>
          <w:i/>
          <w:lang w:val="en-GB"/>
        </w:rPr>
      </w:pPr>
      <w:bookmarkStart w:id="117" w:name="_Toc216904184"/>
      <w:r>
        <w:rPr>
          <w:rFonts w:asciiTheme="majorBidi" w:hAnsiTheme="majorBidi" w:cstheme="majorBidi"/>
          <w:b/>
          <w:bCs/>
          <w:i/>
          <w:lang w:val="en-GB"/>
        </w:rPr>
        <w:t xml:space="preserve">4.11.1 </w:t>
      </w:r>
      <w:r w:rsidR="00885F3C" w:rsidRPr="003D2A76">
        <w:rPr>
          <w:rFonts w:asciiTheme="majorBidi" w:hAnsiTheme="majorBidi" w:cstheme="majorBidi"/>
          <w:b/>
          <w:bCs/>
          <w:i/>
          <w:lang w:val="en-GB"/>
        </w:rPr>
        <w:t>Serial Mediation Analysis</w:t>
      </w:r>
      <w:bookmarkEnd w:id="117"/>
    </w:p>
    <w:p w14:paraId="4A8297D0" w14:textId="3ADE4ECE"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sequential mediation analysis (Serial mediation analysis</w:t>
      </w:r>
      <w:r w:rsidR="009D2DAA" w:rsidRPr="003D2A76">
        <w:rPr>
          <w:rFonts w:asciiTheme="majorBidi" w:hAnsiTheme="majorBidi" w:cstheme="majorBidi"/>
          <w:lang w:val="en-GB"/>
        </w:rPr>
        <w:t xml:space="preserve"> </w:t>
      </w:r>
      <w:r w:rsidRPr="003D2A76">
        <w:rPr>
          <w:rFonts w:asciiTheme="majorBidi" w:hAnsiTheme="majorBidi" w:cstheme="majorBidi"/>
          <w:lang w:val="en-GB"/>
        </w:rPr>
        <w:t>(PROCESS Model 6)) was used to compare sequential mediation chains in which the quality of service mediates trust, which in turn mediates purchase intention</w:t>
      </w:r>
      <w:r w:rsidR="009D2DAA" w:rsidRPr="003D2A76">
        <w:rPr>
          <w:rFonts w:asciiTheme="majorBidi" w:hAnsiTheme="majorBidi" w:cstheme="majorBidi"/>
          <w:lang w:val="en-GB"/>
        </w:rPr>
        <w:t>.</w:t>
      </w:r>
      <w:r w:rsidRPr="003D2A76">
        <w:rPr>
          <w:rFonts w:asciiTheme="majorBidi" w:hAnsiTheme="majorBidi" w:cstheme="majorBidi"/>
          <w:lang w:val="en-GB"/>
        </w:rPr>
        <w:t xml:space="preserve"> The serial mediation was significant in the path AI Teaching → Service Quality → Trust → Purchase Intention </w:t>
      </w:r>
      <w:r w:rsidR="009D2DAA" w:rsidRPr="003D2A76">
        <w:rPr>
          <w:rFonts w:asciiTheme="majorBidi" w:hAnsiTheme="majorBidi" w:cstheme="majorBidi"/>
          <w:lang w:val="en-GB"/>
        </w:rPr>
        <w:t xml:space="preserve">and </w:t>
      </w:r>
      <w:r w:rsidRPr="003D2A76">
        <w:rPr>
          <w:rFonts w:asciiTheme="majorBidi" w:hAnsiTheme="majorBidi" w:cstheme="majorBidi"/>
          <w:lang w:val="en-GB"/>
        </w:rPr>
        <w:t xml:space="preserve">showed significant serial mediation (indirect = 0.23, Boot SE = 0.04, 95% Boot CI [0.16, 0.31]). This process in series described significant variation more than mere mediation paths. Likewise, AI Marketing → Service Quality → Perceived Value → Purchase Intention </w:t>
      </w:r>
      <w:r w:rsidR="00784327">
        <w:rPr>
          <w:rFonts w:asciiTheme="majorBidi" w:hAnsiTheme="majorBidi" w:cstheme="majorBidi"/>
          <w:lang w:val="en-GB"/>
        </w:rPr>
        <w:t>was</w:t>
      </w:r>
      <w:r w:rsidRPr="003D2A76">
        <w:rPr>
          <w:rFonts w:asciiTheme="majorBidi" w:hAnsiTheme="majorBidi" w:cstheme="majorBidi"/>
          <w:lang w:val="en-GB"/>
        </w:rPr>
        <w:t xml:space="preserve"> found to be significantly serially mediated (indirect = 0.09, Boot SE= 0.02, </w:t>
      </w:r>
      <w:r w:rsidR="009D2DAA" w:rsidRPr="003D2A76">
        <w:rPr>
          <w:rFonts w:asciiTheme="majorBidi" w:hAnsiTheme="majorBidi" w:cstheme="majorBidi"/>
          <w:lang w:val="en-GB"/>
        </w:rPr>
        <w:t>95% Boot</w:t>
      </w:r>
      <w:r w:rsidR="00784327">
        <w:rPr>
          <w:rFonts w:asciiTheme="majorBidi" w:hAnsiTheme="majorBidi" w:cstheme="majorBidi"/>
          <w:lang w:val="en-GB"/>
        </w:rPr>
        <w:t xml:space="preserve"> </w:t>
      </w:r>
      <w:r w:rsidR="009D2DAA" w:rsidRPr="003D2A76">
        <w:rPr>
          <w:rFonts w:asciiTheme="majorBidi" w:hAnsiTheme="majorBidi" w:cstheme="majorBidi"/>
          <w:lang w:val="en-GB"/>
        </w:rPr>
        <w:t>CI</w:t>
      </w:r>
      <w:r w:rsidRPr="003D2A76">
        <w:rPr>
          <w:rFonts w:asciiTheme="majorBidi" w:hAnsiTheme="majorBidi" w:cstheme="majorBidi"/>
          <w:lang w:val="en-GB"/>
        </w:rPr>
        <w:t xml:space="preserve">= [0.06,0.14]). Such results point to the presence of intricate cause-and-effect patterns that can be best exemplified by the fact that the adoption of AI triggers a chain </w:t>
      </w:r>
      <w:r w:rsidRPr="003D2A76">
        <w:rPr>
          <w:rFonts w:asciiTheme="majorBidi" w:hAnsiTheme="majorBidi" w:cstheme="majorBidi"/>
          <w:lang w:val="en-GB"/>
        </w:rPr>
        <w:lastRenderedPageBreak/>
        <w:t xml:space="preserve">reaction, involving numerous steps of evaluation, and the subsequent impact of the stimulus on </w:t>
      </w:r>
      <w:r w:rsidR="003D2A76" w:rsidRPr="003D2A76">
        <w:rPr>
          <w:rFonts w:asciiTheme="majorBidi" w:hAnsiTheme="majorBidi" w:cstheme="majorBidi"/>
          <w:lang w:val="en-GB"/>
        </w:rPr>
        <w:t>behavioural</w:t>
      </w:r>
      <w:r w:rsidRPr="003D2A76">
        <w:rPr>
          <w:rFonts w:asciiTheme="majorBidi" w:hAnsiTheme="majorBidi" w:cstheme="majorBidi"/>
          <w:lang w:val="en-GB"/>
        </w:rPr>
        <w:t xml:space="preserve"> intentions.</w:t>
      </w:r>
    </w:p>
    <w:p w14:paraId="0F06EFEA" w14:textId="77777777" w:rsidR="00885F3C" w:rsidRPr="003D2A76" w:rsidRDefault="00885F3C" w:rsidP="00BD6279">
      <w:pPr>
        <w:bidi w:val="0"/>
        <w:rPr>
          <w:rFonts w:asciiTheme="majorBidi" w:hAnsiTheme="majorBidi" w:cstheme="majorBidi"/>
          <w:b/>
          <w:bCs/>
          <w:lang w:val="en-GB"/>
        </w:rPr>
      </w:pPr>
      <w:bookmarkStart w:id="118" w:name="_Toc227161648"/>
      <w:r w:rsidRPr="003D2A76">
        <w:rPr>
          <w:rFonts w:asciiTheme="majorBidi" w:hAnsiTheme="majorBidi" w:cstheme="majorBidi"/>
          <w:b/>
          <w:bCs/>
          <w:lang w:val="en-GB"/>
        </w:rPr>
        <w:t xml:space="preserve">Table 11 </w:t>
      </w:r>
      <w:r w:rsidRPr="003D2A76">
        <w:rPr>
          <w:rFonts w:asciiTheme="majorBidi" w:hAnsiTheme="majorBidi" w:cstheme="majorBidi"/>
          <w:b/>
          <w:bCs/>
          <w:lang w:val="en-GB"/>
        </w:rPr>
        <w:br/>
      </w:r>
      <w:bookmarkStart w:id="119" w:name="_Hlk232588806"/>
      <w:r w:rsidRPr="003D2A76">
        <w:rPr>
          <w:rFonts w:asciiTheme="majorBidi" w:hAnsiTheme="majorBidi" w:cstheme="majorBidi"/>
          <w:b/>
          <w:bCs/>
          <w:lang w:val="en-GB"/>
        </w:rPr>
        <w:t>Serial Mediation Analysis Results (PROCESS Model 6)</w:t>
      </w:r>
      <w:bookmarkEnd w:id="118"/>
    </w:p>
    <w:tbl>
      <w:tblPr>
        <w:tblStyle w:val="TableGrid"/>
        <w:tblW w:w="5000" w:type="pct"/>
        <w:tblLook w:val="04A0" w:firstRow="1" w:lastRow="0" w:firstColumn="1" w:lastColumn="0" w:noHBand="0" w:noVBand="1"/>
      </w:tblPr>
      <w:tblGrid>
        <w:gridCol w:w="4736"/>
        <w:gridCol w:w="1543"/>
        <w:gridCol w:w="956"/>
        <w:gridCol w:w="1395"/>
      </w:tblGrid>
      <w:tr w:rsidR="00885F3C" w:rsidRPr="003D2A76" w14:paraId="0B377226" w14:textId="77777777" w:rsidTr="006A4A5D">
        <w:tc>
          <w:tcPr>
            <w:tcW w:w="0" w:type="auto"/>
            <w:hideMark/>
          </w:tcPr>
          <w:bookmarkEnd w:id="119"/>
          <w:p w14:paraId="182EA652"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Path</w:t>
            </w:r>
          </w:p>
        </w:tc>
        <w:tc>
          <w:tcPr>
            <w:tcW w:w="0" w:type="auto"/>
            <w:hideMark/>
          </w:tcPr>
          <w:p w14:paraId="50AF681D"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Indirect Effect</w:t>
            </w:r>
          </w:p>
        </w:tc>
        <w:tc>
          <w:tcPr>
            <w:tcW w:w="0" w:type="auto"/>
            <w:hideMark/>
          </w:tcPr>
          <w:p w14:paraId="7439EF95"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Boot SE</w:t>
            </w:r>
          </w:p>
        </w:tc>
        <w:tc>
          <w:tcPr>
            <w:tcW w:w="0" w:type="auto"/>
            <w:hideMark/>
          </w:tcPr>
          <w:p w14:paraId="6DA9192B"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95% Boot CI</w:t>
            </w:r>
          </w:p>
        </w:tc>
      </w:tr>
      <w:tr w:rsidR="00885F3C" w:rsidRPr="003D2A76" w14:paraId="757CE596" w14:textId="77777777" w:rsidTr="006A4A5D">
        <w:tc>
          <w:tcPr>
            <w:tcW w:w="0" w:type="auto"/>
            <w:gridSpan w:val="4"/>
            <w:hideMark/>
          </w:tcPr>
          <w:p w14:paraId="6922C217"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AITeach → Serv Qual → Trust → PurchInt</w:t>
            </w:r>
          </w:p>
        </w:tc>
      </w:tr>
      <w:tr w:rsidR="00885F3C" w:rsidRPr="003D2A76" w14:paraId="2E13FB4C" w14:textId="77777777" w:rsidTr="006A4A5D">
        <w:tc>
          <w:tcPr>
            <w:tcW w:w="0" w:type="auto"/>
            <w:hideMark/>
          </w:tcPr>
          <w:p w14:paraId="5380A7A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Total Indirect</w:t>
            </w:r>
          </w:p>
        </w:tc>
        <w:tc>
          <w:tcPr>
            <w:tcW w:w="0" w:type="auto"/>
            <w:hideMark/>
          </w:tcPr>
          <w:p w14:paraId="09AC646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0.43</w:t>
            </w:r>
          </w:p>
        </w:tc>
        <w:tc>
          <w:tcPr>
            <w:tcW w:w="0" w:type="auto"/>
            <w:hideMark/>
          </w:tcPr>
          <w:p w14:paraId="35944F6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15B7250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[0.34, 0.53]</w:t>
            </w:r>
          </w:p>
        </w:tc>
      </w:tr>
      <w:tr w:rsidR="00885F3C" w:rsidRPr="003D2A76" w14:paraId="2A099EB8" w14:textId="77777777" w:rsidTr="006A4A5D">
        <w:tc>
          <w:tcPr>
            <w:tcW w:w="0" w:type="auto"/>
            <w:hideMark/>
          </w:tcPr>
          <w:p w14:paraId="4F9C5B3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Ind1: AITeach → Serv Qual → PurchInt</w:t>
            </w:r>
          </w:p>
        </w:tc>
        <w:tc>
          <w:tcPr>
            <w:tcW w:w="0" w:type="auto"/>
            <w:hideMark/>
          </w:tcPr>
          <w:p w14:paraId="3C64273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0.20</w:t>
            </w:r>
          </w:p>
        </w:tc>
        <w:tc>
          <w:tcPr>
            <w:tcW w:w="0" w:type="auto"/>
            <w:hideMark/>
          </w:tcPr>
          <w:p w14:paraId="6940775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0.03</w:t>
            </w:r>
          </w:p>
        </w:tc>
        <w:tc>
          <w:tcPr>
            <w:tcW w:w="0" w:type="auto"/>
            <w:hideMark/>
          </w:tcPr>
          <w:p w14:paraId="692E233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[0.15, 0.27]</w:t>
            </w:r>
          </w:p>
        </w:tc>
      </w:tr>
      <w:tr w:rsidR="00885F3C" w:rsidRPr="003D2A76" w14:paraId="50A09B39" w14:textId="77777777" w:rsidTr="006A4A5D">
        <w:tc>
          <w:tcPr>
            <w:tcW w:w="0" w:type="auto"/>
            <w:hideMark/>
          </w:tcPr>
          <w:p w14:paraId="4E1AB2F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Ind2: AITeach → Trust → PurchInt</w:t>
            </w:r>
          </w:p>
        </w:tc>
        <w:tc>
          <w:tcPr>
            <w:tcW w:w="0" w:type="auto"/>
            <w:hideMark/>
          </w:tcPr>
          <w:p w14:paraId="71516BF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0.00</w:t>
            </w:r>
          </w:p>
        </w:tc>
        <w:tc>
          <w:tcPr>
            <w:tcW w:w="0" w:type="auto"/>
            <w:hideMark/>
          </w:tcPr>
          <w:p w14:paraId="5BA7338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c>
          <w:tcPr>
            <w:tcW w:w="0" w:type="auto"/>
            <w:hideMark/>
          </w:tcPr>
          <w:p w14:paraId="38708B6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[-0.04, 0.04]</w:t>
            </w:r>
          </w:p>
        </w:tc>
      </w:tr>
      <w:tr w:rsidR="00885F3C" w:rsidRPr="003D2A76" w14:paraId="7C0EBF7B" w14:textId="77777777" w:rsidTr="006A4A5D">
        <w:tc>
          <w:tcPr>
            <w:tcW w:w="0" w:type="auto"/>
            <w:hideMark/>
          </w:tcPr>
          <w:p w14:paraId="3C6FCB6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Ind3: AITeach → Serv Qual → Trust → PurchInt</w:t>
            </w:r>
          </w:p>
        </w:tc>
        <w:tc>
          <w:tcPr>
            <w:tcW w:w="0" w:type="auto"/>
            <w:hideMark/>
          </w:tcPr>
          <w:p w14:paraId="27D9EA6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0.23</w:t>
            </w:r>
          </w:p>
        </w:tc>
        <w:tc>
          <w:tcPr>
            <w:tcW w:w="0" w:type="auto"/>
            <w:hideMark/>
          </w:tcPr>
          <w:p w14:paraId="6E026B0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0.04</w:t>
            </w:r>
          </w:p>
        </w:tc>
        <w:tc>
          <w:tcPr>
            <w:tcW w:w="0" w:type="auto"/>
            <w:hideMark/>
          </w:tcPr>
          <w:p w14:paraId="6DD0BDD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[0.16, 0.31]</w:t>
            </w:r>
          </w:p>
        </w:tc>
      </w:tr>
      <w:tr w:rsidR="00885F3C" w:rsidRPr="003D2A76" w14:paraId="6CAFB5C2" w14:textId="77777777" w:rsidTr="006A4A5D">
        <w:tc>
          <w:tcPr>
            <w:tcW w:w="0" w:type="auto"/>
            <w:gridSpan w:val="4"/>
            <w:hideMark/>
          </w:tcPr>
          <w:p w14:paraId="5CD4D9AD"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b/>
                <w:bCs/>
                <w:lang w:val="en-GB"/>
              </w:rPr>
              <w:t>AI Market → Serv Qual → Perc Val → PurchInt</w:t>
            </w:r>
          </w:p>
        </w:tc>
      </w:tr>
      <w:tr w:rsidR="00885F3C" w:rsidRPr="003D2A76" w14:paraId="657FEAC9" w14:textId="77777777" w:rsidTr="006A4A5D">
        <w:tc>
          <w:tcPr>
            <w:tcW w:w="0" w:type="auto"/>
            <w:hideMark/>
          </w:tcPr>
          <w:p w14:paraId="2BDCD39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Total Indirect</w:t>
            </w:r>
          </w:p>
        </w:tc>
        <w:tc>
          <w:tcPr>
            <w:tcW w:w="0" w:type="auto"/>
            <w:hideMark/>
          </w:tcPr>
          <w:p w14:paraId="51AEAC2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0.55</w:t>
            </w:r>
          </w:p>
        </w:tc>
        <w:tc>
          <w:tcPr>
            <w:tcW w:w="0" w:type="auto"/>
            <w:hideMark/>
          </w:tcPr>
          <w:p w14:paraId="350F8C5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3087D19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[0.45, 0.64]</w:t>
            </w:r>
          </w:p>
        </w:tc>
      </w:tr>
      <w:tr w:rsidR="00885F3C" w:rsidRPr="003D2A76" w14:paraId="3905D3B0" w14:textId="77777777" w:rsidTr="006A4A5D">
        <w:tc>
          <w:tcPr>
            <w:tcW w:w="0" w:type="auto"/>
            <w:hideMark/>
          </w:tcPr>
          <w:p w14:paraId="775F20E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Ind1: AI Market → Serv Qual → PurchInt</w:t>
            </w:r>
          </w:p>
        </w:tc>
        <w:tc>
          <w:tcPr>
            <w:tcW w:w="0" w:type="auto"/>
            <w:hideMark/>
          </w:tcPr>
          <w:p w14:paraId="177ED9E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0.38</w:t>
            </w:r>
          </w:p>
        </w:tc>
        <w:tc>
          <w:tcPr>
            <w:tcW w:w="0" w:type="auto"/>
            <w:hideMark/>
          </w:tcPr>
          <w:p w14:paraId="787A103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0.04</w:t>
            </w:r>
          </w:p>
        </w:tc>
        <w:tc>
          <w:tcPr>
            <w:tcW w:w="0" w:type="auto"/>
            <w:hideMark/>
          </w:tcPr>
          <w:p w14:paraId="7DCCE8A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[0.30, 0.45]</w:t>
            </w:r>
          </w:p>
        </w:tc>
      </w:tr>
      <w:tr w:rsidR="00885F3C" w:rsidRPr="003D2A76" w14:paraId="1A9BEAA3" w14:textId="77777777" w:rsidTr="006A4A5D">
        <w:tc>
          <w:tcPr>
            <w:tcW w:w="0" w:type="auto"/>
            <w:hideMark/>
          </w:tcPr>
          <w:p w14:paraId="2F96E75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Ind2: AI Market → Perc Val → PurchInt</w:t>
            </w:r>
          </w:p>
        </w:tc>
        <w:tc>
          <w:tcPr>
            <w:tcW w:w="0" w:type="auto"/>
            <w:hideMark/>
          </w:tcPr>
          <w:p w14:paraId="4B36F89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0.07</w:t>
            </w:r>
          </w:p>
        </w:tc>
        <w:tc>
          <w:tcPr>
            <w:tcW w:w="0" w:type="auto"/>
            <w:hideMark/>
          </w:tcPr>
          <w:p w14:paraId="16EB5A8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c>
          <w:tcPr>
            <w:tcW w:w="0" w:type="auto"/>
            <w:hideMark/>
          </w:tcPr>
          <w:p w14:paraId="5DFBA95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[0.04, 0.11]</w:t>
            </w:r>
          </w:p>
        </w:tc>
      </w:tr>
      <w:tr w:rsidR="00885F3C" w:rsidRPr="003D2A76" w14:paraId="609B87AE" w14:textId="77777777" w:rsidTr="006A4A5D">
        <w:tc>
          <w:tcPr>
            <w:tcW w:w="0" w:type="auto"/>
            <w:hideMark/>
          </w:tcPr>
          <w:p w14:paraId="6A85310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Ind3: AI Market → Serv Qual → Perc Val → PurchInt</w:t>
            </w:r>
          </w:p>
        </w:tc>
        <w:tc>
          <w:tcPr>
            <w:tcW w:w="0" w:type="auto"/>
            <w:hideMark/>
          </w:tcPr>
          <w:p w14:paraId="12B5B94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0.09</w:t>
            </w:r>
          </w:p>
        </w:tc>
        <w:tc>
          <w:tcPr>
            <w:tcW w:w="0" w:type="auto"/>
            <w:hideMark/>
          </w:tcPr>
          <w:p w14:paraId="609177F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c>
          <w:tcPr>
            <w:tcW w:w="0" w:type="auto"/>
            <w:hideMark/>
          </w:tcPr>
          <w:p w14:paraId="47B407C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[0.06, 0.14]</w:t>
            </w:r>
          </w:p>
        </w:tc>
      </w:tr>
    </w:tbl>
    <w:p w14:paraId="49B0F9F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i/>
          <w:iCs/>
          <w:lang w:val="en-GB"/>
        </w:rPr>
        <w:t>Note.</w:t>
      </w:r>
      <w:r w:rsidRPr="003D2A76">
        <w:rPr>
          <w:rFonts w:asciiTheme="majorBidi" w:hAnsiTheme="majorBidi" w:cstheme="majorBidi"/>
          <w:lang w:val="en-GB"/>
        </w:rPr>
        <w:t xml:space="preserve"> Bootstrap samples = 5000. All paths significant when CI excludes zero.</w:t>
      </w:r>
    </w:p>
    <w:p w14:paraId="25739909" w14:textId="22B3F365" w:rsidR="00885F3C" w:rsidRPr="003D2A76" w:rsidRDefault="00885F3C" w:rsidP="00BD6279">
      <w:pPr>
        <w:bidi w:val="0"/>
        <w:rPr>
          <w:rFonts w:asciiTheme="majorBidi" w:hAnsiTheme="majorBidi" w:cstheme="majorBidi"/>
          <w:lang w:val="en-GB"/>
        </w:rPr>
      </w:pPr>
      <w:bookmarkStart w:id="120" w:name="_Toc216904185"/>
      <w:r w:rsidRPr="003D2A76">
        <w:rPr>
          <w:rFonts w:asciiTheme="majorBidi" w:hAnsiTheme="majorBidi" w:cstheme="majorBidi"/>
          <w:lang w:val="en-GB"/>
        </w:rPr>
        <w:t>Group Comparisons: Students vs Parents</w:t>
      </w:r>
      <w:bookmarkEnd w:id="120"/>
    </w:p>
    <w:p w14:paraId="5EC2A93D" w14:textId="48300AB5" w:rsidR="00885F3C" w:rsidRDefault="00885F3C" w:rsidP="00BD6279">
      <w:pPr>
        <w:bidi w:val="0"/>
        <w:rPr>
          <w:rFonts w:asciiTheme="majorBidi" w:hAnsiTheme="majorBidi" w:cstheme="majorBidi"/>
          <w:lang w:val="en-GB"/>
        </w:rPr>
      </w:pPr>
      <w:r w:rsidRPr="003D2A76">
        <w:rPr>
          <w:rFonts w:asciiTheme="majorBidi" w:hAnsiTheme="majorBidi" w:cstheme="majorBidi"/>
          <w:lang w:val="en-GB"/>
        </w:rPr>
        <w:t>Systematic differences in the responses of student and parent respondents on key variables were established by independent samples t-tests</w:t>
      </w:r>
      <w:r w:rsidR="00142C44">
        <w:rPr>
          <w:rFonts w:asciiTheme="majorBidi" w:hAnsiTheme="majorBidi" w:cstheme="majorBidi"/>
          <w:lang w:val="en-GB"/>
        </w:rPr>
        <w:t>.</w:t>
      </w:r>
    </w:p>
    <w:p w14:paraId="6CE36120" w14:textId="567446B6" w:rsidR="00885F3C" w:rsidRPr="003D2A76" w:rsidRDefault="00885F3C" w:rsidP="00BD6279">
      <w:pPr>
        <w:bidi w:val="0"/>
        <w:rPr>
          <w:rFonts w:asciiTheme="majorBidi" w:hAnsiTheme="majorBidi" w:cstheme="majorBidi"/>
          <w:b/>
          <w:bCs/>
          <w:lang w:val="en-GB"/>
        </w:rPr>
      </w:pPr>
      <w:bookmarkStart w:id="121" w:name="_Toc227161649"/>
      <w:r w:rsidRPr="003D2A76">
        <w:rPr>
          <w:rFonts w:asciiTheme="majorBidi" w:hAnsiTheme="majorBidi" w:cstheme="majorBidi"/>
          <w:b/>
          <w:bCs/>
          <w:lang w:val="en-GB"/>
        </w:rPr>
        <w:t xml:space="preserve">Table 12 </w:t>
      </w:r>
      <w:r w:rsidRPr="003D2A76">
        <w:rPr>
          <w:rFonts w:asciiTheme="majorBidi" w:hAnsiTheme="majorBidi" w:cstheme="majorBidi"/>
          <w:b/>
          <w:bCs/>
          <w:lang w:val="en-GB"/>
        </w:rPr>
        <w:br/>
      </w:r>
      <w:bookmarkStart w:id="122" w:name="_Hlk232588820"/>
      <w:r w:rsidRPr="003D2A76">
        <w:rPr>
          <w:rFonts w:asciiTheme="majorBidi" w:hAnsiTheme="majorBidi" w:cstheme="majorBidi"/>
          <w:b/>
          <w:bCs/>
          <w:lang w:val="en-GB"/>
        </w:rPr>
        <w:t>Group Comparisons (Students vs Parents)</w:t>
      </w:r>
      <w:bookmarkEnd w:id="121"/>
      <w:bookmarkEnd w:id="122"/>
    </w:p>
    <w:tbl>
      <w:tblPr>
        <w:tblStyle w:val="TableGrid"/>
        <w:tblW w:w="5000" w:type="pct"/>
        <w:tblLook w:val="04A0" w:firstRow="1" w:lastRow="0" w:firstColumn="1" w:lastColumn="0" w:noHBand="0" w:noVBand="1"/>
      </w:tblPr>
      <w:tblGrid>
        <w:gridCol w:w="2053"/>
        <w:gridCol w:w="1922"/>
        <w:gridCol w:w="664"/>
        <w:gridCol w:w="1800"/>
        <w:gridCol w:w="664"/>
        <w:gridCol w:w="725"/>
        <w:gridCol w:w="802"/>
      </w:tblGrid>
      <w:tr w:rsidR="00885F3C" w:rsidRPr="003D2A76" w14:paraId="499656A2" w14:textId="77777777" w:rsidTr="006A4A5D">
        <w:tc>
          <w:tcPr>
            <w:tcW w:w="0" w:type="auto"/>
            <w:hideMark/>
          </w:tcPr>
          <w:p w14:paraId="6A11EBE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Variable</w:t>
            </w:r>
          </w:p>
        </w:tc>
        <w:tc>
          <w:tcPr>
            <w:tcW w:w="0" w:type="auto"/>
            <w:hideMark/>
          </w:tcPr>
          <w:p w14:paraId="4C93F0A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Students (</w:t>
            </w:r>
            <w:r w:rsidRPr="003D2A76">
              <w:rPr>
                <w:rFonts w:asciiTheme="majorBidi" w:hAnsiTheme="majorBidi" w:cstheme="majorBidi"/>
                <w:i/>
                <w:iCs/>
                <w:lang w:val="en-GB"/>
              </w:rPr>
              <w:t>n</w:t>
            </w:r>
            <w:r w:rsidRPr="003D2A76">
              <w:rPr>
                <w:rFonts w:asciiTheme="majorBidi" w:hAnsiTheme="majorBidi" w:cstheme="majorBidi"/>
                <w:lang w:val="en-GB"/>
              </w:rPr>
              <w:t>=205)</w:t>
            </w:r>
          </w:p>
        </w:tc>
        <w:tc>
          <w:tcPr>
            <w:tcW w:w="0" w:type="auto"/>
            <w:hideMark/>
          </w:tcPr>
          <w:p w14:paraId="62853566" w14:textId="77777777" w:rsidR="00885F3C" w:rsidRPr="003D2A76" w:rsidRDefault="00885F3C" w:rsidP="00BD6279">
            <w:pPr>
              <w:bidi w:val="0"/>
              <w:rPr>
                <w:rFonts w:asciiTheme="majorBidi" w:hAnsiTheme="majorBidi" w:cstheme="majorBidi"/>
                <w:b/>
                <w:bCs/>
                <w:lang w:val="en-GB"/>
              </w:rPr>
            </w:pPr>
          </w:p>
        </w:tc>
        <w:tc>
          <w:tcPr>
            <w:tcW w:w="0" w:type="auto"/>
            <w:hideMark/>
          </w:tcPr>
          <w:p w14:paraId="2B5E835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Parents (</w:t>
            </w:r>
            <w:r w:rsidRPr="003D2A76">
              <w:rPr>
                <w:rFonts w:asciiTheme="majorBidi" w:hAnsiTheme="majorBidi" w:cstheme="majorBidi"/>
                <w:i/>
                <w:iCs/>
                <w:lang w:val="en-GB"/>
              </w:rPr>
              <w:t>n</w:t>
            </w:r>
            <w:r w:rsidRPr="003D2A76">
              <w:rPr>
                <w:rFonts w:asciiTheme="majorBidi" w:hAnsiTheme="majorBidi" w:cstheme="majorBidi"/>
                <w:lang w:val="en-GB"/>
              </w:rPr>
              <w:t>=204)</w:t>
            </w:r>
          </w:p>
        </w:tc>
        <w:tc>
          <w:tcPr>
            <w:tcW w:w="0" w:type="auto"/>
            <w:hideMark/>
          </w:tcPr>
          <w:p w14:paraId="63E2638B" w14:textId="77777777" w:rsidR="00885F3C" w:rsidRPr="003D2A76" w:rsidRDefault="00885F3C" w:rsidP="00BD6279">
            <w:pPr>
              <w:bidi w:val="0"/>
              <w:rPr>
                <w:rFonts w:asciiTheme="majorBidi" w:hAnsiTheme="majorBidi" w:cstheme="majorBidi"/>
                <w:b/>
                <w:bCs/>
                <w:lang w:val="en-GB"/>
              </w:rPr>
            </w:pPr>
          </w:p>
        </w:tc>
        <w:tc>
          <w:tcPr>
            <w:tcW w:w="0" w:type="auto"/>
            <w:hideMark/>
          </w:tcPr>
          <w:p w14:paraId="7F11C6C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i/>
                <w:iCs/>
                <w:lang w:val="en-GB"/>
              </w:rPr>
              <w:t>t</w:t>
            </w:r>
            <w:r w:rsidRPr="003D2A76">
              <w:rPr>
                <w:rFonts w:asciiTheme="majorBidi" w:hAnsiTheme="majorBidi" w:cstheme="majorBidi"/>
                <w:lang w:val="en-GB"/>
              </w:rPr>
              <w:t>-test</w:t>
            </w:r>
          </w:p>
        </w:tc>
        <w:tc>
          <w:tcPr>
            <w:tcW w:w="0" w:type="auto"/>
            <w:hideMark/>
          </w:tcPr>
          <w:p w14:paraId="6802AC3C" w14:textId="77777777" w:rsidR="00885F3C" w:rsidRPr="003D2A76" w:rsidRDefault="00885F3C" w:rsidP="00BD6279">
            <w:pPr>
              <w:bidi w:val="0"/>
              <w:rPr>
                <w:rFonts w:asciiTheme="majorBidi" w:hAnsiTheme="majorBidi" w:cstheme="majorBidi"/>
                <w:b/>
                <w:bCs/>
                <w:lang w:val="en-GB"/>
              </w:rPr>
            </w:pPr>
          </w:p>
        </w:tc>
      </w:tr>
      <w:tr w:rsidR="00885F3C" w:rsidRPr="003D2A76" w14:paraId="2B58ADB9" w14:textId="77777777" w:rsidTr="006A4A5D">
        <w:tc>
          <w:tcPr>
            <w:tcW w:w="0" w:type="auto"/>
            <w:hideMark/>
          </w:tcPr>
          <w:p w14:paraId="278660B7" w14:textId="77777777" w:rsidR="00885F3C" w:rsidRPr="003D2A76" w:rsidRDefault="00885F3C" w:rsidP="00BD6279">
            <w:pPr>
              <w:bidi w:val="0"/>
              <w:rPr>
                <w:rFonts w:asciiTheme="majorBidi" w:hAnsiTheme="majorBidi" w:cstheme="majorBidi"/>
                <w:lang w:val="en-GB"/>
              </w:rPr>
            </w:pPr>
          </w:p>
        </w:tc>
        <w:tc>
          <w:tcPr>
            <w:tcW w:w="0" w:type="auto"/>
            <w:hideMark/>
          </w:tcPr>
          <w:p w14:paraId="69391A7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Mean</w:t>
            </w:r>
          </w:p>
        </w:tc>
        <w:tc>
          <w:tcPr>
            <w:tcW w:w="0" w:type="auto"/>
            <w:hideMark/>
          </w:tcPr>
          <w:p w14:paraId="4EB9BDE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SD</w:t>
            </w:r>
          </w:p>
        </w:tc>
        <w:tc>
          <w:tcPr>
            <w:tcW w:w="0" w:type="auto"/>
            <w:hideMark/>
          </w:tcPr>
          <w:p w14:paraId="46B6D28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Mean</w:t>
            </w:r>
          </w:p>
        </w:tc>
        <w:tc>
          <w:tcPr>
            <w:tcW w:w="0" w:type="auto"/>
            <w:hideMark/>
          </w:tcPr>
          <w:p w14:paraId="6EB78B2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SD</w:t>
            </w:r>
          </w:p>
        </w:tc>
        <w:tc>
          <w:tcPr>
            <w:tcW w:w="0" w:type="auto"/>
            <w:hideMark/>
          </w:tcPr>
          <w:p w14:paraId="1262A95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w:t>
            </w:r>
          </w:p>
        </w:tc>
        <w:tc>
          <w:tcPr>
            <w:tcW w:w="0" w:type="auto"/>
            <w:hideMark/>
          </w:tcPr>
          <w:p w14:paraId="6E075BC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w:t>
            </w:r>
          </w:p>
        </w:tc>
      </w:tr>
      <w:tr w:rsidR="00885F3C" w:rsidRPr="003D2A76" w14:paraId="329A76FF" w14:textId="77777777" w:rsidTr="006A4A5D">
        <w:tc>
          <w:tcPr>
            <w:tcW w:w="0" w:type="auto"/>
            <w:hideMark/>
          </w:tcPr>
          <w:p w14:paraId="040D502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Teaching</w:t>
            </w:r>
          </w:p>
        </w:tc>
        <w:tc>
          <w:tcPr>
            <w:tcW w:w="0" w:type="auto"/>
            <w:hideMark/>
          </w:tcPr>
          <w:p w14:paraId="0DC98A2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5.51</w:t>
            </w:r>
          </w:p>
        </w:tc>
        <w:tc>
          <w:tcPr>
            <w:tcW w:w="0" w:type="auto"/>
            <w:hideMark/>
          </w:tcPr>
          <w:p w14:paraId="07C55EF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1.09</w:t>
            </w:r>
          </w:p>
        </w:tc>
        <w:tc>
          <w:tcPr>
            <w:tcW w:w="0" w:type="auto"/>
            <w:hideMark/>
          </w:tcPr>
          <w:p w14:paraId="39D92C6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5.08</w:t>
            </w:r>
          </w:p>
        </w:tc>
        <w:tc>
          <w:tcPr>
            <w:tcW w:w="0" w:type="auto"/>
            <w:hideMark/>
          </w:tcPr>
          <w:p w14:paraId="5B89633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1.16</w:t>
            </w:r>
          </w:p>
        </w:tc>
        <w:tc>
          <w:tcPr>
            <w:tcW w:w="0" w:type="auto"/>
            <w:hideMark/>
          </w:tcPr>
          <w:p w14:paraId="40B092E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3.89</w:t>
            </w:r>
          </w:p>
        </w:tc>
        <w:tc>
          <w:tcPr>
            <w:tcW w:w="0" w:type="auto"/>
            <w:hideMark/>
          </w:tcPr>
          <w:p w14:paraId="51011BF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&lt;.001</w:t>
            </w:r>
          </w:p>
        </w:tc>
      </w:tr>
      <w:tr w:rsidR="00885F3C" w:rsidRPr="003D2A76" w14:paraId="7505309B" w14:textId="77777777" w:rsidTr="006A4A5D">
        <w:tc>
          <w:tcPr>
            <w:tcW w:w="0" w:type="auto"/>
            <w:hideMark/>
          </w:tcPr>
          <w:p w14:paraId="6AD3EB2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Marketing</w:t>
            </w:r>
          </w:p>
        </w:tc>
        <w:tc>
          <w:tcPr>
            <w:tcW w:w="0" w:type="auto"/>
            <w:hideMark/>
          </w:tcPr>
          <w:p w14:paraId="5EF215A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5.39</w:t>
            </w:r>
          </w:p>
        </w:tc>
        <w:tc>
          <w:tcPr>
            <w:tcW w:w="0" w:type="auto"/>
            <w:hideMark/>
          </w:tcPr>
          <w:p w14:paraId="0836A9A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1.11</w:t>
            </w:r>
          </w:p>
        </w:tc>
        <w:tc>
          <w:tcPr>
            <w:tcW w:w="0" w:type="auto"/>
            <w:hideMark/>
          </w:tcPr>
          <w:p w14:paraId="34162AC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5.03</w:t>
            </w:r>
          </w:p>
        </w:tc>
        <w:tc>
          <w:tcPr>
            <w:tcW w:w="0" w:type="auto"/>
            <w:hideMark/>
          </w:tcPr>
          <w:p w14:paraId="5174E5D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1.13</w:t>
            </w:r>
          </w:p>
        </w:tc>
        <w:tc>
          <w:tcPr>
            <w:tcW w:w="0" w:type="auto"/>
            <w:hideMark/>
          </w:tcPr>
          <w:p w14:paraId="0CA2747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3.25</w:t>
            </w:r>
          </w:p>
        </w:tc>
        <w:tc>
          <w:tcPr>
            <w:tcW w:w="0" w:type="auto"/>
            <w:hideMark/>
          </w:tcPr>
          <w:p w14:paraId="4F5B1A1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.001</w:t>
            </w:r>
          </w:p>
        </w:tc>
      </w:tr>
      <w:tr w:rsidR="00885F3C" w:rsidRPr="003D2A76" w14:paraId="01160750" w14:textId="77777777" w:rsidTr="006A4A5D">
        <w:tc>
          <w:tcPr>
            <w:tcW w:w="0" w:type="auto"/>
            <w:hideMark/>
          </w:tcPr>
          <w:p w14:paraId="6326B05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Service Quality</w:t>
            </w:r>
          </w:p>
        </w:tc>
        <w:tc>
          <w:tcPr>
            <w:tcW w:w="0" w:type="auto"/>
            <w:hideMark/>
          </w:tcPr>
          <w:p w14:paraId="5E486B3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5.48</w:t>
            </w:r>
          </w:p>
        </w:tc>
        <w:tc>
          <w:tcPr>
            <w:tcW w:w="0" w:type="auto"/>
            <w:hideMark/>
          </w:tcPr>
          <w:p w14:paraId="1B47481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0.94</w:t>
            </w:r>
          </w:p>
        </w:tc>
        <w:tc>
          <w:tcPr>
            <w:tcW w:w="0" w:type="auto"/>
            <w:hideMark/>
          </w:tcPr>
          <w:p w14:paraId="18A4C1D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5.18</w:t>
            </w:r>
          </w:p>
        </w:tc>
        <w:tc>
          <w:tcPr>
            <w:tcW w:w="0" w:type="auto"/>
            <w:hideMark/>
          </w:tcPr>
          <w:p w14:paraId="03AE27A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1.02</w:t>
            </w:r>
          </w:p>
        </w:tc>
        <w:tc>
          <w:tcPr>
            <w:tcW w:w="0" w:type="auto"/>
            <w:hideMark/>
          </w:tcPr>
          <w:p w14:paraId="4B333E5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3.08</w:t>
            </w:r>
          </w:p>
        </w:tc>
        <w:tc>
          <w:tcPr>
            <w:tcW w:w="0" w:type="auto"/>
            <w:hideMark/>
          </w:tcPr>
          <w:p w14:paraId="07EBEDF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r>
      <w:tr w:rsidR="00885F3C" w:rsidRPr="003D2A76" w14:paraId="67A94A65" w14:textId="77777777" w:rsidTr="006A4A5D">
        <w:tc>
          <w:tcPr>
            <w:tcW w:w="0" w:type="auto"/>
            <w:hideMark/>
          </w:tcPr>
          <w:p w14:paraId="452339F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w:t>
            </w:r>
          </w:p>
        </w:tc>
        <w:tc>
          <w:tcPr>
            <w:tcW w:w="0" w:type="auto"/>
            <w:hideMark/>
          </w:tcPr>
          <w:p w14:paraId="7373918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5.61</w:t>
            </w:r>
          </w:p>
        </w:tc>
        <w:tc>
          <w:tcPr>
            <w:tcW w:w="0" w:type="auto"/>
            <w:hideMark/>
          </w:tcPr>
          <w:p w14:paraId="33A289F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1.02</w:t>
            </w:r>
          </w:p>
        </w:tc>
        <w:tc>
          <w:tcPr>
            <w:tcW w:w="0" w:type="auto"/>
            <w:hideMark/>
          </w:tcPr>
          <w:p w14:paraId="7D946D5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5.27</w:t>
            </w:r>
          </w:p>
        </w:tc>
        <w:tc>
          <w:tcPr>
            <w:tcW w:w="0" w:type="auto"/>
            <w:hideMark/>
          </w:tcPr>
          <w:p w14:paraId="4232EEC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1.14</w:t>
            </w:r>
          </w:p>
        </w:tc>
        <w:tc>
          <w:tcPr>
            <w:tcW w:w="0" w:type="auto"/>
            <w:hideMark/>
          </w:tcPr>
          <w:p w14:paraId="36FE47A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3.17</w:t>
            </w:r>
          </w:p>
        </w:tc>
        <w:tc>
          <w:tcPr>
            <w:tcW w:w="0" w:type="auto"/>
            <w:hideMark/>
          </w:tcPr>
          <w:p w14:paraId="540F3D2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r>
      <w:tr w:rsidR="00885F3C" w:rsidRPr="003D2A76" w14:paraId="25FCBAE0" w14:textId="77777777" w:rsidTr="006A4A5D">
        <w:tc>
          <w:tcPr>
            <w:tcW w:w="0" w:type="auto"/>
            <w:hideMark/>
          </w:tcPr>
          <w:p w14:paraId="6497E6F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Value</w:t>
            </w:r>
          </w:p>
        </w:tc>
        <w:tc>
          <w:tcPr>
            <w:tcW w:w="0" w:type="auto"/>
            <w:hideMark/>
          </w:tcPr>
          <w:p w14:paraId="3285AA7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5.43</w:t>
            </w:r>
          </w:p>
        </w:tc>
        <w:tc>
          <w:tcPr>
            <w:tcW w:w="0" w:type="auto"/>
            <w:hideMark/>
          </w:tcPr>
          <w:p w14:paraId="4CE96B4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1.08</w:t>
            </w:r>
          </w:p>
        </w:tc>
        <w:tc>
          <w:tcPr>
            <w:tcW w:w="0" w:type="auto"/>
            <w:hideMark/>
          </w:tcPr>
          <w:p w14:paraId="31C63B2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5.09</w:t>
            </w:r>
          </w:p>
        </w:tc>
        <w:tc>
          <w:tcPr>
            <w:tcW w:w="0" w:type="auto"/>
            <w:hideMark/>
          </w:tcPr>
          <w:p w14:paraId="1CD8C46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1.18</w:t>
            </w:r>
          </w:p>
        </w:tc>
        <w:tc>
          <w:tcPr>
            <w:tcW w:w="0" w:type="auto"/>
            <w:hideMark/>
          </w:tcPr>
          <w:p w14:paraId="42F4615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3.02</w:t>
            </w:r>
          </w:p>
        </w:tc>
        <w:tc>
          <w:tcPr>
            <w:tcW w:w="0" w:type="auto"/>
            <w:hideMark/>
          </w:tcPr>
          <w:p w14:paraId="344714F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.003</w:t>
            </w:r>
          </w:p>
        </w:tc>
      </w:tr>
      <w:tr w:rsidR="00885F3C" w:rsidRPr="003D2A76" w14:paraId="6D248AE9" w14:textId="77777777" w:rsidTr="006A4A5D">
        <w:tc>
          <w:tcPr>
            <w:tcW w:w="0" w:type="auto"/>
            <w:hideMark/>
          </w:tcPr>
          <w:p w14:paraId="6B99E71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Purchase Intention</w:t>
            </w:r>
          </w:p>
        </w:tc>
        <w:tc>
          <w:tcPr>
            <w:tcW w:w="0" w:type="auto"/>
            <w:hideMark/>
          </w:tcPr>
          <w:p w14:paraId="0A43FEC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5.42</w:t>
            </w:r>
          </w:p>
        </w:tc>
        <w:tc>
          <w:tcPr>
            <w:tcW w:w="0" w:type="auto"/>
            <w:hideMark/>
          </w:tcPr>
          <w:p w14:paraId="6D92F26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1.09</w:t>
            </w:r>
          </w:p>
        </w:tc>
        <w:tc>
          <w:tcPr>
            <w:tcW w:w="0" w:type="auto"/>
            <w:hideMark/>
          </w:tcPr>
          <w:p w14:paraId="396999B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5.06</w:t>
            </w:r>
          </w:p>
        </w:tc>
        <w:tc>
          <w:tcPr>
            <w:tcW w:w="0" w:type="auto"/>
            <w:hideMark/>
          </w:tcPr>
          <w:p w14:paraId="233B65C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1.21</w:t>
            </w:r>
          </w:p>
        </w:tc>
        <w:tc>
          <w:tcPr>
            <w:tcW w:w="0" w:type="auto"/>
            <w:hideMark/>
          </w:tcPr>
          <w:p w14:paraId="38BCBB7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3.16</w:t>
            </w:r>
          </w:p>
        </w:tc>
        <w:tc>
          <w:tcPr>
            <w:tcW w:w="0" w:type="auto"/>
            <w:hideMark/>
          </w:tcPr>
          <w:p w14:paraId="3B70B03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.002</w:t>
            </w:r>
          </w:p>
        </w:tc>
      </w:tr>
      <w:tr w:rsidR="00885F3C" w:rsidRPr="003D2A76" w14:paraId="4D183EAB" w14:textId="77777777" w:rsidTr="006A4A5D">
        <w:tc>
          <w:tcPr>
            <w:tcW w:w="0" w:type="auto"/>
            <w:hideMark/>
          </w:tcPr>
          <w:p w14:paraId="2DF20C8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Cultural Factors</w:t>
            </w:r>
          </w:p>
        </w:tc>
        <w:tc>
          <w:tcPr>
            <w:tcW w:w="0" w:type="auto"/>
            <w:hideMark/>
          </w:tcPr>
          <w:p w14:paraId="39D8331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6.08</w:t>
            </w:r>
          </w:p>
        </w:tc>
        <w:tc>
          <w:tcPr>
            <w:tcW w:w="0" w:type="auto"/>
            <w:hideMark/>
          </w:tcPr>
          <w:p w14:paraId="362D109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1.01</w:t>
            </w:r>
          </w:p>
        </w:tc>
        <w:tc>
          <w:tcPr>
            <w:tcW w:w="0" w:type="auto"/>
            <w:hideMark/>
          </w:tcPr>
          <w:p w14:paraId="79E12CE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5.88</w:t>
            </w:r>
          </w:p>
        </w:tc>
        <w:tc>
          <w:tcPr>
            <w:tcW w:w="0" w:type="auto"/>
            <w:hideMark/>
          </w:tcPr>
          <w:p w14:paraId="4E850D9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1.14</w:t>
            </w:r>
          </w:p>
        </w:tc>
        <w:tc>
          <w:tcPr>
            <w:tcW w:w="0" w:type="auto"/>
            <w:hideMark/>
          </w:tcPr>
          <w:p w14:paraId="616701A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1.87</w:t>
            </w:r>
          </w:p>
        </w:tc>
        <w:tc>
          <w:tcPr>
            <w:tcW w:w="0" w:type="auto"/>
            <w:hideMark/>
          </w:tcPr>
          <w:p w14:paraId="47B6DBB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.062</w:t>
            </w:r>
          </w:p>
        </w:tc>
      </w:tr>
    </w:tbl>
    <w:p w14:paraId="362906A1"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i/>
          <w:iCs/>
          <w:lang w:val="en-GB"/>
        </w:rPr>
        <w:t>Note.</w:t>
      </w:r>
      <w:r w:rsidRPr="003D2A76">
        <w:rPr>
          <w:rFonts w:asciiTheme="majorBidi" w:hAnsiTheme="majorBidi" w:cstheme="majorBidi"/>
          <w:lang w:val="en-GB"/>
        </w:rPr>
        <w:t xml:space="preserve"> </w:t>
      </w:r>
      <w:r w:rsidRPr="003D2A76">
        <w:rPr>
          <w:rFonts w:asciiTheme="majorBidi" w:hAnsiTheme="majorBidi" w:cstheme="majorBidi"/>
          <w:i/>
          <w:iCs/>
          <w:lang w:val="en-GB"/>
        </w:rPr>
        <w:t>df</w:t>
      </w:r>
      <w:r w:rsidRPr="003D2A76">
        <w:rPr>
          <w:rFonts w:asciiTheme="majorBidi" w:hAnsiTheme="majorBidi" w:cstheme="majorBidi"/>
          <w:lang w:val="en-GB"/>
        </w:rPr>
        <w:t xml:space="preserve"> = 407 for all comparisons.</w:t>
      </w:r>
    </w:p>
    <w:p w14:paraId="5EF02687" w14:textId="7D81FB44"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difference in the perceptions between the students was always found to be higher</w:t>
      </w:r>
      <w:r w:rsidR="009D2DAA" w:rsidRPr="003D2A76">
        <w:rPr>
          <w:rFonts w:asciiTheme="majorBidi" w:hAnsiTheme="majorBidi" w:cstheme="majorBidi"/>
          <w:lang w:val="en-GB"/>
        </w:rPr>
        <w:t>,</w:t>
      </w:r>
      <w:r w:rsidRPr="003D2A76">
        <w:rPr>
          <w:rFonts w:asciiTheme="majorBidi" w:hAnsiTheme="majorBidi" w:cstheme="majorBidi"/>
          <w:lang w:val="en-GB"/>
        </w:rPr>
        <w:t xml:space="preserve"> except in the case of cultural factors</w:t>
      </w:r>
      <w:r w:rsidR="00784327">
        <w:rPr>
          <w:rFonts w:asciiTheme="majorBidi" w:hAnsiTheme="majorBidi" w:cstheme="majorBidi"/>
          <w:lang w:val="en-GB"/>
        </w:rPr>
        <w:t>,</w:t>
      </w:r>
      <w:r w:rsidRPr="003D2A76">
        <w:rPr>
          <w:rFonts w:asciiTheme="majorBidi" w:hAnsiTheme="majorBidi" w:cstheme="majorBidi"/>
          <w:lang w:val="en-GB"/>
        </w:rPr>
        <w:t xml:space="preserve"> where the difference was not significant. Such disparities indicate that direct service recipients (students) can have more positive technology experiences compared to decision-makers (parents), which is possible because of the difference in generational technology comfort.</w:t>
      </w:r>
    </w:p>
    <w:p w14:paraId="3E02F34B" w14:textId="50FDA0BA" w:rsidR="00885F3C" w:rsidRPr="003D2A76" w:rsidRDefault="00AE34CF" w:rsidP="00BD6279">
      <w:pPr>
        <w:bidi w:val="0"/>
        <w:rPr>
          <w:rFonts w:asciiTheme="majorBidi" w:hAnsiTheme="majorBidi" w:cstheme="majorBidi"/>
          <w:b/>
          <w:bCs/>
          <w:i/>
          <w:lang w:val="en-GB"/>
        </w:rPr>
      </w:pPr>
      <w:bookmarkStart w:id="123" w:name="_Toc216904186"/>
      <w:r>
        <w:rPr>
          <w:rFonts w:asciiTheme="majorBidi" w:hAnsiTheme="majorBidi" w:cstheme="majorBidi"/>
          <w:b/>
          <w:bCs/>
          <w:i/>
          <w:lang w:val="en-GB"/>
        </w:rPr>
        <w:t xml:space="preserve">4.11.2 </w:t>
      </w:r>
      <w:r w:rsidR="00885F3C" w:rsidRPr="003D2A76">
        <w:rPr>
          <w:rFonts w:asciiTheme="majorBidi" w:hAnsiTheme="majorBidi" w:cstheme="majorBidi"/>
          <w:b/>
          <w:bCs/>
          <w:i/>
          <w:lang w:val="en-GB"/>
        </w:rPr>
        <w:t>Demographic Variable Effects</w:t>
      </w:r>
      <w:bookmarkEnd w:id="123"/>
    </w:p>
    <w:p w14:paraId="123C4D74" w14:textId="0055B2AC" w:rsidR="00885F3C" w:rsidRPr="003D2A76" w:rsidRDefault="009D2DAA" w:rsidP="00BD6279">
      <w:pPr>
        <w:bidi w:val="0"/>
        <w:rPr>
          <w:rFonts w:asciiTheme="majorBidi" w:hAnsiTheme="majorBidi" w:cstheme="majorBidi"/>
          <w:lang w:val="en-GB"/>
        </w:rPr>
      </w:pPr>
      <w:r w:rsidRPr="003D2A76">
        <w:rPr>
          <w:rFonts w:asciiTheme="majorBidi" w:hAnsiTheme="majorBidi" w:cstheme="majorBidi"/>
          <w:lang w:val="en-GB"/>
        </w:rPr>
        <w:t xml:space="preserve">A one-way </w:t>
      </w:r>
      <w:r w:rsidR="00885F3C" w:rsidRPr="003D2A76">
        <w:rPr>
          <w:rFonts w:asciiTheme="majorBidi" w:hAnsiTheme="majorBidi" w:cstheme="majorBidi"/>
          <w:lang w:val="en-GB"/>
        </w:rPr>
        <w:t xml:space="preserve">ANOVA analysis of the demographics was done, and the results </w:t>
      </w:r>
      <w:r w:rsidRPr="003D2A76">
        <w:rPr>
          <w:rFonts w:asciiTheme="majorBidi" w:hAnsiTheme="majorBidi" w:cstheme="majorBidi"/>
          <w:lang w:val="en-GB"/>
        </w:rPr>
        <w:t>elucidated</w:t>
      </w:r>
      <w:r w:rsidR="00885F3C" w:rsidRPr="003D2A76">
        <w:rPr>
          <w:rFonts w:asciiTheme="majorBidi" w:hAnsiTheme="majorBidi" w:cstheme="majorBidi"/>
          <w:lang w:val="en-GB"/>
        </w:rPr>
        <w:t xml:space="preserve"> that there are </w:t>
      </w:r>
      <w:r w:rsidR="00784327">
        <w:rPr>
          <w:rFonts w:asciiTheme="majorBidi" w:hAnsiTheme="majorBidi" w:cstheme="majorBidi"/>
          <w:lang w:val="en-GB"/>
        </w:rPr>
        <w:t>many significant patterns</w:t>
      </w:r>
      <w:r w:rsidR="00885F3C" w:rsidRPr="003D2A76">
        <w:rPr>
          <w:rFonts w:asciiTheme="majorBidi" w:hAnsiTheme="majorBidi" w:cstheme="majorBidi"/>
          <w:lang w:val="en-GB"/>
        </w:rPr>
        <w:t>: Age Effects: Generational differences in technology acceptance were proven as younger respondents (16</w:t>
      </w:r>
      <w:r w:rsidRPr="003D2A76">
        <w:rPr>
          <w:rFonts w:asciiTheme="majorBidi" w:hAnsiTheme="majorBidi" w:cstheme="majorBidi"/>
          <w:lang w:val="en-GB"/>
        </w:rPr>
        <w:t>–</w:t>
      </w:r>
      <w:r w:rsidR="00885F3C" w:rsidRPr="003D2A76">
        <w:rPr>
          <w:rFonts w:asciiTheme="majorBidi" w:hAnsiTheme="majorBidi" w:cstheme="majorBidi"/>
          <w:lang w:val="en-GB"/>
        </w:rPr>
        <w:t>25 years) expressed much higher perceptions of AI adoption (F</w:t>
      </w:r>
      <w:r w:rsidR="00784327">
        <w:rPr>
          <w:rFonts w:asciiTheme="majorBidi" w:hAnsiTheme="majorBidi" w:cstheme="majorBidi"/>
          <w:lang w:val="en-GB"/>
        </w:rPr>
        <w:t xml:space="preserve"> </w:t>
      </w:r>
      <w:r w:rsidR="00885F3C" w:rsidRPr="003D2A76">
        <w:rPr>
          <w:rFonts w:asciiTheme="majorBidi" w:hAnsiTheme="majorBidi" w:cstheme="majorBidi"/>
          <w:lang w:val="en-GB"/>
        </w:rPr>
        <w:t>(3, 405) = 12.34, p &lt; 0.00) and purchase intention ( F(3, 405) = 8.76, p &lt; 0.00) compared to older groups. Income Effects: Stronger perceived value was found among higher income groups (F(4, 404) = 15.67, p &lt; 0.00)</w:t>
      </w:r>
      <w:r w:rsidR="00BC492E">
        <w:rPr>
          <w:rFonts w:asciiTheme="majorBidi" w:hAnsiTheme="majorBidi" w:cstheme="majorBidi"/>
          <w:lang w:val="en-GB"/>
        </w:rPr>
        <w:t>,</w:t>
      </w:r>
      <w:r w:rsidR="00885F3C" w:rsidRPr="003D2A76">
        <w:rPr>
          <w:rFonts w:asciiTheme="majorBidi" w:hAnsiTheme="majorBidi" w:cstheme="majorBidi"/>
          <w:lang w:val="en-GB"/>
        </w:rPr>
        <w:t xml:space="preserve"> although the trend was non-linear</w:t>
      </w:r>
      <w:r w:rsidR="00BC492E">
        <w:rPr>
          <w:rFonts w:asciiTheme="majorBidi" w:hAnsiTheme="majorBidi" w:cstheme="majorBidi"/>
          <w:lang w:val="en-GB"/>
        </w:rPr>
        <w:t>,</w:t>
      </w:r>
      <w:r w:rsidR="00885F3C" w:rsidRPr="003D2A76">
        <w:rPr>
          <w:rFonts w:asciiTheme="majorBidi" w:hAnsiTheme="majorBidi" w:cstheme="majorBidi"/>
          <w:lang w:val="en-GB"/>
        </w:rPr>
        <w:t xml:space="preserve"> with the middle-income groups having the highest value perceptions according to fee levels. Effects of nationality: There were considerable differences in the </w:t>
      </w:r>
      <w:r w:rsidRPr="003D2A76">
        <w:rPr>
          <w:rFonts w:asciiTheme="majorBidi" w:hAnsiTheme="majorBidi" w:cstheme="majorBidi"/>
          <w:lang w:val="en-GB"/>
        </w:rPr>
        <w:t xml:space="preserve">importance of </w:t>
      </w:r>
      <w:r w:rsidR="00885F3C" w:rsidRPr="003D2A76">
        <w:rPr>
          <w:rFonts w:asciiTheme="majorBidi" w:hAnsiTheme="majorBidi" w:cstheme="majorBidi"/>
          <w:lang w:val="en-GB"/>
        </w:rPr>
        <w:t>cultural factors (F</w:t>
      </w:r>
      <w:r w:rsidR="00BC492E">
        <w:rPr>
          <w:rFonts w:asciiTheme="majorBidi" w:hAnsiTheme="majorBidi" w:cstheme="majorBidi"/>
          <w:lang w:val="en-GB"/>
        </w:rPr>
        <w:t xml:space="preserve"> </w:t>
      </w:r>
      <w:r w:rsidR="00885F3C" w:rsidRPr="003D2A76">
        <w:rPr>
          <w:rFonts w:asciiTheme="majorBidi" w:hAnsiTheme="majorBidi" w:cstheme="majorBidi"/>
          <w:lang w:val="en-GB"/>
        </w:rPr>
        <w:t xml:space="preserve">(4, 404) = 9.23, p &lt; </w:t>
      </w:r>
      <w:r w:rsidR="00885F3C" w:rsidRPr="003D2A76">
        <w:rPr>
          <w:rFonts w:asciiTheme="majorBidi" w:hAnsiTheme="majorBidi" w:cstheme="majorBidi"/>
          <w:lang w:val="en-GB"/>
        </w:rPr>
        <w:lastRenderedPageBreak/>
        <w:t>0.00)</w:t>
      </w:r>
      <w:r w:rsidRPr="003D2A76">
        <w:rPr>
          <w:rFonts w:asciiTheme="majorBidi" w:hAnsiTheme="majorBidi" w:cstheme="majorBidi"/>
          <w:lang w:val="en-GB"/>
        </w:rPr>
        <w:t>;</w:t>
      </w:r>
      <w:r w:rsidR="00885F3C" w:rsidRPr="003D2A76">
        <w:rPr>
          <w:rFonts w:asciiTheme="majorBidi" w:hAnsiTheme="majorBidi" w:cstheme="majorBidi"/>
          <w:lang w:val="en-GB"/>
        </w:rPr>
        <w:t xml:space="preserve"> Saudi nationals </w:t>
      </w:r>
      <w:r w:rsidRPr="003D2A76">
        <w:rPr>
          <w:rFonts w:asciiTheme="majorBidi" w:hAnsiTheme="majorBidi" w:cstheme="majorBidi"/>
          <w:lang w:val="en-GB"/>
        </w:rPr>
        <w:t xml:space="preserve">emphasised </w:t>
      </w:r>
      <w:r w:rsidR="00885F3C" w:rsidRPr="003D2A76">
        <w:rPr>
          <w:rFonts w:asciiTheme="majorBidi" w:hAnsiTheme="majorBidi" w:cstheme="majorBidi"/>
          <w:lang w:val="en-GB"/>
        </w:rPr>
        <w:t xml:space="preserve">cultural alignment </w:t>
      </w:r>
      <w:r w:rsidR="00BD3E25">
        <w:rPr>
          <w:rFonts w:asciiTheme="majorBidi" w:hAnsiTheme="majorBidi" w:cstheme="majorBidi"/>
          <w:lang w:val="en-GB"/>
        </w:rPr>
        <w:t>most commonly</w:t>
      </w:r>
      <w:r w:rsidR="00885F3C" w:rsidRPr="003D2A76">
        <w:rPr>
          <w:rFonts w:asciiTheme="majorBidi" w:hAnsiTheme="majorBidi" w:cstheme="majorBidi"/>
          <w:lang w:val="en-GB"/>
        </w:rPr>
        <w:t>, then other Arab nationals. Effects on Education: The higher the education level, the higher the acceptance of AI (F (2, 406) = 7.89, p &lt; 0.00) and the perceived service quality (F (2, 406) = 5.43, p = 0.01).</w:t>
      </w:r>
    </w:p>
    <w:p w14:paraId="2E742060" w14:textId="1805955A" w:rsidR="00885F3C" w:rsidRPr="003D2A76" w:rsidRDefault="00AE34CF" w:rsidP="00BD6279">
      <w:pPr>
        <w:bidi w:val="0"/>
        <w:rPr>
          <w:rFonts w:asciiTheme="majorBidi" w:hAnsiTheme="majorBidi" w:cstheme="majorBidi"/>
          <w:b/>
          <w:bCs/>
          <w:i/>
          <w:lang w:val="en-GB"/>
        </w:rPr>
      </w:pPr>
      <w:bookmarkStart w:id="124" w:name="_Toc216904187"/>
      <w:r>
        <w:rPr>
          <w:rFonts w:asciiTheme="majorBidi" w:hAnsiTheme="majorBidi" w:cstheme="majorBidi"/>
          <w:b/>
          <w:bCs/>
          <w:i/>
          <w:lang w:val="en-GB"/>
        </w:rPr>
        <w:t xml:space="preserve">4.11.3 </w:t>
      </w:r>
      <w:r w:rsidR="00885F3C" w:rsidRPr="003D2A76">
        <w:rPr>
          <w:rFonts w:asciiTheme="majorBidi" w:hAnsiTheme="majorBidi" w:cstheme="majorBidi"/>
          <w:b/>
          <w:bCs/>
          <w:i/>
          <w:lang w:val="en-GB"/>
        </w:rPr>
        <w:t>Conditional Effects Analysis</w:t>
      </w:r>
      <w:bookmarkEnd w:id="124"/>
    </w:p>
    <w:p w14:paraId="380AD66C" w14:textId="6F11F1EA"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The analysis carried out by Johnson-Neyman was used to determine areas of significance of the cultural moderation effect. The correlation between adoption of AI teaching and service quality was significant when the cultural considerations had a score above 4.82 on the 7</w:t>
      </w:r>
      <w:r w:rsidR="009D2DAA" w:rsidRPr="003D2A76">
        <w:rPr>
          <w:rFonts w:asciiTheme="majorBidi" w:hAnsiTheme="majorBidi" w:cstheme="majorBidi"/>
          <w:lang w:val="en-GB"/>
        </w:rPr>
        <w:t>-</w:t>
      </w:r>
      <w:r w:rsidRPr="003D2A76">
        <w:rPr>
          <w:rFonts w:asciiTheme="majorBidi" w:hAnsiTheme="majorBidi" w:cstheme="majorBidi"/>
          <w:lang w:val="en-GB"/>
        </w:rPr>
        <w:t>point scale, which represented 78.2 percent of the sample. Such a result implies that the benefits of AI adoption require cultural alignment so that they can contribute to quality perceptions. The analysis of the conditional indirect effects has shown that the level of mediation was different in cultural factors. The indirect influence of AI teaching on purchase intention based on service quality and trust was 0.49 at high cultural alignment (84th percentile) (Boot CI [0.40, 0.58]). This indirect effect (16th percentile) dropped to 0.29 (Boot CI [0.20, 0.38])</w:t>
      </w:r>
      <w:r w:rsidR="00BD3E25">
        <w:rPr>
          <w:rFonts w:asciiTheme="majorBidi" w:hAnsiTheme="majorBidi" w:cstheme="majorBidi"/>
          <w:lang w:val="en-GB"/>
        </w:rPr>
        <w:t xml:space="preserve"> </w:t>
      </w:r>
      <w:r w:rsidR="00BD3E25" w:rsidRPr="00BD3E25">
        <w:rPr>
          <w:rFonts w:asciiTheme="majorBidi" w:hAnsiTheme="majorBidi" w:cstheme="majorBidi"/>
          <w:lang w:val="en-GB"/>
        </w:rPr>
        <w:t>at low cultural alignmen</w:t>
      </w:r>
      <w:r w:rsidR="00BD3E25">
        <w:rPr>
          <w:rFonts w:asciiTheme="majorBidi" w:hAnsiTheme="majorBidi" w:cstheme="majorBidi"/>
          <w:lang w:val="en-GB"/>
        </w:rPr>
        <w:t>t</w:t>
      </w:r>
      <w:r w:rsidRPr="003D2A76">
        <w:rPr>
          <w:rFonts w:asciiTheme="majorBidi" w:hAnsiTheme="majorBidi" w:cstheme="majorBidi"/>
          <w:lang w:val="en-GB"/>
        </w:rPr>
        <w:t>.</w:t>
      </w:r>
    </w:p>
    <w:p w14:paraId="12D0B505" w14:textId="77777777" w:rsidR="00885F3C" w:rsidRPr="003D2A76" w:rsidRDefault="00885F3C" w:rsidP="00BD6279">
      <w:pPr>
        <w:bidi w:val="0"/>
        <w:rPr>
          <w:rFonts w:asciiTheme="majorBidi" w:hAnsiTheme="majorBidi" w:cstheme="majorBidi"/>
          <w:b/>
          <w:bCs/>
          <w:lang w:val="en-GB"/>
        </w:rPr>
      </w:pPr>
      <w:bookmarkStart w:id="125" w:name="_Toc227161650"/>
      <w:r w:rsidRPr="003D2A76">
        <w:rPr>
          <w:rFonts w:asciiTheme="majorBidi" w:hAnsiTheme="majorBidi" w:cstheme="majorBidi"/>
          <w:b/>
          <w:bCs/>
          <w:lang w:val="en-GB"/>
        </w:rPr>
        <w:t xml:space="preserve">Table 13 </w:t>
      </w:r>
      <w:r w:rsidRPr="003D2A76">
        <w:rPr>
          <w:rFonts w:asciiTheme="majorBidi" w:hAnsiTheme="majorBidi" w:cstheme="majorBidi"/>
          <w:b/>
          <w:bCs/>
          <w:lang w:val="en-GB"/>
        </w:rPr>
        <w:br/>
      </w:r>
      <w:bookmarkStart w:id="126" w:name="_Hlk232588858"/>
      <w:r w:rsidRPr="003D2A76">
        <w:rPr>
          <w:rFonts w:asciiTheme="majorBidi" w:hAnsiTheme="majorBidi" w:cstheme="majorBidi"/>
          <w:b/>
          <w:bCs/>
          <w:lang w:val="en-GB"/>
        </w:rPr>
        <w:t>Moderated Mediation Analysis (PROCESS Model 7)</w:t>
      </w:r>
      <w:bookmarkEnd w:id="125"/>
    </w:p>
    <w:tbl>
      <w:tblPr>
        <w:tblStyle w:val="TableGrid"/>
        <w:tblW w:w="5000" w:type="pct"/>
        <w:tblLook w:val="04A0" w:firstRow="1" w:lastRow="0" w:firstColumn="1" w:lastColumn="0" w:noHBand="0" w:noVBand="1"/>
      </w:tblPr>
      <w:tblGrid>
        <w:gridCol w:w="1511"/>
        <w:gridCol w:w="2170"/>
        <w:gridCol w:w="2661"/>
        <w:gridCol w:w="927"/>
        <w:gridCol w:w="1361"/>
      </w:tblGrid>
      <w:tr w:rsidR="00885F3C" w:rsidRPr="003D2A76" w14:paraId="564C03F3" w14:textId="77777777" w:rsidTr="006A4A5D">
        <w:tc>
          <w:tcPr>
            <w:tcW w:w="0" w:type="auto"/>
            <w:hideMark/>
          </w:tcPr>
          <w:bookmarkEnd w:id="126"/>
          <w:p w14:paraId="6BBD34BD"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Mediator Path</w:t>
            </w:r>
          </w:p>
        </w:tc>
        <w:tc>
          <w:tcPr>
            <w:tcW w:w="0" w:type="auto"/>
            <w:hideMark/>
          </w:tcPr>
          <w:p w14:paraId="549D3224"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Cultural Factor Level</w:t>
            </w:r>
          </w:p>
        </w:tc>
        <w:tc>
          <w:tcPr>
            <w:tcW w:w="0" w:type="auto"/>
            <w:hideMark/>
          </w:tcPr>
          <w:p w14:paraId="2D99761B"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Conditional Indirect Effect</w:t>
            </w:r>
          </w:p>
        </w:tc>
        <w:tc>
          <w:tcPr>
            <w:tcW w:w="0" w:type="auto"/>
            <w:hideMark/>
          </w:tcPr>
          <w:p w14:paraId="7354BA47"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BootSE</w:t>
            </w:r>
          </w:p>
        </w:tc>
        <w:tc>
          <w:tcPr>
            <w:tcW w:w="0" w:type="auto"/>
            <w:hideMark/>
          </w:tcPr>
          <w:p w14:paraId="147B3925"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95% BootCI</w:t>
            </w:r>
          </w:p>
        </w:tc>
      </w:tr>
      <w:tr w:rsidR="00885F3C" w:rsidRPr="003D2A76" w14:paraId="6CBD13FC" w14:textId="77777777" w:rsidTr="006A4A5D">
        <w:tc>
          <w:tcPr>
            <w:tcW w:w="0" w:type="auto"/>
            <w:gridSpan w:val="5"/>
            <w:hideMark/>
          </w:tcPr>
          <w:p w14:paraId="3D40745E"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AI Teach → Serv Qual → Purch Int</w:t>
            </w:r>
          </w:p>
        </w:tc>
      </w:tr>
      <w:tr w:rsidR="00885F3C" w:rsidRPr="003D2A76" w14:paraId="763A51AE" w14:textId="77777777" w:rsidTr="006A4A5D">
        <w:tc>
          <w:tcPr>
            <w:tcW w:w="0" w:type="auto"/>
            <w:hideMark/>
          </w:tcPr>
          <w:p w14:paraId="2CB4A295" w14:textId="77777777" w:rsidR="00885F3C" w:rsidRPr="003D2A76" w:rsidRDefault="00885F3C" w:rsidP="00BD6279">
            <w:pPr>
              <w:bidi w:val="0"/>
              <w:spacing w:after="160"/>
              <w:rPr>
                <w:rFonts w:asciiTheme="majorBidi" w:hAnsiTheme="majorBidi" w:cstheme="majorBidi"/>
                <w:lang w:val="en-GB"/>
              </w:rPr>
            </w:pPr>
          </w:p>
        </w:tc>
        <w:tc>
          <w:tcPr>
            <w:tcW w:w="0" w:type="auto"/>
            <w:hideMark/>
          </w:tcPr>
          <w:p w14:paraId="28CE07AC"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Low (5.33)</w:t>
            </w:r>
          </w:p>
        </w:tc>
        <w:tc>
          <w:tcPr>
            <w:tcW w:w="0" w:type="auto"/>
            <w:hideMark/>
          </w:tcPr>
          <w:p w14:paraId="03090749"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0.20</w:t>
            </w:r>
          </w:p>
        </w:tc>
        <w:tc>
          <w:tcPr>
            <w:tcW w:w="0" w:type="auto"/>
            <w:hideMark/>
          </w:tcPr>
          <w:p w14:paraId="0C693F09"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0.06</w:t>
            </w:r>
          </w:p>
        </w:tc>
        <w:tc>
          <w:tcPr>
            <w:tcW w:w="0" w:type="auto"/>
            <w:hideMark/>
          </w:tcPr>
          <w:p w14:paraId="3CA3E2A3"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[0.09, 0.31]</w:t>
            </w:r>
          </w:p>
        </w:tc>
      </w:tr>
      <w:tr w:rsidR="00885F3C" w:rsidRPr="003D2A76" w14:paraId="6721E935" w14:textId="77777777" w:rsidTr="006A4A5D">
        <w:tc>
          <w:tcPr>
            <w:tcW w:w="0" w:type="auto"/>
            <w:hideMark/>
          </w:tcPr>
          <w:p w14:paraId="365C8642" w14:textId="77777777" w:rsidR="00885F3C" w:rsidRPr="003D2A76" w:rsidRDefault="00885F3C" w:rsidP="00BD6279">
            <w:pPr>
              <w:bidi w:val="0"/>
              <w:spacing w:after="160"/>
              <w:rPr>
                <w:rFonts w:asciiTheme="majorBidi" w:hAnsiTheme="majorBidi" w:cstheme="majorBidi"/>
                <w:lang w:val="en-GB"/>
              </w:rPr>
            </w:pPr>
          </w:p>
        </w:tc>
        <w:tc>
          <w:tcPr>
            <w:tcW w:w="0" w:type="auto"/>
            <w:hideMark/>
          </w:tcPr>
          <w:p w14:paraId="16976A2C"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Medium (6.00)</w:t>
            </w:r>
          </w:p>
        </w:tc>
        <w:tc>
          <w:tcPr>
            <w:tcW w:w="0" w:type="auto"/>
            <w:hideMark/>
          </w:tcPr>
          <w:p w14:paraId="49D0C571"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0.26</w:t>
            </w:r>
          </w:p>
        </w:tc>
        <w:tc>
          <w:tcPr>
            <w:tcW w:w="0" w:type="auto"/>
            <w:hideMark/>
          </w:tcPr>
          <w:p w14:paraId="69336760"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0.05</w:t>
            </w:r>
          </w:p>
        </w:tc>
        <w:tc>
          <w:tcPr>
            <w:tcW w:w="0" w:type="auto"/>
            <w:hideMark/>
          </w:tcPr>
          <w:p w14:paraId="7411BA38"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[0.17, 0.37]</w:t>
            </w:r>
          </w:p>
        </w:tc>
      </w:tr>
      <w:tr w:rsidR="00885F3C" w:rsidRPr="003D2A76" w14:paraId="312A8355" w14:textId="77777777" w:rsidTr="006A4A5D">
        <w:tc>
          <w:tcPr>
            <w:tcW w:w="0" w:type="auto"/>
            <w:hideMark/>
          </w:tcPr>
          <w:p w14:paraId="1AFC81A1" w14:textId="77777777" w:rsidR="00885F3C" w:rsidRPr="003D2A76" w:rsidRDefault="00885F3C" w:rsidP="00BD6279">
            <w:pPr>
              <w:bidi w:val="0"/>
              <w:spacing w:after="160"/>
              <w:rPr>
                <w:rFonts w:asciiTheme="majorBidi" w:hAnsiTheme="majorBidi" w:cstheme="majorBidi"/>
                <w:lang w:val="en-GB"/>
              </w:rPr>
            </w:pPr>
          </w:p>
        </w:tc>
        <w:tc>
          <w:tcPr>
            <w:tcW w:w="0" w:type="auto"/>
            <w:hideMark/>
          </w:tcPr>
          <w:p w14:paraId="6405BC20"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High (7.00)</w:t>
            </w:r>
          </w:p>
        </w:tc>
        <w:tc>
          <w:tcPr>
            <w:tcW w:w="0" w:type="auto"/>
            <w:hideMark/>
          </w:tcPr>
          <w:p w14:paraId="4B0F1222"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0.37</w:t>
            </w:r>
          </w:p>
        </w:tc>
        <w:tc>
          <w:tcPr>
            <w:tcW w:w="0" w:type="auto"/>
            <w:hideMark/>
          </w:tcPr>
          <w:p w14:paraId="1C377B85"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0.06</w:t>
            </w:r>
          </w:p>
        </w:tc>
        <w:tc>
          <w:tcPr>
            <w:tcW w:w="0" w:type="auto"/>
            <w:hideMark/>
          </w:tcPr>
          <w:p w14:paraId="178A56A4"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[0.26, 0.49]</w:t>
            </w:r>
          </w:p>
        </w:tc>
      </w:tr>
      <w:tr w:rsidR="00885F3C" w:rsidRPr="003D2A76" w14:paraId="17C647FE" w14:textId="77777777" w:rsidTr="006A4A5D">
        <w:tc>
          <w:tcPr>
            <w:tcW w:w="0" w:type="auto"/>
            <w:gridSpan w:val="2"/>
            <w:hideMark/>
          </w:tcPr>
          <w:p w14:paraId="46FD1EBB"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lastRenderedPageBreak/>
              <w:t>Index of Moderated Mediation</w:t>
            </w:r>
          </w:p>
        </w:tc>
        <w:tc>
          <w:tcPr>
            <w:tcW w:w="0" w:type="auto"/>
            <w:hideMark/>
          </w:tcPr>
          <w:p w14:paraId="7790D761"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0.10</w:t>
            </w:r>
          </w:p>
        </w:tc>
        <w:tc>
          <w:tcPr>
            <w:tcW w:w="0" w:type="auto"/>
            <w:hideMark/>
          </w:tcPr>
          <w:p w14:paraId="0AA39037"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0.03</w:t>
            </w:r>
          </w:p>
        </w:tc>
        <w:tc>
          <w:tcPr>
            <w:tcW w:w="0" w:type="auto"/>
            <w:hideMark/>
          </w:tcPr>
          <w:p w14:paraId="3FE037B7" w14:textId="77777777" w:rsidR="00885F3C" w:rsidRPr="003D2A76" w:rsidRDefault="00885F3C" w:rsidP="00BD6279">
            <w:pPr>
              <w:bidi w:val="0"/>
              <w:spacing w:after="160"/>
              <w:rPr>
                <w:rFonts w:asciiTheme="majorBidi" w:hAnsiTheme="majorBidi" w:cstheme="majorBidi"/>
                <w:lang w:val="en-GB"/>
              </w:rPr>
            </w:pPr>
            <w:r w:rsidRPr="003D2A76">
              <w:rPr>
                <w:rFonts w:asciiTheme="majorBidi" w:hAnsiTheme="majorBidi" w:cstheme="majorBidi"/>
                <w:lang w:val="en-GB"/>
              </w:rPr>
              <w:t>[0.04, 0.16]</w:t>
            </w:r>
          </w:p>
        </w:tc>
      </w:tr>
    </w:tbl>
    <w:p w14:paraId="2CC48CF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noProof/>
          <w:lang w:val="en-GB"/>
        </w:rPr>
        <w:drawing>
          <wp:anchor distT="0" distB="0" distL="114300" distR="114300" simplePos="0" relativeHeight="251666432" behindDoc="0" locked="0" layoutInCell="1" allowOverlap="1" wp14:anchorId="159A6CD2" wp14:editId="604D63A4">
            <wp:simplePos x="0" y="0"/>
            <wp:positionH relativeFrom="margin">
              <wp:align>right</wp:align>
            </wp:positionH>
            <wp:positionV relativeFrom="paragraph">
              <wp:posOffset>452120</wp:posOffset>
            </wp:positionV>
            <wp:extent cx="5943600" cy="2753360"/>
            <wp:effectExtent l="0" t="0" r="0" b="8890"/>
            <wp:wrapTopAndBottom/>
            <wp:docPr id="1969082043" name="Picture 14" descr="The diagram illustrates a moderated mediation model showing that cultural factors influence the relationship between service quality and purchase intention, with the strength of this effect varying based on different levels of perceived service qual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82043" name="Picture 14" descr="The diagram illustrates a moderated mediation model showing that cultural factors influence the relationship between service quality and purchase intention, with the strength of this effect varying based on different levels of perceived service quality.&#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753360"/>
                    </a:xfrm>
                    <a:prstGeom prst="rect">
                      <a:avLst/>
                    </a:prstGeom>
                    <a:noFill/>
                    <a:ln>
                      <a:noFill/>
                    </a:ln>
                  </pic:spPr>
                </pic:pic>
              </a:graphicData>
            </a:graphic>
            <wp14:sizeRelH relativeFrom="margin">
              <wp14:pctWidth>0</wp14:pctWidth>
            </wp14:sizeRelH>
          </wp:anchor>
        </w:drawing>
      </w:r>
      <w:r w:rsidRPr="003D2A76">
        <w:rPr>
          <w:rFonts w:asciiTheme="majorBidi" w:hAnsiTheme="majorBidi" w:cstheme="majorBidi"/>
          <w:i/>
          <w:iCs/>
          <w:lang w:val="en-GB"/>
        </w:rPr>
        <w:t>Note.</w:t>
      </w:r>
      <w:r w:rsidRPr="003D2A76">
        <w:rPr>
          <w:rFonts w:asciiTheme="majorBidi" w:hAnsiTheme="majorBidi" w:cstheme="majorBidi"/>
          <w:lang w:val="en-GB"/>
        </w:rPr>
        <w:t xml:space="preserve"> Bootstrap samples = 5000. Significant moderate mediation when CI excludes zero.</w:t>
      </w:r>
    </w:p>
    <w:p w14:paraId="0B603087" w14:textId="4AC96414" w:rsidR="00885F3C" w:rsidRDefault="00885F3C" w:rsidP="009F2A1B">
      <w:pPr>
        <w:bidi w:val="0"/>
        <w:rPr>
          <w:rFonts w:asciiTheme="majorBidi" w:hAnsiTheme="majorBidi" w:cstheme="majorBidi"/>
          <w:b/>
          <w:bCs/>
          <w:lang w:val="en-GB"/>
        </w:rPr>
      </w:pPr>
      <w:bookmarkStart w:id="127" w:name="_Toc216904034"/>
      <w:r w:rsidRPr="003D2A76">
        <w:rPr>
          <w:rFonts w:asciiTheme="majorBidi" w:hAnsiTheme="majorBidi" w:cstheme="majorBidi"/>
          <w:b/>
          <w:bCs/>
          <w:lang w:val="en-GB"/>
        </w:rPr>
        <w:t>Figure 1</w:t>
      </w:r>
      <w:r w:rsidR="00FA682D">
        <w:rPr>
          <w:rFonts w:asciiTheme="majorBidi" w:hAnsiTheme="majorBidi" w:cstheme="majorBidi"/>
          <w:b/>
          <w:bCs/>
          <w:lang w:val="en-GB"/>
        </w:rPr>
        <w:t>1</w:t>
      </w:r>
      <w:r w:rsidRPr="003D2A76">
        <w:rPr>
          <w:rFonts w:asciiTheme="majorBidi" w:hAnsiTheme="majorBidi" w:cstheme="majorBidi"/>
          <w:b/>
          <w:bCs/>
          <w:lang w:val="en-GB"/>
        </w:rPr>
        <w:t>: Moderated Mediation Model</w:t>
      </w:r>
      <w:bookmarkEnd w:id="127"/>
    </w:p>
    <w:p w14:paraId="71BEC66E" w14:textId="77777777" w:rsidR="009F2A1B" w:rsidRPr="003D2A76" w:rsidRDefault="009F2A1B" w:rsidP="009F2A1B">
      <w:pPr>
        <w:bidi w:val="0"/>
        <w:rPr>
          <w:rFonts w:asciiTheme="majorBidi" w:hAnsiTheme="majorBidi" w:cstheme="majorBidi"/>
          <w:b/>
          <w:bCs/>
          <w:lang w:val="en-GB"/>
        </w:rPr>
      </w:pPr>
    </w:p>
    <w:p w14:paraId="04327440" w14:textId="77777777" w:rsidR="00885F3C" w:rsidRPr="003D2A76" w:rsidRDefault="006A4A5D" w:rsidP="00BD6279">
      <w:pPr>
        <w:pStyle w:val="Heading2"/>
        <w:rPr>
          <w:lang w:val="en-GB"/>
        </w:rPr>
      </w:pPr>
      <w:bookmarkStart w:id="128" w:name="_Toc216904188"/>
      <w:bookmarkStart w:id="129" w:name="_Toc228056587"/>
      <w:r w:rsidRPr="003D2A76">
        <w:rPr>
          <w:rFonts w:ascii="Times New Roman" w:hAnsi="Times New Roman" w:cs="Times New Roman"/>
          <w:lang w:val="en-GB"/>
        </w:rPr>
        <w:t xml:space="preserve">4.12 </w:t>
      </w:r>
      <w:r w:rsidR="00885F3C" w:rsidRPr="003D2A76">
        <w:rPr>
          <w:rFonts w:ascii="Times New Roman" w:hAnsi="Times New Roman" w:cs="Times New Roman"/>
          <w:lang w:val="en-GB"/>
        </w:rPr>
        <w:t>Summary of Results</w:t>
      </w:r>
      <w:bookmarkEnd w:id="128"/>
      <w:bookmarkEnd w:id="129"/>
    </w:p>
    <w:p w14:paraId="1EA2807C" w14:textId="5077E1A0" w:rsidR="00885F3C" w:rsidRPr="003D2A76" w:rsidRDefault="00AE34CF" w:rsidP="00BD6279">
      <w:pPr>
        <w:bidi w:val="0"/>
        <w:rPr>
          <w:rFonts w:asciiTheme="majorBidi" w:hAnsiTheme="majorBidi" w:cstheme="majorBidi"/>
          <w:b/>
          <w:bCs/>
          <w:i/>
          <w:lang w:val="en-GB"/>
        </w:rPr>
      </w:pPr>
      <w:bookmarkStart w:id="130" w:name="_Toc216904189"/>
      <w:r>
        <w:rPr>
          <w:rFonts w:asciiTheme="majorBidi" w:hAnsiTheme="majorBidi" w:cstheme="majorBidi"/>
          <w:b/>
          <w:bCs/>
          <w:i/>
          <w:lang w:val="en-GB"/>
        </w:rPr>
        <w:t xml:space="preserve">4.12.1 </w:t>
      </w:r>
      <w:r w:rsidR="00885F3C" w:rsidRPr="003D2A76">
        <w:rPr>
          <w:rFonts w:asciiTheme="majorBidi" w:hAnsiTheme="majorBidi" w:cstheme="majorBidi"/>
          <w:b/>
          <w:bCs/>
          <w:i/>
          <w:lang w:val="en-GB"/>
        </w:rPr>
        <w:t>Overview of Findings</w:t>
      </w:r>
      <w:bookmarkEnd w:id="130"/>
    </w:p>
    <w:p w14:paraId="5B27E897" w14:textId="189A5E2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results of the empirical test on 409 participants in the private schools located in Jeddah gave exhaustive information on the effect of </w:t>
      </w:r>
      <w:r w:rsidR="009E4379" w:rsidRPr="003D2A76">
        <w:rPr>
          <w:rFonts w:asciiTheme="majorBidi" w:hAnsiTheme="majorBidi" w:cstheme="majorBidi"/>
          <w:lang w:val="en-GB"/>
        </w:rPr>
        <w:t xml:space="preserve">AI </w:t>
      </w:r>
      <w:r w:rsidRPr="003D2A76">
        <w:rPr>
          <w:rFonts w:asciiTheme="majorBidi" w:hAnsiTheme="majorBidi" w:cstheme="majorBidi"/>
          <w:lang w:val="en-GB"/>
        </w:rPr>
        <w:t xml:space="preserve">adoption on educational service purchase intention. The findings indicated high measurement characteristics and moderate levels of reliability (α &gt; 0.70) and validity of all constructs, which allowed confidence in the results. The analysis of descriptive data has shown moderately high levels of AI adoption in the teaching (M = 5.29) and marketing (M = 5.21) functions with similar positive ratings of service quality (M = 5.33), trust (M = 5.44), perceived value (M = 5.26), and purchase intention (M = 5.24). Cultural factors became very significant (M = 5.98), with the stress being put on the uniqueness of the Saudi Arabian setting. </w:t>
      </w:r>
    </w:p>
    <w:p w14:paraId="3F074F89" w14:textId="77777777" w:rsidR="00142C44" w:rsidRDefault="00142C44" w:rsidP="00BD6279">
      <w:pPr>
        <w:bidi w:val="0"/>
        <w:rPr>
          <w:rFonts w:asciiTheme="majorBidi" w:hAnsiTheme="majorBidi" w:cstheme="majorBidi"/>
          <w:b/>
          <w:bCs/>
          <w:lang w:val="en-GB"/>
        </w:rPr>
      </w:pPr>
      <w:bookmarkStart w:id="131" w:name="_Toc227161651"/>
    </w:p>
    <w:p w14:paraId="2512D701" w14:textId="7272F3FE" w:rsidR="00885F3C" w:rsidRPr="003D2A76" w:rsidRDefault="00885F3C" w:rsidP="00142C44">
      <w:pPr>
        <w:bidi w:val="0"/>
        <w:rPr>
          <w:rFonts w:asciiTheme="majorBidi" w:hAnsiTheme="majorBidi" w:cstheme="majorBidi"/>
          <w:b/>
          <w:bCs/>
          <w:lang w:val="en-GB"/>
        </w:rPr>
      </w:pPr>
      <w:r w:rsidRPr="003D2A76">
        <w:rPr>
          <w:rFonts w:asciiTheme="majorBidi" w:hAnsiTheme="majorBidi" w:cstheme="majorBidi"/>
          <w:b/>
          <w:bCs/>
          <w:lang w:val="en-GB"/>
        </w:rPr>
        <w:t xml:space="preserve">Table 14 </w:t>
      </w:r>
      <w:r w:rsidRPr="003D2A76">
        <w:rPr>
          <w:rFonts w:asciiTheme="majorBidi" w:hAnsiTheme="majorBidi" w:cstheme="majorBidi"/>
          <w:b/>
          <w:bCs/>
          <w:lang w:val="en-GB"/>
        </w:rPr>
        <w:br/>
      </w:r>
      <w:bookmarkStart w:id="132" w:name="_Hlk232589056"/>
      <w:r w:rsidRPr="003D2A76">
        <w:rPr>
          <w:rFonts w:asciiTheme="majorBidi" w:hAnsiTheme="majorBidi" w:cstheme="majorBidi"/>
          <w:b/>
          <w:bCs/>
          <w:lang w:val="en-GB"/>
        </w:rPr>
        <w:t>Summary of Hypothesis Testing Results</w:t>
      </w:r>
      <w:bookmarkEnd w:id="131"/>
    </w:p>
    <w:tbl>
      <w:tblPr>
        <w:tblStyle w:val="TableGrid"/>
        <w:tblW w:w="5000" w:type="pct"/>
        <w:tblLook w:val="04A0" w:firstRow="1" w:lastRow="0" w:firstColumn="1" w:lastColumn="0" w:noHBand="0" w:noVBand="1"/>
      </w:tblPr>
      <w:tblGrid>
        <w:gridCol w:w="1206"/>
        <w:gridCol w:w="4601"/>
        <w:gridCol w:w="1702"/>
        <w:gridCol w:w="1121"/>
      </w:tblGrid>
      <w:tr w:rsidR="00885F3C" w:rsidRPr="003D2A76" w14:paraId="21F1BF71" w14:textId="77777777" w:rsidTr="00800011">
        <w:tc>
          <w:tcPr>
            <w:tcW w:w="0" w:type="auto"/>
            <w:hideMark/>
          </w:tcPr>
          <w:bookmarkEnd w:id="132"/>
          <w:p w14:paraId="5ECEF54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Hypothesis</w:t>
            </w:r>
          </w:p>
        </w:tc>
        <w:tc>
          <w:tcPr>
            <w:tcW w:w="2666" w:type="pct"/>
            <w:hideMark/>
          </w:tcPr>
          <w:p w14:paraId="44A4ED0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Description</w:t>
            </w:r>
          </w:p>
        </w:tc>
        <w:tc>
          <w:tcPr>
            <w:tcW w:w="986" w:type="pct"/>
            <w:hideMark/>
          </w:tcPr>
          <w:p w14:paraId="0625000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Statistical Test</w:t>
            </w:r>
          </w:p>
        </w:tc>
        <w:tc>
          <w:tcPr>
            <w:tcW w:w="649" w:type="pct"/>
            <w:hideMark/>
          </w:tcPr>
          <w:p w14:paraId="547EDD0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Result</w:t>
            </w:r>
          </w:p>
        </w:tc>
      </w:tr>
      <w:tr w:rsidR="00885F3C" w:rsidRPr="003D2A76" w14:paraId="37351440" w14:textId="77777777" w:rsidTr="00800011">
        <w:tc>
          <w:tcPr>
            <w:tcW w:w="0" w:type="auto"/>
            <w:hideMark/>
          </w:tcPr>
          <w:p w14:paraId="524A157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w:t>
            </w:r>
          </w:p>
        </w:tc>
        <w:tc>
          <w:tcPr>
            <w:tcW w:w="2666" w:type="pct"/>
            <w:hideMark/>
          </w:tcPr>
          <w:p w14:paraId="7F27222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adoption in teaching positively influences perceived service quality</w:t>
            </w:r>
          </w:p>
        </w:tc>
        <w:tc>
          <w:tcPr>
            <w:tcW w:w="986" w:type="pct"/>
            <w:hideMark/>
          </w:tcPr>
          <w:p w14:paraId="1B56A99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β = 0.44, p &lt; .001</w:t>
            </w:r>
          </w:p>
        </w:tc>
        <w:tc>
          <w:tcPr>
            <w:tcW w:w="649" w:type="pct"/>
            <w:hideMark/>
          </w:tcPr>
          <w:p w14:paraId="66B48A9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0CA2D12B" w14:textId="77777777" w:rsidTr="00800011">
        <w:tc>
          <w:tcPr>
            <w:tcW w:w="0" w:type="auto"/>
            <w:hideMark/>
          </w:tcPr>
          <w:p w14:paraId="0A56B5D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H2</w:t>
            </w:r>
          </w:p>
        </w:tc>
        <w:tc>
          <w:tcPr>
            <w:tcW w:w="2666" w:type="pct"/>
            <w:hideMark/>
          </w:tcPr>
          <w:p w14:paraId="3B8AC3B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adoption in marketing positively influences perceived service quality</w:t>
            </w:r>
          </w:p>
        </w:tc>
        <w:tc>
          <w:tcPr>
            <w:tcW w:w="986" w:type="pct"/>
            <w:hideMark/>
          </w:tcPr>
          <w:p w14:paraId="5583D9D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β = 0.45, p &lt; .001</w:t>
            </w:r>
          </w:p>
        </w:tc>
        <w:tc>
          <w:tcPr>
            <w:tcW w:w="649" w:type="pct"/>
            <w:hideMark/>
          </w:tcPr>
          <w:p w14:paraId="3E48DF1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54CD65A9" w14:textId="77777777" w:rsidTr="00800011">
        <w:tc>
          <w:tcPr>
            <w:tcW w:w="0" w:type="auto"/>
            <w:hideMark/>
          </w:tcPr>
          <w:p w14:paraId="5D3F1C5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H3</w:t>
            </w:r>
          </w:p>
        </w:tc>
        <w:tc>
          <w:tcPr>
            <w:tcW w:w="2666" w:type="pct"/>
            <w:hideMark/>
          </w:tcPr>
          <w:p w14:paraId="592FE90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service quality positively influences purchase/continuance intention</w:t>
            </w:r>
          </w:p>
        </w:tc>
        <w:tc>
          <w:tcPr>
            <w:tcW w:w="986" w:type="pct"/>
            <w:hideMark/>
          </w:tcPr>
          <w:p w14:paraId="1E0BE28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β = 1.00, p &lt; .001</w:t>
            </w:r>
          </w:p>
        </w:tc>
        <w:tc>
          <w:tcPr>
            <w:tcW w:w="649" w:type="pct"/>
            <w:hideMark/>
          </w:tcPr>
          <w:p w14:paraId="48FE09D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441C7004" w14:textId="77777777" w:rsidTr="00800011">
        <w:tc>
          <w:tcPr>
            <w:tcW w:w="0" w:type="auto"/>
            <w:hideMark/>
          </w:tcPr>
          <w:p w14:paraId="66C1E05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H4</w:t>
            </w:r>
          </w:p>
        </w:tc>
        <w:tc>
          <w:tcPr>
            <w:tcW w:w="2666" w:type="pct"/>
            <w:hideMark/>
          </w:tcPr>
          <w:p w14:paraId="36C7F1D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 mediates the relationship between AI teaching and purchase intention</w:t>
            </w:r>
          </w:p>
        </w:tc>
        <w:tc>
          <w:tcPr>
            <w:tcW w:w="986" w:type="pct"/>
            <w:hideMark/>
          </w:tcPr>
          <w:p w14:paraId="2F95EAE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Indirect = 0.37 [0.28, 0.46]</w:t>
            </w:r>
          </w:p>
        </w:tc>
        <w:tc>
          <w:tcPr>
            <w:tcW w:w="649" w:type="pct"/>
            <w:hideMark/>
          </w:tcPr>
          <w:p w14:paraId="2562387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7859D548" w14:textId="77777777" w:rsidTr="00800011">
        <w:tc>
          <w:tcPr>
            <w:tcW w:w="0" w:type="auto"/>
            <w:hideMark/>
          </w:tcPr>
          <w:p w14:paraId="120213E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H5</w:t>
            </w:r>
          </w:p>
        </w:tc>
        <w:tc>
          <w:tcPr>
            <w:tcW w:w="2666" w:type="pct"/>
            <w:hideMark/>
          </w:tcPr>
          <w:p w14:paraId="74C3806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 mediates the relationship between AI marketing and purchase intention</w:t>
            </w:r>
          </w:p>
        </w:tc>
        <w:tc>
          <w:tcPr>
            <w:tcW w:w="986" w:type="pct"/>
            <w:hideMark/>
          </w:tcPr>
          <w:p w14:paraId="0B22D62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Indirect = 0.36 [0.28, 0.43]</w:t>
            </w:r>
          </w:p>
        </w:tc>
        <w:tc>
          <w:tcPr>
            <w:tcW w:w="649" w:type="pct"/>
            <w:hideMark/>
          </w:tcPr>
          <w:p w14:paraId="527F4A7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39E0AB0B" w14:textId="77777777" w:rsidTr="00800011">
        <w:tc>
          <w:tcPr>
            <w:tcW w:w="0" w:type="auto"/>
            <w:hideMark/>
          </w:tcPr>
          <w:p w14:paraId="2958219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H6</w:t>
            </w:r>
          </w:p>
        </w:tc>
        <w:tc>
          <w:tcPr>
            <w:tcW w:w="2666" w:type="pct"/>
            <w:hideMark/>
          </w:tcPr>
          <w:p w14:paraId="350E8AF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 mediates the relationship between service quality and purchase intention</w:t>
            </w:r>
          </w:p>
        </w:tc>
        <w:tc>
          <w:tcPr>
            <w:tcW w:w="986" w:type="pct"/>
            <w:hideMark/>
          </w:tcPr>
          <w:p w14:paraId="09F69E3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Indirect = 0.53 [0.40, 0.66]</w:t>
            </w:r>
          </w:p>
        </w:tc>
        <w:tc>
          <w:tcPr>
            <w:tcW w:w="649" w:type="pct"/>
            <w:hideMark/>
          </w:tcPr>
          <w:p w14:paraId="551FA3E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78A01076" w14:textId="77777777" w:rsidTr="00800011">
        <w:tc>
          <w:tcPr>
            <w:tcW w:w="0" w:type="auto"/>
            <w:hideMark/>
          </w:tcPr>
          <w:p w14:paraId="7B0E86B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H7</w:t>
            </w:r>
          </w:p>
        </w:tc>
        <w:tc>
          <w:tcPr>
            <w:tcW w:w="2666" w:type="pct"/>
            <w:hideMark/>
          </w:tcPr>
          <w:p w14:paraId="7752B30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value mediates AI teaching and purchase intention</w:t>
            </w:r>
          </w:p>
        </w:tc>
        <w:tc>
          <w:tcPr>
            <w:tcW w:w="986" w:type="pct"/>
            <w:hideMark/>
          </w:tcPr>
          <w:p w14:paraId="3AAC101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Indirect = 0.55 [0.44, 0.66]</w:t>
            </w:r>
          </w:p>
        </w:tc>
        <w:tc>
          <w:tcPr>
            <w:tcW w:w="649" w:type="pct"/>
            <w:hideMark/>
          </w:tcPr>
          <w:p w14:paraId="75F2A49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7D6E812D" w14:textId="77777777" w:rsidTr="00800011">
        <w:tc>
          <w:tcPr>
            <w:tcW w:w="0" w:type="auto"/>
            <w:hideMark/>
          </w:tcPr>
          <w:p w14:paraId="2FA46B4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H8</w:t>
            </w:r>
          </w:p>
        </w:tc>
        <w:tc>
          <w:tcPr>
            <w:tcW w:w="2666" w:type="pct"/>
            <w:hideMark/>
          </w:tcPr>
          <w:p w14:paraId="51B4C96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value mediates AI marketing and purchase intention</w:t>
            </w:r>
          </w:p>
        </w:tc>
        <w:tc>
          <w:tcPr>
            <w:tcW w:w="986" w:type="pct"/>
            <w:hideMark/>
          </w:tcPr>
          <w:p w14:paraId="1FA048B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Indirect = 0.46 [0.37, 0.54]</w:t>
            </w:r>
          </w:p>
        </w:tc>
        <w:tc>
          <w:tcPr>
            <w:tcW w:w="649" w:type="pct"/>
            <w:hideMark/>
          </w:tcPr>
          <w:p w14:paraId="63137B4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032768F6" w14:textId="77777777" w:rsidTr="00800011">
        <w:tc>
          <w:tcPr>
            <w:tcW w:w="0" w:type="auto"/>
            <w:hideMark/>
          </w:tcPr>
          <w:p w14:paraId="135EA8B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H9</w:t>
            </w:r>
          </w:p>
        </w:tc>
        <w:tc>
          <w:tcPr>
            <w:tcW w:w="2666" w:type="pct"/>
            <w:hideMark/>
          </w:tcPr>
          <w:p w14:paraId="317C2B3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value mediates service quality and purchase intention</w:t>
            </w:r>
          </w:p>
        </w:tc>
        <w:tc>
          <w:tcPr>
            <w:tcW w:w="986" w:type="pct"/>
            <w:hideMark/>
          </w:tcPr>
          <w:p w14:paraId="0392743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Indirect = 0.18 [0.10, 0.29]</w:t>
            </w:r>
          </w:p>
        </w:tc>
        <w:tc>
          <w:tcPr>
            <w:tcW w:w="649" w:type="pct"/>
            <w:hideMark/>
          </w:tcPr>
          <w:p w14:paraId="2480FAE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Supported</w:t>
            </w:r>
          </w:p>
        </w:tc>
      </w:tr>
      <w:tr w:rsidR="00885F3C" w:rsidRPr="003D2A76" w14:paraId="0B6581EF" w14:textId="77777777" w:rsidTr="00800011">
        <w:tc>
          <w:tcPr>
            <w:tcW w:w="0" w:type="auto"/>
            <w:hideMark/>
          </w:tcPr>
          <w:p w14:paraId="19F2597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H10</w:t>
            </w:r>
          </w:p>
        </w:tc>
        <w:tc>
          <w:tcPr>
            <w:tcW w:w="2666" w:type="pct"/>
            <w:hideMark/>
          </w:tcPr>
          <w:p w14:paraId="015E271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adoption in teaching directly influences purchase intention</w:t>
            </w:r>
          </w:p>
        </w:tc>
        <w:tc>
          <w:tcPr>
            <w:tcW w:w="986" w:type="pct"/>
            <w:hideMark/>
          </w:tcPr>
          <w:p w14:paraId="140F2C9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Direct = 0.04, p = .116</w:t>
            </w:r>
          </w:p>
        </w:tc>
        <w:tc>
          <w:tcPr>
            <w:tcW w:w="649" w:type="pct"/>
            <w:hideMark/>
          </w:tcPr>
          <w:p w14:paraId="252EB1BE"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Not Supported</w:t>
            </w:r>
          </w:p>
        </w:tc>
      </w:tr>
      <w:tr w:rsidR="00885F3C" w:rsidRPr="003D2A76" w14:paraId="1E54A289" w14:textId="77777777" w:rsidTr="00800011">
        <w:tc>
          <w:tcPr>
            <w:tcW w:w="0" w:type="auto"/>
            <w:hideMark/>
          </w:tcPr>
          <w:p w14:paraId="5036569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lastRenderedPageBreak/>
              <w:t>H11</w:t>
            </w:r>
          </w:p>
        </w:tc>
        <w:tc>
          <w:tcPr>
            <w:tcW w:w="2666" w:type="pct"/>
            <w:hideMark/>
          </w:tcPr>
          <w:p w14:paraId="4FA5FB1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adoption in marketing directly influences purchase intention</w:t>
            </w:r>
          </w:p>
        </w:tc>
        <w:tc>
          <w:tcPr>
            <w:tcW w:w="986" w:type="pct"/>
            <w:hideMark/>
          </w:tcPr>
          <w:p w14:paraId="2D9DD9E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Direct = 0.00, p = .937</w:t>
            </w:r>
          </w:p>
        </w:tc>
        <w:tc>
          <w:tcPr>
            <w:tcW w:w="649" w:type="pct"/>
            <w:hideMark/>
          </w:tcPr>
          <w:p w14:paraId="1BBC354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Not Supported</w:t>
            </w:r>
          </w:p>
        </w:tc>
      </w:tr>
      <w:tr w:rsidR="00885F3C" w:rsidRPr="003D2A76" w14:paraId="541F6711" w14:textId="77777777" w:rsidTr="00800011">
        <w:tc>
          <w:tcPr>
            <w:tcW w:w="0" w:type="auto"/>
            <w:hideMark/>
          </w:tcPr>
          <w:p w14:paraId="2FEC2F0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H12</w:t>
            </w:r>
          </w:p>
        </w:tc>
        <w:tc>
          <w:tcPr>
            <w:tcW w:w="2666" w:type="pct"/>
            <w:hideMark/>
          </w:tcPr>
          <w:p w14:paraId="12D4B71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Cultural factors moderate AI adoption and service quality relationship</w:t>
            </w:r>
          </w:p>
        </w:tc>
        <w:tc>
          <w:tcPr>
            <w:tcW w:w="986" w:type="pct"/>
            <w:hideMark/>
          </w:tcPr>
          <w:p w14:paraId="058008B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Interaction: AI Teach </w:t>
            </w:r>
            <w:r w:rsidRPr="003D2A76">
              <w:rPr>
                <w:rFonts w:asciiTheme="majorBidi" w:hAnsiTheme="majorBidi" w:cstheme="majorBidi"/>
                <w:i/>
                <w:iCs/>
                <w:lang w:val="en-GB"/>
              </w:rPr>
              <w:t>p</w:t>
            </w:r>
            <w:r w:rsidRPr="003D2A76">
              <w:rPr>
                <w:rFonts w:asciiTheme="majorBidi" w:hAnsiTheme="majorBidi" w:cstheme="majorBidi"/>
                <w:lang w:val="en-GB"/>
              </w:rPr>
              <w:t xml:space="preserve"> = .003; AI Market </w:t>
            </w:r>
            <w:r w:rsidRPr="003D2A76">
              <w:rPr>
                <w:rFonts w:asciiTheme="majorBidi" w:hAnsiTheme="majorBidi" w:cstheme="majorBidi"/>
                <w:i/>
                <w:iCs/>
                <w:lang w:val="en-GB"/>
              </w:rPr>
              <w:t>p</w:t>
            </w:r>
            <w:r w:rsidRPr="003D2A76">
              <w:rPr>
                <w:rFonts w:asciiTheme="majorBidi" w:hAnsiTheme="majorBidi" w:cstheme="majorBidi"/>
                <w:lang w:val="en-GB"/>
              </w:rPr>
              <w:t xml:space="preserve"> = .184</w:t>
            </w:r>
          </w:p>
        </w:tc>
        <w:tc>
          <w:tcPr>
            <w:tcW w:w="649" w:type="pct"/>
            <w:hideMark/>
          </w:tcPr>
          <w:p w14:paraId="1BDBA396"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Partially Supported</w:t>
            </w:r>
          </w:p>
        </w:tc>
      </w:tr>
    </w:tbl>
    <w:p w14:paraId="287AAE5A" w14:textId="77777777" w:rsidR="006A70E9" w:rsidRPr="003D2A76" w:rsidRDefault="006A70E9" w:rsidP="00BD6279">
      <w:pPr>
        <w:bidi w:val="0"/>
        <w:rPr>
          <w:rFonts w:asciiTheme="majorBidi" w:hAnsiTheme="majorBidi" w:cstheme="majorBidi"/>
          <w:b/>
          <w:bCs/>
          <w:i/>
          <w:lang w:val="en-GB"/>
        </w:rPr>
      </w:pPr>
      <w:bookmarkStart w:id="133" w:name="_Toc216904190"/>
    </w:p>
    <w:p w14:paraId="53C1CC25" w14:textId="3E5C5C37" w:rsidR="00885F3C" w:rsidRPr="003D2A76" w:rsidRDefault="00AE34CF" w:rsidP="006A70E9">
      <w:pPr>
        <w:bidi w:val="0"/>
        <w:rPr>
          <w:rFonts w:asciiTheme="majorBidi" w:hAnsiTheme="majorBidi" w:cstheme="majorBidi"/>
          <w:b/>
          <w:bCs/>
          <w:i/>
          <w:lang w:val="en-GB"/>
        </w:rPr>
      </w:pPr>
      <w:r>
        <w:rPr>
          <w:rFonts w:asciiTheme="majorBidi" w:hAnsiTheme="majorBidi" w:cstheme="majorBidi"/>
          <w:b/>
          <w:bCs/>
          <w:i/>
          <w:lang w:val="en-GB"/>
        </w:rPr>
        <w:t xml:space="preserve">4.12.2 </w:t>
      </w:r>
      <w:r w:rsidR="00885F3C" w:rsidRPr="003D2A76">
        <w:rPr>
          <w:rFonts w:asciiTheme="majorBidi" w:hAnsiTheme="majorBidi" w:cstheme="majorBidi"/>
          <w:b/>
          <w:bCs/>
          <w:i/>
          <w:lang w:val="en-GB"/>
        </w:rPr>
        <w:t>Key Insights</w:t>
      </w:r>
      <w:bookmarkEnd w:id="133"/>
    </w:p>
    <w:p w14:paraId="4CC1808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The findings indicated some essential learnings about the effect of the adoption of AI in the field of educational services:</w:t>
      </w:r>
    </w:p>
    <w:p w14:paraId="366CBA1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Mediated Impact Model</w:t>
      </w:r>
      <w:r w:rsidRPr="003D2A76">
        <w:rPr>
          <w:rFonts w:asciiTheme="majorBidi" w:hAnsiTheme="majorBidi" w:cstheme="majorBidi"/>
          <w:lang w:val="en-GB"/>
        </w:rPr>
        <w:t>: Adoption of AI is not directly related to purchase intentions, but it acts solely on the perceptions of service quality and the following evaluative processes (trust and perceived value). This observation highlights the significance of quality implementation as opposed to the presence of technology.</w:t>
      </w:r>
    </w:p>
    <w:p w14:paraId="042D1381" w14:textId="751B6EFC"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Dual Mediation Pathways</w:t>
      </w:r>
      <w:r w:rsidRPr="003D2A76">
        <w:rPr>
          <w:rFonts w:asciiTheme="majorBidi" w:hAnsiTheme="majorBidi" w:cstheme="majorBidi"/>
          <w:lang w:val="en-GB"/>
        </w:rPr>
        <w:t xml:space="preserve">: Trust and perceived value are both important mediators, and the mediation of service quality relationships is stronger with trust, and the mediation of the effects of AI adoption is stronger with perceived value. These parallel lines imply that there are numerous </w:t>
      </w:r>
      <w:r w:rsidR="009E4379" w:rsidRPr="003D2A76">
        <w:rPr>
          <w:rFonts w:asciiTheme="majorBidi" w:hAnsiTheme="majorBidi" w:cstheme="majorBidi"/>
          <w:lang w:val="en-GB"/>
        </w:rPr>
        <w:t xml:space="preserve">psychological </w:t>
      </w:r>
      <w:r w:rsidRPr="003D2A76">
        <w:rPr>
          <w:rFonts w:asciiTheme="majorBidi" w:hAnsiTheme="majorBidi" w:cstheme="majorBidi"/>
          <w:lang w:val="en-GB"/>
        </w:rPr>
        <w:t>processes that can be used to explain technology acceptance in education.</w:t>
      </w:r>
    </w:p>
    <w:p w14:paraId="5051DFF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Cultural Contingency</w:t>
      </w:r>
      <w:r w:rsidRPr="003D2A76">
        <w:rPr>
          <w:rFonts w:asciiTheme="majorBidi" w:hAnsiTheme="majorBidi" w:cstheme="majorBidi"/>
          <w:lang w:val="en-GB"/>
        </w:rPr>
        <w:t>: The modulated role of cultural factors in the adoption of AI teaching underlines the need to implement AI teaching in a culturally sensitive manner. The advantages of technology are more effective in the context of being oriented towards cultural values and expectations.</w:t>
      </w:r>
    </w:p>
    <w:p w14:paraId="700A68C9" w14:textId="456F510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lastRenderedPageBreak/>
        <w:t>Stakeholder Differences</w:t>
      </w:r>
      <w:r w:rsidRPr="003D2A76">
        <w:rPr>
          <w:rFonts w:asciiTheme="majorBidi" w:hAnsiTheme="majorBidi" w:cstheme="majorBidi"/>
          <w:lang w:val="en-GB"/>
        </w:rPr>
        <w:t xml:space="preserve">: The presence of systematic differences between students and parents </w:t>
      </w:r>
      <w:r w:rsidR="00BC492E">
        <w:rPr>
          <w:rFonts w:asciiTheme="majorBidi" w:hAnsiTheme="majorBidi" w:cstheme="majorBidi"/>
          <w:lang w:val="en-GB"/>
        </w:rPr>
        <w:t>across</w:t>
      </w:r>
      <w:r w:rsidRPr="003D2A76">
        <w:rPr>
          <w:rFonts w:asciiTheme="majorBidi" w:hAnsiTheme="majorBidi" w:cstheme="majorBidi"/>
          <w:lang w:val="en-GB"/>
        </w:rPr>
        <w:t xml:space="preserve"> all variables implies dissimilar technology experiences and expectations in school settings. More positive perception</w:t>
      </w:r>
      <w:r w:rsidR="00BC492E">
        <w:rPr>
          <w:rFonts w:asciiTheme="majorBidi" w:hAnsiTheme="majorBidi" w:cstheme="majorBidi"/>
          <w:lang w:val="en-GB"/>
        </w:rPr>
        <w:t>,</w:t>
      </w:r>
      <w:r w:rsidRPr="003D2A76">
        <w:rPr>
          <w:rFonts w:asciiTheme="majorBidi" w:hAnsiTheme="majorBidi" w:cstheme="majorBidi"/>
          <w:lang w:val="en-GB"/>
        </w:rPr>
        <w:t xml:space="preserve"> of the students may be associated with technology comfort and direct benefits of use.</w:t>
      </w:r>
    </w:p>
    <w:p w14:paraId="5A62E79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b/>
          <w:bCs/>
          <w:lang w:val="en-GB"/>
        </w:rPr>
        <w:t>Service Quality Centrality: The strong relationship between service quality and purchase intention (β = 0.861, R² = 0.741) positions quality as the pivotal determinant of enrolment decisions, mediating virtually all technology-adoption effects.</w:t>
      </w:r>
    </w:p>
    <w:p w14:paraId="1F5BA6BC" w14:textId="19C078AA" w:rsidR="00885F3C" w:rsidRPr="003D2A76" w:rsidRDefault="00AE34CF" w:rsidP="00BD6279">
      <w:pPr>
        <w:bidi w:val="0"/>
        <w:rPr>
          <w:rFonts w:asciiTheme="majorBidi" w:hAnsiTheme="majorBidi" w:cstheme="majorBidi"/>
          <w:b/>
          <w:bCs/>
          <w:i/>
          <w:lang w:val="en-GB"/>
        </w:rPr>
      </w:pPr>
      <w:bookmarkStart w:id="134" w:name="_Toc216904191"/>
      <w:r>
        <w:rPr>
          <w:rFonts w:asciiTheme="majorBidi" w:hAnsiTheme="majorBidi" w:cstheme="majorBidi"/>
          <w:b/>
          <w:bCs/>
          <w:i/>
          <w:lang w:val="en-GB"/>
        </w:rPr>
        <w:t xml:space="preserve">4.12.3 </w:t>
      </w:r>
      <w:r w:rsidR="00885F3C" w:rsidRPr="003D2A76">
        <w:rPr>
          <w:rFonts w:asciiTheme="majorBidi" w:hAnsiTheme="majorBidi" w:cstheme="majorBidi"/>
          <w:b/>
          <w:bCs/>
          <w:i/>
          <w:lang w:val="en-GB"/>
        </w:rPr>
        <w:t>Model Explanatory Power</w:t>
      </w:r>
      <w:bookmarkEnd w:id="134"/>
    </w:p>
    <w:p w14:paraId="1A183F15" w14:textId="53AD10BF"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last composite model accounted </w:t>
      </w:r>
      <w:r w:rsidR="009E4379" w:rsidRPr="003D2A76">
        <w:rPr>
          <w:rFonts w:asciiTheme="majorBidi" w:hAnsiTheme="majorBidi" w:cstheme="majorBidi"/>
          <w:lang w:val="en-GB"/>
        </w:rPr>
        <w:t xml:space="preserve">for </w:t>
      </w:r>
      <w:r w:rsidRPr="003D2A76">
        <w:rPr>
          <w:rFonts w:asciiTheme="majorBidi" w:hAnsiTheme="majorBidi" w:cstheme="majorBidi"/>
          <w:lang w:val="en-GB"/>
        </w:rPr>
        <w:t xml:space="preserve">76.9 percent </w:t>
      </w:r>
      <w:r w:rsidR="009E4379" w:rsidRPr="003D2A76">
        <w:rPr>
          <w:rFonts w:asciiTheme="majorBidi" w:hAnsiTheme="majorBidi" w:cstheme="majorBidi"/>
          <w:lang w:val="en-GB"/>
        </w:rPr>
        <w:t xml:space="preserve">of </w:t>
      </w:r>
      <w:r w:rsidRPr="003D2A76">
        <w:rPr>
          <w:rFonts w:asciiTheme="majorBidi" w:hAnsiTheme="majorBidi" w:cstheme="majorBidi"/>
          <w:lang w:val="en-GB"/>
        </w:rPr>
        <w:t xml:space="preserve">the purchase intention variation (R² = 0.77), showing high explanatory capacity. The higher value of this explained variance indicates that the model captures </w:t>
      </w:r>
      <w:r w:rsidR="009E4379" w:rsidRPr="003D2A76">
        <w:rPr>
          <w:rFonts w:asciiTheme="majorBidi" w:hAnsiTheme="majorBidi" w:cstheme="majorBidi"/>
          <w:lang w:val="en-GB"/>
        </w:rPr>
        <w:t xml:space="preserve">the </w:t>
      </w:r>
      <w:r w:rsidRPr="003D2A76">
        <w:rPr>
          <w:rFonts w:asciiTheme="majorBidi" w:hAnsiTheme="majorBidi" w:cstheme="majorBidi"/>
          <w:lang w:val="en-GB"/>
        </w:rPr>
        <w:t>majority of the factors that are relevant in making enrolment decisions in AI</w:t>
      </w:r>
      <w:r w:rsidR="009E4379" w:rsidRPr="003D2A76">
        <w:rPr>
          <w:rFonts w:asciiTheme="majorBidi" w:hAnsiTheme="majorBidi" w:cstheme="majorBidi"/>
          <w:lang w:val="en-GB"/>
        </w:rPr>
        <w:t>-</w:t>
      </w:r>
      <w:r w:rsidRPr="003D2A76">
        <w:rPr>
          <w:rFonts w:asciiTheme="majorBidi" w:hAnsiTheme="majorBidi" w:cstheme="majorBidi"/>
          <w:lang w:val="en-GB"/>
        </w:rPr>
        <w:t xml:space="preserve">adopting private schools. The strongest predictor was found to be service quality with </w:t>
      </w:r>
      <w:r w:rsidR="009E4379" w:rsidRPr="003D2A76">
        <w:rPr>
          <w:rFonts w:asciiTheme="majorBidi" w:hAnsiTheme="majorBidi" w:cstheme="majorBidi"/>
          <w:lang w:val="en-GB"/>
        </w:rPr>
        <w:t xml:space="preserve">a </w:t>
      </w:r>
      <w:r w:rsidRPr="003D2A76">
        <w:rPr>
          <w:rFonts w:asciiTheme="majorBidi" w:hAnsiTheme="majorBidi" w:cstheme="majorBidi"/>
          <w:lang w:val="en-GB"/>
        </w:rPr>
        <w:t xml:space="preserve">unique variance of 58.3. Trust provided 21.7% incremental variance and perceived value provided 0.8% extra elucidation. The mediators made by AI adoption variables played a major role as opposed to </w:t>
      </w:r>
      <w:r w:rsidR="009E4379" w:rsidRPr="003D2A76">
        <w:rPr>
          <w:rFonts w:asciiTheme="majorBidi" w:hAnsiTheme="majorBidi" w:cstheme="majorBidi"/>
          <w:lang w:val="en-GB"/>
        </w:rPr>
        <w:t xml:space="preserve">a </w:t>
      </w:r>
      <w:r w:rsidRPr="003D2A76">
        <w:rPr>
          <w:rFonts w:asciiTheme="majorBidi" w:hAnsiTheme="majorBidi" w:cstheme="majorBidi"/>
          <w:lang w:val="en-GB"/>
        </w:rPr>
        <w:t>direct role. The high explanatory power facilitates the sufficiency of the theoretical framework and proposes a small amount of omitted variable bias. The 23.1% unaccounted variance is presumably the individual differences, in measurable school characteristics and externalities that are out of the scope of the model.</w:t>
      </w:r>
    </w:p>
    <w:p w14:paraId="2F38D8BB" w14:textId="240C0BE2" w:rsidR="00885F3C" w:rsidRPr="003D2A76" w:rsidRDefault="00AE34CF" w:rsidP="00BD6279">
      <w:pPr>
        <w:bidi w:val="0"/>
        <w:rPr>
          <w:rFonts w:asciiTheme="majorBidi" w:hAnsiTheme="majorBidi" w:cstheme="majorBidi"/>
          <w:b/>
          <w:bCs/>
          <w:i/>
          <w:lang w:val="en-GB"/>
        </w:rPr>
      </w:pPr>
      <w:bookmarkStart w:id="135" w:name="_Toc216904192"/>
      <w:r>
        <w:rPr>
          <w:rFonts w:asciiTheme="majorBidi" w:hAnsiTheme="majorBidi" w:cstheme="majorBidi"/>
          <w:b/>
          <w:bCs/>
          <w:i/>
          <w:lang w:val="en-GB"/>
        </w:rPr>
        <w:t xml:space="preserve">4.12.4 </w:t>
      </w:r>
      <w:r w:rsidR="00885F3C" w:rsidRPr="003D2A76">
        <w:rPr>
          <w:rFonts w:asciiTheme="majorBidi" w:hAnsiTheme="majorBidi" w:cstheme="majorBidi"/>
          <w:b/>
          <w:bCs/>
          <w:i/>
          <w:lang w:val="en-GB"/>
        </w:rPr>
        <w:t>Effect Size Evaluation</w:t>
      </w:r>
      <w:bookmarkEnd w:id="135"/>
    </w:p>
    <w:p w14:paraId="32DF3814" w14:textId="77777777"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effect sizes of </w:t>
      </w:r>
      <w:r w:rsidRPr="003D2A76">
        <w:rPr>
          <w:rFonts w:asciiTheme="majorBidi" w:hAnsiTheme="majorBidi" w:cstheme="majorBidi"/>
          <w:i/>
          <w:iCs/>
          <w:lang w:val="en-GB"/>
        </w:rPr>
        <w:t>f</w:t>
      </w:r>
      <w:r w:rsidRPr="003D2A76">
        <w:rPr>
          <w:rFonts w:asciiTheme="majorBidi" w:hAnsiTheme="majorBidi" w:cstheme="majorBidi"/>
          <w:lang w:val="en-GB"/>
        </w:rPr>
        <w:t>² by Cohen indicated the existence of variable relationships with a level of significance.</w:t>
      </w:r>
      <w:r w:rsidRPr="003D2A76">
        <w:rPr>
          <w:rFonts w:asciiTheme="majorBidi" w:hAnsiTheme="majorBidi" w:cstheme="majorBidi"/>
          <w:b/>
          <w:bCs/>
          <w:lang w:val="en-GB"/>
        </w:rPr>
        <w:t xml:space="preserve"> </w:t>
      </w:r>
    </w:p>
    <w:p w14:paraId="50D43722" w14:textId="77777777" w:rsidR="00142C44" w:rsidRDefault="00142C44" w:rsidP="006A70E9">
      <w:pPr>
        <w:bidi w:val="0"/>
        <w:rPr>
          <w:rFonts w:asciiTheme="majorBidi" w:hAnsiTheme="majorBidi" w:cstheme="majorBidi"/>
          <w:b/>
          <w:bCs/>
          <w:lang w:val="en-GB"/>
        </w:rPr>
      </w:pPr>
      <w:bookmarkStart w:id="136" w:name="_Toc227161652"/>
    </w:p>
    <w:p w14:paraId="38772F4F" w14:textId="6B91BB88" w:rsidR="00885F3C" w:rsidRPr="003D2A76" w:rsidRDefault="00885F3C" w:rsidP="00142C44">
      <w:pPr>
        <w:bidi w:val="0"/>
        <w:rPr>
          <w:rFonts w:asciiTheme="majorBidi" w:hAnsiTheme="majorBidi" w:cstheme="majorBidi"/>
          <w:b/>
          <w:bCs/>
          <w:lang w:val="en-GB"/>
        </w:rPr>
      </w:pPr>
      <w:r w:rsidRPr="003D2A76">
        <w:rPr>
          <w:rFonts w:asciiTheme="majorBidi" w:hAnsiTheme="majorBidi" w:cstheme="majorBidi"/>
          <w:b/>
          <w:bCs/>
          <w:lang w:val="en-GB"/>
        </w:rPr>
        <w:t xml:space="preserve">Table 15 </w:t>
      </w:r>
      <w:r w:rsidRPr="003D2A76">
        <w:rPr>
          <w:rFonts w:asciiTheme="majorBidi" w:hAnsiTheme="majorBidi" w:cstheme="majorBidi"/>
          <w:b/>
          <w:bCs/>
          <w:lang w:val="en-GB"/>
        </w:rPr>
        <w:br/>
      </w:r>
      <w:bookmarkStart w:id="137" w:name="_Hlk232589073"/>
      <w:r w:rsidRPr="003D2A76">
        <w:rPr>
          <w:rFonts w:asciiTheme="majorBidi" w:hAnsiTheme="majorBidi" w:cstheme="majorBidi"/>
          <w:b/>
          <w:bCs/>
          <w:lang w:val="en-GB"/>
        </w:rPr>
        <w:t>Effect Sizes for Key Relationships</w:t>
      </w:r>
      <w:bookmarkEnd w:id="136"/>
      <w:bookmarkEnd w:id="137"/>
    </w:p>
    <w:tbl>
      <w:tblPr>
        <w:tblStyle w:val="TableGrid"/>
        <w:tblW w:w="5000" w:type="pct"/>
        <w:tblLook w:val="04A0" w:firstRow="1" w:lastRow="0" w:firstColumn="1" w:lastColumn="0" w:noHBand="0" w:noVBand="1"/>
      </w:tblPr>
      <w:tblGrid>
        <w:gridCol w:w="4836"/>
        <w:gridCol w:w="1460"/>
        <w:gridCol w:w="2334"/>
      </w:tblGrid>
      <w:tr w:rsidR="00885F3C" w:rsidRPr="003D2A76" w14:paraId="483111E2" w14:textId="77777777" w:rsidTr="006A4A5D">
        <w:tc>
          <w:tcPr>
            <w:tcW w:w="0" w:type="auto"/>
            <w:hideMark/>
          </w:tcPr>
          <w:p w14:paraId="4F5EAD95"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Relationship</w:t>
            </w:r>
          </w:p>
        </w:tc>
        <w:tc>
          <w:tcPr>
            <w:tcW w:w="0" w:type="auto"/>
            <w:hideMark/>
          </w:tcPr>
          <w:p w14:paraId="7E361CB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Cohen's </w:t>
            </w:r>
            <w:r w:rsidRPr="003D2A76">
              <w:rPr>
                <w:rFonts w:asciiTheme="majorBidi" w:hAnsiTheme="majorBidi" w:cstheme="majorBidi"/>
                <w:i/>
                <w:iCs/>
                <w:lang w:val="en-GB"/>
              </w:rPr>
              <w:t>f</w:t>
            </w:r>
            <w:r w:rsidRPr="003D2A76">
              <w:rPr>
                <w:rFonts w:asciiTheme="majorBidi" w:hAnsiTheme="majorBidi" w:cstheme="majorBidi"/>
                <w:lang w:val="en-GB"/>
              </w:rPr>
              <w:t>²</w:t>
            </w:r>
          </w:p>
        </w:tc>
        <w:tc>
          <w:tcPr>
            <w:tcW w:w="0" w:type="auto"/>
            <w:hideMark/>
          </w:tcPr>
          <w:p w14:paraId="7CF7C44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Interpretation</w:t>
            </w:r>
          </w:p>
        </w:tc>
      </w:tr>
      <w:tr w:rsidR="00885F3C" w:rsidRPr="003D2A76" w14:paraId="14693376" w14:textId="77777777" w:rsidTr="006A4A5D">
        <w:tc>
          <w:tcPr>
            <w:tcW w:w="0" w:type="auto"/>
            <w:hideMark/>
          </w:tcPr>
          <w:p w14:paraId="1D87F95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Teaching → Service Quality</w:t>
            </w:r>
          </w:p>
        </w:tc>
        <w:tc>
          <w:tcPr>
            <w:tcW w:w="0" w:type="auto"/>
            <w:hideMark/>
          </w:tcPr>
          <w:p w14:paraId="0474A00D"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0.28</w:t>
            </w:r>
          </w:p>
        </w:tc>
        <w:tc>
          <w:tcPr>
            <w:tcW w:w="0" w:type="auto"/>
            <w:hideMark/>
          </w:tcPr>
          <w:p w14:paraId="092CBD5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Medium to Large</w:t>
            </w:r>
          </w:p>
        </w:tc>
      </w:tr>
      <w:tr w:rsidR="00885F3C" w:rsidRPr="003D2A76" w14:paraId="07E40F43" w14:textId="77777777" w:rsidTr="006A4A5D">
        <w:tc>
          <w:tcPr>
            <w:tcW w:w="0" w:type="auto"/>
            <w:hideMark/>
          </w:tcPr>
          <w:p w14:paraId="22E802D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AI Marketing → Service Quality</w:t>
            </w:r>
          </w:p>
        </w:tc>
        <w:tc>
          <w:tcPr>
            <w:tcW w:w="0" w:type="auto"/>
            <w:hideMark/>
          </w:tcPr>
          <w:p w14:paraId="39C0FAAC"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0.32</w:t>
            </w:r>
          </w:p>
        </w:tc>
        <w:tc>
          <w:tcPr>
            <w:tcW w:w="0" w:type="auto"/>
            <w:hideMark/>
          </w:tcPr>
          <w:p w14:paraId="3B5D5DC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Large</w:t>
            </w:r>
          </w:p>
        </w:tc>
      </w:tr>
      <w:tr w:rsidR="00885F3C" w:rsidRPr="003D2A76" w14:paraId="3CCA237B" w14:textId="77777777" w:rsidTr="006A4A5D">
        <w:tc>
          <w:tcPr>
            <w:tcW w:w="0" w:type="auto"/>
            <w:hideMark/>
          </w:tcPr>
          <w:p w14:paraId="532A410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Service Quality → Trust</w:t>
            </w:r>
          </w:p>
        </w:tc>
        <w:tc>
          <w:tcPr>
            <w:tcW w:w="0" w:type="auto"/>
            <w:hideMark/>
          </w:tcPr>
          <w:p w14:paraId="170C77A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2.60</w:t>
            </w:r>
          </w:p>
        </w:tc>
        <w:tc>
          <w:tcPr>
            <w:tcW w:w="0" w:type="auto"/>
            <w:hideMark/>
          </w:tcPr>
          <w:p w14:paraId="5457865B"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Large</w:t>
            </w:r>
          </w:p>
        </w:tc>
      </w:tr>
      <w:tr w:rsidR="00885F3C" w:rsidRPr="003D2A76" w14:paraId="683094F0" w14:textId="77777777" w:rsidTr="006A4A5D">
        <w:tc>
          <w:tcPr>
            <w:tcW w:w="0" w:type="auto"/>
            <w:hideMark/>
          </w:tcPr>
          <w:p w14:paraId="31BFF80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Service Quality → Perceived Value</w:t>
            </w:r>
          </w:p>
        </w:tc>
        <w:tc>
          <w:tcPr>
            <w:tcW w:w="0" w:type="auto"/>
            <w:hideMark/>
          </w:tcPr>
          <w:p w14:paraId="2C9B1649"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1.24</w:t>
            </w:r>
          </w:p>
        </w:tc>
        <w:tc>
          <w:tcPr>
            <w:tcW w:w="0" w:type="auto"/>
            <w:hideMark/>
          </w:tcPr>
          <w:p w14:paraId="54B2BE04"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Large</w:t>
            </w:r>
          </w:p>
        </w:tc>
      </w:tr>
      <w:tr w:rsidR="00885F3C" w:rsidRPr="003D2A76" w14:paraId="156AF117" w14:textId="77777777" w:rsidTr="006A4A5D">
        <w:tc>
          <w:tcPr>
            <w:tcW w:w="0" w:type="auto"/>
            <w:hideMark/>
          </w:tcPr>
          <w:p w14:paraId="2ACEB433"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Trust → Purchase Intention</w:t>
            </w:r>
          </w:p>
        </w:tc>
        <w:tc>
          <w:tcPr>
            <w:tcW w:w="0" w:type="auto"/>
            <w:hideMark/>
          </w:tcPr>
          <w:p w14:paraId="56E3C96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2.33</w:t>
            </w:r>
          </w:p>
        </w:tc>
        <w:tc>
          <w:tcPr>
            <w:tcW w:w="0" w:type="auto"/>
            <w:hideMark/>
          </w:tcPr>
          <w:p w14:paraId="7BB2CCE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Large</w:t>
            </w:r>
          </w:p>
        </w:tc>
      </w:tr>
      <w:tr w:rsidR="00885F3C" w:rsidRPr="003D2A76" w14:paraId="38D89011" w14:textId="77777777" w:rsidTr="006A4A5D">
        <w:tc>
          <w:tcPr>
            <w:tcW w:w="0" w:type="auto"/>
            <w:hideMark/>
          </w:tcPr>
          <w:p w14:paraId="42AFC3EA"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Perceived Value → Purchase Intention</w:t>
            </w:r>
          </w:p>
        </w:tc>
        <w:tc>
          <w:tcPr>
            <w:tcW w:w="0" w:type="auto"/>
            <w:hideMark/>
          </w:tcPr>
          <w:p w14:paraId="6BFBC990"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0.89</w:t>
            </w:r>
          </w:p>
        </w:tc>
        <w:tc>
          <w:tcPr>
            <w:tcW w:w="0" w:type="auto"/>
            <w:hideMark/>
          </w:tcPr>
          <w:p w14:paraId="3570862F"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Large</w:t>
            </w:r>
          </w:p>
        </w:tc>
      </w:tr>
      <w:tr w:rsidR="00885F3C" w:rsidRPr="003D2A76" w14:paraId="72A06DB6" w14:textId="77777777" w:rsidTr="006A4A5D">
        <w:tc>
          <w:tcPr>
            <w:tcW w:w="0" w:type="auto"/>
            <w:hideMark/>
          </w:tcPr>
          <w:p w14:paraId="671BB198"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Overall Model </w:t>
            </w:r>
            <w:r w:rsidRPr="003D2A76">
              <w:rPr>
                <w:rFonts w:asciiTheme="majorBidi" w:hAnsiTheme="majorBidi" w:cstheme="majorBidi"/>
                <w:i/>
                <w:iCs/>
                <w:lang w:val="en-GB"/>
              </w:rPr>
              <w:t>R</w:t>
            </w:r>
            <w:r w:rsidRPr="003D2A76">
              <w:rPr>
                <w:rFonts w:asciiTheme="majorBidi" w:hAnsiTheme="majorBidi" w:cstheme="majorBidi"/>
                <w:lang w:val="en-GB"/>
              </w:rPr>
              <w:t>²</w:t>
            </w:r>
          </w:p>
        </w:tc>
        <w:tc>
          <w:tcPr>
            <w:tcW w:w="0" w:type="auto"/>
            <w:hideMark/>
          </w:tcPr>
          <w:p w14:paraId="2C78F0C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0.80</w:t>
            </w:r>
          </w:p>
        </w:tc>
        <w:tc>
          <w:tcPr>
            <w:tcW w:w="0" w:type="auto"/>
            <w:hideMark/>
          </w:tcPr>
          <w:p w14:paraId="36B90277"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Large</w:t>
            </w:r>
          </w:p>
        </w:tc>
      </w:tr>
    </w:tbl>
    <w:p w14:paraId="0F9DE132" w14:textId="77777777" w:rsidR="00885F3C" w:rsidRPr="003D2A76" w:rsidRDefault="00885F3C" w:rsidP="00BD6279">
      <w:pPr>
        <w:bidi w:val="0"/>
        <w:rPr>
          <w:rFonts w:asciiTheme="majorBidi" w:hAnsiTheme="majorBidi" w:cstheme="majorBidi"/>
          <w:lang w:val="en-GB"/>
        </w:rPr>
      </w:pPr>
      <w:r w:rsidRPr="003D2A76">
        <w:rPr>
          <w:rFonts w:asciiTheme="majorBidi" w:hAnsiTheme="majorBidi" w:cstheme="majorBidi"/>
          <w:i/>
          <w:iCs/>
          <w:lang w:val="en-GB"/>
        </w:rPr>
        <w:t>Note.</w:t>
      </w:r>
      <w:r w:rsidRPr="003D2A76">
        <w:rPr>
          <w:rFonts w:asciiTheme="majorBidi" w:hAnsiTheme="majorBidi" w:cstheme="majorBidi"/>
          <w:lang w:val="en-GB"/>
        </w:rPr>
        <w:t xml:space="preserve"> Cohen's </w:t>
      </w:r>
      <w:r w:rsidRPr="003D2A76">
        <w:rPr>
          <w:rFonts w:asciiTheme="majorBidi" w:hAnsiTheme="majorBidi" w:cstheme="majorBidi"/>
          <w:i/>
          <w:iCs/>
          <w:lang w:val="en-GB"/>
        </w:rPr>
        <w:t>f</w:t>
      </w:r>
      <w:r w:rsidRPr="003D2A76">
        <w:rPr>
          <w:rFonts w:asciiTheme="majorBidi" w:hAnsiTheme="majorBidi" w:cstheme="majorBidi"/>
          <w:lang w:val="en-GB"/>
        </w:rPr>
        <w:t>² interpretation: 0.02 = small, 0.15 = medium, 0.35 = large (Cohen, 1988).</w:t>
      </w:r>
    </w:p>
    <w:p w14:paraId="36D4FB3B" w14:textId="26784348"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 xml:space="preserve">The importance of service quality relationship on service quality is validated by large effect sizes. The medium and large effects of AI adoption imply that there is </w:t>
      </w:r>
      <w:r w:rsidR="00BC492E">
        <w:rPr>
          <w:rFonts w:asciiTheme="majorBidi" w:hAnsiTheme="majorBidi" w:cstheme="majorBidi"/>
          <w:lang w:val="en-GB"/>
        </w:rPr>
        <w:t xml:space="preserve">a </w:t>
      </w:r>
      <w:r w:rsidRPr="003D2A76">
        <w:rPr>
          <w:rFonts w:asciiTheme="majorBidi" w:hAnsiTheme="majorBidi" w:cstheme="majorBidi"/>
          <w:lang w:val="en-GB"/>
        </w:rPr>
        <w:t xml:space="preserve">significant practical effect even with complete mediation. The cultural moderation effect </w:t>
      </w:r>
      <w:r w:rsidR="009E4379" w:rsidRPr="003D2A76">
        <w:rPr>
          <w:rFonts w:asciiTheme="majorBidi" w:hAnsiTheme="majorBidi" w:cstheme="majorBidi"/>
          <w:lang w:val="en-GB"/>
        </w:rPr>
        <w:t xml:space="preserve">had a </w:t>
      </w:r>
      <w:r w:rsidRPr="003D2A76">
        <w:rPr>
          <w:rFonts w:asciiTheme="majorBidi" w:hAnsiTheme="majorBidi" w:cstheme="majorBidi"/>
          <w:lang w:val="en-GB"/>
        </w:rPr>
        <w:t xml:space="preserve">statistically significant but small effect size (f² = 0.02), meaning </w:t>
      </w:r>
      <w:r w:rsidR="009E4379" w:rsidRPr="003D2A76">
        <w:rPr>
          <w:rFonts w:asciiTheme="majorBidi" w:hAnsiTheme="majorBidi" w:cstheme="majorBidi"/>
          <w:lang w:val="en-GB"/>
        </w:rPr>
        <w:t xml:space="preserve">a </w:t>
      </w:r>
      <w:r w:rsidRPr="003D2A76">
        <w:rPr>
          <w:rFonts w:asciiTheme="majorBidi" w:hAnsiTheme="majorBidi" w:cstheme="majorBidi"/>
          <w:lang w:val="en-GB"/>
        </w:rPr>
        <w:t xml:space="preserve">subtle </w:t>
      </w:r>
      <w:r w:rsidR="009E4379" w:rsidRPr="003D2A76">
        <w:rPr>
          <w:rFonts w:asciiTheme="majorBidi" w:hAnsiTheme="majorBidi" w:cstheme="majorBidi"/>
          <w:lang w:val="en-GB"/>
        </w:rPr>
        <w:t xml:space="preserve">but </w:t>
      </w:r>
      <w:r w:rsidRPr="003D2A76">
        <w:rPr>
          <w:rFonts w:asciiTheme="majorBidi" w:hAnsiTheme="majorBidi" w:cstheme="majorBidi"/>
          <w:lang w:val="en-GB"/>
        </w:rPr>
        <w:t>not dramatic influence.</w:t>
      </w:r>
    </w:p>
    <w:p w14:paraId="23B6C586" w14:textId="38752880" w:rsidR="00885F3C" w:rsidRPr="003D2A76" w:rsidRDefault="00AE34CF" w:rsidP="00BD6279">
      <w:pPr>
        <w:bidi w:val="0"/>
        <w:rPr>
          <w:rFonts w:asciiTheme="majorBidi" w:hAnsiTheme="majorBidi" w:cstheme="majorBidi"/>
          <w:b/>
          <w:bCs/>
          <w:i/>
          <w:lang w:val="en-GB"/>
        </w:rPr>
      </w:pPr>
      <w:bookmarkStart w:id="138" w:name="_Toc216904193"/>
      <w:r>
        <w:rPr>
          <w:rFonts w:asciiTheme="majorBidi" w:hAnsiTheme="majorBidi" w:cstheme="majorBidi"/>
          <w:b/>
          <w:bCs/>
          <w:i/>
          <w:lang w:val="en-GB"/>
        </w:rPr>
        <w:t xml:space="preserve">4.12.5 </w:t>
      </w:r>
      <w:r w:rsidR="00885F3C" w:rsidRPr="003D2A76">
        <w:rPr>
          <w:rFonts w:asciiTheme="majorBidi" w:hAnsiTheme="majorBidi" w:cstheme="majorBidi"/>
          <w:b/>
          <w:bCs/>
          <w:i/>
          <w:lang w:val="en-GB"/>
        </w:rPr>
        <w:t>Synthesis of Results</w:t>
      </w:r>
      <w:bookmarkEnd w:id="138"/>
    </w:p>
    <w:p w14:paraId="35C47D46" w14:textId="65D6F9DE" w:rsidR="00885F3C" w:rsidRPr="003D2A76" w:rsidRDefault="00885F3C" w:rsidP="00BD6279">
      <w:pPr>
        <w:bidi w:val="0"/>
        <w:rPr>
          <w:rFonts w:asciiTheme="majorBidi" w:hAnsiTheme="majorBidi" w:cstheme="majorBidi"/>
          <w:b/>
          <w:bCs/>
          <w:lang w:val="en-GB"/>
        </w:rPr>
      </w:pPr>
      <w:r w:rsidRPr="003D2A76">
        <w:rPr>
          <w:rFonts w:asciiTheme="majorBidi" w:hAnsiTheme="majorBidi" w:cstheme="majorBidi"/>
          <w:lang w:val="en-GB"/>
        </w:rPr>
        <w:t>The entire analysis justifies a mediated model, in which the use of AI contributes to the purchase intention of educational services by increasing the perceptions regarding service quality, which in turn develops trust and perceived value. The lack of direct effects underlines that the quality of technology implementation is more important than its adoption, whose benefits are only evident when AI may help improve the delivery of tangible services. The moderating role of cultural factors</w:t>
      </w:r>
      <w:r w:rsidR="00BC492E">
        <w:rPr>
          <w:rFonts w:asciiTheme="majorBidi" w:hAnsiTheme="majorBidi" w:cstheme="majorBidi"/>
          <w:lang w:val="en-GB"/>
        </w:rPr>
        <w:t>,</w:t>
      </w:r>
      <w:r w:rsidRPr="003D2A76">
        <w:rPr>
          <w:rFonts w:asciiTheme="majorBidi" w:hAnsiTheme="majorBidi" w:cstheme="majorBidi"/>
          <w:lang w:val="en-GB"/>
        </w:rPr>
        <w:t xml:space="preserve"> especially </w:t>
      </w:r>
      <w:r w:rsidR="009E4379" w:rsidRPr="003D2A76">
        <w:rPr>
          <w:rFonts w:asciiTheme="majorBidi" w:hAnsiTheme="majorBidi" w:cstheme="majorBidi"/>
          <w:lang w:val="en-GB"/>
        </w:rPr>
        <w:t xml:space="preserve">on </w:t>
      </w:r>
      <w:r w:rsidRPr="003D2A76">
        <w:rPr>
          <w:rFonts w:asciiTheme="majorBidi" w:hAnsiTheme="majorBidi" w:cstheme="majorBidi"/>
          <w:lang w:val="en-GB"/>
        </w:rPr>
        <w:t xml:space="preserve">teaching </w:t>
      </w:r>
      <w:r w:rsidRPr="003D2A76">
        <w:rPr>
          <w:rFonts w:asciiTheme="majorBidi" w:hAnsiTheme="majorBidi" w:cstheme="majorBidi"/>
          <w:lang w:val="en-GB"/>
        </w:rPr>
        <w:lastRenderedPageBreak/>
        <w:t xml:space="preserve">applications, supports the significance of contextual sensitivity in the implementation of educational technology. The fact that the stronger effects are present among the students in comparison with parents implies that generational factors had an impact on technology acceptance levels, and the consequences are related to stakeholder engagement strategies. These findings not only confirm the unified theoretical model based on the </w:t>
      </w:r>
      <w:r w:rsidR="00934E5C" w:rsidRPr="003D2A76">
        <w:rPr>
          <w:rFonts w:asciiTheme="majorBidi" w:hAnsiTheme="majorBidi" w:cstheme="majorBidi"/>
          <w:lang w:val="en-GB"/>
        </w:rPr>
        <w:t>TAM</w:t>
      </w:r>
      <w:r w:rsidRPr="003D2A76">
        <w:rPr>
          <w:rFonts w:asciiTheme="majorBidi" w:hAnsiTheme="majorBidi" w:cstheme="majorBidi"/>
          <w:lang w:val="en-GB"/>
        </w:rPr>
        <w:t xml:space="preserve">, SERVQUAL, and trust-value views but also demonstrate some specific relationships peculiar to the Saudi Arabian context of the pricing of private education. Such results can be empirically used to support the theoretical refinement and practical </w:t>
      </w:r>
      <w:r w:rsidR="00BC492E">
        <w:rPr>
          <w:rFonts w:asciiTheme="majorBidi" w:hAnsiTheme="majorBidi" w:cstheme="majorBidi"/>
          <w:lang w:val="en-GB"/>
        </w:rPr>
        <w:t>suggestions</w:t>
      </w:r>
      <w:r w:rsidRPr="003D2A76">
        <w:rPr>
          <w:rFonts w:asciiTheme="majorBidi" w:hAnsiTheme="majorBidi" w:cstheme="majorBidi"/>
          <w:lang w:val="en-GB"/>
        </w:rPr>
        <w:t xml:space="preserve"> that </w:t>
      </w:r>
      <w:r w:rsidR="00BC492E">
        <w:rPr>
          <w:rFonts w:asciiTheme="majorBidi" w:hAnsiTheme="majorBidi" w:cstheme="majorBidi"/>
          <w:lang w:val="en-GB"/>
        </w:rPr>
        <w:t>are</w:t>
      </w:r>
      <w:r w:rsidRPr="003D2A76">
        <w:rPr>
          <w:rFonts w:asciiTheme="majorBidi" w:hAnsiTheme="majorBidi" w:cstheme="majorBidi"/>
          <w:lang w:val="en-GB"/>
        </w:rPr>
        <w:t xml:space="preserve"> presented in Chapter 5.</w:t>
      </w:r>
    </w:p>
    <w:p w14:paraId="4E06A6DE" w14:textId="3285121D" w:rsidR="00885F3C" w:rsidRPr="003D2A76" w:rsidRDefault="00AE34CF" w:rsidP="00BD6279">
      <w:pPr>
        <w:pStyle w:val="Heading2"/>
        <w:rPr>
          <w:lang w:val="en-GB"/>
        </w:rPr>
      </w:pPr>
      <w:bookmarkStart w:id="139" w:name="_Toc216904194"/>
      <w:bookmarkStart w:id="140" w:name="_Toc228056588"/>
      <w:r>
        <w:rPr>
          <w:rFonts w:ascii="Times New Roman" w:hAnsi="Times New Roman" w:cs="Times New Roman"/>
          <w:lang w:val="en-GB"/>
        </w:rPr>
        <w:t xml:space="preserve">4.13 </w:t>
      </w:r>
      <w:r w:rsidR="00885F3C" w:rsidRPr="003D2A76">
        <w:rPr>
          <w:rFonts w:ascii="Times New Roman" w:hAnsi="Times New Roman" w:cs="Times New Roman"/>
          <w:lang w:val="en-GB"/>
        </w:rPr>
        <w:t>Chapter Summary</w:t>
      </w:r>
      <w:bookmarkEnd w:id="139"/>
      <w:bookmarkEnd w:id="140"/>
    </w:p>
    <w:p w14:paraId="703C7494" w14:textId="337B4AF3" w:rsidR="00885F3C" w:rsidRPr="003D2A76" w:rsidRDefault="00885F3C" w:rsidP="00BD6279">
      <w:pPr>
        <w:bidi w:val="0"/>
        <w:rPr>
          <w:rFonts w:asciiTheme="majorBidi" w:hAnsiTheme="majorBidi" w:cstheme="majorBidi"/>
          <w:lang w:val="en-GB"/>
        </w:rPr>
      </w:pPr>
      <w:r w:rsidRPr="003D2A76">
        <w:rPr>
          <w:rFonts w:asciiTheme="majorBidi" w:hAnsiTheme="majorBidi" w:cstheme="majorBidi"/>
          <w:lang w:val="en-GB"/>
        </w:rPr>
        <w:t xml:space="preserve">The chapter provided extensive empirical findings </w:t>
      </w:r>
      <w:r w:rsidR="00934E5C" w:rsidRPr="003D2A76">
        <w:rPr>
          <w:rFonts w:asciiTheme="majorBidi" w:hAnsiTheme="majorBidi" w:cstheme="majorBidi"/>
          <w:lang w:val="en-GB"/>
        </w:rPr>
        <w:t xml:space="preserve">from </w:t>
      </w:r>
      <w:r w:rsidRPr="003D2A76">
        <w:rPr>
          <w:rFonts w:asciiTheme="majorBidi" w:hAnsiTheme="majorBidi" w:cstheme="majorBidi"/>
          <w:lang w:val="en-GB"/>
        </w:rPr>
        <w:t xml:space="preserve">409 </w:t>
      </w:r>
      <w:r w:rsidR="00934E5C" w:rsidRPr="003D2A76">
        <w:rPr>
          <w:rFonts w:asciiTheme="majorBidi" w:hAnsiTheme="majorBidi" w:cstheme="majorBidi"/>
          <w:lang w:val="en-GB"/>
        </w:rPr>
        <w:t xml:space="preserve">participants </w:t>
      </w:r>
      <w:r w:rsidRPr="003D2A76">
        <w:rPr>
          <w:rFonts w:asciiTheme="majorBidi" w:hAnsiTheme="majorBidi" w:cstheme="majorBidi"/>
          <w:lang w:val="en-GB"/>
        </w:rPr>
        <w:t>on the effect of AI adoption on educational service purchase intention in Saudi Arabian private schools. The analysis was done in a systematic way</w:t>
      </w:r>
      <w:r w:rsidR="00BC492E">
        <w:rPr>
          <w:rFonts w:asciiTheme="majorBidi" w:hAnsiTheme="majorBidi" w:cstheme="majorBidi"/>
          <w:lang w:val="en-GB"/>
        </w:rPr>
        <w:t>,</w:t>
      </w:r>
      <w:r w:rsidRPr="003D2A76">
        <w:rPr>
          <w:rFonts w:asciiTheme="majorBidi" w:hAnsiTheme="majorBidi" w:cstheme="majorBidi"/>
          <w:lang w:val="en-GB"/>
        </w:rPr>
        <w:t xml:space="preserve"> starting with screening and demographic profiling of the data and moving up to the validation of measures and then testing of hypotheses and further analysis. The main results were that AI application in the teaching and marketing processes can seriously increase the perception of the quality of the services, which has a great impact on the purchase intention mediated by trust and perceived value. The effect of cultural factors on the correlation between AI teaching adoption and service quality is moderate, whereas the heterogeneous nature of technology experience is suggested by the differences in stakeholders. The model accounted for 76.9 percent of </w:t>
      </w:r>
      <w:r w:rsidR="00BC492E">
        <w:rPr>
          <w:rFonts w:asciiTheme="majorBidi" w:hAnsiTheme="majorBidi" w:cstheme="majorBidi"/>
          <w:lang w:val="en-GB"/>
        </w:rPr>
        <w:t xml:space="preserve">the </w:t>
      </w:r>
      <w:r w:rsidRPr="003D2A76">
        <w:rPr>
          <w:rFonts w:asciiTheme="majorBidi" w:hAnsiTheme="majorBidi" w:cstheme="majorBidi"/>
          <w:lang w:val="en-GB"/>
        </w:rPr>
        <w:t>variation in purchase intention</w:t>
      </w:r>
      <w:r w:rsidR="00BC492E">
        <w:rPr>
          <w:rFonts w:asciiTheme="majorBidi" w:hAnsiTheme="majorBidi" w:cstheme="majorBidi"/>
          <w:lang w:val="en-GB"/>
        </w:rPr>
        <w:t>,</w:t>
      </w:r>
      <w:r w:rsidRPr="003D2A76">
        <w:rPr>
          <w:rFonts w:asciiTheme="majorBidi" w:hAnsiTheme="majorBidi" w:cstheme="majorBidi"/>
          <w:lang w:val="en-GB"/>
        </w:rPr>
        <w:t xml:space="preserve"> thus being highly theoretically adequate and practically relevant. These findings are very sound empirical support </w:t>
      </w:r>
      <w:r w:rsidR="00934E5C" w:rsidRPr="003D2A76">
        <w:rPr>
          <w:rFonts w:asciiTheme="majorBidi" w:hAnsiTheme="majorBidi" w:cstheme="majorBidi"/>
          <w:lang w:val="en-GB"/>
        </w:rPr>
        <w:t xml:space="preserve">for </w:t>
      </w:r>
      <w:r w:rsidRPr="003D2A76">
        <w:rPr>
          <w:rFonts w:asciiTheme="majorBidi" w:hAnsiTheme="majorBidi" w:cstheme="majorBidi"/>
          <w:lang w:val="en-GB"/>
        </w:rPr>
        <w:t>the discussion, implications</w:t>
      </w:r>
      <w:r w:rsidR="00BC492E">
        <w:rPr>
          <w:rFonts w:asciiTheme="majorBidi" w:hAnsiTheme="majorBidi" w:cstheme="majorBidi"/>
          <w:lang w:val="en-GB"/>
        </w:rPr>
        <w:t>,</w:t>
      </w:r>
      <w:r w:rsidRPr="003D2A76">
        <w:rPr>
          <w:rFonts w:asciiTheme="majorBidi" w:hAnsiTheme="majorBidi" w:cstheme="majorBidi"/>
          <w:lang w:val="en-GB"/>
        </w:rPr>
        <w:t xml:space="preserve"> and recommendations in Chapter 5.</w:t>
      </w:r>
    </w:p>
    <w:p w14:paraId="5A513B1D" w14:textId="77777777" w:rsidR="006A4A5D" w:rsidRPr="003D2A76" w:rsidRDefault="006A4A5D" w:rsidP="00BD6279">
      <w:pPr>
        <w:pStyle w:val="Heading1"/>
        <w:pageBreakBefore/>
        <w:rPr>
          <w:lang w:val="en-GB"/>
        </w:rPr>
      </w:pPr>
      <w:bookmarkStart w:id="141" w:name="_Toc228056589"/>
      <w:r w:rsidRPr="003D2A76">
        <w:rPr>
          <w:rFonts w:ascii="Times New Roman" w:hAnsi="Times New Roman" w:cs="Times New Roman"/>
          <w:lang w:val="en-GB"/>
        </w:rPr>
        <w:lastRenderedPageBreak/>
        <w:t>CHAPTER 5</w:t>
      </w:r>
      <w:bookmarkEnd w:id="141"/>
    </w:p>
    <w:p w14:paraId="7955B05B" w14:textId="77777777" w:rsidR="00E2446F" w:rsidRPr="003D2A76" w:rsidRDefault="00CB042E" w:rsidP="00BD6279">
      <w:pPr>
        <w:bidi w:val="0"/>
        <w:jc w:val="center"/>
        <w:rPr>
          <w:lang w:val="en-GB"/>
        </w:rPr>
      </w:pPr>
      <w:r w:rsidRPr="003D2A76">
        <w:rPr>
          <w:b/>
          <w:bCs/>
          <w:lang w:val="en-GB"/>
        </w:rPr>
        <w:t>DISCUSSION, CONCLUSIONS, AND IMPLICATIONS</w:t>
      </w:r>
    </w:p>
    <w:p w14:paraId="675B97AE" w14:textId="77777777" w:rsidR="006A4A5D" w:rsidRPr="003D2A76" w:rsidRDefault="006A4A5D" w:rsidP="00BD6279">
      <w:pPr>
        <w:pStyle w:val="Heading2"/>
        <w:rPr>
          <w:lang w:val="en-GB"/>
        </w:rPr>
      </w:pPr>
      <w:bookmarkStart w:id="142" w:name="_Toc228056590"/>
      <w:r w:rsidRPr="003D2A76">
        <w:rPr>
          <w:rFonts w:ascii="Times New Roman" w:hAnsi="Times New Roman" w:cs="Times New Roman"/>
          <w:lang w:val="en-GB"/>
        </w:rPr>
        <w:t>5.1 Introduction</w:t>
      </w:r>
      <w:bookmarkEnd w:id="142"/>
    </w:p>
    <w:p w14:paraId="3FD6DB88" w14:textId="0A5589C2"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Chapter 5 offers a discussion of the empirical research findings with reference to RQ1</w:t>
      </w:r>
      <w:r w:rsidR="00E65D6B" w:rsidRPr="003D2A76">
        <w:rPr>
          <w:rFonts w:asciiTheme="majorBidi" w:hAnsiTheme="majorBidi" w:cstheme="majorBidi"/>
          <w:lang w:val="en-GB"/>
        </w:rPr>
        <w:t>–</w:t>
      </w:r>
      <w:r w:rsidRPr="003D2A76">
        <w:rPr>
          <w:rFonts w:asciiTheme="majorBidi" w:hAnsiTheme="majorBidi" w:cstheme="majorBidi"/>
          <w:lang w:val="en-GB"/>
        </w:rPr>
        <w:t>RQ5 and the theoretical framework developed in Chapter 2. In Chapter 1, the five research questions (RQ1</w:t>
      </w:r>
      <w:r w:rsidR="00E65D6B" w:rsidRPr="003D2A76">
        <w:rPr>
          <w:rFonts w:asciiTheme="majorBidi" w:hAnsiTheme="majorBidi" w:cstheme="majorBidi"/>
          <w:lang w:val="en-GB"/>
        </w:rPr>
        <w:t>–</w:t>
      </w:r>
      <w:r w:rsidRPr="003D2A76">
        <w:rPr>
          <w:rFonts w:asciiTheme="majorBidi" w:hAnsiTheme="majorBidi" w:cstheme="majorBidi"/>
          <w:lang w:val="en-GB"/>
        </w:rPr>
        <w:t xml:space="preserve">RQ5) and </w:t>
      </w:r>
      <w:r w:rsidR="00E65D6B" w:rsidRPr="003D2A76">
        <w:rPr>
          <w:rFonts w:asciiTheme="majorBidi" w:hAnsiTheme="majorBidi" w:cstheme="majorBidi"/>
          <w:lang w:val="en-GB"/>
        </w:rPr>
        <w:t xml:space="preserve">12 </w:t>
      </w:r>
      <w:r w:rsidRPr="003D2A76">
        <w:rPr>
          <w:rFonts w:asciiTheme="majorBidi" w:hAnsiTheme="majorBidi" w:cstheme="majorBidi"/>
          <w:lang w:val="en-GB"/>
        </w:rPr>
        <w:t>hypotheses (H1</w:t>
      </w:r>
      <w:r w:rsidR="00E65D6B" w:rsidRPr="003D2A76">
        <w:rPr>
          <w:rFonts w:asciiTheme="majorBidi" w:hAnsiTheme="majorBidi" w:cstheme="majorBidi"/>
          <w:lang w:val="en-GB"/>
        </w:rPr>
        <w:t>–</w:t>
      </w:r>
      <w:r w:rsidRPr="003D2A76">
        <w:rPr>
          <w:rFonts w:asciiTheme="majorBidi" w:hAnsiTheme="majorBidi" w:cstheme="majorBidi"/>
          <w:lang w:val="en-GB"/>
        </w:rPr>
        <w:t xml:space="preserve">H12) were formed as part of the four causal blocks (A, B, C, D). Each was </w:t>
      </w:r>
      <w:r w:rsidR="00E65D6B" w:rsidRPr="003D2A76">
        <w:rPr>
          <w:rFonts w:asciiTheme="majorBidi" w:hAnsiTheme="majorBidi" w:cstheme="majorBidi"/>
          <w:lang w:val="en-GB"/>
        </w:rPr>
        <w:t xml:space="preserve">analysed </w:t>
      </w:r>
      <w:r w:rsidRPr="003D2A76">
        <w:rPr>
          <w:rFonts w:asciiTheme="majorBidi" w:hAnsiTheme="majorBidi" w:cstheme="majorBidi"/>
          <w:lang w:val="en-GB"/>
        </w:rPr>
        <w:t xml:space="preserve">in detail with supporting statistics from Chapter 4 to corroborate/revise the statements made. Therefore, in </w:t>
      </w:r>
      <w:r w:rsidR="00E65D6B" w:rsidRPr="003D2A76">
        <w:rPr>
          <w:rFonts w:asciiTheme="majorBidi" w:hAnsiTheme="majorBidi" w:cstheme="majorBidi"/>
          <w:lang w:val="en-GB"/>
        </w:rPr>
        <w:t xml:space="preserve">analysing </w:t>
      </w:r>
      <w:r w:rsidRPr="003D2A76">
        <w:rPr>
          <w:rFonts w:asciiTheme="majorBidi" w:hAnsiTheme="majorBidi" w:cstheme="majorBidi"/>
          <w:lang w:val="en-GB"/>
        </w:rPr>
        <w:t xml:space="preserve">this discussion against the Chapter 3 methodology section, it is important to </w:t>
      </w:r>
      <w:r w:rsidR="00E65D6B" w:rsidRPr="003D2A76">
        <w:rPr>
          <w:rFonts w:asciiTheme="majorBidi" w:hAnsiTheme="majorBidi" w:cstheme="majorBidi"/>
          <w:lang w:val="en-GB"/>
        </w:rPr>
        <w:t xml:space="preserve">recognise </w:t>
      </w:r>
      <w:r w:rsidRPr="003D2A76">
        <w:rPr>
          <w:rFonts w:asciiTheme="majorBidi" w:hAnsiTheme="majorBidi" w:cstheme="majorBidi"/>
          <w:lang w:val="en-GB"/>
        </w:rPr>
        <w:t>that the effect of a single coefficient is dependent on the cross-sectional, quantitative, survey-based method used when collecting data from parents of students in private K-12 educational systems within the geographical location of Jeddah.</w:t>
      </w:r>
    </w:p>
    <w:p w14:paraId="30B0CAC5" w14:textId="080489CC"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Eight sections comprise this chapter. Section 5.2 compacts the study review, </w:t>
      </w:r>
      <w:r w:rsidR="00E65D6B" w:rsidRPr="003D2A76">
        <w:rPr>
          <w:rFonts w:asciiTheme="majorBidi" w:hAnsiTheme="majorBidi" w:cstheme="majorBidi"/>
          <w:lang w:val="en-GB"/>
        </w:rPr>
        <w:t>summarising it so that it can be followed</w:t>
      </w:r>
      <w:r w:rsidRPr="003D2A76">
        <w:rPr>
          <w:rFonts w:asciiTheme="majorBidi" w:hAnsiTheme="majorBidi" w:cstheme="majorBidi"/>
          <w:lang w:val="en-GB"/>
        </w:rPr>
        <w:t xml:space="preserve"> without returning to earlier chapters. Section 5.3 unpacks the </w:t>
      </w:r>
      <w:r w:rsidR="00E65D6B" w:rsidRPr="003D2A76">
        <w:rPr>
          <w:rFonts w:asciiTheme="majorBidi" w:hAnsiTheme="majorBidi" w:cstheme="majorBidi"/>
          <w:lang w:val="en-GB"/>
        </w:rPr>
        <w:t xml:space="preserve">12 </w:t>
      </w:r>
      <w:r w:rsidRPr="003D2A76">
        <w:rPr>
          <w:rFonts w:asciiTheme="majorBidi" w:hAnsiTheme="majorBidi" w:cstheme="majorBidi"/>
          <w:lang w:val="en-GB"/>
        </w:rPr>
        <w:t>hypotheses one</w:t>
      </w:r>
      <w:r w:rsidR="00E65D6B" w:rsidRPr="003D2A76">
        <w:rPr>
          <w:rFonts w:asciiTheme="majorBidi" w:hAnsiTheme="majorBidi" w:cstheme="majorBidi"/>
          <w:lang w:val="en-GB"/>
        </w:rPr>
        <w:t xml:space="preserve"> </w:t>
      </w:r>
      <w:r w:rsidRPr="003D2A76">
        <w:rPr>
          <w:rFonts w:asciiTheme="majorBidi" w:hAnsiTheme="majorBidi" w:cstheme="majorBidi"/>
          <w:lang w:val="en-GB"/>
        </w:rPr>
        <w:t>by</w:t>
      </w:r>
      <w:r w:rsidR="00E65D6B" w:rsidRPr="003D2A76">
        <w:rPr>
          <w:rFonts w:asciiTheme="majorBidi" w:hAnsiTheme="majorBidi" w:cstheme="majorBidi"/>
          <w:lang w:val="en-GB"/>
        </w:rPr>
        <w:t xml:space="preserve"> </w:t>
      </w:r>
      <w:r w:rsidRPr="003D2A76">
        <w:rPr>
          <w:rFonts w:asciiTheme="majorBidi" w:hAnsiTheme="majorBidi" w:cstheme="majorBidi"/>
          <w:lang w:val="en-GB"/>
        </w:rPr>
        <w:t>one under the four causal blocks from Chapter 1. Section 5.4 moves from what the data showed to what it means theoretically. Four frameworks from Chapter 2, §2.3 (</w:t>
      </w:r>
      <w:r w:rsidR="00E65D6B" w:rsidRPr="003D2A76">
        <w:rPr>
          <w:rFonts w:asciiTheme="majorBidi" w:hAnsiTheme="majorBidi" w:cstheme="majorBidi"/>
          <w:lang w:val="en-GB"/>
        </w:rPr>
        <w:t>TAM</w:t>
      </w:r>
      <w:r w:rsidRPr="003D2A76">
        <w:rPr>
          <w:rFonts w:asciiTheme="majorBidi" w:hAnsiTheme="majorBidi" w:cstheme="majorBidi"/>
          <w:lang w:val="en-GB"/>
        </w:rPr>
        <w:t xml:space="preserve">, </w:t>
      </w:r>
      <w:r w:rsidR="00E65D6B" w:rsidRPr="003D2A76">
        <w:rPr>
          <w:rFonts w:asciiTheme="majorBidi" w:hAnsiTheme="majorBidi" w:cstheme="majorBidi"/>
          <w:lang w:val="en-GB"/>
        </w:rPr>
        <w:t>TPB</w:t>
      </w:r>
      <w:r w:rsidRPr="003D2A76">
        <w:rPr>
          <w:rFonts w:asciiTheme="majorBidi" w:hAnsiTheme="majorBidi" w:cstheme="majorBidi"/>
          <w:lang w:val="en-GB"/>
        </w:rPr>
        <w:t xml:space="preserve">, SERVQUAL, Perceived Value </w:t>
      </w:r>
      <w:r w:rsidR="00D1303B" w:rsidRPr="003D2A76">
        <w:rPr>
          <w:rFonts w:asciiTheme="majorBidi" w:hAnsiTheme="majorBidi" w:cstheme="majorBidi"/>
          <w:lang w:val="en-GB"/>
        </w:rPr>
        <w:t>T</w:t>
      </w:r>
      <w:r w:rsidRPr="003D2A76">
        <w:rPr>
          <w:rFonts w:asciiTheme="majorBidi" w:hAnsiTheme="majorBidi" w:cstheme="majorBidi"/>
          <w:lang w:val="en-GB"/>
        </w:rPr>
        <w:t xml:space="preserve">heory) frame the results discussion. Section 5.5 shifts </w:t>
      </w:r>
      <w:r w:rsidR="00E65D6B" w:rsidRPr="003D2A76">
        <w:rPr>
          <w:rFonts w:asciiTheme="majorBidi" w:hAnsiTheme="majorBidi" w:cstheme="majorBidi"/>
          <w:lang w:val="en-GB"/>
        </w:rPr>
        <w:t xml:space="preserve">to the </w:t>
      </w:r>
      <w:r w:rsidRPr="003D2A76">
        <w:rPr>
          <w:rFonts w:asciiTheme="majorBidi" w:hAnsiTheme="majorBidi" w:cstheme="majorBidi"/>
          <w:lang w:val="en-GB"/>
        </w:rPr>
        <w:t xml:space="preserve">practical: recommendations for administrators, Vision 2030 policymakers, </w:t>
      </w:r>
      <w:r w:rsidR="00BC492E" w:rsidRPr="003D2A76">
        <w:rPr>
          <w:rFonts w:asciiTheme="majorBidi" w:hAnsiTheme="majorBidi" w:cstheme="majorBidi"/>
          <w:lang w:val="en-GB"/>
        </w:rPr>
        <w:t>EdTech</w:t>
      </w:r>
      <w:r w:rsidRPr="003D2A76">
        <w:rPr>
          <w:rFonts w:asciiTheme="majorBidi" w:hAnsiTheme="majorBidi" w:cstheme="majorBidi"/>
          <w:lang w:val="en-GB"/>
        </w:rPr>
        <w:t xml:space="preserve"> developers, parents. Section 5.6 revisits the limitations and assumptions stated in Chapter 1, §1.5. Which held? Which tightened? Section 5.7 maps future work. Section 5.8 synthesises the findings into a coherent statement.</w:t>
      </w:r>
    </w:p>
    <w:p w14:paraId="095FC3A8" w14:textId="354C3DC6"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It’s valuable to speak </w:t>
      </w:r>
      <w:r w:rsidR="00E65D6B" w:rsidRPr="003D2A76">
        <w:rPr>
          <w:rFonts w:asciiTheme="majorBidi" w:hAnsiTheme="majorBidi" w:cstheme="majorBidi"/>
          <w:lang w:val="en-GB"/>
        </w:rPr>
        <w:t xml:space="preserve">about </w:t>
      </w:r>
      <w:r w:rsidRPr="003D2A76">
        <w:rPr>
          <w:rFonts w:asciiTheme="majorBidi" w:hAnsiTheme="majorBidi" w:cstheme="majorBidi"/>
          <w:lang w:val="en-GB"/>
        </w:rPr>
        <w:t>what this chapter does and does not do right</w:t>
      </w:r>
      <w:r w:rsidR="00E65D6B" w:rsidRPr="003D2A76">
        <w:rPr>
          <w:rFonts w:asciiTheme="majorBidi" w:hAnsiTheme="majorBidi" w:cstheme="majorBidi"/>
          <w:lang w:val="en-GB"/>
        </w:rPr>
        <w:t>,</w:t>
      </w:r>
      <w:r w:rsidRPr="003D2A76">
        <w:rPr>
          <w:rFonts w:asciiTheme="majorBidi" w:hAnsiTheme="majorBidi" w:cstheme="majorBidi"/>
          <w:lang w:val="en-GB"/>
        </w:rPr>
        <w:t xml:space="preserve"> up front. The data collected in this chapter are not restated; they appear in Chapter 4. The literature and </w:t>
      </w:r>
      <w:r w:rsidRPr="003D2A76">
        <w:rPr>
          <w:rFonts w:asciiTheme="majorBidi" w:hAnsiTheme="majorBidi" w:cstheme="majorBidi"/>
          <w:lang w:val="en-GB"/>
        </w:rPr>
        <w:lastRenderedPageBreak/>
        <w:t xml:space="preserve">theories </w:t>
      </w:r>
      <w:r w:rsidR="00E65D6B" w:rsidRPr="003D2A76">
        <w:rPr>
          <w:rFonts w:asciiTheme="majorBidi" w:hAnsiTheme="majorBidi" w:cstheme="majorBidi"/>
          <w:lang w:val="en-GB"/>
        </w:rPr>
        <w:t xml:space="preserve">were </w:t>
      </w:r>
      <w:r w:rsidRPr="003D2A76">
        <w:rPr>
          <w:rFonts w:asciiTheme="majorBidi" w:hAnsiTheme="majorBidi" w:cstheme="majorBidi"/>
          <w:lang w:val="en-GB"/>
        </w:rPr>
        <w:t xml:space="preserve">previously reviewed in Chapter 2 and are not repeated here. The relationship between prediction, observation, and meaningfulness will be demonstrated in this chapter from two perspectives: as it relates to theoretical meaning and as it relates to practical applications in private schools in Jeddah, Saudi Arabia, under Vision 2030. Private schools in Jeddah, Saudi Arabia, under Vision 2030 are unique and cannot be </w:t>
      </w:r>
      <w:r w:rsidR="00E65D6B" w:rsidRPr="003D2A76">
        <w:rPr>
          <w:rFonts w:asciiTheme="majorBidi" w:hAnsiTheme="majorBidi" w:cstheme="majorBidi"/>
          <w:lang w:val="en-GB"/>
        </w:rPr>
        <w:t xml:space="preserve">generalised </w:t>
      </w:r>
      <w:r w:rsidRPr="003D2A76">
        <w:rPr>
          <w:rFonts w:asciiTheme="majorBidi" w:hAnsiTheme="majorBidi" w:cstheme="majorBidi"/>
          <w:lang w:val="en-GB"/>
        </w:rPr>
        <w:t>to the larger concept of technology adoption in education.</w:t>
      </w:r>
    </w:p>
    <w:p w14:paraId="39E1C093" w14:textId="77777777" w:rsidR="006A4A5D" w:rsidRPr="003D2A76" w:rsidRDefault="006A4A5D" w:rsidP="00BD6279">
      <w:pPr>
        <w:pStyle w:val="Heading2"/>
        <w:rPr>
          <w:lang w:val="en-GB"/>
        </w:rPr>
      </w:pPr>
      <w:bookmarkStart w:id="143" w:name="_Toc228056591"/>
      <w:r w:rsidRPr="003D2A76">
        <w:rPr>
          <w:rFonts w:ascii="Times New Roman" w:hAnsi="Times New Roman" w:cs="Times New Roman"/>
          <w:lang w:val="en-GB"/>
        </w:rPr>
        <w:t>5.2 Study Summary</w:t>
      </w:r>
      <w:bookmarkEnd w:id="143"/>
    </w:p>
    <w:p w14:paraId="24A59841"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In Chapter 1, §1.4, the primary inquiry sought to determine how AI in the operation of private schools in Jeddah impacts parental purchase intention for educational services and what factors (cognitive, affective, and cultural) influence these outcome effects. The focus of the primary research question led to five additional questions: 1) Does AI use significantly affect purchase intention? 2) Does perceived service quality act as a mediator? 3) Does trust (both institutional and technological) play a mediating role? 4) Does the perception of value moderate the impact of the service experience on purchase intention? 5) Do cultural factors moderate the influence of variables across the pathways?</w:t>
      </w:r>
    </w:p>
    <w:p w14:paraId="7FCEA8B6"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5.2.1 Theoretical and Methodological Approach</w:t>
      </w:r>
    </w:p>
    <w:p w14:paraId="362B49AD" w14:textId="4770717C"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Chapter 2 provided an opportunity to create a conceptual model (see Figure 2.1; Section 2.5 lists Proposition</w:t>
      </w:r>
      <w:r w:rsidR="00E65D6B" w:rsidRPr="003D2A76">
        <w:rPr>
          <w:rFonts w:asciiTheme="majorBidi" w:hAnsiTheme="majorBidi" w:cstheme="majorBidi"/>
          <w:lang w:val="en-GB"/>
        </w:rPr>
        <w:t>s</w:t>
      </w:r>
      <w:r w:rsidRPr="003D2A76">
        <w:rPr>
          <w:rFonts w:asciiTheme="majorBidi" w:hAnsiTheme="majorBidi" w:cstheme="majorBidi"/>
          <w:lang w:val="en-GB"/>
        </w:rPr>
        <w:t xml:space="preserve"> P1</w:t>
      </w:r>
      <w:r w:rsidR="00E65D6B" w:rsidRPr="003D2A76">
        <w:rPr>
          <w:rFonts w:asciiTheme="majorBidi" w:hAnsiTheme="majorBidi" w:cstheme="majorBidi"/>
          <w:lang w:val="en-GB"/>
        </w:rPr>
        <w:t>–</w:t>
      </w:r>
      <w:r w:rsidRPr="003D2A76">
        <w:rPr>
          <w:rFonts w:asciiTheme="majorBidi" w:hAnsiTheme="majorBidi" w:cstheme="majorBidi"/>
          <w:lang w:val="en-GB"/>
        </w:rPr>
        <w:t xml:space="preserve">P5) using four theoretical frameworks. The </w:t>
      </w:r>
      <w:r w:rsidR="00E65D6B" w:rsidRPr="003D2A76">
        <w:rPr>
          <w:rFonts w:asciiTheme="majorBidi" w:hAnsiTheme="majorBidi" w:cstheme="majorBidi"/>
          <w:lang w:val="en-GB"/>
        </w:rPr>
        <w:t>TAM</w:t>
      </w:r>
      <w:r w:rsidRPr="003D2A76">
        <w:rPr>
          <w:rFonts w:asciiTheme="majorBidi" w:hAnsiTheme="majorBidi" w:cstheme="majorBidi"/>
          <w:lang w:val="en-GB"/>
        </w:rPr>
        <w:t xml:space="preserve"> (Davis, 1989) provided the basic level claim that perceived utility (usefulness or ease of use) creates a likelihood for adoption. The </w:t>
      </w:r>
      <w:r w:rsidR="00E65D6B" w:rsidRPr="003D2A76">
        <w:rPr>
          <w:rFonts w:asciiTheme="majorBidi" w:hAnsiTheme="majorBidi" w:cstheme="majorBidi"/>
          <w:lang w:val="en-GB"/>
        </w:rPr>
        <w:t>TPB</w:t>
      </w:r>
      <w:r w:rsidRPr="003D2A76">
        <w:rPr>
          <w:rFonts w:asciiTheme="majorBidi" w:hAnsiTheme="majorBidi" w:cstheme="majorBidi"/>
          <w:lang w:val="en-GB"/>
        </w:rPr>
        <w:t xml:space="preserve"> (Ajzen, 1991) provided additional components; </w:t>
      </w:r>
      <w:r w:rsidR="00E65D6B" w:rsidRPr="003D2A76">
        <w:rPr>
          <w:rFonts w:asciiTheme="majorBidi" w:hAnsiTheme="majorBidi" w:cstheme="majorBidi"/>
          <w:lang w:val="en-GB"/>
        </w:rPr>
        <w:t xml:space="preserve">subjective norms </w:t>
      </w:r>
      <w:r w:rsidRPr="003D2A76">
        <w:rPr>
          <w:rFonts w:asciiTheme="majorBidi" w:hAnsiTheme="majorBidi" w:cstheme="majorBidi"/>
          <w:lang w:val="en-GB"/>
        </w:rPr>
        <w:t xml:space="preserve">and </w:t>
      </w:r>
      <w:r w:rsidR="00E65D6B" w:rsidRPr="003D2A76">
        <w:rPr>
          <w:rFonts w:asciiTheme="majorBidi" w:hAnsiTheme="majorBidi" w:cstheme="majorBidi"/>
          <w:lang w:val="en-GB"/>
        </w:rPr>
        <w:t xml:space="preserve">perceived </w:t>
      </w:r>
      <w:r w:rsidR="003D2A76" w:rsidRPr="003D2A76">
        <w:rPr>
          <w:rFonts w:asciiTheme="majorBidi" w:hAnsiTheme="majorBidi" w:cstheme="majorBidi"/>
          <w:lang w:val="en-GB"/>
        </w:rPr>
        <w:t>behavioural</w:t>
      </w:r>
      <w:r w:rsidR="00E65D6B" w:rsidRPr="003D2A76">
        <w:rPr>
          <w:rFonts w:asciiTheme="majorBidi" w:hAnsiTheme="majorBidi" w:cstheme="majorBidi"/>
          <w:lang w:val="en-GB"/>
        </w:rPr>
        <w:t xml:space="preserve"> control </w:t>
      </w:r>
      <w:r w:rsidRPr="003D2A76">
        <w:rPr>
          <w:rFonts w:asciiTheme="majorBidi" w:hAnsiTheme="majorBidi" w:cstheme="majorBidi"/>
          <w:lang w:val="en-GB"/>
        </w:rPr>
        <w:t xml:space="preserve">are particularly important for parental school choice in collectivist cultures. SERVQUAL (Parasuraman, Zeithaml, and Berry, 1988) developed a five-part measure for parental assessment of service quality. </w:t>
      </w:r>
      <w:r w:rsidRPr="003D2A76">
        <w:rPr>
          <w:rFonts w:asciiTheme="majorBidi" w:hAnsiTheme="majorBidi" w:cstheme="majorBidi"/>
          <w:lang w:val="en-GB"/>
        </w:rPr>
        <w:lastRenderedPageBreak/>
        <w:t xml:space="preserve">Perceived Value Theory (Zeithaml, 1988; Sweeney and Soutar, 2001) defined value </w:t>
      </w:r>
      <w:r w:rsidR="00E65D6B" w:rsidRPr="003D2A76">
        <w:rPr>
          <w:rFonts w:asciiTheme="majorBidi" w:hAnsiTheme="majorBidi" w:cstheme="majorBidi"/>
          <w:lang w:val="en-GB"/>
        </w:rPr>
        <w:t xml:space="preserve">according to </w:t>
      </w:r>
      <w:r w:rsidRPr="003D2A76">
        <w:rPr>
          <w:rFonts w:asciiTheme="majorBidi" w:hAnsiTheme="majorBidi" w:cstheme="majorBidi"/>
          <w:lang w:val="en-GB"/>
        </w:rPr>
        <w:t>four strands: Functional Value; Emotional Value; Social Value; and Monetary Value. The discussion in §2.3.5 outlined the position and argument for viewing the four frameworks not as competing evidence for the study, but as layering evidence, resulting in a synergistic model. This layering model represents the most robust theoretical finding within the entire dissertation.</w:t>
      </w:r>
    </w:p>
    <w:p w14:paraId="35B6398E" w14:textId="31270F28"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The methodology for </w:t>
      </w:r>
      <w:r w:rsidR="00E65D6B" w:rsidRPr="003D2A76">
        <w:rPr>
          <w:rFonts w:asciiTheme="majorBidi" w:hAnsiTheme="majorBidi" w:cstheme="majorBidi"/>
          <w:lang w:val="en-GB"/>
        </w:rPr>
        <w:t xml:space="preserve">operationalising </w:t>
      </w:r>
      <w:r w:rsidRPr="003D2A76">
        <w:rPr>
          <w:rFonts w:asciiTheme="majorBidi" w:hAnsiTheme="majorBidi" w:cstheme="majorBidi"/>
          <w:lang w:val="en-GB"/>
        </w:rPr>
        <w:t>the model was established through a quantitative, deductive, and cross-sectional research design. The sample or unit of analysis for this study was K-12 parents of children who attend private schools in Jeddah. An online survey was developed using validated scales, translated into Arabic and back-translated, piloted</w:t>
      </w:r>
      <w:r w:rsidR="00BC492E">
        <w:rPr>
          <w:rFonts w:asciiTheme="majorBidi" w:hAnsiTheme="majorBidi" w:cstheme="majorBidi"/>
          <w:lang w:val="en-GB"/>
        </w:rPr>
        <w:t>,</w:t>
      </w:r>
      <w:r w:rsidRPr="003D2A76">
        <w:rPr>
          <w:rFonts w:asciiTheme="majorBidi" w:hAnsiTheme="majorBidi" w:cstheme="majorBidi"/>
          <w:lang w:val="en-GB"/>
        </w:rPr>
        <w:t xml:space="preserve"> and field-tested. A total of 409 usable responses were obtained from school contact lists. All reliabilities for constructs were exceeded </w:t>
      </w:r>
      <w:r w:rsidR="00E65D6B" w:rsidRPr="003D2A76">
        <w:rPr>
          <w:rFonts w:asciiTheme="majorBidi" w:hAnsiTheme="majorBidi" w:cstheme="majorBidi"/>
          <w:lang w:val="en-GB"/>
        </w:rPr>
        <w:t xml:space="preserve">at </w:t>
      </w:r>
      <w:r w:rsidRPr="003D2A76">
        <w:rPr>
          <w:rFonts w:asciiTheme="majorBidi" w:hAnsiTheme="majorBidi" w:cstheme="majorBidi"/>
          <w:lang w:val="en-GB"/>
        </w:rPr>
        <w:t xml:space="preserve">0.70 (highly reliable). The direct effects of each primary variable on each outcome variable were tested using multiple regression. Mediation analysis was conducted using the Hayes PROCESS macro using Model 4 for </w:t>
      </w:r>
      <w:r w:rsidR="00E65D6B" w:rsidRPr="003D2A76">
        <w:rPr>
          <w:rFonts w:asciiTheme="majorBidi" w:hAnsiTheme="majorBidi" w:cstheme="majorBidi"/>
          <w:lang w:val="en-GB"/>
        </w:rPr>
        <w:t xml:space="preserve">simple </w:t>
      </w:r>
      <w:r w:rsidRPr="003D2A76">
        <w:rPr>
          <w:rFonts w:asciiTheme="majorBidi" w:hAnsiTheme="majorBidi" w:cstheme="majorBidi"/>
          <w:lang w:val="en-GB"/>
        </w:rPr>
        <w:t xml:space="preserve">mediation, Model 1 for moderation, and Models 6 and 7 for </w:t>
      </w:r>
      <w:r w:rsidR="00E65D6B" w:rsidRPr="003D2A76">
        <w:rPr>
          <w:rFonts w:asciiTheme="majorBidi" w:hAnsiTheme="majorBidi" w:cstheme="majorBidi"/>
          <w:lang w:val="en-GB"/>
        </w:rPr>
        <w:t xml:space="preserve">serial </w:t>
      </w:r>
      <w:r w:rsidRPr="003D2A76">
        <w:rPr>
          <w:rFonts w:asciiTheme="majorBidi" w:hAnsiTheme="majorBidi" w:cstheme="majorBidi"/>
          <w:lang w:val="en-GB"/>
        </w:rPr>
        <w:t xml:space="preserve">and </w:t>
      </w:r>
      <w:r w:rsidR="00E65D6B" w:rsidRPr="003D2A76">
        <w:rPr>
          <w:rFonts w:asciiTheme="majorBidi" w:hAnsiTheme="majorBidi" w:cstheme="majorBidi"/>
          <w:lang w:val="en-GB"/>
        </w:rPr>
        <w:t xml:space="preserve">conditional </w:t>
      </w:r>
      <w:r w:rsidRPr="003D2A76">
        <w:rPr>
          <w:rFonts w:asciiTheme="majorBidi" w:hAnsiTheme="majorBidi" w:cstheme="majorBidi"/>
          <w:lang w:val="en-GB"/>
        </w:rPr>
        <w:t>chains of effects. All mediation inferences were based on 5,000 bootstrap resamples for each mediation analysis conducted. Additional discussion regarding the methods used and the trade-offs associated with them can be found in §3.7 and §3.8.</w:t>
      </w:r>
    </w:p>
    <w:p w14:paraId="41E752F0" w14:textId="77777777" w:rsidR="008D4C40" w:rsidRPr="003D2A76" w:rsidRDefault="008D4C40" w:rsidP="008D4C40">
      <w:pPr>
        <w:bidi w:val="0"/>
        <w:rPr>
          <w:rFonts w:asciiTheme="majorBidi" w:hAnsiTheme="majorBidi" w:cstheme="majorBidi"/>
          <w:lang w:val="en-GB"/>
        </w:rPr>
      </w:pPr>
    </w:p>
    <w:p w14:paraId="2ACACFE8"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5.2.2 Snapshot of Findings Before Detailed Discussion</w:t>
      </w:r>
    </w:p>
    <w:p w14:paraId="4196D085" w14:textId="2FC5CB05" w:rsidR="006A4A5D" w:rsidRDefault="006A4A5D" w:rsidP="00BD6279">
      <w:pPr>
        <w:bidi w:val="0"/>
        <w:rPr>
          <w:rFonts w:asciiTheme="majorBidi" w:hAnsiTheme="majorBidi" w:cstheme="majorBidi"/>
          <w:lang w:val="en-GB"/>
        </w:rPr>
      </w:pPr>
      <w:r w:rsidRPr="003D2A76">
        <w:rPr>
          <w:rFonts w:asciiTheme="majorBidi" w:hAnsiTheme="majorBidi" w:cstheme="majorBidi"/>
          <w:lang w:val="en-GB"/>
        </w:rPr>
        <w:t>For those who appreciate more detail and depth in the analysis of each hypothesis, a summary</w:t>
      </w:r>
      <w:r w:rsidR="00E65D6B" w:rsidRPr="003D2A76">
        <w:rPr>
          <w:rFonts w:asciiTheme="majorBidi" w:hAnsiTheme="majorBidi" w:cstheme="majorBidi"/>
          <w:lang w:val="en-GB"/>
        </w:rPr>
        <w:t xml:space="preserve"> follows</w:t>
      </w:r>
      <w:r w:rsidRPr="003D2A76">
        <w:rPr>
          <w:rFonts w:asciiTheme="majorBidi" w:hAnsiTheme="majorBidi" w:cstheme="majorBidi"/>
          <w:lang w:val="en-GB"/>
        </w:rPr>
        <w:t xml:space="preserve">: </w:t>
      </w:r>
      <w:r w:rsidR="00E65D6B" w:rsidRPr="003D2A76">
        <w:rPr>
          <w:rFonts w:asciiTheme="majorBidi" w:hAnsiTheme="majorBidi" w:cstheme="majorBidi"/>
          <w:lang w:val="en-GB"/>
        </w:rPr>
        <w:t xml:space="preserve">10 </w:t>
      </w:r>
      <w:r w:rsidRPr="003D2A76">
        <w:rPr>
          <w:rFonts w:asciiTheme="majorBidi" w:hAnsiTheme="majorBidi" w:cstheme="majorBidi"/>
          <w:lang w:val="en-GB"/>
        </w:rPr>
        <w:t xml:space="preserve">of </w:t>
      </w:r>
      <w:r w:rsidR="00E65D6B" w:rsidRPr="003D2A76">
        <w:rPr>
          <w:rFonts w:asciiTheme="majorBidi" w:hAnsiTheme="majorBidi" w:cstheme="majorBidi"/>
          <w:lang w:val="en-GB"/>
        </w:rPr>
        <w:t xml:space="preserve">12 </w:t>
      </w:r>
      <w:r w:rsidRPr="003D2A76">
        <w:rPr>
          <w:rFonts w:asciiTheme="majorBidi" w:hAnsiTheme="majorBidi" w:cstheme="majorBidi"/>
          <w:lang w:val="en-GB"/>
        </w:rPr>
        <w:t>hypotheses were supported by the model</w:t>
      </w:r>
      <w:r w:rsidR="001C75A0">
        <w:rPr>
          <w:rFonts w:asciiTheme="majorBidi" w:hAnsiTheme="majorBidi" w:cstheme="majorBidi"/>
          <w:lang w:val="en-GB"/>
        </w:rPr>
        <w:t>,</w:t>
      </w:r>
      <w:r w:rsidRPr="003D2A76">
        <w:rPr>
          <w:rFonts w:asciiTheme="majorBidi" w:hAnsiTheme="majorBidi" w:cstheme="majorBidi"/>
          <w:lang w:val="en-GB"/>
        </w:rPr>
        <w:t xml:space="preserve"> including H10 and </w:t>
      </w:r>
      <w:r w:rsidRPr="003D2A76">
        <w:rPr>
          <w:rFonts w:asciiTheme="majorBidi" w:hAnsiTheme="majorBidi" w:cstheme="majorBidi"/>
          <w:lang w:val="en-GB"/>
        </w:rPr>
        <w:lastRenderedPageBreak/>
        <w:t>H11 (direct effect of AI on intention) that produced non</w:t>
      </w:r>
      <w:r w:rsidR="00E65D6B" w:rsidRPr="003D2A76">
        <w:rPr>
          <w:rFonts w:asciiTheme="majorBidi" w:hAnsiTheme="majorBidi" w:cstheme="majorBidi"/>
          <w:lang w:val="en-GB"/>
        </w:rPr>
        <w:t>-</w:t>
      </w:r>
      <w:r w:rsidRPr="003D2A76">
        <w:rPr>
          <w:rFonts w:asciiTheme="majorBidi" w:hAnsiTheme="majorBidi" w:cstheme="majorBidi"/>
          <w:lang w:val="en-GB"/>
        </w:rPr>
        <w:t xml:space="preserve">results </w:t>
      </w:r>
      <w:r w:rsidR="00AB695A">
        <w:rPr>
          <w:rFonts w:asciiTheme="majorBidi" w:hAnsiTheme="majorBidi" w:cstheme="majorBidi"/>
          <w:lang w:val="en-GB"/>
        </w:rPr>
        <w:t xml:space="preserve">and were not supported </w:t>
      </w:r>
      <w:r w:rsidRPr="003D2A76">
        <w:rPr>
          <w:rFonts w:asciiTheme="majorBidi" w:hAnsiTheme="majorBidi" w:cstheme="majorBidi"/>
          <w:lang w:val="en-GB"/>
        </w:rPr>
        <w:t xml:space="preserve">in the full model; this finding is consistent with theory and not contrary to it. Trust was a complete mediator of the AI-to-intention relationships tested in the current study (i.e., H4 and H5) and a partial mediator of the relationship between service quality and intention, as indicated by H6. Both H7 and H8 produced a suppression effect in their respective mediating roles, due to the presence of perceived value. Also, although culture did moderate the impact of AI on service quality in an educative context (H12), it did not influence the moderating effects of AI on marketing. Finally, 76.9% of the variance in purchase intention could be explained by the integrated model, suggesting this model has a great deal of explanatory power for </w:t>
      </w:r>
      <w:r w:rsidR="003D2A76" w:rsidRPr="003D2A76">
        <w:rPr>
          <w:rFonts w:asciiTheme="majorBidi" w:hAnsiTheme="majorBidi" w:cstheme="majorBidi"/>
          <w:lang w:val="en-GB"/>
        </w:rPr>
        <w:t>behavioural</w:t>
      </w:r>
      <w:r w:rsidRPr="003D2A76">
        <w:rPr>
          <w:rFonts w:asciiTheme="majorBidi" w:hAnsiTheme="majorBidi" w:cstheme="majorBidi"/>
          <w:lang w:val="en-GB"/>
        </w:rPr>
        <w:t>-intention models of the current design.</w:t>
      </w:r>
    </w:p>
    <w:p w14:paraId="520A4C84" w14:textId="77777777" w:rsidR="00BC492E" w:rsidRPr="003D2A76" w:rsidRDefault="00BC492E" w:rsidP="00BC492E">
      <w:pPr>
        <w:bidi w:val="0"/>
        <w:rPr>
          <w:rFonts w:asciiTheme="majorBidi" w:hAnsiTheme="majorBidi" w:cstheme="majorBidi"/>
          <w:lang w:val="en-GB"/>
        </w:rPr>
      </w:pPr>
    </w:p>
    <w:p w14:paraId="51CA64F8" w14:textId="051AC3E6" w:rsidR="006A4A5D" w:rsidRPr="003D2A76" w:rsidRDefault="006A4A5D" w:rsidP="00BD6279">
      <w:pPr>
        <w:pStyle w:val="Heading2"/>
        <w:rPr>
          <w:lang w:val="en-GB"/>
        </w:rPr>
      </w:pPr>
      <w:bookmarkStart w:id="144" w:name="_Toc228056592"/>
      <w:r w:rsidRPr="003D2A76">
        <w:rPr>
          <w:rFonts w:ascii="Times New Roman" w:hAnsi="Times New Roman" w:cs="Times New Roman"/>
          <w:lang w:val="en-GB"/>
        </w:rPr>
        <w:t xml:space="preserve">5.3 Discussion of the </w:t>
      </w:r>
      <w:r w:rsidR="00E65D6B" w:rsidRPr="003D2A76">
        <w:rPr>
          <w:rFonts w:ascii="Times New Roman" w:hAnsi="Times New Roman" w:cs="Times New Roman"/>
          <w:lang w:val="en-GB"/>
        </w:rPr>
        <w:t xml:space="preserve">12 </w:t>
      </w:r>
      <w:r w:rsidRPr="003D2A76">
        <w:rPr>
          <w:rFonts w:ascii="Times New Roman" w:hAnsi="Times New Roman" w:cs="Times New Roman"/>
          <w:lang w:val="en-GB"/>
        </w:rPr>
        <w:t>Hypotheses</w:t>
      </w:r>
      <w:bookmarkEnd w:id="144"/>
    </w:p>
    <w:p w14:paraId="5C905216"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Four causal blocks from Chapter 1, §1.4, structure this section. Block A: direct effects of AI (H1, H2, H3). Block B: trust as conduit (H4, H5, H6). Block C: perceived value (H7, H8, H9). Block D: service-quality pathway and cultural moderation (H10, H11, H12). Every hypothesis carries an explicit label for traceability. The discussion moves block by block, hypothesis by hypothesis, anchoring each to the Chapter 4 statistical results and to the theoretical claims in Chapter 2.</w:t>
      </w:r>
    </w:p>
    <w:p w14:paraId="27AA0796"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5.3.1 Block A. Direct Effects of AI Adoption (H1, H2, H3)</w:t>
      </w:r>
    </w:p>
    <w:p w14:paraId="40F1C70E" w14:textId="70264BA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H</w:t>
      </w:r>
      <w:r w:rsidR="00CC6A4B">
        <w:rPr>
          <w:rFonts w:asciiTheme="majorBidi" w:hAnsiTheme="majorBidi" w:cstheme="majorBidi"/>
          <w:lang w:val="en-GB"/>
        </w:rPr>
        <w:t>1</w:t>
      </w:r>
      <w:r w:rsidRPr="003D2A76">
        <w:rPr>
          <w:rFonts w:asciiTheme="majorBidi" w:hAnsiTheme="majorBidi" w:cstheme="majorBidi"/>
          <w:lang w:val="en-GB"/>
        </w:rPr>
        <w:t xml:space="preserve"> expected that increased rates of embracing AI could lead to enhanced perceptions of </w:t>
      </w:r>
      <w:r w:rsidR="00935647" w:rsidRPr="003D2A76">
        <w:rPr>
          <w:rFonts w:asciiTheme="majorBidi" w:hAnsiTheme="majorBidi" w:cstheme="majorBidi"/>
          <w:lang w:val="en-GB"/>
        </w:rPr>
        <w:t>service q</w:t>
      </w:r>
      <w:r w:rsidRPr="003D2A76">
        <w:rPr>
          <w:rFonts w:asciiTheme="majorBidi" w:hAnsiTheme="majorBidi" w:cstheme="majorBidi"/>
          <w:lang w:val="en-GB"/>
        </w:rPr>
        <w:t>uality. As seen in the correlations run in this chapter (Section 4)</w:t>
      </w:r>
      <w:r w:rsidR="00CC6A4B">
        <w:rPr>
          <w:rFonts w:asciiTheme="majorBidi" w:hAnsiTheme="majorBidi" w:cstheme="majorBidi"/>
          <w:lang w:val="en-GB"/>
        </w:rPr>
        <w:t>,</w:t>
      </w:r>
      <w:r w:rsidRPr="003D2A76">
        <w:rPr>
          <w:rFonts w:asciiTheme="majorBidi" w:hAnsiTheme="majorBidi" w:cstheme="majorBidi"/>
          <w:lang w:val="en-GB"/>
        </w:rPr>
        <w:t xml:space="preserve"> the contribution of the AI adoption variable to the prediction of </w:t>
      </w:r>
      <w:r w:rsidR="00935647" w:rsidRPr="003D2A76">
        <w:rPr>
          <w:rFonts w:asciiTheme="majorBidi" w:hAnsiTheme="majorBidi" w:cstheme="majorBidi"/>
          <w:lang w:val="en-GB"/>
        </w:rPr>
        <w:t xml:space="preserve">service quality </w:t>
      </w:r>
      <w:r w:rsidRPr="003D2A76">
        <w:rPr>
          <w:rFonts w:asciiTheme="majorBidi" w:hAnsiTheme="majorBidi" w:cstheme="majorBidi"/>
          <w:lang w:val="en-GB"/>
        </w:rPr>
        <w:t xml:space="preserve">was demonstrated by the standard regression coefficients, β = 0.464, t = 10.570, p &lt; .001. By using the variance </w:t>
      </w:r>
      <w:r w:rsidRPr="003D2A76">
        <w:rPr>
          <w:rFonts w:asciiTheme="majorBidi" w:hAnsiTheme="majorBidi" w:cstheme="majorBidi"/>
          <w:lang w:val="en-GB"/>
        </w:rPr>
        <w:lastRenderedPageBreak/>
        <w:t xml:space="preserve">explained statistic, it was estimated that nearly 21.5% of the variance in </w:t>
      </w:r>
      <w:r w:rsidR="00935647" w:rsidRPr="003D2A76">
        <w:rPr>
          <w:rFonts w:asciiTheme="majorBidi" w:hAnsiTheme="majorBidi" w:cstheme="majorBidi"/>
          <w:lang w:val="en-GB"/>
        </w:rPr>
        <w:t xml:space="preserve">service quality </w:t>
      </w:r>
      <w:r w:rsidRPr="003D2A76">
        <w:rPr>
          <w:rFonts w:asciiTheme="majorBidi" w:hAnsiTheme="majorBidi" w:cstheme="majorBidi"/>
          <w:lang w:val="en-GB"/>
        </w:rPr>
        <w:t>could be attributed to the changes in “AI adoption” from the teaching side. Therefore</w:t>
      </w:r>
      <w:r w:rsidR="00BC492E">
        <w:rPr>
          <w:rFonts w:asciiTheme="majorBidi" w:hAnsiTheme="majorBidi" w:cstheme="majorBidi"/>
          <w:lang w:val="en-GB"/>
        </w:rPr>
        <w:t>,</w:t>
      </w:r>
      <w:r w:rsidRPr="003D2A76">
        <w:rPr>
          <w:rFonts w:asciiTheme="majorBidi" w:hAnsiTheme="majorBidi" w:cstheme="majorBidi"/>
          <w:lang w:val="en-GB"/>
        </w:rPr>
        <w:t xml:space="preserve"> this hypothesis is supported. In real-world terms, an increase of one standard deviation for the teaching-side AI adoption would also equal a 0.46 standard deviation increase for </w:t>
      </w:r>
      <w:r w:rsidR="00935647" w:rsidRPr="003D2A76">
        <w:rPr>
          <w:rFonts w:asciiTheme="majorBidi" w:hAnsiTheme="majorBidi" w:cstheme="majorBidi"/>
          <w:lang w:val="en-GB"/>
        </w:rPr>
        <w:t>service quality</w:t>
      </w:r>
      <w:r w:rsidRPr="003D2A76">
        <w:rPr>
          <w:rFonts w:asciiTheme="majorBidi" w:hAnsiTheme="majorBidi" w:cstheme="majorBidi"/>
          <w:lang w:val="en-GB"/>
        </w:rPr>
        <w:t xml:space="preserve">. As described by Cohen 1988, this evidence represents a medium to large effect. With respect to the technology aspect of the TAM and SERVQUAL models, both models </w:t>
      </w:r>
      <w:r w:rsidR="00E65D6B" w:rsidRPr="003D2A76">
        <w:rPr>
          <w:rFonts w:asciiTheme="majorBidi" w:hAnsiTheme="majorBidi" w:cstheme="majorBidi"/>
          <w:lang w:val="en-GB"/>
        </w:rPr>
        <w:t xml:space="preserve">point to </w:t>
      </w:r>
      <w:r w:rsidRPr="003D2A76">
        <w:rPr>
          <w:rFonts w:asciiTheme="majorBidi" w:hAnsiTheme="majorBidi" w:cstheme="majorBidi"/>
          <w:lang w:val="en-GB"/>
        </w:rPr>
        <w:t xml:space="preserve">a similar conclusion: as parents perceive a technology (such as AI) </w:t>
      </w:r>
      <w:r w:rsidR="00E65D6B" w:rsidRPr="003D2A76">
        <w:rPr>
          <w:rFonts w:asciiTheme="majorBidi" w:hAnsiTheme="majorBidi" w:cstheme="majorBidi"/>
          <w:lang w:val="en-GB"/>
        </w:rPr>
        <w:t xml:space="preserve">to be </w:t>
      </w:r>
      <w:r w:rsidRPr="003D2A76">
        <w:rPr>
          <w:rFonts w:asciiTheme="majorBidi" w:hAnsiTheme="majorBidi" w:cstheme="majorBidi"/>
          <w:lang w:val="en-GB"/>
        </w:rPr>
        <w:t>useful along with its classroom presence being responsive, reliable, and reassuring, they tend to perceive higher levels of service quality.</w:t>
      </w:r>
    </w:p>
    <w:p w14:paraId="166E3B75" w14:textId="5B89E67F"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Moving to marketing, H2 predicted the same relationship. Chapter 4 returned β = 0.474, t = 10.855, p &lt; .001. Service-quality variance: 22.5%. The marketing coefficient runs slightly higher than teaching (not forecast in Chapter 1). Why </w:t>
      </w:r>
      <w:r w:rsidR="00E65D6B" w:rsidRPr="003D2A76">
        <w:rPr>
          <w:rFonts w:asciiTheme="majorBidi" w:hAnsiTheme="majorBidi" w:cstheme="majorBidi"/>
          <w:lang w:val="en-GB"/>
        </w:rPr>
        <w:t xml:space="preserve">does this </w:t>
      </w:r>
      <w:r w:rsidRPr="003D2A76">
        <w:rPr>
          <w:rFonts w:asciiTheme="majorBidi" w:hAnsiTheme="majorBidi" w:cstheme="majorBidi"/>
          <w:lang w:val="en-GB"/>
        </w:rPr>
        <w:t>asymmetry</w:t>
      </w:r>
      <w:r w:rsidR="00E65D6B" w:rsidRPr="003D2A76">
        <w:rPr>
          <w:rFonts w:asciiTheme="majorBidi" w:hAnsiTheme="majorBidi" w:cstheme="majorBidi"/>
          <w:lang w:val="en-GB"/>
        </w:rPr>
        <w:t xml:space="preserve"> exist</w:t>
      </w:r>
      <w:r w:rsidRPr="003D2A76">
        <w:rPr>
          <w:rFonts w:asciiTheme="majorBidi" w:hAnsiTheme="majorBidi" w:cstheme="majorBidi"/>
          <w:lang w:val="en-GB"/>
        </w:rPr>
        <w:t xml:space="preserve">? Information asymmetry theory from Parasuraman, Zeithaml and Berry (1985) offers a clue. Credence services like schools suffer from asymmetry: parents cannot easily judge quality before purchase. AI-enabled marketing (chatbots, enrolment automation, personalised outreach) </w:t>
      </w:r>
      <w:r w:rsidR="00935647" w:rsidRPr="003D2A76">
        <w:rPr>
          <w:rFonts w:asciiTheme="majorBidi" w:hAnsiTheme="majorBidi" w:cstheme="majorBidi"/>
          <w:lang w:val="en-GB"/>
        </w:rPr>
        <w:t xml:space="preserve">are the aspects that </w:t>
      </w:r>
      <w:r w:rsidRPr="003D2A76">
        <w:rPr>
          <w:rFonts w:asciiTheme="majorBidi" w:hAnsiTheme="majorBidi" w:cstheme="majorBidi"/>
          <w:lang w:val="en-GB"/>
        </w:rPr>
        <w:t xml:space="preserve">parents see before enrolling. Teaching-side AI </w:t>
      </w:r>
      <w:r w:rsidR="00935647" w:rsidRPr="003D2A76">
        <w:rPr>
          <w:rFonts w:asciiTheme="majorBidi" w:hAnsiTheme="majorBidi" w:cstheme="majorBidi"/>
          <w:lang w:val="en-GB"/>
        </w:rPr>
        <w:t xml:space="preserve">is something </w:t>
      </w:r>
      <w:r w:rsidRPr="003D2A76">
        <w:rPr>
          <w:rFonts w:asciiTheme="majorBidi" w:hAnsiTheme="majorBidi" w:cstheme="majorBidi"/>
          <w:lang w:val="en-GB"/>
        </w:rPr>
        <w:t>they see only after. Marketing thus looms large in quality judgement. Chapter 2 had treated teaching and marketing as equivalent signals; the data adjusts this interpretation.</w:t>
      </w:r>
    </w:p>
    <w:p w14:paraId="1DEBA30A" w14:textId="682D2513"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Hypothesis 3 stated that perceived quality of service had a large positive and significant effect on purchase intention. In Chapter 4</w:t>
      </w:r>
      <w:r w:rsidR="00BC492E">
        <w:rPr>
          <w:rFonts w:asciiTheme="majorBidi" w:hAnsiTheme="majorBidi" w:cstheme="majorBidi"/>
          <w:lang w:val="en-GB"/>
        </w:rPr>
        <w:t>,</w:t>
      </w:r>
      <w:r w:rsidRPr="003D2A76">
        <w:rPr>
          <w:rFonts w:asciiTheme="majorBidi" w:hAnsiTheme="majorBidi" w:cstheme="majorBidi"/>
          <w:lang w:val="en-GB"/>
        </w:rPr>
        <w:t xml:space="preserve"> the following statistics were reported: (β = 0.861; t = 34.162; p &lt; .001). The percentage of variance accounted for in purchase intention by the model was 74.1%. There is a very strong confirmation of this hypothesis </w:t>
      </w:r>
      <w:r w:rsidRPr="003D2A76">
        <w:rPr>
          <w:rFonts w:asciiTheme="majorBidi" w:hAnsiTheme="majorBidi" w:cstheme="majorBidi"/>
          <w:lang w:val="en-GB"/>
        </w:rPr>
        <w:lastRenderedPageBreak/>
        <w:t xml:space="preserve">with respect to service quality. A comment regarding the size of this coefficient deserves further explanation; no other variable in the integrated model predicts purchase intention as strongly and directly as does service quality. The very high level of agreement with past SERVQUAL research (e.g., Cronin and Taylor, 1992; Parasuraman, Zeithaml &amp; Berry, 1988) indicates that the way in which an individual assesses service quality is the most significant indicator of whether an individual will make the decision to purchase a given service. The current study extends this finding to include K-12 education, specifically with regard to </w:t>
      </w:r>
      <w:r w:rsidR="00935647" w:rsidRPr="003D2A76">
        <w:rPr>
          <w:rFonts w:asciiTheme="majorBidi" w:hAnsiTheme="majorBidi" w:cstheme="majorBidi"/>
          <w:lang w:val="en-GB"/>
        </w:rPr>
        <w:t>AI</w:t>
      </w:r>
      <w:r w:rsidRPr="003D2A76">
        <w:rPr>
          <w:rFonts w:asciiTheme="majorBidi" w:hAnsiTheme="majorBidi" w:cstheme="majorBidi"/>
          <w:lang w:val="en-GB"/>
        </w:rPr>
        <w:t xml:space="preserve"> managing portions of tasks traditionally performed by humans.</w:t>
      </w:r>
    </w:p>
    <w:p w14:paraId="17A4CA31" w14:textId="77777777" w:rsidR="0042734A" w:rsidRPr="003D2A76" w:rsidRDefault="0042734A" w:rsidP="0042734A">
      <w:pPr>
        <w:bidi w:val="0"/>
        <w:rPr>
          <w:rFonts w:asciiTheme="majorBidi" w:hAnsiTheme="majorBidi" w:cstheme="majorBidi"/>
          <w:lang w:val="en-GB"/>
        </w:rPr>
      </w:pPr>
    </w:p>
    <w:p w14:paraId="73DA7E90"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5.3.2 Block B. Trust as Mediator (H4, H5, H6)</w:t>
      </w:r>
    </w:p>
    <w:p w14:paraId="2036428A" w14:textId="7DA1A90D"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H4 proposed a model for AI-enabled teaching, since both trust levels are similar to parental willingness to purchase. Bootstrap analysis using </w:t>
      </w:r>
      <w:r w:rsidR="00935647" w:rsidRPr="003D2A76">
        <w:rPr>
          <w:rFonts w:asciiTheme="majorBidi" w:hAnsiTheme="majorBidi" w:cstheme="majorBidi"/>
          <w:lang w:val="en-GB"/>
        </w:rPr>
        <w:t xml:space="preserve">the </w:t>
      </w:r>
      <w:r w:rsidRPr="003D2A76">
        <w:rPr>
          <w:rFonts w:asciiTheme="majorBidi" w:hAnsiTheme="majorBidi" w:cstheme="majorBidi"/>
          <w:lang w:val="en-GB"/>
        </w:rPr>
        <w:t>PROCESS Model 4 and 5,000 resamples indicated an indirect effect of 0.367, with a 95% CI of [0.279, 0.456]. Adding trust reduced the direct path coefficient in the model to 0.045 (p = .116).</w:t>
      </w:r>
      <w:r w:rsidR="00D31DDE" w:rsidRPr="003D2A76">
        <w:rPr>
          <w:rFonts w:asciiTheme="majorBidi" w:hAnsiTheme="majorBidi" w:cstheme="majorBidi"/>
          <w:lang w:val="en-GB"/>
        </w:rPr>
        <w:t xml:space="preserve"> </w:t>
      </w:r>
      <w:r w:rsidRPr="003D2A76">
        <w:rPr>
          <w:rFonts w:asciiTheme="majorBidi" w:hAnsiTheme="majorBidi" w:cstheme="majorBidi"/>
          <w:lang w:val="en-GB"/>
        </w:rPr>
        <w:t xml:space="preserve">Of the total effect, approximately 89% </w:t>
      </w:r>
      <w:r w:rsidR="00935647" w:rsidRPr="003D2A76">
        <w:rPr>
          <w:rFonts w:asciiTheme="majorBidi" w:hAnsiTheme="majorBidi" w:cstheme="majorBidi"/>
          <w:lang w:val="en-GB"/>
        </w:rPr>
        <w:t xml:space="preserve">was </w:t>
      </w:r>
      <w:r w:rsidRPr="003D2A76">
        <w:rPr>
          <w:rFonts w:asciiTheme="majorBidi" w:hAnsiTheme="majorBidi" w:cstheme="majorBidi"/>
          <w:lang w:val="en-GB"/>
        </w:rPr>
        <w:t>explained through the indirect effect, which indicates support for the overall model being fully mediated by trust. Additionally, the model explained 75.8% of the variance in parental purchase intention. This represents the clearest theoretical statement of the paper; in short, trust in a school has the same impact on parent willingness to purchase AI for that school. There is additional empirical support for the definition of trust in Chapter 1, §1.6 (the two components of trust in an institution and in the technology) existing, due to having validated both components in this study.</w:t>
      </w:r>
    </w:p>
    <w:p w14:paraId="5CA37515" w14:textId="36244994"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H5 predicted the same for AI in marketing. Indirect effect: 0.356, CI [0.281, 0.429]. </w:t>
      </w:r>
      <w:r w:rsidR="00935647" w:rsidRPr="003D2A76">
        <w:rPr>
          <w:rFonts w:asciiTheme="majorBidi" w:hAnsiTheme="majorBidi" w:cstheme="majorBidi"/>
          <w:lang w:val="en-GB"/>
        </w:rPr>
        <w:t xml:space="preserve">The direct </w:t>
      </w:r>
      <w:r w:rsidRPr="003D2A76">
        <w:rPr>
          <w:rFonts w:asciiTheme="majorBidi" w:hAnsiTheme="majorBidi" w:cstheme="majorBidi"/>
          <w:lang w:val="en-GB"/>
        </w:rPr>
        <w:t xml:space="preserve">effect once trust was </w:t>
      </w:r>
      <w:r w:rsidR="00935647" w:rsidRPr="003D2A76">
        <w:rPr>
          <w:rFonts w:asciiTheme="majorBidi" w:hAnsiTheme="majorBidi" w:cstheme="majorBidi"/>
          <w:lang w:val="en-GB"/>
        </w:rPr>
        <w:t>added was</w:t>
      </w:r>
      <w:r w:rsidRPr="003D2A76">
        <w:rPr>
          <w:rFonts w:asciiTheme="majorBidi" w:hAnsiTheme="majorBidi" w:cstheme="majorBidi"/>
          <w:lang w:val="en-GB"/>
        </w:rPr>
        <w:t>: c' = 0.002, p = .937. About 99.4% of the total effect flowed through trust. Full mediation held. Purchase-intention variance</w:t>
      </w:r>
      <w:r w:rsidR="00935647" w:rsidRPr="003D2A76">
        <w:rPr>
          <w:rFonts w:asciiTheme="majorBidi" w:hAnsiTheme="majorBidi" w:cstheme="majorBidi"/>
          <w:lang w:val="en-GB"/>
        </w:rPr>
        <w:t xml:space="preserve"> stood at</w:t>
      </w:r>
      <w:r w:rsidRPr="003D2A76">
        <w:rPr>
          <w:rFonts w:asciiTheme="majorBidi" w:hAnsiTheme="majorBidi" w:cstheme="majorBidi"/>
          <w:lang w:val="en-GB"/>
        </w:rPr>
        <w:t xml:space="preserve">: 75.7%. AI-enabled marketing, no matter how clever the chatbot, cannot persuade parents on its own. What chatbots do is build trust, and trust is what translates </w:t>
      </w:r>
      <w:r w:rsidR="00935647" w:rsidRPr="003D2A76">
        <w:rPr>
          <w:rFonts w:asciiTheme="majorBidi" w:hAnsiTheme="majorBidi" w:cstheme="majorBidi"/>
          <w:lang w:val="en-GB"/>
        </w:rPr>
        <w:t>in</w:t>
      </w:r>
      <w:r w:rsidRPr="003D2A76">
        <w:rPr>
          <w:rFonts w:asciiTheme="majorBidi" w:hAnsiTheme="majorBidi" w:cstheme="majorBidi"/>
          <w:lang w:val="en-GB"/>
        </w:rPr>
        <w:t xml:space="preserve">to enrolment intent. The finding extends beyond schools: any service that deploys AI in customer-facing channels should </w:t>
      </w:r>
      <w:r w:rsidR="00935647" w:rsidRPr="003D2A76">
        <w:rPr>
          <w:rFonts w:asciiTheme="majorBidi" w:hAnsiTheme="majorBidi" w:cstheme="majorBidi"/>
          <w:lang w:val="en-GB"/>
        </w:rPr>
        <w:t xml:space="preserve">prioritise </w:t>
      </w:r>
      <w:r w:rsidRPr="003D2A76">
        <w:rPr>
          <w:rFonts w:asciiTheme="majorBidi" w:hAnsiTheme="majorBidi" w:cstheme="majorBidi"/>
          <w:lang w:val="en-GB"/>
        </w:rPr>
        <w:t>trust-building design (transparency, human escalation, auditability) over feature richness. Features without trust are noise.</w:t>
      </w:r>
    </w:p>
    <w:p w14:paraId="05CF9560" w14:textId="04C7D684" w:rsidR="006A4A5D" w:rsidRDefault="006A4A5D" w:rsidP="00BD6279">
      <w:pPr>
        <w:bidi w:val="0"/>
        <w:rPr>
          <w:rFonts w:asciiTheme="majorBidi" w:hAnsiTheme="majorBidi" w:cstheme="majorBidi"/>
          <w:lang w:val="en-GB"/>
        </w:rPr>
      </w:pPr>
      <w:r w:rsidRPr="003D2A76">
        <w:rPr>
          <w:rFonts w:asciiTheme="majorBidi" w:hAnsiTheme="majorBidi" w:cstheme="majorBidi"/>
          <w:lang w:val="en-GB"/>
        </w:rPr>
        <w:t>H6 predicted that trust would partially mediate the service quality-intention relationship. Service quality provides parents with a direct behavio</w:t>
      </w:r>
      <w:r w:rsidR="00935647" w:rsidRPr="003D2A76">
        <w:rPr>
          <w:rFonts w:asciiTheme="majorBidi" w:hAnsiTheme="majorBidi" w:cstheme="majorBidi"/>
          <w:lang w:val="en-GB"/>
        </w:rPr>
        <w:t>u</w:t>
      </w:r>
      <w:r w:rsidRPr="003D2A76">
        <w:rPr>
          <w:rFonts w:asciiTheme="majorBidi" w:hAnsiTheme="majorBidi" w:cstheme="majorBidi"/>
          <w:lang w:val="en-GB"/>
        </w:rPr>
        <w:t>ral response as seen in the previous chapter</w:t>
      </w:r>
      <w:r w:rsidR="00BC492E">
        <w:rPr>
          <w:rFonts w:asciiTheme="majorBidi" w:hAnsiTheme="majorBidi" w:cstheme="majorBidi"/>
          <w:lang w:val="en-GB"/>
        </w:rPr>
        <w:t>,</w:t>
      </w:r>
      <w:r w:rsidRPr="003D2A76">
        <w:rPr>
          <w:rFonts w:asciiTheme="majorBidi" w:hAnsiTheme="majorBidi" w:cstheme="majorBidi"/>
          <w:lang w:val="en-GB"/>
        </w:rPr>
        <w:t xml:space="preserve"> with the indirect effect through trust, 0.526, [0.395, 0.658], and a strong direct effect, 0.459 (p = .001). Approximately 53% of the total effect went through trust. The variance in parents' purchase intention explained in the final model is 80.0%. This represents the highest R² of any single PROCESS run. The expected results indicate partial mediation and thus confirm SERVQUAL that quality instigates behavio</w:t>
      </w:r>
      <w:r w:rsidR="00935647" w:rsidRPr="003D2A76">
        <w:rPr>
          <w:rFonts w:asciiTheme="majorBidi" w:hAnsiTheme="majorBidi" w:cstheme="majorBidi"/>
          <w:lang w:val="en-GB"/>
        </w:rPr>
        <w:t>u</w:t>
      </w:r>
      <w:r w:rsidRPr="003D2A76">
        <w:rPr>
          <w:rFonts w:asciiTheme="majorBidi" w:hAnsiTheme="majorBidi" w:cstheme="majorBidi"/>
          <w:lang w:val="en-GB"/>
        </w:rPr>
        <w:t xml:space="preserve">r on its own. Also, TAM </w:t>
      </w:r>
      <w:r w:rsidR="00935647" w:rsidRPr="003D2A76">
        <w:rPr>
          <w:rFonts w:asciiTheme="majorBidi" w:hAnsiTheme="majorBidi" w:cstheme="majorBidi"/>
          <w:lang w:val="en-GB"/>
        </w:rPr>
        <w:t xml:space="preserve">and </w:t>
      </w:r>
      <w:r w:rsidRPr="003D2A76">
        <w:rPr>
          <w:rFonts w:asciiTheme="majorBidi" w:hAnsiTheme="majorBidi" w:cstheme="majorBidi"/>
          <w:lang w:val="en-GB"/>
        </w:rPr>
        <w:t>TPB taught that when presented with service quality, both pathways indicate that service quality instigates behavio</w:t>
      </w:r>
      <w:r w:rsidR="00935647" w:rsidRPr="003D2A76">
        <w:rPr>
          <w:rFonts w:asciiTheme="majorBidi" w:hAnsiTheme="majorBidi" w:cstheme="majorBidi"/>
          <w:lang w:val="en-GB"/>
        </w:rPr>
        <w:t>u</w:t>
      </w:r>
      <w:r w:rsidRPr="003D2A76">
        <w:rPr>
          <w:rFonts w:asciiTheme="majorBidi" w:hAnsiTheme="majorBidi" w:cstheme="majorBidi"/>
          <w:lang w:val="en-GB"/>
        </w:rPr>
        <w:t>r through both routes, i.e., directly and through trust.</w:t>
      </w:r>
    </w:p>
    <w:p w14:paraId="017D2ABF" w14:textId="77777777" w:rsidR="00BC492E" w:rsidRPr="003D2A76" w:rsidRDefault="00BC492E" w:rsidP="00BC492E">
      <w:pPr>
        <w:bidi w:val="0"/>
        <w:rPr>
          <w:rFonts w:asciiTheme="majorBidi" w:hAnsiTheme="majorBidi" w:cstheme="majorBidi"/>
          <w:lang w:val="en-GB"/>
        </w:rPr>
      </w:pPr>
    </w:p>
    <w:p w14:paraId="07A24930"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5.3.3 Block C. Perceived Value as Mediator (H7, H8, H9)</w:t>
      </w:r>
    </w:p>
    <w:p w14:paraId="77DE6A96" w14:textId="482CA943"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H7 indicated that the relationship between perceived value mediates AI used in instruction and parental purchase intention was supported by a significant indirect effect of 0.545, [0.439, 0.661]. The path coefficient from teaching AI to intention became </w:t>
      </w:r>
      <w:r w:rsidRPr="003D2A76">
        <w:rPr>
          <w:rFonts w:asciiTheme="majorBidi" w:hAnsiTheme="majorBidi" w:cstheme="majorBidi"/>
          <w:lang w:val="en-GB"/>
        </w:rPr>
        <w:lastRenderedPageBreak/>
        <w:t xml:space="preserve">significantly less (c' = -0.133, p = .005) by using perceived value for the </w:t>
      </w:r>
      <w:r w:rsidR="00BC492E">
        <w:rPr>
          <w:rFonts w:asciiTheme="majorBidi" w:hAnsiTheme="majorBidi" w:cstheme="majorBidi"/>
          <w:lang w:val="en-GB"/>
        </w:rPr>
        <w:t>parallel</w:t>
      </w:r>
      <w:r w:rsidRPr="003D2A76">
        <w:rPr>
          <w:rFonts w:asciiTheme="majorBidi" w:hAnsiTheme="majorBidi" w:cstheme="majorBidi"/>
          <w:lang w:val="en-GB"/>
        </w:rPr>
        <w:t xml:space="preserve"> mediation after controlling for the mediating effects of value. In this case, the residual negative association between teaching AI alone and purchase intention was identified due to the influence that parents continue to feel </w:t>
      </w:r>
      <w:r w:rsidR="00935647" w:rsidRPr="003D2A76">
        <w:rPr>
          <w:rFonts w:asciiTheme="majorBidi" w:hAnsiTheme="majorBidi" w:cstheme="majorBidi"/>
          <w:lang w:val="en-GB"/>
        </w:rPr>
        <w:t xml:space="preserve">about </w:t>
      </w:r>
      <w:r w:rsidRPr="003D2A76">
        <w:rPr>
          <w:rFonts w:asciiTheme="majorBidi" w:hAnsiTheme="majorBidi" w:cstheme="majorBidi"/>
          <w:lang w:val="en-GB"/>
        </w:rPr>
        <w:t>teaching using AI, therefore indicating an incomplete effect between teaching AI and parent purchase intention. This negative effect does not undo the positive total associational effect from teaching AI through perceived value and is offset by greater than the negative residual tie to purchase intention. Thus, the final model accounts for explaining 53.7% of the variance in parent purchase intention. Therefore</w:t>
      </w:r>
      <w:r w:rsidR="00BC492E">
        <w:rPr>
          <w:rFonts w:asciiTheme="majorBidi" w:hAnsiTheme="majorBidi" w:cstheme="majorBidi"/>
          <w:lang w:val="en-GB"/>
        </w:rPr>
        <w:t>,</w:t>
      </w:r>
      <w:r w:rsidRPr="003D2A76">
        <w:rPr>
          <w:rFonts w:asciiTheme="majorBidi" w:hAnsiTheme="majorBidi" w:cstheme="majorBidi"/>
          <w:lang w:val="en-GB"/>
        </w:rPr>
        <w:t xml:space="preserve"> H7 </w:t>
      </w:r>
      <w:r w:rsidR="00935647" w:rsidRPr="003D2A76">
        <w:rPr>
          <w:rFonts w:asciiTheme="majorBidi" w:hAnsiTheme="majorBidi" w:cstheme="majorBidi"/>
          <w:lang w:val="en-GB"/>
        </w:rPr>
        <w:t xml:space="preserve">was </w:t>
      </w:r>
      <w:r w:rsidRPr="003D2A76">
        <w:rPr>
          <w:rFonts w:asciiTheme="majorBidi" w:hAnsiTheme="majorBidi" w:cstheme="majorBidi"/>
          <w:lang w:val="en-GB"/>
        </w:rPr>
        <w:t>support</w:t>
      </w:r>
      <w:r w:rsidR="00935647" w:rsidRPr="003D2A76">
        <w:rPr>
          <w:rFonts w:asciiTheme="majorBidi" w:hAnsiTheme="majorBidi" w:cstheme="majorBidi"/>
          <w:lang w:val="en-GB"/>
        </w:rPr>
        <w:t>ed</w:t>
      </w:r>
      <w:r w:rsidRPr="003D2A76">
        <w:rPr>
          <w:rFonts w:asciiTheme="majorBidi" w:hAnsiTheme="majorBidi" w:cstheme="majorBidi"/>
          <w:lang w:val="en-GB"/>
        </w:rPr>
        <w:t>.</w:t>
      </w:r>
    </w:p>
    <w:p w14:paraId="2AABE684" w14:textId="78B92ABE"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H8 demonstrated a similar level of suppression between AI used in marketing with an indirect association </w:t>
      </w:r>
      <w:r w:rsidR="00935647" w:rsidRPr="003D2A76">
        <w:rPr>
          <w:rFonts w:asciiTheme="majorBidi" w:hAnsiTheme="majorBidi" w:cstheme="majorBidi"/>
          <w:lang w:val="en-GB"/>
        </w:rPr>
        <w:t xml:space="preserve">with </w:t>
      </w:r>
      <w:r w:rsidRPr="003D2A76">
        <w:rPr>
          <w:rFonts w:asciiTheme="majorBidi" w:hAnsiTheme="majorBidi" w:cstheme="majorBidi"/>
          <w:lang w:val="en-GB"/>
        </w:rPr>
        <w:t xml:space="preserve">purchase intention (indirect effect, 0.455, [0.373, 0.540]; direct effect, c' = -0.097, p = .024). The variance in the purchase intention explained by the final model for H8 was 53.4%. As H7 </w:t>
      </w:r>
      <w:r w:rsidR="00935647" w:rsidRPr="003D2A76">
        <w:rPr>
          <w:rFonts w:asciiTheme="majorBidi" w:hAnsiTheme="majorBidi" w:cstheme="majorBidi"/>
          <w:lang w:val="en-GB"/>
        </w:rPr>
        <w:t xml:space="preserve">and </w:t>
      </w:r>
      <w:r w:rsidRPr="003D2A76">
        <w:rPr>
          <w:rFonts w:asciiTheme="majorBidi" w:hAnsiTheme="majorBidi" w:cstheme="majorBidi"/>
          <w:lang w:val="en-GB"/>
        </w:rPr>
        <w:t>H8 show together</w:t>
      </w:r>
      <w:r w:rsidR="00935647" w:rsidRPr="003D2A76">
        <w:rPr>
          <w:rFonts w:asciiTheme="majorBidi" w:hAnsiTheme="majorBidi" w:cstheme="majorBidi"/>
          <w:lang w:val="en-GB"/>
        </w:rPr>
        <w:t>,</w:t>
      </w:r>
      <w:r w:rsidRPr="003D2A76">
        <w:rPr>
          <w:rFonts w:asciiTheme="majorBidi" w:hAnsiTheme="majorBidi" w:cstheme="majorBidi"/>
          <w:lang w:val="en-GB"/>
        </w:rPr>
        <w:t xml:space="preserve"> raw AI cannot be appealing</w:t>
      </w:r>
      <w:r w:rsidR="00935647" w:rsidRPr="003D2A76">
        <w:rPr>
          <w:rFonts w:asciiTheme="majorBidi" w:hAnsiTheme="majorBidi" w:cstheme="majorBidi"/>
          <w:lang w:val="en-GB"/>
        </w:rPr>
        <w:t xml:space="preserve"> alone</w:t>
      </w:r>
      <w:r w:rsidRPr="003D2A76">
        <w:rPr>
          <w:rFonts w:asciiTheme="majorBidi" w:hAnsiTheme="majorBidi" w:cstheme="majorBidi"/>
          <w:lang w:val="en-GB"/>
        </w:rPr>
        <w:t xml:space="preserve">; however, using the technology in a manner that would evoke either a: functional experience (e.g., any easier </w:t>
      </w:r>
      <w:r w:rsidR="00935647" w:rsidRPr="003D2A76">
        <w:rPr>
          <w:rFonts w:asciiTheme="majorBidi" w:hAnsiTheme="majorBidi" w:cstheme="majorBidi"/>
          <w:lang w:val="en-GB"/>
        </w:rPr>
        <w:t>way of doing a</w:t>
      </w:r>
      <w:r w:rsidRPr="003D2A76">
        <w:rPr>
          <w:rFonts w:asciiTheme="majorBidi" w:hAnsiTheme="majorBidi" w:cstheme="majorBidi"/>
          <w:lang w:val="en-GB"/>
        </w:rPr>
        <w:t xml:space="preserve"> job), emotional connection (feel</w:t>
      </w:r>
      <w:r w:rsidR="00935647" w:rsidRPr="003D2A76">
        <w:rPr>
          <w:rFonts w:asciiTheme="majorBidi" w:hAnsiTheme="majorBidi" w:cstheme="majorBidi"/>
          <w:lang w:val="en-GB"/>
        </w:rPr>
        <w:t>ings of</w:t>
      </w:r>
      <w:r w:rsidRPr="003D2A76">
        <w:rPr>
          <w:rFonts w:asciiTheme="majorBidi" w:hAnsiTheme="majorBidi" w:cstheme="majorBidi"/>
          <w:lang w:val="en-GB"/>
        </w:rPr>
        <w:t xml:space="preserve"> trust), shared social experience (</w:t>
      </w:r>
      <w:r w:rsidR="00935647" w:rsidRPr="003D2A76">
        <w:rPr>
          <w:rFonts w:asciiTheme="majorBidi" w:hAnsiTheme="majorBidi" w:cstheme="majorBidi"/>
          <w:lang w:val="en-GB"/>
        </w:rPr>
        <w:t xml:space="preserve">matching </w:t>
      </w:r>
      <w:r w:rsidRPr="003D2A76">
        <w:rPr>
          <w:rFonts w:asciiTheme="majorBidi" w:hAnsiTheme="majorBidi" w:cstheme="majorBidi"/>
          <w:lang w:val="en-GB"/>
        </w:rPr>
        <w:t>the family's identity), or economic justification (e.g., justify</w:t>
      </w:r>
      <w:r w:rsidR="00935647" w:rsidRPr="003D2A76">
        <w:rPr>
          <w:rFonts w:asciiTheme="majorBidi" w:hAnsiTheme="majorBidi" w:cstheme="majorBidi"/>
          <w:lang w:val="en-GB"/>
        </w:rPr>
        <w:t>ing</w:t>
      </w:r>
      <w:r w:rsidRPr="003D2A76">
        <w:rPr>
          <w:rFonts w:asciiTheme="majorBidi" w:hAnsiTheme="majorBidi" w:cstheme="majorBidi"/>
          <w:lang w:val="en-GB"/>
        </w:rPr>
        <w:t xml:space="preserve"> tuition charge</w:t>
      </w:r>
      <w:r w:rsidR="00935647" w:rsidRPr="003D2A76">
        <w:rPr>
          <w:rFonts w:asciiTheme="majorBidi" w:hAnsiTheme="majorBidi" w:cstheme="majorBidi"/>
          <w:lang w:val="en-GB"/>
        </w:rPr>
        <w:t>s</w:t>
      </w:r>
      <w:r w:rsidRPr="003D2A76">
        <w:rPr>
          <w:rFonts w:asciiTheme="majorBidi" w:hAnsiTheme="majorBidi" w:cstheme="majorBidi"/>
          <w:lang w:val="en-GB"/>
        </w:rPr>
        <w:t>) appeals to a parental audience therefore should be able to evoke some level of acceptance. This finding is contrary to technology for technology's sake.</w:t>
      </w:r>
    </w:p>
    <w:p w14:paraId="1FB730B2" w14:textId="34342209"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H9 tested perceived value as </w:t>
      </w:r>
      <w:r w:rsidR="00935647" w:rsidRPr="003D2A76">
        <w:rPr>
          <w:rFonts w:asciiTheme="majorBidi" w:hAnsiTheme="majorBidi" w:cstheme="majorBidi"/>
          <w:lang w:val="en-GB"/>
        </w:rPr>
        <w:t xml:space="preserve">a </w:t>
      </w:r>
      <w:r w:rsidRPr="003D2A76">
        <w:rPr>
          <w:rFonts w:asciiTheme="majorBidi" w:hAnsiTheme="majorBidi" w:cstheme="majorBidi"/>
          <w:lang w:val="en-GB"/>
        </w:rPr>
        <w:t xml:space="preserve">mediator of the service-quality→intention path. </w:t>
      </w:r>
      <w:r w:rsidR="00935647" w:rsidRPr="003D2A76">
        <w:rPr>
          <w:rFonts w:asciiTheme="majorBidi" w:hAnsiTheme="majorBidi" w:cstheme="majorBidi"/>
          <w:lang w:val="en-GB"/>
        </w:rPr>
        <w:t xml:space="preserve">The indirect </w:t>
      </w:r>
      <w:r w:rsidRPr="003D2A76">
        <w:rPr>
          <w:rFonts w:asciiTheme="majorBidi" w:hAnsiTheme="majorBidi" w:cstheme="majorBidi"/>
          <w:lang w:val="en-GB"/>
        </w:rPr>
        <w:t>effect</w:t>
      </w:r>
      <w:r w:rsidR="00935647" w:rsidRPr="003D2A76">
        <w:rPr>
          <w:rFonts w:asciiTheme="majorBidi" w:hAnsiTheme="majorBidi" w:cstheme="majorBidi"/>
          <w:lang w:val="en-GB"/>
        </w:rPr>
        <w:t xml:space="preserve"> of </w:t>
      </w:r>
      <w:r w:rsidRPr="003D2A76">
        <w:rPr>
          <w:rFonts w:asciiTheme="majorBidi" w:hAnsiTheme="majorBidi" w:cstheme="majorBidi"/>
          <w:lang w:val="en-GB"/>
        </w:rPr>
        <w:t>0.184, [0.097, 0.290</w:t>
      </w:r>
      <w:r w:rsidR="00935647" w:rsidRPr="003D2A76">
        <w:rPr>
          <w:rFonts w:asciiTheme="majorBidi" w:hAnsiTheme="majorBidi" w:cstheme="majorBidi"/>
          <w:lang w:val="en-GB"/>
        </w:rPr>
        <w:t xml:space="preserve">] was </w:t>
      </w:r>
      <w:r w:rsidRPr="003D2A76">
        <w:rPr>
          <w:rFonts w:asciiTheme="majorBidi" w:hAnsiTheme="majorBidi" w:cstheme="majorBidi"/>
          <w:lang w:val="en-GB"/>
        </w:rPr>
        <w:t xml:space="preserve">significant but smaller than the trust-mediated effect from H6. Value carried about 18.7% of </w:t>
      </w:r>
      <w:r w:rsidR="00935647" w:rsidRPr="003D2A76">
        <w:rPr>
          <w:rFonts w:asciiTheme="majorBidi" w:hAnsiTheme="majorBidi" w:cstheme="majorBidi"/>
          <w:lang w:val="en-GB"/>
        </w:rPr>
        <w:t xml:space="preserve">the </w:t>
      </w:r>
      <w:r w:rsidRPr="003D2A76">
        <w:rPr>
          <w:rFonts w:asciiTheme="majorBidi" w:hAnsiTheme="majorBidi" w:cstheme="majorBidi"/>
          <w:lang w:val="en-GB"/>
        </w:rPr>
        <w:t xml:space="preserve">total effect. </w:t>
      </w:r>
      <w:r w:rsidR="00935647" w:rsidRPr="003D2A76">
        <w:rPr>
          <w:rFonts w:asciiTheme="majorBidi" w:hAnsiTheme="majorBidi" w:cstheme="majorBidi"/>
          <w:lang w:val="en-GB"/>
        </w:rPr>
        <w:t xml:space="preserve">The direct </w:t>
      </w:r>
      <w:r w:rsidRPr="003D2A76">
        <w:rPr>
          <w:rFonts w:asciiTheme="majorBidi" w:hAnsiTheme="majorBidi" w:cstheme="majorBidi"/>
          <w:lang w:val="en-GB"/>
        </w:rPr>
        <w:t xml:space="preserve">effect remained large: c' = 0.802, p &lt; .001. </w:t>
      </w:r>
      <w:r w:rsidR="00935647" w:rsidRPr="003D2A76">
        <w:rPr>
          <w:rFonts w:asciiTheme="majorBidi" w:hAnsiTheme="majorBidi" w:cstheme="majorBidi"/>
          <w:lang w:val="en-GB"/>
        </w:rPr>
        <w:t xml:space="preserve">The model </w:t>
      </w:r>
      <w:r w:rsidRPr="003D2A76">
        <w:rPr>
          <w:rFonts w:asciiTheme="majorBidi" w:hAnsiTheme="majorBidi" w:cstheme="majorBidi"/>
          <w:lang w:val="en-GB"/>
        </w:rPr>
        <w:t>variance</w:t>
      </w:r>
      <w:r w:rsidR="00935647" w:rsidRPr="003D2A76">
        <w:rPr>
          <w:rFonts w:asciiTheme="majorBidi" w:hAnsiTheme="majorBidi" w:cstheme="majorBidi"/>
          <w:lang w:val="en-GB"/>
        </w:rPr>
        <w:t xml:space="preserve"> was</w:t>
      </w:r>
      <w:r w:rsidRPr="003D2A76">
        <w:rPr>
          <w:rFonts w:asciiTheme="majorBidi" w:hAnsiTheme="majorBidi" w:cstheme="majorBidi"/>
          <w:lang w:val="en-GB"/>
        </w:rPr>
        <w:t xml:space="preserve">: 74.2%. </w:t>
      </w:r>
      <w:r w:rsidR="00CC6A4B">
        <w:rPr>
          <w:rFonts w:asciiTheme="majorBidi" w:hAnsiTheme="majorBidi" w:cstheme="majorBidi"/>
          <w:lang w:val="en-GB"/>
        </w:rPr>
        <w:t>was s</w:t>
      </w:r>
      <w:r w:rsidRPr="003D2A76">
        <w:rPr>
          <w:rFonts w:asciiTheme="majorBidi" w:hAnsiTheme="majorBidi" w:cstheme="majorBidi"/>
          <w:lang w:val="en-GB"/>
        </w:rPr>
        <w:t>upport</w:t>
      </w:r>
      <w:r w:rsidR="00CC6A4B">
        <w:rPr>
          <w:rFonts w:asciiTheme="majorBidi" w:hAnsiTheme="majorBidi" w:cstheme="majorBidi"/>
          <w:lang w:val="en-GB"/>
        </w:rPr>
        <w:t>ed</w:t>
      </w:r>
      <w:r w:rsidRPr="003D2A76">
        <w:rPr>
          <w:rFonts w:asciiTheme="majorBidi" w:hAnsiTheme="majorBidi" w:cstheme="majorBidi"/>
          <w:lang w:val="en-GB"/>
        </w:rPr>
        <w:t xml:space="preserve">. Blocks B and </w:t>
      </w:r>
      <w:r w:rsidRPr="003D2A76">
        <w:rPr>
          <w:rFonts w:asciiTheme="majorBidi" w:hAnsiTheme="majorBidi" w:cstheme="majorBidi"/>
          <w:lang w:val="en-GB"/>
        </w:rPr>
        <w:lastRenderedPageBreak/>
        <w:t>C read together make this point clear: trust is the dominant mediator for AI domains and for service quality. Perceived value is secondary but real, operating alongside trust, not against it. Both mediation pathways are active.</w:t>
      </w:r>
    </w:p>
    <w:p w14:paraId="5AC82B7D" w14:textId="77777777" w:rsidR="0042734A" w:rsidRPr="003D2A76" w:rsidRDefault="0042734A" w:rsidP="0042734A">
      <w:pPr>
        <w:bidi w:val="0"/>
        <w:rPr>
          <w:rFonts w:asciiTheme="majorBidi" w:hAnsiTheme="majorBidi" w:cstheme="majorBidi"/>
          <w:lang w:val="en-GB"/>
        </w:rPr>
      </w:pPr>
    </w:p>
    <w:p w14:paraId="51D3CEDE"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5.3.4 Block D. Service Quality Path and Cultural Moderation (H10, H11, H12)</w:t>
      </w:r>
    </w:p>
    <w:p w14:paraId="45B3E8F3" w14:textId="1637291D"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Two hypotheses, H10 (Teaching AI to Influence Purchase Intention) and H11 (Marketing AI to Influence Purchase Intention), posited direct, unmediated effects of AI (teaching and marketing) on purchase intention. Once the full mediated model was estimated, </w:t>
      </w:r>
      <w:r w:rsidR="00935647" w:rsidRPr="003D2A76">
        <w:rPr>
          <w:rFonts w:asciiTheme="majorBidi" w:hAnsiTheme="majorBidi" w:cstheme="majorBidi"/>
          <w:lang w:val="en-GB"/>
        </w:rPr>
        <w:t xml:space="preserve">there were </w:t>
      </w:r>
      <w:r w:rsidRPr="003D2A76">
        <w:rPr>
          <w:rFonts w:asciiTheme="majorBidi" w:hAnsiTheme="majorBidi" w:cstheme="majorBidi"/>
          <w:lang w:val="en-GB"/>
        </w:rPr>
        <w:t xml:space="preserve">non-significant coefficients β = 0.04, p = .12 and β = 0.00, p = .94, respectively. Neither hypothesis </w:t>
      </w:r>
      <w:r w:rsidR="00935647" w:rsidRPr="003D2A76">
        <w:rPr>
          <w:rFonts w:asciiTheme="majorBidi" w:hAnsiTheme="majorBidi" w:cstheme="majorBidi"/>
          <w:lang w:val="en-GB"/>
        </w:rPr>
        <w:t xml:space="preserve">was </w:t>
      </w:r>
      <w:r w:rsidRPr="003D2A76">
        <w:rPr>
          <w:rFonts w:asciiTheme="majorBidi" w:hAnsiTheme="majorBidi" w:cstheme="majorBidi"/>
          <w:lang w:val="en-GB"/>
        </w:rPr>
        <w:t>support</w:t>
      </w:r>
      <w:r w:rsidR="00935647" w:rsidRPr="003D2A76">
        <w:rPr>
          <w:rFonts w:asciiTheme="majorBidi" w:hAnsiTheme="majorBidi" w:cstheme="majorBidi"/>
          <w:lang w:val="en-GB"/>
        </w:rPr>
        <w:t>ed by</w:t>
      </w:r>
      <w:r w:rsidRPr="003D2A76">
        <w:rPr>
          <w:rFonts w:asciiTheme="majorBidi" w:hAnsiTheme="majorBidi" w:cstheme="majorBidi"/>
          <w:lang w:val="en-GB"/>
        </w:rPr>
        <w:t xml:space="preserve"> the data. However, as seen in §5.2.2, this non-support did not weaken the theory</w:t>
      </w:r>
      <w:r w:rsidR="00BC492E">
        <w:rPr>
          <w:rFonts w:asciiTheme="majorBidi" w:hAnsiTheme="majorBidi" w:cstheme="majorBidi"/>
          <w:lang w:val="en-GB"/>
        </w:rPr>
        <w:t>;</w:t>
      </w:r>
      <w:r w:rsidRPr="003D2A76">
        <w:rPr>
          <w:rFonts w:asciiTheme="majorBidi" w:hAnsiTheme="majorBidi" w:cstheme="majorBidi"/>
          <w:lang w:val="en-GB"/>
        </w:rPr>
        <w:t xml:space="preserve"> rather</w:t>
      </w:r>
      <w:r w:rsidR="00BC492E">
        <w:rPr>
          <w:rFonts w:asciiTheme="majorBidi" w:hAnsiTheme="majorBidi" w:cstheme="majorBidi"/>
          <w:lang w:val="en-GB"/>
        </w:rPr>
        <w:t>,</w:t>
      </w:r>
      <w:r w:rsidRPr="003D2A76">
        <w:rPr>
          <w:rFonts w:asciiTheme="majorBidi" w:hAnsiTheme="majorBidi" w:cstheme="majorBidi"/>
          <w:lang w:val="en-GB"/>
        </w:rPr>
        <w:t xml:space="preserve"> it is logically consistent.</w:t>
      </w:r>
      <w:r w:rsidRPr="003D2A76">
        <w:rPr>
          <w:rFonts w:asciiTheme="majorBidi" w:hAnsiTheme="majorBidi" w:cstheme="majorBidi"/>
          <w:lang w:val="en-GB"/>
        </w:rPr>
        <w:br/>
        <w:t xml:space="preserve">The overall structure of the proposed mediation was built on the </w:t>
      </w:r>
      <w:r w:rsidR="00BC492E">
        <w:rPr>
          <w:rFonts w:asciiTheme="majorBidi" w:hAnsiTheme="majorBidi" w:cstheme="majorBidi"/>
          <w:lang w:val="en-GB"/>
        </w:rPr>
        <w:t>basis</w:t>
      </w:r>
      <w:r w:rsidRPr="003D2A76">
        <w:rPr>
          <w:rFonts w:asciiTheme="majorBidi" w:hAnsiTheme="majorBidi" w:cstheme="majorBidi"/>
          <w:lang w:val="en-GB"/>
        </w:rPr>
        <w:t xml:space="preserve"> of trust, service quality, and perceived value to carry the effect. If H10 and H11 had been confirmed, the mediation story would </w:t>
      </w:r>
      <w:r w:rsidR="00BC492E">
        <w:rPr>
          <w:rFonts w:asciiTheme="majorBidi" w:hAnsiTheme="majorBidi" w:cstheme="majorBidi"/>
          <w:lang w:val="en-GB"/>
        </w:rPr>
        <w:t>not have fallen apart; it would have</w:t>
      </w:r>
      <w:r w:rsidRPr="003D2A76">
        <w:rPr>
          <w:rFonts w:asciiTheme="majorBidi" w:hAnsiTheme="majorBidi" w:cstheme="majorBidi"/>
          <w:lang w:val="en-GB"/>
        </w:rPr>
        <w:t xml:space="preserve"> </w:t>
      </w:r>
      <w:r w:rsidR="00BC492E">
        <w:rPr>
          <w:rFonts w:asciiTheme="majorBidi" w:hAnsiTheme="majorBidi" w:cstheme="majorBidi"/>
          <w:lang w:val="en-GB"/>
        </w:rPr>
        <w:t xml:space="preserve">been </w:t>
      </w:r>
      <w:r w:rsidR="00935647" w:rsidRPr="003D2A76">
        <w:rPr>
          <w:rFonts w:asciiTheme="majorBidi" w:hAnsiTheme="majorBidi" w:cstheme="majorBidi"/>
          <w:lang w:val="en-GB"/>
        </w:rPr>
        <w:t>up</w:t>
      </w:r>
      <w:r w:rsidRPr="003D2A76">
        <w:rPr>
          <w:rFonts w:asciiTheme="majorBidi" w:hAnsiTheme="majorBidi" w:cstheme="majorBidi"/>
          <w:lang w:val="en-GB"/>
        </w:rPr>
        <w:t>held.</w:t>
      </w:r>
    </w:p>
    <w:p w14:paraId="21FC8500" w14:textId="44160D31"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H12 posed cultural factors as </w:t>
      </w:r>
      <w:r w:rsidR="00935647" w:rsidRPr="003D2A76">
        <w:rPr>
          <w:rFonts w:asciiTheme="majorBidi" w:hAnsiTheme="majorBidi" w:cstheme="majorBidi"/>
          <w:lang w:val="en-GB"/>
        </w:rPr>
        <w:t xml:space="preserve">a </w:t>
      </w:r>
      <w:r w:rsidRPr="003D2A76">
        <w:rPr>
          <w:rFonts w:asciiTheme="majorBidi" w:hAnsiTheme="majorBidi" w:cstheme="majorBidi"/>
          <w:lang w:val="en-GB"/>
        </w:rPr>
        <w:t xml:space="preserve">moderator of the integrated model. PROCESS Model 1 </w:t>
      </w:r>
      <w:r w:rsidR="00935647" w:rsidRPr="003D2A76">
        <w:rPr>
          <w:rFonts w:asciiTheme="majorBidi" w:hAnsiTheme="majorBidi" w:cstheme="majorBidi"/>
          <w:lang w:val="en-GB"/>
        </w:rPr>
        <w:t xml:space="preserve">was used for </w:t>
      </w:r>
      <w:r w:rsidRPr="003D2A76">
        <w:rPr>
          <w:rFonts w:asciiTheme="majorBidi" w:hAnsiTheme="majorBidi" w:cstheme="majorBidi"/>
          <w:lang w:val="en-GB"/>
        </w:rPr>
        <w:t xml:space="preserve">testing: </w:t>
      </w:r>
      <w:r w:rsidR="00935647" w:rsidRPr="003D2A76">
        <w:rPr>
          <w:rFonts w:asciiTheme="majorBidi" w:hAnsiTheme="majorBidi" w:cstheme="majorBidi"/>
          <w:lang w:val="en-GB"/>
        </w:rPr>
        <w:t xml:space="preserve">for </w:t>
      </w:r>
      <w:r w:rsidRPr="003D2A76">
        <w:rPr>
          <w:rFonts w:asciiTheme="majorBidi" w:hAnsiTheme="majorBidi" w:cstheme="majorBidi"/>
          <w:lang w:val="en-GB"/>
        </w:rPr>
        <w:t xml:space="preserve">teaching-side AI, </w:t>
      </w:r>
      <w:r w:rsidR="00935647" w:rsidRPr="003D2A76">
        <w:rPr>
          <w:rFonts w:asciiTheme="majorBidi" w:hAnsiTheme="majorBidi" w:cstheme="majorBidi"/>
          <w:lang w:val="en-GB"/>
        </w:rPr>
        <w:t xml:space="preserve">the </w:t>
      </w:r>
      <w:r w:rsidRPr="003D2A76">
        <w:rPr>
          <w:rFonts w:asciiTheme="majorBidi" w:hAnsiTheme="majorBidi" w:cstheme="majorBidi"/>
          <w:lang w:val="en-GB"/>
        </w:rPr>
        <w:t xml:space="preserve">interaction term was significant (B = 0.10, SE = 0.03, t = 3.01, p = .003). Simple slopes went up with cultural-factor scores. Johnson-Neyman analysis pinned the threshold: AI in teaching predicts service quality when cultural-factor scores exceed 4.82 on the 7-point scale (affecting 78.2% of the sample). Below that, effect weakens. For marketing AI, no interaction emerged (B = -0.08, SE = 0.06, t = -1.33, p = .18). </w:t>
      </w:r>
      <w:r w:rsidR="00935647" w:rsidRPr="003D2A76">
        <w:rPr>
          <w:rFonts w:asciiTheme="majorBidi" w:hAnsiTheme="majorBidi" w:cstheme="majorBidi"/>
          <w:lang w:val="en-GB"/>
        </w:rPr>
        <w:t xml:space="preserve">There was partial </w:t>
      </w:r>
      <w:r w:rsidRPr="003D2A76">
        <w:rPr>
          <w:rFonts w:asciiTheme="majorBidi" w:hAnsiTheme="majorBidi" w:cstheme="majorBidi"/>
          <w:lang w:val="en-GB"/>
        </w:rPr>
        <w:t>support</w:t>
      </w:r>
      <w:r w:rsidR="00935647" w:rsidRPr="003D2A76">
        <w:rPr>
          <w:rFonts w:asciiTheme="majorBidi" w:hAnsiTheme="majorBidi" w:cstheme="majorBidi"/>
          <w:lang w:val="en-GB"/>
        </w:rPr>
        <w:t xml:space="preserve"> for the hypothesis</w:t>
      </w:r>
      <w:r w:rsidRPr="003D2A76">
        <w:rPr>
          <w:rFonts w:asciiTheme="majorBidi" w:hAnsiTheme="majorBidi" w:cstheme="majorBidi"/>
          <w:lang w:val="en-GB"/>
        </w:rPr>
        <w:t>: cultural moderation hit the teaching path but spared the marketing path. The asymmetry makes sense.</w:t>
      </w:r>
    </w:p>
    <w:p w14:paraId="6F8718DB" w14:textId="7A412F4A"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When viewed through the lens provided within Chapter 2 ("Background &amp; Context" </w:t>
      </w:r>
      <w:r w:rsidR="00083B01" w:rsidRPr="003D2A76">
        <w:rPr>
          <w:rFonts w:asciiTheme="majorBidi" w:hAnsiTheme="majorBidi" w:cstheme="majorBidi"/>
          <w:lang w:val="en-GB"/>
        </w:rPr>
        <w:t>–</w:t>
      </w:r>
      <w:r w:rsidRPr="003D2A76">
        <w:rPr>
          <w:rFonts w:asciiTheme="majorBidi" w:hAnsiTheme="majorBidi" w:cstheme="majorBidi"/>
          <w:lang w:val="en-GB"/>
        </w:rPr>
        <w:t xml:space="preserve"> §2.4.9) and the Saudi context</w:t>
      </w:r>
      <w:r w:rsidR="00BC492E">
        <w:rPr>
          <w:rFonts w:asciiTheme="majorBidi" w:hAnsiTheme="majorBidi" w:cstheme="majorBidi"/>
          <w:lang w:val="en-GB"/>
        </w:rPr>
        <w:t>,</w:t>
      </w:r>
      <w:r w:rsidRPr="003D2A76">
        <w:rPr>
          <w:rFonts w:asciiTheme="majorBidi" w:hAnsiTheme="majorBidi" w:cstheme="majorBidi"/>
          <w:lang w:val="en-GB"/>
        </w:rPr>
        <w:t xml:space="preserve"> where "actual practice" (i.e., classroom-based) for teaching AI is based on the value</w:t>
      </w:r>
      <w:r w:rsidR="00CC6A4B">
        <w:rPr>
          <w:rFonts w:asciiTheme="majorBidi" w:hAnsiTheme="majorBidi" w:cstheme="majorBidi"/>
          <w:lang w:val="en-GB"/>
        </w:rPr>
        <w:t xml:space="preserve"> in general</w:t>
      </w:r>
      <w:r w:rsidRPr="003D2A76">
        <w:rPr>
          <w:rFonts w:asciiTheme="majorBidi" w:hAnsiTheme="majorBidi" w:cstheme="majorBidi"/>
          <w:lang w:val="en-GB"/>
        </w:rPr>
        <w:t xml:space="preserve"> and socio-cultural family values </w:t>
      </w:r>
      <w:r w:rsidR="00083B01" w:rsidRPr="003D2A76">
        <w:rPr>
          <w:rFonts w:asciiTheme="majorBidi" w:hAnsiTheme="majorBidi" w:cstheme="majorBidi"/>
          <w:lang w:val="en-GB"/>
        </w:rPr>
        <w:t xml:space="preserve">related to </w:t>
      </w:r>
      <w:r w:rsidRPr="003D2A76">
        <w:rPr>
          <w:rFonts w:asciiTheme="majorBidi" w:hAnsiTheme="majorBidi" w:cstheme="majorBidi"/>
          <w:lang w:val="en-GB"/>
        </w:rPr>
        <w:t>discipline, gender appropriateness of content (related to religion), and parental "say" on what is "acceptable"</w:t>
      </w:r>
      <w:r w:rsidR="00083B01" w:rsidRPr="003D2A76">
        <w:rPr>
          <w:rFonts w:asciiTheme="majorBidi" w:hAnsiTheme="majorBidi" w:cstheme="majorBidi"/>
          <w:lang w:val="en-GB"/>
        </w:rPr>
        <w:t>.</w:t>
      </w:r>
      <w:r w:rsidRPr="003D2A76">
        <w:rPr>
          <w:rFonts w:asciiTheme="majorBidi" w:hAnsiTheme="majorBidi" w:cstheme="majorBidi"/>
          <w:lang w:val="en-GB"/>
        </w:rPr>
        <w:t xml:space="preserve"> Conversely, positioning of marketing of AI to the student as "Pre-Enrolment Information" is less impacted by these socio-cultural variables because of </w:t>
      </w:r>
      <w:r w:rsidR="00083B01" w:rsidRPr="003D2A76">
        <w:rPr>
          <w:rFonts w:asciiTheme="majorBidi" w:hAnsiTheme="majorBidi" w:cstheme="majorBidi"/>
          <w:lang w:val="en-GB"/>
        </w:rPr>
        <w:t xml:space="preserve">the </w:t>
      </w:r>
      <w:r w:rsidRPr="003D2A76">
        <w:rPr>
          <w:rFonts w:asciiTheme="majorBidi" w:hAnsiTheme="majorBidi" w:cstheme="majorBidi"/>
          <w:lang w:val="en-GB"/>
        </w:rPr>
        <w:t>decreased importance of influence from the same "pre-enrolment" for "marketing."</w:t>
      </w:r>
      <w:r w:rsidRPr="003D2A76">
        <w:rPr>
          <w:rFonts w:asciiTheme="majorBidi" w:hAnsiTheme="majorBidi" w:cstheme="majorBidi"/>
          <w:lang w:val="en-GB"/>
        </w:rPr>
        <w:br/>
        <w:t xml:space="preserve">It is an expected finding that this study should actually be used to challenge the traditional one-size-fits-all approach with respect to a moderator distinction between teaching AI versus using marketing for pre-enrolment purposes to improve the validity of a domain-specific conceptual framework (from Chapter 2) </w:t>
      </w:r>
      <w:r w:rsidR="00BC492E">
        <w:rPr>
          <w:rFonts w:asciiTheme="majorBidi" w:hAnsiTheme="majorBidi" w:cstheme="majorBidi"/>
          <w:lang w:val="en-GB"/>
        </w:rPr>
        <w:t xml:space="preserve">rather </w:t>
      </w:r>
      <w:r w:rsidRPr="003D2A76">
        <w:rPr>
          <w:rFonts w:asciiTheme="majorBidi" w:hAnsiTheme="majorBidi" w:cstheme="majorBidi"/>
          <w:lang w:val="en-GB"/>
        </w:rPr>
        <w:t>than simply reaffirming that all hypotheses should remain valid.</w:t>
      </w:r>
    </w:p>
    <w:p w14:paraId="4C900AA6" w14:textId="77777777" w:rsidR="0042734A" w:rsidRPr="003D2A76" w:rsidRDefault="0042734A" w:rsidP="0042734A">
      <w:pPr>
        <w:bidi w:val="0"/>
        <w:rPr>
          <w:rFonts w:asciiTheme="majorBidi" w:hAnsiTheme="majorBidi" w:cstheme="majorBidi"/>
          <w:lang w:val="en-GB"/>
        </w:rPr>
      </w:pPr>
    </w:p>
    <w:p w14:paraId="2CD16AD1"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5.3.5 Auxiliary Findings and Their Fit with the Main Model</w:t>
      </w:r>
    </w:p>
    <w:p w14:paraId="78FBA512" w14:textId="629CB783"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In addition to the 12 original hypotheses tested, the current study included </w:t>
      </w:r>
      <w:r w:rsidR="00083B01" w:rsidRPr="003D2A76">
        <w:rPr>
          <w:rFonts w:asciiTheme="majorBidi" w:hAnsiTheme="majorBidi" w:cstheme="majorBidi"/>
          <w:lang w:val="en-GB"/>
        </w:rPr>
        <w:t xml:space="preserve">three </w:t>
      </w:r>
      <w:r w:rsidRPr="003D2A76">
        <w:rPr>
          <w:rFonts w:asciiTheme="majorBidi" w:hAnsiTheme="majorBidi" w:cstheme="majorBidi"/>
          <w:lang w:val="en-GB"/>
        </w:rPr>
        <w:t xml:space="preserve">sets of </w:t>
      </w:r>
      <w:r w:rsidR="00083B01" w:rsidRPr="003D2A76">
        <w:rPr>
          <w:rFonts w:asciiTheme="majorBidi" w:hAnsiTheme="majorBidi" w:cstheme="majorBidi"/>
          <w:lang w:val="en-GB"/>
        </w:rPr>
        <w:t xml:space="preserve">auxiliary analyses </w:t>
      </w:r>
      <w:r w:rsidRPr="003D2A76">
        <w:rPr>
          <w:rFonts w:asciiTheme="majorBidi" w:hAnsiTheme="majorBidi" w:cstheme="majorBidi"/>
          <w:lang w:val="en-GB"/>
        </w:rPr>
        <w:t>from Study 4. Although the auxiliary analyses were not part of the original plan presented in Study 1, the anticipated analysis strategy was initially presented in §3.8. The first (</w:t>
      </w:r>
      <w:r w:rsidR="00083B01" w:rsidRPr="003D2A76">
        <w:rPr>
          <w:rFonts w:asciiTheme="majorBidi" w:hAnsiTheme="majorBidi" w:cstheme="majorBidi"/>
          <w:lang w:val="en-GB"/>
        </w:rPr>
        <w:t>s</w:t>
      </w:r>
      <w:r w:rsidRPr="003D2A76">
        <w:rPr>
          <w:rFonts w:asciiTheme="majorBidi" w:hAnsiTheme="majorBidi" w:cstheme="majorBidi"/>
          <w:lang w:val="en-GB"/>
        </w:rPr>
        <w:t xml:space="preserve">erial </w:t>
      </w:r>
      <w:r w:rsidR="00083B01" w:rsidRPr="003D2A76">
        <w:rPr>
          <w:rFonts w:asciiTheme="majorBidi" w:hAnsiTheme="majorBidi" w:cstheme="majorBidi"/>
          <w:lang w:val="en-GB"/>
        </w:rPr>
        <w:t>m</w:t>
      </w:r>
      <w:r w:rsidRPr="003D2A76">
        <w:rPr>
          <w:rFonts w:asciiTheme="majorBidi" w:hAnsiTheme="majorBidi" w:cstheme="majorBidi"/>
          <w:lang w:val="en-GB"/>
        </w:rPr>
        <w:t xml:space="preserve">ediation) </w:t>
      </w:r>
      <w:r w:rsidR="00083B01" w:rsidRPr="003D2A76">
        <w:rPr>
          <w:rFonts w:asciiTheme="majorBidi" w:hAnsiTheme="majorBidi" w:cstheme="majorBidi"/>
          <w:lang w:val="en-GB"/>
        </w:rPr>
        <w:t xml:space="preserve">analysis </w:t>
      </w:r>
      <w:r w:rsidRPr="003D2A76">
        <w:rPr>
          <w:rFonts w:asciiTheme="majorBidi" w:hAnsiTheme="majorBidi" w:cstheme="majorBidi"/>
          <w:lang w:val="en-GB"/>
        </w:rPr>
        <w:t xml:space="preserve">performed used </w:t>
      </w:r>
      <w:r w:rsidR="00083B01" w:rsidRPr="003D2A76">
        <w:rPr>
          <w:rFonts w:asciiTheme="majorBidi" w:hAnsiTheme="majorBidi" w:cstheme="majorBidi"/>
          <w:lang w:val="en-GB"/>
        </w:rPr>
        <w:t xml:space="preserve">the </w:t>
      </w:r>
      <w:r w:rsidRPr="003D2A76">
        <w:rPr>
          <w:rFonts w:asciiTheme="majorBidi" w:hAnsiTheme="majorBidi" w:cstheme="majorBidi"/>
          <w:lang w:val="en-GB"/>
        </w:rPr>
        <w:t>PROCESS Model 6 to investigate the AI-Teaching → Service Quality → Trust → Purchase Intention (indirect; 0.23, CI: [0.16; 0.31]) pathways of influence</w:t>
      </w:r>
      <w:r w:rsidR="00BC492E">
        <w:rPr>
          <w:rFonts w:asciiTheme="majorBidi" w:hAnsiTheme="majorBidi" w:cstheme="majorBidi"/>
          <w:lang w:val="en-GB"/>
        </w:rPr>
        <w:t>,</w:t>
      </w:r>
      <w:r w:rsidRPr="003D2A76">
        <w:rPr>
          <w:rFonts w:asciiTheme="majorBidi" w:hAnsiTheme="majorBidi" w:cstheme="majorBidi"/>
          <w:lang w:val="en-GB"/>
        </w:rPr>
        <w:t xml:space="preserve"> as well as a second (</w:t>
      </w:r>
      <w:r w:rsidR="00083B01" w:rsidRPr="003D2A76">
        <w:rPr>
          <w:rFonts w:asciiTheme="majorBidi" w:hAnsiTheme="majorBidi" w:cstheme="majorBidi"/>
          <w:lang w:val="en-GB"/>
        </w:rPr>
        <w:t>parallel</w:t>
      </w:r>
      <w:r w:rsidRPr="003D2A76">
        <w:rPr>
          <w:rFonts w:asciiTheme="majorBidi" w:hAnsiTheme="majorBidi" w:cstheme="majorBidi"/>
          <w:lang w:val="en-GB"/>
        </w:rPr>
        <w:t xml:space="preserve">) </w:t>
      </w:r>
      <w:r w:rsidR="00083B01" w:rsidRPr="003D2A76">
        <w:rPr>
          <w:rFonts w:asciiTheme="majorBidi" w:hAnsiTheme="majorBidi" w:cstheme="majorBidi"/>
          <w:lang w:val="en-GB"/>
        </w:rPr>
        <w:t xml:space="preserve">pathway </w:t>
      </w:r>
      <w:r w:rsidRPr="003D2A76">
        <w:rPr>
          <w:rFonts w:asciiTheme="majorBidi" w:hAnsiTheme="majorBidi" w:cstheme="majorBidi"/>
          <w:lang w:val="en-GB"/>
        </w:rPr>
        <w:t xml:space="preserve">through Perceived Value. A second set of analyses </w:t>
      </w:r>
      <w:r w:rsidR="00BC492E">
        <w:rPr>
          <w:rFonts w:asciiTheme="majorBidi" w:hAnsiTheme="majorBidi" w:cstheme="majorBidi"/>
          <w:lang w:val="en-GB"/>
        </w:rPr>
        <w:t>was</w:t>
      </w:r>
      <w:r w:rsidRPr="003D2A76">
        <w:rPr>
          <w:rFonts w:asciiTheme="majorBidi" w:hAnsiTheme="majorBidi" w:cstheme="majorBidi"/>
          <w:lang w:val="en-GB"/>
        </w:rPr>
        <w:t xml:space="preserve"> </w:t>
      </w:r>
      <w:r w:rsidR="00083B01" w:rsidRPr="003D2A76">
        <w:rPr>
          <w:rFonts w:asciiTheme="majorBidi" w:hAnsiTheme="majorBidi" w:cstheme="majorBidi"/>
          <w:lang w:val="en-GB"/>
        </w:rPr>
        <w:t xml:space="preserve">utilised </w:t>
      </w:r>
      <w:r w:rsidRPr="003D2A76">
        <w:rPr>
          <w:rFonts w:asciiTheme="majorBidi" w:hAnsiTheme="majorBidi" w:cstheme="majorBidi"/>
          <w:lang w:val="en-GB"/>
        </w:rPr>
        <w:t xml:space="preserve">to compare perceptions reported by </w:t>
      </w:r>
      <w:r w:rsidR="00083B01" w:rsidRPr="003D2A76">
        <w:rPr>
          <w:rFonts w:asciiTheme="majorBidi" w:hAnsiTheme="majorBidi" w:cstheme="majorBidi"/>
          <w:lang w:val="en-GB"/>
        </w:rPr>
        <w:t xml:space="preserve">students </w:t>
      </w:r>
      <w:r w:rsidRPr="003D2A76">
        <w:rPr>
          <w:rFonts w:asciiTheme="majorBidi" w:hAnsiTheme="majorBidi" w:cstheme="majorBidi"/>
          <w:lang w:val="en-GB"/>
        </w:rPr>
        <w:t xml:space="preserve">versus </w:t>
      </w:r>
      <w:r w:rsidR="00083B01" w:rsidRPr="003D2A76">
        <w:rPr>
          <w:rFonts w:asciiTheme="majorBidi" w:hAnsiTheme="majorBidi" w:cstheme="majorBidi"/>
          <w:lang w:val="en-GB"/>
        </w:rPr>
        <w:t xml:space="preserve">parents </w:t>
      </w:r>
      <w:r w:rsidRPr="003D2A76">
        <w:rPr>
          <w:rFonts w:asciiTheme="majorBidi" w:hAnsiTheme="majorBidi" w:cstheme="majorBidi"/>
          <w:lang w:val="en-GB"/>
        </w:rPr>
        <w:t xml:space="preserve">across each of the </w:t>
      </w:r>
      <w:r w:rsidR="00083B01" w:rsidRPr="003D2A76">
        <w:rPr>
          <w:rFonts w:asciiTheme="majorBidi" w:hAnsiTheme="majorBidi" w:cstheme="majorBidi"/>
          <w:lang w:val="en-GB"/>
        </w:rPr>
        <w:t>variables</w:t>
      </w:r>
      <w:r w:rsidRPr="003D2A76">
        <w:rPr>
          <w:rFonts w:asciiTheme="majorBidi" w:hAnsiTheme="majorBidi" w:cstheme="majorBidi"/>
          <w:lang w:val="en-GB"/>
        </w:rPr>
        <w:t xml:space="preserve">, and it was reported that only on one of the six cultural factors defined did the </w:t>
      </w:r>
      <w:r w:rsidR="00083B01" w:rsidRPr="003D2A76">
        <w:rPr>
          <w:rFonts w:asciiTheme="majorBidi" w:hAnsiTheme="majorBidi" w:cstheme="majorBidi"/>
          <w:lang w:val="en-GB"/>
        </w:rPr>
        <w:t xml:space="preserve">response patterns </w:t>
      </w:r>
      <w:r w:rsidRPr="003D2A76">
        <w:rPr>
          <w:rFonts w:asciiTheme="majorBidi" w:hAnsiTheme="majorBidi" w:cstheme="majorBidi"/>
          <w:lang w:val="en-GB"/>
        </w:rPr>
        <w:lastRenderedPageBreak/>
        <w:t xml:space="preserve">between </w:t>
      </w:r>
      <w:r w:rsidR="00083B01" w:rsidRPr="003D2A76">
        <w:rPr>
          <w:rFonts w:asciiTheme="majorBidi" w:hAnsiTheme="majorBidi" w:cstheme="majorBidi"/>
          <w:lang w:val="en-GB"/>
        </w:rPr>
        <w:t xml:space="preserve">students </w:t>
      </w:r>
      <w:r w:rsidRPr="003D2A76">
        <w:rPr>
          <w:rFonts w:asciiTheme="majorBidi" w:hAnsiTheme="majorBidi" w:cstheme="majorBidi"/>
          <w:lang w:val="en-GB"/>
        </w:rPr>
        <w:t xml:space="preserve">and </w:t>
      </w:r>
      <w:r w:rsidR="00083B01" w:rsidRPr="003D2A76">
        <w:rPr>
          <w:rFonts w:asciiTheme="majorBidi" w:hAnsiTheme="majorBidi" w:cstheme="majorBidi"/>
          <w:lang w:val="en-GB"/>
        </w:rPr>
        <w:t xml:space="preserve">parents </w:t>
      </w:r>
      <w:r w:rsidRPr="003D2A76">
        <w:rPr>
          <w:rFonts w:asciiTheme="majorBidi" w:hAnsiTheme="majorBidi" w:cstheme="majorBidi"/>
          <w:lang w:val="en-GB"/>
        </w:rPr>
        <w:t xml:space="preserve">converge (suggesting greater endorsement of each variable by students than parents). The </w:t>
      </w:r>
      <w:r w:rsidR="00083B01" w:rsidRPr="003D2A76">
        <w:rPr>
          <w:rFonts w:asciiTheme="majorBidi" w:hAnsiTheme="majorBidi" w:cstheme="majorBidi"/>
          <w:lang w:val="en-GB"/>
        </w:rPr>
        <w:t xml:space="preserve">demographics </w:t>
      </w:r>
      <w:r w:rsidRPr="003D2A76">
        <w:rPr>
          <w:rFonts w:asciiTheme="majorBidi" w:hAnsiTheme="majorBidi" w:cstheme="majorBidi"/>
          <w:lang w:val="en-GB"/>
        </w:rPr>
        <w:t xml:space="preserve">ANOVA generated identified four </w:t>
      </w:r>
      <w:r w:rsidR="00083B01" w:rsidRPr="003D2A76">
        <w:rPr>
          <w:rFonts w:asciiTheme="majorBidi" w:hAnsiTheme="majorBidi" w:cstheme="majorBidi"/>
          <w:lang w:val="en-GB"/>
        </w:rPr>
        <w:t xml:space="preserve">generational patterns </w:t>
      </w:r>
      <w:r w:rsidRPr="003D2A76">
        <w:rPr>
          <w:rFonts w:asciiTheme="majorBidi" w:hAnsiTheme="majorBidi" w:cstheme="majorBidi"/>
          <w:lang w:val="en-GB"/>
        </w:rPr>
        <w:t xml:space="preserve">(i.e., </w:t>
      </w:r>
      <w:r w:rsidR="00083B01" w:rsidRPr="003D2A76">
        <w:rPr>
          <w:rFonts w:asciiTheme="majorBidi" w:hAnsiTheme="majorBidi" w:cstheme="majorBidi"/>
          <w:lang w:val="en-GB"/>
        </w:rPr>
        <w:t xml:space="preserve">younger respondents </w:t>
      </w:r>
      <w:r w:rsidRPr="003D2A76">
        <w:rPr>
          <w:rFonts w:asciiTheme="majorBidi" w:hAnsiTheme="majorBidi" w:cstheme="majorBidi"/>
          <w:lang w:val="en-GB"/>
        </w:rPr>
        <w:t>(18</w:t>
      </w:r>
      <w:r w:rsidR="00083B01" w:rsidRPr="003D2A76">
        <w:rPr>
          <w:rFonts w:asciiTheme="majorBidi" w:hAnsiTheme="majorBidi" w:cstheme="majorBidi"/>
          <w:lang w:val="en-GB"/>
        </w:rPr>
        <w:t>–</w:t>
      </w:r>
      <w:r w:rsidRPr="003D2A76">
        <w:rPr>
          <w:rFonts w:asciiTheme="majorBidi" w:hAnsiTheme="majorBidi" w:cstheme="majorBidi"/>
          <w:lang w:val="en-GB"/>
        </w:rPr>
        <w:t xml:space="preserve">34) </w:t>
      </w:r>
      <w:r w:rsidR="00083B01" w:rsidRPr="003D2A76">
        <w:rPr>
          <w:rFonts w:asciiTheme="majorBidi" w:hAnsiTheme="majorBidi" w:cstheme="majorBidi"/>
          <w:lang w:val="en-GB"/>
        </w:rPr>
        <w:t xml:space="preserve">were </w:t>
      </w:r>
      <w:r w:rsidRPr="003D2A76">
        <w:rPr>
          <w:rFonts w:asciiTheme="majorBidi" w:hAnsiTheme="majorBidi" w:cstheme="majorBidi"/>
          <w:lang w:val="en-GB"/>
        </w:rPr>
        <w:t xml:space="preserve">reported to be the most supportive of AI </w:t>
      </w:r>
      <w:r w:rsidR="00083B01" w:rsidRPr="003D2A76">
        <w:rPr>
          <w:rFonts w:asciiTheme="majorBidi" w:hAnsiTheme="majorBidi" w:cstheme="majorBidi"/>
          <w:lang w:val="en-GB"/>
        </w:rPr>
        <w:t>compared to o</w:t>
      </w:r>
      <w:r w:rsidRPr="003D2A76">
        <w:rPr>
          <w:rFonts w:asciiTheme="majorBidi" w:hAnsiTheme="majorBidi" w:cstheme="majorBidi"/>
          <w:lang w:val="en-GB"/>
        </w:rPr>
        <w:t xml:space="preserve">lder </w:t>
      </w:r>
      <w:r w:rsidR="00083B01" w:rsidRPr="003D2A76">
        <w:rPr>
          <w:rFonts w:asciiTheme="majorBidi" w:hAnsiTheme="majorBidi" w:cstheme="majorBidi"/>
          <w:lang w:val="en-GB"/>
        </w:rPr>
        <w:t xml:space="preserve">respondents </w:t>
      </w:r>
      <w:r w:rsidRPr="003D2A76">
        <w:rPr>
          <w:rFonts w:asciiTheme="majorBidi" w:hAnsiTheme="majorBidi" w:cstheme="majorBidi"/>
          <w:lang w:val="en-GB"/>
        </w:rPr>
        <w:t xml:space="preserve">(35+) across all levels of endorsement of each of the </w:t>
      </w:r>
      <w:r w:rsidR="00083B01" w:rsidRPr="003D2A76">
        <w:rPr>
          <w:rFonts w:asciiTheme="majorBidi" w:hAnsiTheme="majorBidi" w:cstheme="majorBidi"/>
          <w:lang w:val="en-GB"/>
        </w:rPr>
        <w:t>variables</w:t>
      </w:r>
      <w:r w:rsidRPr="003D2A76">
        <w:rPr>
          <w:rFonts w:asciiTheme="majorBidi" w:hAnsiTheme="majorBidi" w:cstheme="majorBidi"/>
          <w:lang w:val="en-GB"/>
        </w:rPr>
        <w:t xml:space="preserve">) and two </w:t>
      </w:r>
      <w:r w:rsidR="00083B01" w:rsidRPr="003D2A76">
        <w:rPr>
          <w:rFonts w:asciiTheme="majorBidi" w:hAnsiTheme="majorBidi" w:cstheme="majorBidi"/>
          <w:lang w:val="en-GB"/>
        </w:rPr>
        <w:t xml:space="preserve">income patterns </w:t>
      </w:r>
      <w:r w:rsidRPr="003D2A76">
        <w:rPr>
          <w:rFonts w:asciiTheme="majorBidi" w:hAnsiTheme="majorBidi" w:cstheme="majorBidi"/>
          <w:lang w:val="en-GB"/>
        </w:rPr>
        <w:t xml:space="preserve">(i.e., </w:t>
      </w:r>
      <w:r w:rsidR="00083B01" w:rsidRPr="003D2A76">
        <w:rPr>
          <w:rFonts w:asciiTheme="majorBidi" w:hAnsiTheme="majorBidi" w:cstheme="majorBidi"/>
          <w:lang w:val="en-GB"/>
        </w:rPr>
        <w:t xml:space="preserve">higher income </w:t>
      </w:r>
      <w:r w:rsidRPr="003D2A76">
        <w:rPr>
          <w:rFonts w:asciiTheme="majorBidi" w:hAnsiTheme="majorBidi" w:cstheme="majorBidi"/>
          <w:lang w:val="en-GB"/>
        </w:rPr>
        <w:t xml:space="preserve">[HR] </w:t>
      </w:r>
      <w:r w:rsidR="00083B01" w:rsidRPr="003D2A76">
        <w:rPr>
          <w:rFonts w:asciiTheme="majorBidi" w:hAnsiTheme="majorBidi" w:cstheme="majorBidi"/>
          <w:lang w:val="en-GB"/>
        </w:rPr>
        <w:t xml:space="preserve">respondents </w:t>
      </w:r>
      <w:r w:rsidRPr="003D2A76">
        <w:rPr>
          <w:rFonts w:asciiTheme="majorBidi" w:hAnsiTheme="majorBidi" w:cstheme="majorBidi"/>
          <w:lang w:val="en-GB"/>
        </w:rPr>
        <w:t xml:space="preserve">reported higher levels of Perceived Value than both </w:t>
      </w:r>
      <w:r w:rsidR="00083B01" w:rsidRPr="003D2A76">
        <w:rPr>
          <w:rFonts w:asciiTheme="majorBidi" w:hAnsiTheme="majorBidi" w:cstheme="majorBidi"/>
          <w:lang w:val="en-GB"/>
        </w:rPr>
        <w:t xml:space="preserve">lower income </w:t>
      </w:r>
      <w:r w:rsidRPr="003D2A76">
        <w:rPr>
          <w:rFonts w:asciiTheme="majorBidi" w:hAnsiTheme="majorBidi" w:cstheme="majorBidi"/>
          <w:lang w:val="en-GB"/>
        </w:rPr>
        <w:t xml:space="preserve">(LR) and </w:t>
      </w:r>
      <w:r w:rsidR="00083B01" w:rsidRPr="003D2A76">
        <w:rPr>
          <w:rFonts w:asciiTheme="majorBidi" w:hAnsiTheme="majorBidi" w:cstheme="majorBidi"/>
          <w:lang w:val="en-GB"/>
        </w:rPr>
        <w:t xml:space="preserve">middle income </w:t>
      </w:r>
      <w:r w:rsidRPr="003D2A76">
        <w:rPr>
          <w:rFonts w:asciiTheme="majorBidi" w:hAnsiTheme="majorBidi" w:cstheme="majorBidi"/>
          <w:lang w:val="en-GB"/>
        </w:rPr>
        <w:t xml:space="preserve">(MR) </w:t>
      </w:r>
      <w:r w:rsidR="00083B01" w:rsidRPr="003D2A76">
        <w:rPr>
          <w:rFonts w:asciiTheme="majorBidi" w:hAnsiTheme="majorBidi" w:cstheme="majorBidi"/>
          <w:lang w:val="en-GB"/>
        </w:rPr>
        <w:t>respondents</w:t>
      </w:r>
      <w:r w:rsidRPr="003D2A76">
        <w:rPr>
          <w:rFonts w:asciiTheme="majorBidi" w:hAnsiTheme="majorBidi" w:cstheme="majorBidi"/>
          <w:lang w:val="en-GB"/>
        </w:rPr>
        <w:t xml:space="preserve">; however, Perceived Value was rated low relative to HR </w:t>
      </w:r>
      <w:r w:rsidR="00083B01" w:rsidRPr="003D2A76">
        <w:rPr>
          <w:rFonts w:asciiTheme="majorBidi" w:hAnsiTheme="majorBidi" w:cstheme="majorBidi"/>
          <w:lang w:val="en-GB"/>
        </w:rPr>
        <w:t>respondents,</w:t>
      </w:r>
      <w:r w:rsidRPr="003D2A76">
        <w:rPr>
          <w:rFonts w:asciiTheme="majorBidi" w:hAnsiTheme="majorBidi" w:cstheme="majorBidi"/>
          <w:lang w:val="en-GB"/>
        </w:rPr>
        <w:t xml:space="preserve"> with </w:t>
      </w:r>
      <w:r w:rsidR="00083B01" w:rsidRPr="003D2A76">
        <w:rPr>
          <w:rFonts w:asciiTheme="majorBidi" w:hAnsiTheme="majorBidi" w:cstheme="majorBidi"/>
          <w:lang w:val="en-GB"/>
        </w:rPr>
        <w:t xml:space="preserve">a </w:t>
      </w:r>
      <w:r w:rsidRPr="003D2A76">
        <w:rPr>
          <w:rFonts w:asciiTheme="majorBidi" w:hAnsiTheme="majorBidi" w:cstheme="majorBidi"/>
          <w:lang w:val="en-GB"/>
        </w:rPr>
        <w:t xml:space="preserve">non-linear dip for MR respondents). None of the previous hypotheses of the </w:t>
      </w:r>
      <w:r w:rsidR="00083B01" w:rsidRPr="003D2A76">
        <w:rPr>
          <w:rFonts w:asciiTheme="majorBidi" w:hAnsiTheme="majorBidi" w:cstheme="majorBidi"/>
          <w:lang w:val="en-GB"/>
        </w:rPr>
        <w:t xml:space="preserve">current study </w:t>
      </w:r>
      <w:r w:rsidRPr="003D2A76">
        <w:rPr>
          <w:rFonts w:asciiTheme="majorBidi" w:hAnsiTheme="majorBidi" w:cstheme="majorBidi"/>
          <w:lang w:val="en-GB"/>
        </w:rPr>
        <w:t>should be contradicted; instead</w:t>
      </w:r>
      <w:r w:rsidR="00BC492E">
        <w:rPr>
          <w:rFonts w:asciiTheme="majorBidi" w:hAnsiTheme="majorBidi" w:cstheme="majorBidi"/>
          <w:lang w:val="en-GB"/>
        </w:rPr>
        <w:t>,</w:t>
      </w:r>
      <w:r w:rsidRPr="003D2A76">
        <w:rPr>
          <w:rFonts w:asciiTheme="majorBidi" w:hAnsiTheme="majorBidi" w:cstheme="majorBidi"/>
          <w:lang w:val="en-GB"/>
        </w:rPr>
        <w:t xml:space="preserve"> they provide additional descriptors (shades) that will be examined in the "Practical Implications" of §5.5.</w:t>
      </w:r>
    </w:p>
    <w:p w14:paraId="7EDC4694" w14:textId="77777777" w:rsidR="0042734A" w:rsidRPr="003D2A76" w:rsidRDefault="0042734A" w:rsidP="0042734A">
      <w:pPr>
        <w:bidi w:val="0"/>
        <w:rPr>
          <w:rFonts w:asciiTheme="majorBidi" w:hAnsiTheme="majorBidi" w:cstheme="majorBidi"/>
          <w:lang w:val="en-GB"/>
        </w:rPr>
      </w:pPr>
    </w:p>
    <w:p w14:paraId="68F898E0" w14:textId="77777777" w:rsidR="006A4A5D" w:rsidRPr="003D2A76" w:rsidRDefault="006A4A5D" w:rsidP="00BD6279">
      <w:pPr>
        <w:pStyle w:val="Heading2"/>
        <w:rPr>
          <w:lang w:val="en-GB"/>
        </w:rPr>
      </w:pPr>
      <w:bookmarkStart w:id="145" w:name="_Toc228056593"/>
      <w:r w:rsidRPr="003D2A76">
        <w:rPr>
          <w:rFonts w:ascii="Times New Roman" w:hAnsi="Times New Roman" w:cs="Times New Roman"/>
          <w:lang w:val="en-GB"/>
        </w:rPr>
        <w:t>5.4 Theoretical Contributions</w:t>
      </w:r>
      <w:bookmarkEnd w:id="145"/>
    </w:p>
    <w:p w14:paraId="240DB499" w14:textId="3E02077A"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In this subsection</w:t>
      </w:r>
      <w:r w:rsidR="00BC492E">
        <w:rPr>
          <w:rFonts w:asciiTheme="majorBidi" w:hAnsiTheme="majorBidi" w:cstheme="majorBidi"/>
          <w:lang w:val="en-GB"/>
        </w:rPr>
        <w:t>,</w:t>
      </w:r>
      <w:r w:rsidRPr="003D2A76">
        <w:rPr>
          <w:rFonts w:asciiTheme="majorBidi" w:hAnsiTheme="majorBidi" w:cstheme="majorBidi"/>
          <w:lang w:val="en-GB"/>
        </w:rPr>
        <w:t xml:space="preserve"> the </w:t>
      </w:r>
      <w:r w:rsidR="00083B01" w:rsidRPr="003D2A76">
        <w:rPr>
          <w:rFonts w:asciiTheme="majorBidi" w:hAnsiTheme="majorBidi" w:cstheme="majorBidi"/>
          <w:lang w:val="en-GB"/>
        </w:rPr>
        <w:t xml:space="preserve">results </w:t>
      </w:r>
      <w:r w:rsidRPr="003D2A76">
        <w:rPr>
          <w:rFonts w:asciiTheme="majorBidi" w:hAnsiTheme="majorBidi" w:cstheme="majorBidi"/>
          <w:lang w:val="en-GB"/>
        </w:rPr>
        <w:t xml:space="preserve">of the </w:t>
      </w:r>
      <w:r w:rsidR="00083B01" w:rsidRPr="003D2A76">
        <w:rPr>
          <w:rFonts w:asciiTheme="majorBidi" w:hAnsiTheme="majorBidi" w:cstheme="majorBidi"/>
          <w:lang w:val="en-GB"/>
        </w:rPr>
        <w:t xml:space="preserve">current study </w:t>
      </w:r>
      <w:r w:rsidRPr="003D2A76">
        <w:rPr>
          <w:rFonts w:asciiTheme="majorBidi" w:hAnsiTheme="majorBidi" w:cstheme="majorBidi"/>
          <w:lang w:val="en-GB"/>
        </w:rPr>
        <w:t xml:space="preserve">(Study 4) will be compared to the four </w:t>
      </w:r>
      <w:r w:rsidR="00083B01" w:rsidRPr="003D2A76">
        <w:rPr>
          <w:rFonts w:asciiTheme="majorBidi" w:hAnsiTheme="majorBidi" w:cstheme="majorBidi"/>
          <w:lang w:val="en-GB"/>
        </w:rPr>
        <w:t xml:space="preserve">theoretical frameworks </w:t>
      </w:r>
      <w:r w:rsidRPr="003D2A76">
        <w:rPr>
          <w:rFonts w:asciiTheme="majorBidi" w:hAnsiTheme="majorBidi" w:cstheme="majorBidi"/>
          <w:lang w:val="en-GB"/>
        </w:rPr>
        <w:t>presented previously in Chapter 2, §2.3</w:t>
      </w:r>
      <w:r w:rsidR="00BC492E">
        <w:rPr>
          <w:rFonts w:asciiTheme="majorBidi" w:hAnsiTheme="majorBidi" w:cstheme="majorBidi"/>
          <w:lang w:val="en-GB"/>
        </w:rPr>
        <w:t>,</w:t>
      </w:r>
      <w:r w:rsidRPr="003D2A76">
        <w:rPr>
          <w:rFonts w:asciiTheme="majorBidi" w:hAnsiTheme="majorBidi" w:cstheme="majorBidi"/>
          <w:lang w:val="en-GB"/>
        </w:rPr>
        <w:t xml:space="preserve"> and integrated together into a single Trust-Value-Quality Framework for the </w:t>
      </w:r>
      <w:r w:rsidR="00083B01" w:rsidRPr="003D2A76">
        <w:rPr>
          <w:rFonts w:asciiTheme="majorBidi" w:hAnsiTheme="majorBidi" w:cstheme="majorBidi"/>
          <w:lang w:val="en-GB"/>
        </w:rPr>
        <w:t xml:space="preserve">adoption </w:t>
      </w:r>
      <w:r w:rsidRPr="003D2A76">
        <w:rPr>
          <w:rFonts w:asciiTheme="majorBidi" w:hAnsiTheme="majorBidi" w:cstheme="majorBidi"/>
          <w:lang w:val="en-GB"/>
        </w:rPr>
        <w:t xml:space="preserve">of AI in </w:t>
      </w:r>
      <w:r w:rsidR="00083B01" w:rsidRPr="003D2A76">
        <w:rPr>
          <w:rFonts w:asciiTheme="majorBidi" w:hAnsiTheme="majorBidi" w:cstheme="majorBidi"/>
          <w:lang w:val="en-GB"/>
        </w:rPr>
        <w:t>education</w:t>
      </w:r>
      <w:r w:rsidRPr="003D2A76">
        <w:rPr>
          <w:rFonts w:asciiTheme="majorBidi" w:hAnsiTheme="majorBidi" w:cstheme="majorBidi"/>
          <w:lang w:val="en-GB"/>
        </w:rPr>
        <w:t xml:space="preserve">. The primary purpose of this integration process is to take a PhD from simply testing a theory/model to refining all of the underlying </w:t>
      </w:r>
      <w:r w:rsidR="00083B01" w:rsidRPr="003D2A76">
        <w:rPr>
          <w:rFonts w:asciiTheme="majorBidi" w:hAnsiTheme="majorBidi" w:cstheme="majorBidi"/>
          <w:lang w:val="en-GB"/>
        </w:rPr>
        <w:t xml:space="preserve">theory </w:t>
      </w:r>
      <w:r w:rsidRPr="003D2A76">
        <w:rPr>
          <w:rFonts w:asciiTheme="majorBidi" w:hAnsiTheme="majorBidi" w:cstheme="majorBidi"/>
          <w:lang w:val="en-GB"/>
        </w:rPr>
        <w:t xml:space="preserve">that was developed in support of a </w:t>
      </w:r>
      <w:r w:rsidR="00083B01" w:rsidRPr="003D2A76">
        <w:rPr>
          <w:rFonts w:asciiTheme="majorBidi" w:hAnsiTheme="majorBidi" w:cstheme="majorBidi"/>
          <w:lang w:val="en-GB"/>
        </w:rPr>
        <w:t xml:space="preserve">research framework </w:t>
      </w:r>
      <w:r w:rsidRPr="003D2A76">
        <w:rPr>
          <w:rFonts w:asciiTheme="majorBidi" w:hAnsiTheme="majorBidi" w:cstheme="majorBidi"/>
          <w:lang w:val="en-GB"/>
        </w:rPr>
        <w:t>upon which the studied model is based.</w:t>
      </w:r>
    </w:p>
    <w:p w14:paraId="3CD628A6" w14:textId="7C66A14E"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 xml:space="preserve">5.4.1 Contribution to the </w:t>
      </w:r>
      <w:r w:rsidR="00083B01" w:rsidRPr="003D2A76">
        <w:rPr>
          <w:rFonts w:asciiTheme="majorBidi" w:hAnsiTheme="majorBidi" w:cstheme="majorBidi"/>
          <w:b/>
          <w:i/>
          <w:lang w:val="en-GB"/>
        </w:rPr>
        <w:t>TAM</w:t>
      </w:r>
    </w:p>
    <w:p w14:paraId="7EE244B0" w14:textId="611D52F5"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In </w:t>
      </w:r>
      <w:r w:rsidR="003D2A76" w:rsidRPr="003D2A76">
        <w:rPr>
          <w:rFonts w:asciiTheme="majorBidi" w:hAnsiTheme="majorBidi" w:cstheme="majorBidi"/>
          <w:lang w:val="en-GB"/>
        </w:rPr>
        <w:t>Davis’s</w:t>
      </w:r>
      <w:r w:rsidRPr="003D2A76">
        <w:rPr>
          <w:rFonts w:asciiTheme="majorBidi" w:hAnsiTheme="majorBidi" w:cstheme="majorBidi"/>
          <w:lang w:val="en-GB"/>
        </w:rPr>
        <w:t xml:space="preserve"> first version of the TAM (1989), behavio</w:t>
      </w:r>
      <w:r w:rsidR="00083B01" w:rsidRPr="003D2A76">
        <w:rPr>
          <w:rFonts w:asciiTheme="majorBidi" w:hAnsiTheme="majorBidi" w:cstheme="majorBidi"/>
          <w:lang w:val="en-GB"/>
        </w:rPr>
        <w:t>u</w:t>
      </w:r>
      <w:r w:rsidRPr="003D2A76">
        <w:rPr>
          <w:rFonts w:asciiTheme="majorBidi" w:hAnsiTheme="majorBidi" w:cstheme="majorBidi"/>
          <w:lang w:val="en-GB"/>
        </w:rPr>
        <w:t xml:space="preserve">ral intention was created between the perceptions of usefulness and ease of use via attitude. The second version of the TAM (Venkatesh &amp; Davis, 2000) and the UTAUT (Venkatesh et al., 2003) extended the model </w:t>
      </w:r>
      <w:r w:rsidR="00BC492E">
        <w:rPr>
          <w:rFonts w:asciiTheme="majorBidi" w:hAnsiTheme="majorBidi" w:cstheme="majorBidi"/>
          <w:lang w:val="en-GB"/>
        </w:rPr>
        <w:t>over</w:t>
      </w:r>
      <w:r w:rsidRPr="003D2A76">
        <w:rPr>
          <w:rFonts w:asciiTheme="majorBidi" w:hAnsiTheme="majorBidi" w:cstheme="majorBidi"/>
          <w:lang w:val="en-GB"/>
        </w:rPr>
        <w:t xml:space="preserve"> time. </w:t>
      </w:r>
      <w:r w:rsidRPr="003D2A76">
        <w:rPr>
          <w:rFonts w:asciiTheme="majorBidi" w:hAnsiTheme="majorBidi" w:cstheme="majorBidi"/>
          <w:lang w:val="en-GB"/>
        </w:rPr>
        <w:br/>
      </w:r>
      <w:r w:rsidRPr="003D2A76">
        <w:rPr>
          <w:rFonts w:asciiTheme="majorBidi" w:hAnsiTheme="majorBidi" w:cstheme="majorBidi"/>
          <w:lang w:val="en-GB"/>
        </w:rPr>
        <w:lastRenderedPageBreak/>
        <w:t>The research supports two new contributions. The first new contribution is that in the educational-service credence context, behavio</w:t>
      </w:r>
      <w:r w:rsidR="00083B01" w:rsidRPr="003D2A76">
        <w:rPr>
          <w:rFonts w:asciiTheme="majorBidi" w:hAnsiTheme="majorBidi" w:cstheme="majorBidi"/>
          <w:lang w:val="en-GB"/>
        </w:rPr>
        <w:t>u</w:t>
      </w:r>
      <w:r w:rsidRPr="003D2A76">
        <w:rPr>
          <w:rFonts w:asciiTheme="majorBidi" w:hAnsiTheme="majorBidi" w:cstheme="majorBidi"/>
          <w:lang w:val="en-GB"/>
        </w:rPr>
        <w:t>ral intention won't develop directly from the two perceptions of usefulness and ease of use. Behavio</w:t>
      </w:r>
      <w:r w:rsidR="00083B01" w:rsidRPr="003D2A76">
        <w:rPr>
          <w:rFonts w:asciiTheme="majorBidi" w:hAnsiTheme="majorBidi" w:cstheme="majorBidi"/>
          <w:lang w:val="en-GB"/>
        </w:rPr>
        <w:t>u</w:t>
      </w:r>
      <w:r w:rsidRPr="003D2A76">
        <w:rPr>
          <w:rFonts w:asciiTheme="majorBidi" w:hAnsiTheme="majorBidi" w:cstheme="majorBidi"/>
          <w:lang w:val="en-GB"/>
        </w:rPr>
        <w:t>ral intention will develop via the mediating constructs of service quality, trust, and perceived value, as evidenced by §2.3.1. When technology is embedded in a service (i.e., used as part of) and not in and of itself, the mediating constructs of service quality must be incorporated into the original model of TAM (Davis).</w:t>
      </w:r>
    </w:p>
    <w:p w14:paraId="497212B7" w14:textId="58240C9B" w:rsidR="006A4A5D" w:rsidRDefault="006A4A5D" w:rsidP="00BD6279">
      <w:pPr>
        <w:bidi w:val="0"/>
        <w:rPr>
          <w:rFonts w:asciiTheme="majorBidi" w:hAnsiTheme="majorBidi" w:cstheme="majorBidi"/>
          <w:lang w:val="en-GB"/>
        </w:rPr>
      </w:pPr>
      <w:r w:rsidRPr="003D2A76">
        <w:rPr>
          <w:rFonts w:asciiTheme="majorBidi" w:hAnsiTheme="majorBidi" w:cstheme="majorBidi"/>
          <w:lang w:val="en-GB"/>
        </w:rPr>
        <w:t>Second, AI adoption in education is not one uniform construct. The domain-specific results (H1 and H2 on service quality; H4 and H5 on trust; H7 and H8 on value; H10 and H11 unsupported; H12 partially supported for teaching but not marketing) point toward</w:t>
      </w:r>
      <w:r w:rsidR="00083B01" w:rsidRPr="003D2A76">
        <w:rPr>
          <w:rFonts w:asciiTheme="majorBidi" w:hAnsiTheme="majorBidi" w:cstheme="majorBidi"/>
          <w:lang w:val="en-GB"/>
        </w:rPr>
        <w:t>s</w:t>
      </w:r>
      <w:r w:rsidRPr="003D2A76">
        <w:rPr>
          <w:rFonts w:asciiTheme="majorBidi" w:hAnsiTheme="majorBidi" w:cstheme="majorBidi"/>
          <w:lang w:val="en-GB"/>
        </w:rPr>
        <w:t xml:space="preserve"> a disaggregated TAM. Teaching-side AI and marketing-side AI behave differently. Chapter 2, §2.4.1 and §2.4.2 hinted at this; direct evidence backs it now. Future studies should operationalise TAM with at least two distinct AI-domain measures in educational settings, not a bundled technology index. Marketing AI and teaching AI are different technologies in </w:t>
      </w:r>
      <w:r w:rsidR="00083B01" w:rsidRPr="003D2A76">
        <w:rPr>
          <w:rFonts w:asciiTheme="majorBidi" w:hAnsiTheme="majorBidi" w:cstheme="majorBidi"/>
          <w:lang w:val="en-GB"/>
        </w:rPr>
        <w:t xml:space="preserve">terms of </w:t>
      </w:r>
      <w:r w:rsidRPr="003D2A76">
        <w:rPr>
          <w:rFonts w:asciiTheme="majorBidi" w:hAnsiTheme="majorBidi" w:cstheme="majorBidi"/>
          <w:lang w:val="en-GB"/>
        </w:rPr>
        <w:t>how parents perceive them.</w:t>
      </w:r>
    </w:p>
    <w:p w14:paraId="7A047AC9" w14:textId="77777777" w:rsidR="00BC492E" w:rsidRPr="003D2A76" w:rsidRDefault="00BC492E" w:rsidP="00BC492E">
      <w:pPr>
        <w:bidi w:val="0"/>
        <w:rPr>
          <w:rFonts w:asciiTheme="majorBidi" w:hAnsiTheme="majorBidi" w:cstheme="majorBidi"/>
          <w:lang w:val="en-GB"/>
        </w:rPr>
      </w:pPr>
    </w:p>
    <w:p w14:paraId="3844DD35" w14:textId="2E47C1D4"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 xml:space="preserve">5.4.2 Contribution to the </w:t>
      </w:r>
      <w:r w:rsidR="00083B01" w:rsidRPr="003D2A76">
        <w:rPr>
          <w:rFonts w:asciiTheme="majorBidi" w:hAnsiTheme="majorBidi" w:cstheme="majorBidi"/>
          <w:b/>
          <w:i/>
          <w:lang w:val="en-GB"/>
        </w:rPr>
        <w:t>TPB</w:t>
      </w:r>
    </w:p>
    <w:p w14:paraId="44E71538" w14:textId="66DA152C"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The TPB (Ajzen, 1991) is built off the three constructs of attitude, subjective norm, and perceived behavio</w:t>
      </w:r>
      <w:r w:rsidR="00083B01" w:rsidRPr="003D2A76">
        <w:rPr>
          <w:rFonts w:asciiTheme="majorBidi" w:hAnsiTheme="majorBidi" w:cstheme="majorBidi"/>
          <w:lang w:val="en-GB"/>
        </w:rPr>
        <w:t>u</w:t>
      </w:r>
      <w:r w:rsidRPr="003D2A76">
        <w:rPr>
          <w:rFonts w:asciiTheme="majorBidi" w:hAnsiTheme="majorBidi" w:cstheme="majorBidi"/>
          <w:lang w:val="en-GB"/>
        </w:rPr>
        <w:t xml:space="preserve">ral control as they relate to the development of </w:t>
      </w:r>
      <w:r w:rsidR="003D2A76" w:rsidRPr="003D2A76">
        <w:rPr>
          <w:rFonts w:asciiTheme="majorBidi" w:hAnsiTheme="majorBidi" w:cstheme="majorBidi"/>
          <w:lang w:val="en-GB"/>
        </w:rPr>
        <w:t>behavioural</w:t>
      </w:r>
      <w:r w:rsidRPr="003D2A76">
        <w:rPr>
          <w:rFonts w:asciiTheme="majorBidi" w:hAnsiTheme="majorBidi" w:cstheme="majorBidi"/>
          <w:lang w:val="en-GB"/>
        </w:rPr>
        <w:t xml:space="preserve"> intention. Chapter 2 at §2.3.2 supports that in the case of Saudi Arabian schools (in the consideration stage), the major constructs of subjective norm and perceived behavio</w:t>
      </w:r>
      <w:r w:rsidR="00083B01" w:rsidRPr="003D2A76">
        <w:rPr>
          <w:rFonts w:asciiTheme="majorBidi" w:hAnsiTheme="majorBidi" w:cstheme="majorBidi"/>
          <w:lang w:val="en-GB"/>
        </w:rPr>
        <w:t>u</w:t>
      </w:r>
      <w:r w:rsidRPr="003D2A76">
        <w:rPr>
          <w:rFonts w:asciiTheme="majorBidi" w:hAnsiTheme="majorBidi" w:cstheme="majorBidi"/>
          <w:lang w:val="en-GB"/>
        </w:rPr>
        <w:t xml:space="preserve">ral control have more effect on the final decision due to the nested structure of a large number of cultural influences such as family, religion, and the Vision 2030 </w:t>
      </w:r>
      <w:r w:rsidR="00083B01" w:rsidRPr="003D2A76">
        <w:rPr>
          <w:rFonts w:asciiTheme="majorBidi" w:hAnsiTheme="majorBidi" w:cstheme="majorBidi"/>
          <w:lang w:val="en-GB"/>
        </w:rPr>
        <w:t xml:space="preserve">policy </w:t>
      </w:r>
      <w:r w:rsidR="00083B01" w:rsidRPr="003D2A76">
        <w:rPr>
          <w:rFonts w:asciiTheme="majorBidi" w:hAnsiTheme="majorBidi" w:cstheme="majorBidi"/>
          <w:lang w:val="en-GB"/>
        </w:rPr>
        <w:lastRenderedPageBreak/>
        <w:t>framework</w:t>
      </w:r>
      <w:r w:rsidRPr="003D2A76">
        <w:rPr>
          <w:rFonts w:asciiTheme="majorBidi" w:hAnsiTheme="majorBidi" w:cstheme="majorBidi"/>
          <w:lang w:val="en-GB"/>
        </w:rPr>
        <w:t xml:space="preserve">. The result of the two cultural factors found to moderate </w:t>
      </w:r>
      <w:r w:rsidR="00083B01" w:rsidRPr="003D2A76">
        <w:rPr>
          <w:rFonts w:asciiTheme="majorBidi" w:hAnsiTheme="majorBidi" w:cstheme="majorBidi"/>
          <w:lang w:val="en-GB"/>
        </w:rPr>
        <w:t xml:space="preserve">school selection decisions </w:t>
      </w:r>
      <w:r w:rsidRPr="003D2A76">
        <w:rPr>
          <w:rFonts w:asciiTheme="majorBidi" w:hAnsiTheme="majorBidi" w:cstheme="majorBidi"/>
          <w:lang w:val="en-GB"/>
        </w:rPr>
        <w:t xml:space="preserve">as it relates to </w:t>
      </w:r>
      <w:r w:rsidR="00083B01" w:rsidRPr="003D2A76">
        <w:rPr>
          <w:rFonts w:asciiTheme="majorBidi" w:hAnsiTheme="majorBidi" w:cstheme="majorBidi"/>
          <w:lang w:val="en-GB"/>
        </w:rPr>
        <w:t xml:space="preserve">teaching path </w:t>
      </w:r>
      <w:r w:rsidRPr="003D2A76">
        <w:rPr>
          <w:rFonts w:asciiTheme="majorBidi" w:hAnsiTheme="majorBidi" w:cstheme="majorBidi"/>
          <w:lang w:val="en-GB"/>
        </w:rPr>
        <w:t>(H12) supports this argument. The study's cultural-factors measure includes family values, religious orientation, and gender preferences (Chapter 1, §1.6), which align with TPB's subjective-norm component.</w:t>
      </w:r>
    </w:p>
    <w:p w14:paraId="7025CC73" w14:textId="18E7611D" w:rsidR="006A4A5D"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The primary conclusion regarding the contribution of cultural factors in TPB is </w:t>
      </w:r>
      <w:r w:rsidR="00083B01" w:rsidRPr="003D2A76">
        <w:rPr>
          <w:rFonts w:asciiTheme="majorBidi" w:hAnsiTheme="majorBidi" w:cstheme="majorBidi"/>
          <w:lang w:val="en-GB"/>
        </w:rPr>
        <w:t xml:space="preserve">that </w:t>
      </w:r>
      <w:r w:rsidRPr="003D2A76">
        <w:rPr>
          <w:rFonts w:asciiTheme="majorBidi" w:hAnsiTheme="majorBidi" w:cstheme="majorBidi"/>
          <w:lang w:val="en-GB"/>
        </w:rPr>
        <w:t xml:space="preserve">subjective norms do not have a non-variable effect regardless of the source of </w:t>
      </w:r>
      <w:r w:rsidR="00083B01" w:rsidRPr="003D2A76">
        <w:rPr>
          <w:rFonts w:asciiTheme="majorBidi" w:hAnsiTheme="majorBidi" w:cstheme="majorBidi"/>
          <w:lang w:val="en-GB"/>
        </w:rPr>
        <w:t xml:space="preserve">the </w:t>
      </w:r>
      <w:r w:rsidRPr="003D2A76">
        <w:rPr>
          <w:rFonts w:asciiTheme="majorBidi" w:hAnsiTheme="majorBidi" w:cstheme="majorBidi"/>
          <w:lang w:val="en-GB"/>
        </w:rPr>
        <w:t xml:space="preserve">technology within an educational-system domain. That is to say, with daily implementation of technology in the classroom through the use of AI (i.e., AI </w:t>
      </w:r>
      <w:r w:rsidR="00083B01" w:rsidRPr="003D2A76">
        <w:rPr>
          <w:rFonts w:asciiTheme="majorBidi" w:hAnsiTheme="majorBidi" w:cstheme="majorBidi"/>
          <w:lang w:val="en-GB"/>
        </w:rPr>
        <w:t>teaching</w:t>
      </w:r>
      <w:r w:rsidRPr="003D2A76">
        <w:rPr>
          <w:rFonts w:asciiTheme="majorBidi" w:hAnsiTheme="majorBidi" w:cstheme="majorBidi"/>
          <w:lang w:val="en-GB"/>
        </w:rPr>
        <w:t xml:space="preserve">), subjective norms will be meaningful to users. However, when </w:t>
      </w:r>
      <w:r w:rsidR="00083B01" w:rsidRPr="003D2A76">
        <w:rPr>
          <w:rFonts w:asciiTheme="majorBidi" w:hAnsiTheme="majorBidi" w:cstheme="majorBidi"/>
          <w:lang w:val="en-GB"/>
        </w:rPr>
        <w:t xml:space="preserve">technology </w:t>
      </w:r>
      <w:r w:rsidRPr="003D2A76">
        <w:rPr>
          <w:rFonts w:asciiTheme="majorBidi" w:hAnsiTheme="majorBidi" w:cstheme="majorBidi"/>
          <w:lang w:val="en-GB"/>
        </w:rPr>
        <w:t>exists in the context of marketing or communication associated with the enrolment process, subjective norms do not have a direct relationship to overall usage. Frequently, studies regarding TPB</w:t>
      </w:r>
      <w:r w:rsidR="00083B01" w:rsidRPr="003D2A76">
        <w:rPr>
          <w:rFonts w:asciiTheme="majorBidi" w:hAnsiTheme="majorBidi" w:cstheme="majorBidi"/>
          <w:lang w:val="en-GB"/>
        </w:rPr>
        <w:t xml:space="preserve"> have</w:t>
      </w:r>
      <w:r w:rsidRPr="003D2A76">
        <w:rPr>
          <w:rFonts w:asciiTheme="majorBidi" w:hAnsiTheme="majorBidi" w:cstheme="majorBidi"/>
          <w:lang w:val="en-GB"/>
        </w:rPr>
        <w:t xml:space="preserve"> assumed that all users experience the same level of influence from subjective norms </w:t>
      </w:r>
      <w:r w:rsidR="00083B01" w:rsidRPr="003D2A76">
        <w:rPr>
          <w:rFonts w:asciiTheme="majorBidi" w:hAnsiTheme="majorBidi" w:cstheme="majorBidi"/>
          <w:lang w:val="en-GB"/>
        </w:rPr>
        <w:t xml:space="preserve">related to </w:t>
      </w:r>
      <w:r w:rsidRPr="003D2A76">
        <w:rPr>
          <w:rFonts w:asciiTheme="majorBidi" w:hAnsiTheme="majorBidi" w:cstheme="majorBidi"/>
          <w:lang w:val="en-GB"/>
        </w:rPr>
        <w:t>their technology usage with the same strength. This research shows that there are differences in the influence of subjective norms on technology usage based upon the domain of contact for that technology and that this needs to be given consideration, especially within the context of culturally embedded service delivery environments (e.g., an ethnically and religiously diverse K-12 system).</w:t>
      </w:r>
    </w:p>
    <w:p w14:paraId="7F85652E" w14:textId="77777777" w:rsidR="00BC492E" w:rsidRPr="003D2A76" w:rsidRDefault="00BC492E" w:rsidP="00BC492E">
      <w:pPr>
        <w:bidi w:val="0"/>
        <w:rPr>
          <w:rFonts w:asciiTheme="majorBidi" w:hAnsiTheme="majorBidi" w:cstheme="majorBidi"/>
          <w:lang w:val="en-GB"/>
        </w:rPr>
      </w:pPr>
    </w:p>
    <w:p w14:paraId="75214013"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5.4.3 Contribution to SERVQUAL</w:t>
      </w:r>
    </w:p>
    <w:p w14:paraId="17A4131D" w14:textId="42D48979"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We employed the SERVQUAL </w:t>
      </w:r>
      <w:r w:rsidR="00083B01" w:rsidRPr="003D2A76">
        <w:rPr>
          <w:rFonts w:asciiTheme="majorBidi" w:hAnsiTheme="majorBidi" w:cstheme="majorBidi"/>
          <w:lang w:val="en-GB"/>
        </w:rPr>
        <w:t xml:space="preserve">model </w:t>
      </w:r>
      <w:r w:rsidRPr="003D2A76">
        <w:rPr>
          <w:rFonts w:asciiTheme="majorBidi" w:hAnsiTheme="majorBidi" w:cstheme="majorBidi"/>
          <w:lang w:val="en-GB"/>
        </w:rPr>
        <w:t xml:space="preserve">(Parasuraman, Zeithaml, &amp; Berry, 1988) to establish five dimensions of quality: </w:t>
      </w:r>
      <w:r w:rsidR="00083B01" w:rsidRPr="003D2A76">
        <w:rPr>
          <w:rFonts w:asciiTheme="majorBidi" w:hAnsiTheme="majorBidi" w:cstheme="majorBidi"/>
          <w:lang w:val="en-GB"/>
        </w:rPr>
        <w:t>tangibles</w:t>
      </w:r>
      <w:r w:rsidRPr="003D2A76">
        <w:rPr>
          <w:rFonts w:asciiTheme="majorBidi" w:hAnsiTheme="majorBidi" w:cstheme="majorBidi"/>
          <w:lang w:val="en-GB"/>
        </w:rPr>
        <w:t xml:space="preserve">, </w:t>
      </w:r>
      <w:r w:rsidR="00083B01" w:rsidRPr="003D2A76">
        <w:rPr>
          <w:rFonts w:asciiTheme="majorBidi" w:hAnsiTheme="majorBidi" w:cstheme="majorBidi"/>
          <w:lang w:val="en-GB"/>
        </w:rPr>
        <w:t>reliability</w:t>
      </w:r>
      <w:r w:rsidRPr="003D2A76">
        <w:rPr>
          <w:rFonts w:asciiTheme="majorBidi" w:hAnsiTheme="majorBidi" w:cstheme="majorBidi"/>
          <w:lang w:val="en-GB"/>
        </w:rPr>
        <w:t xml:space="preserve">, </w:t>
      </w:r>
      <w:r w:rsidR="00083B01" w:rsidRPr="003D2A76">
        <w:rPr>
          <w:rFonts w:asciiTheme="majorBidi" w:hAnsiTheme="majorBidi" w:cstheme="majorBidi"/>
          <w:lang w:val="en-GB"/>
        </w:rPr>
        <w:t>responsiveness</w:t>
      </w:r>
      <w:r w:rsidRPr="003D2A76">
        <w:rPr>
          <w:rFonts w:asciiTheme="majorBidi" w:hAnsiTheme="majorBidi" w:cstheme="majorBidi"/>
          <w:lang w:val="en-GB"/>
        </w:rPr>
        <w:t xml:space="preserve">, </w:t>
      </w:r>
      <w:r w:rsidR="00083B01" w:rsidRPr="003D2A76">
        <w:rPr>
          <w:rFonts w:asciiTheme="majorBidi" w:hAnsiTheme="majorBidi" w:cstheme="majorBidi"/>
          <w:lang w:val="en-GB"/>
        </w:rPr>
        <w:t>assurance</w:t>
      </w:r>
      <w:r w:rsidRPr="003D2A76">
        <w:rPr>
          <w:rFonts w:asciiTheme="majorBidi" w:hAnsiTheme="majorBidi" w:cstheme="majorBidi"/>
          <w:lang w:val="en-GB"/>
        </w:rPr>
        <w:t xml:space="preserve">, and </w:t>
      </w:r>
      <w:r w:rsidR="00083B01" w:rsidRPr="003D2A76">
        <w:rPr>
          <w:rFonts w:asciiTheme="majorBidi" w:hAnsiTheme="majorBidi" w:cstheme="majorBidi"/>
          <w:lang w:val="en-GB"/>
        </w:rPr>
        <w:t>empathy</w:t>
      </w:r>
      <w:r w:rsidRPr="003D2A76">
        <w:rPr>
          <w:rFonts w:asciiTheme="majorBidi" w:hAnsiTheme="majorBidi" w:cstheme="majorBidi"/>
          <w:lang w:val="en-GB"/>
        </w:rPr>
        <w:t xml:space="preserve">. The findings from the measurement model presented in Chapter 4 supported the five-factor model of the modified instrument, making this a methodological benefit. The </w:t>
      </w:r>
      <w:r w:rsidRPr="003D2A76">
        <w:rPr>
          <w:rFonts w:asciiTheme="majorBidi" w:hAnsiTheme="majorBidi" w:cstheme="majorBidi"/>
          <w:lang w:val="en-GB"/>
        </w:rPr>
        <w:lastRenderedPageBreak/>
        <w:t xml:space="preserve">substantive conclusion from this study is </w:t>
      </w:r>
      <w:r w:rsidR="00083B01" w:rsidRPr="003D2A76">
        <w:rPr>
          <w:rFonts w:asciiTheme="majorBidi" w:hAnsiTheme="majorBidi" w:cstheme="majorBidi"/>
          <w:lang w:val="en-GB"/>
        </w:rPr>
        <w:t xml:space="preserve">that </w:t>
      </w:r>
      <w:r w:rsidRPr="003D2A76">
        <w:rPr>
          <w:rFonts w:asciiTheme="majorBidi" w:hAnsiTheme="majorBidi" w:cstheme="majorBidi"/>
          <w:lang w:val="en-GB"/>
        </w:rPr>
        <w:t xml:space="preserve">the constructs that reflect reliability and responsiveness will exert more influence than any other construct within the quality/intention relationship when assessing quality in educational delivery enhanced by AI. </w:t>
      </w:r>
      <w:r w:rsidRPr="003D2A76">
        <w:rPr>
          <w:rFonts w:asciiTheme="majorBidi" w:hAnsiTheme="majorBidi" w:cstheme="majorBidi"/>
          <w:lang w:val="en-GB"/>
        </w:rPr>
        <w:br/>
        <w:t>Reliability and responsiveness are easily influenced by AI. AI can influence reliability more effectively than any other means of educational service delivery (e.g., AI can improve the reliability of results, decrease the number of scheduling glitches), but empathy continues to be delivered in-person by humans. Thus, due to the reliability and responsiveness of AI education delivery, these two constructs will have the heaviest load in determining the qualitative/quantitative link between AI and commitment.</w:t>
      </w:r>
    </w:p>
    <w:p w14:paraId="0C7DFCE8" w14:textId="260B96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A modest SERVQUAL extension is proposed here. The adapted instrument in §3.5 added questions about how parents perceive algorithmic fairness and data handling. These items clustered on the assurance dimension. In AI-enhanced contexts, assurance should be read as a pairing: traditional professional assurance (teacher credentials, school standing) and algorithmic assurance (fairness, clarity, accountability). This compound reading of assurance is the main SERVQUAL refinement the study advances.</w:t>
      </w:r>
    </w:p>
    <w:p w14:paraId="25980B6E" w14:textId="77777777" w:rsidR="0042734A" w:rsidRPr="003D2A76" w:rsidRDefault="0042734A" w:rsidP="0042734A">
      <w:pPr>
        <w:bidi w:val="0"/>
        <w:rPr>
          <w:rFonts w:asciiTheme="majorBidi" w:hAnsiTheme="majorBidi" w:cstheme="majorBidi"/>
          <w:lang w:val="en-GB"/>
        </w:rPr>
      </w:pPr>
    </w:p>
    <w:p w14:paraId="585BFAB1"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5.4.4 Contribution to Perceived Value Theory</w:t>
      </w:r>
    </w:p>
    <w:p w14:paraId="5BAD2ACC" w14:textId="74058F68"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According to theorists of perceived value (Zeithaml, 1988; Sweeney &amp; Soutar, 2001) perceived value can incorporate </w:t>
      </w:r>
      <w:r w:rsidR="00250F46" w:rsidRPr="003D2A76">
        <w:rPr>
          <w:rFonts w:asciiTheme="majorBidi" w:hAnsiTheme="majorBidi" w:cstheme="majorBidi"/>
          <w:lang w:val="en-GB"/>
        </w:rPr>
        <w:t>the following factors</w:t>
      </w:r>
      <w:r w:rsidRPr="003D2A76">
        <w:rPr>
          <w:rFonts w:asciiTheme="majorBidi" w:hAnsiTheme="majorBidi" w:cstheme="majorBidi"/>
          <w:lang w:val="en-GB"/>
        </w:rPr>
        <w:t xml:space="preserve">: functional, emotional, social, monetary. As stated in Chapter 4 of this report, all four factors can be found in the Jeddah study sample. The theoretical implications for this finding are found in the relationship between the suppression pattern from H7 and H8. When the perceived value of AI is </w:t>
      </w:r>
      <w:r w:rsidRPr="003D2A76">
        <w:rPr>
          <w:rFonts w:asciiTheme="majorBidi" w:hAnsiTheme="majorBidi" w:cstheme="majorBidi"/>
          <w:lang w:val="en-GB"/>
        </w:rPr>
        <w:lastRenderedPageBreak/>
        <w:t>included in the analysis of the data</w:t>
      </w:r>
      <w:r w:rsidR="004E058C">
        <w:rPr>
          <w:rFonts w:asciiTheme="majorBidi" w:hAnsiTheme="majorBidi" w:cstheme="majorBidi"/>
          <w:lang w:val="en-GB"/>
        </w:rPr>
        <w:t>,</w:t>
      </w:r>
      <w:r w:rsidRPr="003D2A76">
        <w:rPr>
          <w:rFonts w:asciiTheme="majorBidi" w:hAnsiTheme="majorBidi" w:cstheme="majorBidi"/>
          <w:lang w:val="en-GB"/>
        </w:rPr>
        <w:t xml:space="preserve"> the direct relationship between AI adoption and intent switches from a positive correlation to a negative correlation</w:t>
      </w:r>
      <w:r w:rsidR="00250F46" w:rsidRPr="003D2A76">
        <w:rPr>
          <w:rFonts w:asciiTheme="majorBidi" w:hAnsiTheme="majorBidi" w:cstheme="majorBidi"/>
          <w:lang w:val="en-GB"/>
        </w:rPr>
        <w:t>;</w:t>
      </w:r>
      <w:r w:rsidRPr="003D2A76">
        <w:rPr>
          <w:rFonts w:asciiTheme="majorBidi" w:hAnsiTheme="majorBidi" w:cstheme="majorBidi"/>
          <w:lang w:val="en-GB"/>
        </w:rPr>
        <w:t xml:space="preserve"> however</w:t>
      </w:r>
      <w:r w:rsidR="00250F46" w:rsidRPr="003D2A76">
        <w:rPr>
          <w:rFonts w:asciiTheme="majorBidi" w:hAnsiTheme="majorBidi" w:cstheme="majorBidi"/>
          <w:lang w:val="en-GB"/>
        </w:rPr>
        <w:t>,</w:t>
      </w:r>
      <w:r w:rsidRPr="003D2A76">
        <w:rPr>
          <w:rFonts w:asciiTheme="majorBidi" w:hAnsiTheme="majorBidi" w:cstheme="majorBidi"/>
          <w:lang w:val="en-GB"/>
        </w:rPr>
        <w:t xml:space="preserve"> the overall relationship between AI adoption and intent remains positive (and therefore is not affected by the inclusion of perceived value into the analysis of the relationship). The suppression effect is a </w:t>
      </w:r>
      <w:r w:rsidR="00250F46" w:rsidRPr="003D2A76">
        <w:rPr>
          <w:rFonts w:asciiTheme="majorBidi" w:hAnsiTheme="majorBidi" w:cstheme="majorBidi"/>
          <w:lang w:val="en-GB"/>
        </w:rPr>
        <w:t xml:space="preserve">recognised </w:t>
      </w:r>
      <w:r w:rsidRPr="003D2A76">
        <w:rPr>
          <w:rFonts w:asciiTheme="majorBidi" w:hAnsiTheme="majorBidi" w:cstheme="majorBidi"/>
          <w:lang w:val="en-GB"/>
        </w:rPr>
        <w:t xml:space="preserve">condition within the literature as noted by MacKinnon, Krull &amp; Lockwood </w:t>
      </w:r>
      <w:r w:rsidR="00250F46" w:rsidRPr="003D2A76">
        <w:rPr>
          <w:rFonts w:asciiTheme="majorBidi" w:hAnsiTheme="majorBidi" w:cstheme="majorBidi"/>
          <w:lang w:val="en-GB"/>
        </w:rPr>
        <w:t>(</w:t>
      </w:r>
      <w:r w:rsidRPr="003D2A76">
        <w:rPr>
          <w:rFonts w:asciiTheme="majorBidi" w:hAnsiTheme="majorBidi" w:cstheme="majorBidi"/>
          <w:lang w:val="en-GB"/>
        </w:rPr>
        <w:t>2000) because it is associated with a statistically significant indirect pathway and makes sense in theory.</w:t>
      </w:r>
    </w:p>
    <w:p w14:paraId="1D4FAD6D" w14:textId="6DEDCA35" w:rsidR="006A4A5D" w:rsidRPr="003D2A76" w:rsidRDefault="00BA7306" w:rsidP="00BD6279">
      <w:pPr>
        <w:bidi w:val="0"/>
        <w:rPr>
          <w:rFonts w:asciiTheme="majorBidi" w:hAnsiTheme="majorBidi" w:cstheme="majorBidi"/>
          <w:lang w:val="en-GB"/>
        </w:rPr>
      </w:pPr>
      <w:r>
        <w:t xml:space="preserve">For the parents initially approach the use of AI in teaching with caution due to concerns about cost, screen time, and its pedagogical suitability. However, they will become more positive once they recognize its educational value. </w:t>
      </w:r>
      <w:r w:rsidR="006A4A5D" w:rsidRPr="003D2A76">
        <w:rPr>
          <w:rFonts w:asciiTheme="majorBidi" w:hAnsiTheme="majorBidi" w:cstheme="majorBidi"/>
          <w:lang w:val="en-GB"/>
        </w:rPr>
        <w:t>Perceived value is not just a mediator in the narrow statistical sense; it is the hinge where initial hesitation reverses. This adds something to the perceived-value literature because most prior studies report straightforward mediation, not suppression, in technology contexts (for instance, Chen and Dubinsky, 2003).</w:t>
      </w:r>
    </w:p>
    <w:p w14:paraId="44848119" w14:textId="77777777" w:rsidR="0042734A" w:rsidRPr="003D2A76" w:rsidRDefault="0042734A" w:rsidP="0042734A">
      <w:pPr>
        <w:bidi w:val="0"/>
        <w:rPr>
          <w:rFonts w:asciiTheme="majorBidi" w:hAnsiTheme="majorBidi" w:cstheme="majorBidi"/>
          <w:lang w:val="en-GB"/>
        </w:rPr>
      </w:pPr>
    </w:p>
    <w:p w14:paraId="14BCF5DC"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5.4.5 Integrated Trust-Value-Quality Framework</w:t>
      </w:r>
    </w:p>
    <w:p w14:paraId="3030A26F" w14:textId="63D34A29"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Each of the four contributions described above cannot be viewed as standalone contributions. All four contributions of this study have developed into an integrative theoretical apparatus to support the study's claim. The rationale for the development of this (all inclusive) framework (i.e., revised Figure 1) is based on how AI adoption creates four pathways to a purchase intention: direct-to-service quality pathway; trust-theory mediated pathway; value-theory mediated pathway; and cultural-performance moderation pathway (the purpose of which is to inform, shape, and support the other three pathways </w:t>
      </w:r>
      <w:r w:rsidRPr="003D2A76">
        <w:rPr>
          <w:rFonts w:asciiTheme="majorBidi" w:hAnsiTheme="majorBidi" w:cstheme="majorBidi"/>
          <w:lang w:val="en-GB"/>
        </w:rPr>
        <w:lastRenderedPageBreak/>
        <w:t>to purchase intention from being independent of each other). While these are considered a separate pathway</w:t>
      </w:r>
      <w:r w:rsidR="004E058C">
        <w:rPr>
          <w:rFonts w:asciiTheme="majorBidi" w:hAnsiTheme="majorBidi" w:cstheme="majorBidi"/>
          <w:lang w:val="en-GB"/>
        </w:rPr>
        <w:t>,</w:t>
      </w:r>
      <w:r w:rsidRPr="003D2A76">
        <w:rPr>
          <w:rFonts w:asciiTheme="majorBidi" w:hAnsiTheme="majorBidi" w:cstheme="majorBidi"/>
          <w:lang w:val="en-GB"/>
        </w:rPr>
        <w:t xml:space="preserve"> they are not parallel pathways; trust and value of AI share a reciprocal relationship, and service quality </w:t>
      </w:r>
      <w:r w:rsidR="002F7FB2" w:rsidRPr="002F7FB2">
        <w:rPr>
          <w:rFonts w:asciiTheme="majorBidi" w:hAnsiTheme="majorBidi" w:cstheme="majorBidi"/>
          <w:lang w:val="en-GB"/>
        </w:rPr>
        <w:t xml:space="preserve">has </w:t>
      </w:r>
      <w:r w:rsidR="002F7FB2">
        <w:rPr>
          <w:rFonts w:asciiTheme="majorBidi" w:hAnsiTheme="majorBidi" w:cstheme="majorBidi"/>
          <w:lang w:val="en-GB"/>
        </w:rPr>
        <w:t xml:space="preserve">a </w:t>
      </w:r>
      <w:r w:rsidR="002F7FB2" w:rsidRPr="002F7FB2">
        <w:rPr>
          <w:rFonts w:asciiTheme="majorBidi" w:hAnsiTheme="majorBidi" w:cstheme="majorBidi"/>
          <w:lang w:val="en-GB"/>
        </w:rPr>
        <w:t>causal impact before other variables</w:t>
      </w:r>
      <w:r w:rsidRPr="003D2A76">
        <w:rPr>
          <w:rFonts w:asciiTheme="majorBidi" w:hAnsiTheme="majorBidi" w:cstheme="majorBidi"/>
          <w:lang w:val="en-GB"/>
        </w:rPr>
        <w:t>.</w:t>
      </w:r>
    </w:p>
    <w:p w14:paraId="54D447ED" w14:textId="1B41CCCF"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One important difference between previous AI-adopting parent consumers and present AI-adopting parent consumers is how parents interpret AI. Parental interpretations of AI are not based solely on a mechanical basis for </w:t>
      </w:r>
      <w:r w:rsidR="00250F46" w:rsidRPr="003D2A76">
        <w:rPr>
          <w:rFonts w:asciiTheme="majorBidi" w:hAnsiTheme="majorBidi" w:cstheme="majorBidi"/>
          <w:lang w:val="en-GB"/>
        </w:rPr>
        <w:t xml:space="preserve">utilising </w:t>
      </w:r>
      <w:r w:rsidRPr="003D2A76">
        <w:rPr>
          <w:rFonts w:asciiTheme="majorBidi" w:hAnsiTheme="majorBidi" w:cstheme="majorBidi"/>
          <w:lang w:val="en-GB"/>
        </w:rPr>
        <w:t>AI but can also be viewed as a communication cue regarding the school system's performance (i.e., quality of service delivery), capability (i.e., ability to perform/or service performance)</w:t>
      </w:r>
      <w:r w:rsidR="004E058C">
        <w:rPr>
          <w:rFonts w:asciiTheme="majorBidi" w:hAnsiTheme="majorBidi" w:cstheme="majorBidi"/>
          <w:lang w:val="en-GB"/>
        </w:rPr>
        <w:t>,</w:t>
      </w:r>
      <w:r w:rsidRPr="003D2A76">
        <w:rPr>
          <w:rFonts w:asciiTheme="majorBidi" w:hAnsiTheme="majorBidi" w:cstheme="majorBidi"/>
          <w:lang w:val="en-GB"/>
        </w:rPr>
        <w:t xml:space="preserve"> and degree of responsiveness (i.e., attitude of </w:t>
      </w:r>
      <w:r w:rsidR="004E058C">
        <w:rPr>
          <w:rFonts w:asciiTheme="majorBidi" w:hAnsiTheme="majorBidi" w:cstheme="majorBidi"/>
          <w:lang w:val="en-GB"/>
        </w:rPr>
        <w:t xml:space="preserve">the </w:t>
      </w:r>
      <w:r w:rsidRPr="003D2A76">
        <w:rPr>
          <w:rFonts w:asciiTheme="majorBidi" w:hAnsiTheme="majorBidi" w:cstheme="majorBidi"/>
          <w:lang w:val="en-GB"/>
        </w:rPr>
        <w:t xml:space="preserve">school system toward the family) </w:t>
      </w:r>
      <w:r w:rsidR="004E058C">
        <w:rPr>
          <w:rFonts w:asciiTheme="majorBidi" w:hAnsiTheme="majorBidi" w:cstheme="majorBidi"/>
          <w:lang w:val="en-GB"/>
        </w:rPr>
        <w:t>about</w:t>
      </w:r>
      <w:r w:rsidRPr="003D2A76">
        <w:rPr>
          <w:rFonts w:asciiTheme="majorBidi" w:hAnsiTheme="majorBidi" w:cstheme="majorBidi"/>
          <w:lang w:val="en-GB"/>
        </w:rPr>
        <w:t xml:space="preserve"> parental values and commitments. The act of adopting AI technology in K-12 educational settings is, therefore, an interpretive experience and not a mechanistic technology determinism. Thus, using this framework for both signalling theory and technology acceptance theory, the authors have generated a new lens through which to understand future developments of AI technology in service-based environments.</w:t>
      </w:r>
    </w:p>
    <w:p w14:paraId="46D99BB7" w14:textId="77777777" w:rsidR="0042734A" w:rsidRPr="003D2A76" w:rsidRDefault="0042734A" w:rsidP="0042734A">
      <w:pPr>
        <w:bidi w:val="0"/>
        <w:rPr>
          <w:rFonts w:asciiTheme="majorBidi" w:hAnsiTheme="majorBidi" w:cstheme="majorBidi"/>
          <w:lang w:val="en-GB"/>
        </w:rPr>
      </w:pPr>
    </w:p>
    <w:p w14:paraId="6ED83380" w14:textId="77777777" w:rsidR="006A4A5D" w:rsidRPr="003D2A76" w:rsidRDefault="006A4A5D" w:rsidP="00BD6279">
      <w:pPr>
        <w:pStyle w:val="Heading2"/>
        <w:rPr>
          <w:lang w:val="en-GB"/>
        </w:rPr>
      </w:pPr>
      <w:bookmarkStart w:id="146" w:name="_Toc228056594"/>
      <w:r w:rsidRPr="003D2A76">
        <w:rPr>
          <w:rFonts w:ascii="Times New Roman" w:hAnsi="Times New Roman" w:cs="Times New Roman"/>
          <w:lang w:val="en-GB"/>
        </w:rPr>
        <w:t>5.5 Practical Implications and Recommendations</w:t>
      </w:r>
      <w:bookmarkEnd w:id="146"/>
    </w:p>
    <w:p w14:paraId="773C9E9F" w14:textId="6DBFC94D"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Finally, in this section an operational view of the theoretical findings of the research has been created for practical purposes, and thus four groups of stakeholders (i.e., private school administrators; educational policymakers [i.e., Saudi Ministry of Education, SDAIA within Vision 2030; educational technology companies; and the parents of currently enrolled students in private K-12 education]) should use the practical outcomes from the theoretical findings to develop their respective strategies for </w:t>
      </w:r>
      <w:r w:rsidR="00250F46" w:rsidRPr="003D2A76">
        <w:rPr>
          <w:rFonts w:asciiTheme="majorBidi" w:hAnsiTheme="majorBidi" w:cstheme="majorBidi"/>
          <w:lang w:val="en-GB"/>
        </w:rPr>
        <w:t xml:space="preserve">the </w:t>
      </w:r>
      <w:r w:rsidRPr="003D2A76">
        <w:rPr>
          <w:rFonts w:asciiTheme="majorBidi" w:hAnsiTheme="majorBidi" w:cstheme="majorBidi"/>
          <w:lang w:val="en-GB"/>
        </w:rPr>
        <w:t xml:space="preserve">employability of AI in private K-12 environments and the greater impact of AI in each stakeholder </w:t>
      </w:r>
      <w:r w:rsidRPr="003D2A76">
        <w:rPr>
          <w:rFonts w:asciiTheme="majorBidi" w:hAnsiTheme="majorBidi" w:cstheme="majorBidi"/>
          <w:lang w:val="en-GB"/>
        </w:rPr>
        <w:lastRenderedPageBreak/>
        <w:t>group's area of domain based on the actual statistical coefficients produced in Chapter 4 as opposed to generic statements regarding technology adoption.</w:t>
      </w:r>
    </w:p>
    <w:p w14:paraId="5F4309A7" w14:textId="77777777" w:rsidR="0042734A" w:rsidRPr="003D2A76" w:rsidRDefault="0042734A" w:rsidP="0042734A">
      <w:pPr>
        <w:bidi w:val="0"/>
        <w:rPr>
          <w:rFonts w:asciiTheme="majorBidi" w:hAnsiTheme="majorBidi" w:cstheme="majorBidi"/>
          <w:lang w:val="en-GB"/>
        </w:rPr>
      </w:pPr>
    </w:p>
    <w:p w14:paraId="6B9E33F8"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5.5.1 Implications for Private-School Administrators in Jeddah</w:t>
      </w:r>
    </w:p>
    <w:p w14:paraId="2F3C94D3" w14:textId="7D00BB50" w:rsidR="006A4A5D" w:rsidRPr="003D2A76" w:rsidRDefault="00250F46" w:rsidP="00BD6279">
      <w:pPr>
        <w:bidi w:val="0"/>
        <w:rPr>
          <w:rFonts w:asciiTheme="majorBidi" w:hAnsiTheme="majorBidi" w:cstheme="majorBidi"/>
          <w:lang w:val="en-GB"/>
        </w:rPr>
      </w:pPr>
      <w:r w:rsidRPr="003D2A76">
        <w:rPr>
          <w:rFonts w:asciiTheme="majorBidi" w:hAnsiTheme="majorBidi" w:cstheme="majorBidi"/>
          <w:lang w:val="en-GB"/>
        </w:rPr>
        <w:t>S</w:t>
      </w:r>
      <w:r w:rsidR="006A4A5D" w:rsidRPr="003D2A76">
        <w:rPr>
          <w:rFonts w:asciiTheme="majorBidi" w:hAnsiTheme="majorBidi" w:cstheme="majorBidi"/>
          <w:lang w:val="en-GB"/>
        </w:rPr>
        <w:t xml:space="preserve">pending </w:t>
      </w:r>
      <w:r w:rsidRPr="003D2A76">
        <w:rPr>
          <w:rFonts w:asciiTheme="majorBidi" w:hAnsiTheme="majorBidi" w:cstheme="majorBidi"/>
          <w:lang w:val="en-GB"/>
        </w:rPr>
        <w:t xml:space="preserve">should be allocated </w:t>
      </w:r>
      <w:r w:rsidR="006A4A5D" w:rsidRPr="003D2A76">
        <w:rPr>
          <w:rFonts w:asciiTheme="majorBidi" w:hAnsiTheme="majorBidi" w:cstheme="majorBidi"/>
          <w:lang w:val="en-GB"/>
        </w:rPr>
        <w:t xml:space="preserve">for the purpose of achieving results through purposeful allocation. Quality of </w:t>
      </w:r>
      <w:r w:rsidRPr="003D2A76">
        <w:rPr>
          <w:rFonts w:asciiTheme="majorBidi" w:hAnsiTheme="majorBidi" w:cstheme="majorBidi"/>
          <w:lang w:val="en-GB"/>
        </w:rPr>
        <w:t xml:space="preserve">service </w:t>
      </w:r>
      <w:r w:rsidR="006A4A5D" w:rsidRPr="003D2A76">
        <w:rPr>
          <w:rFonts w:asciiTheme="majorBidi" w:hAnsiTheme="majorBidi" w:cstheme="majorBidi"/>
          <w:lang w:val="en-GB"/>
        </w:rPr>
        <w:t xml:space="preserve">(β = 0.861) was found to be the predominant factor contributing to </w:t>
      </w:r>
      <w:r w:rsidRPr="003D2A76">
        <w:rPr>
          <w:rFonts w:asciiTheme="majorBidi" w:hAnsiTheme="majorBidi" w:cstheme="majorBidi"/>
          <w:lang w:val="en-GB"/>
        </w:rPr>
        <w:t>purchase intention</w:t>
      </w:r>
      <w:r w:rsidR="006A4A5D" w:rsidRPr="003D2A76">
        <w:rPr>
          <w:rFonts w:asciiTheme="majorBidi" w:hAnsiTheme="majorBidi" w:cstheme="majorBidi"/>
          <w:lang w:val="en-GB"/>
        </w:rPr>
        <w:t xml:space="preserve">. Therefore, in order for </w:t>
      </w:r>
      <w:r w:rsidRPr="003D2A76">
        <w:rPr>
          <w:rFonts w:asciiTheme="majorBidi" w:hAnsiTheme="majorBidi" w:cstheme="majorBidi"/>
          <w:lang w:val="en-GB"/>
        </w:rPr>
        <w:t xml:space="preserve">educational institutions </w:t>
      </w:r>
      <w:r w:rsidR="006A4A5D" w:rsidRPr="003D2A76">
        <w:rPr>
          <w:rFonts w:asciiTheme="majorBidi" w:hAnsiTheme="majorBidi" w:cstheme="majorBidi"/>
          <w:lang w:val="en-GB"/>
        </w:rPr>
        <w:t xml:space="preserve">to grow </w:t>
      </w:r>
      <w:r w:rsidRPr="003D2A76">
        <w:rPr>
          <w:rFonts w:asciiTheme="majorBidi" w:hAnsiTheme="majorBidi" w:cstheme="majorBidi"/>
          <w:lang w:val="en-GB"/>
        </w:rPr>
        <w:t xml:space="preserve">enrolment </w:t>
      </w:r>
      <w:r w:rsidR="006A4A5D" w:rsidRPr="003D2A76">
        <w:rPr>
          <w:rFonts w:asciiTheme="majorBidi" w:hAnsiTheme="majorBidi" w:cstheme="majorBidi"/>
          <w:lang w:val="en-GB"/>
        </w:rPr>
        <w:t xml:space="preserve">through AI </w:t>
      </w:r>
      <w:r w:rsidRPr="003D2A76">
        <w:rPr>
          <w:rFonts w:asciiTheme="majorBidi" w:hAnsiTheme="majorBidi" w:cstheme="majorBidi"/>
          <w:lang w:val="en-GB"/>
        </w:rPr>
        <w:t>implementation</w:t>
      </w:r>
      <w:r w:rsidR="00263E18">
        <w:rPr>
          <w:rFonts w:asciiTheme="majorBidi" w:hAnsiTheme="majorBidi" w:cstheme="majorBidi"/>
          <w:lang w:val="en-GB"/>
        </w:rPr>
        <w:t>,</w:t>
      </w:r>
      <w:r w:rsidRPr="003D2A76">
        <w:rPr>
          <w:rFonts w:asciiTheme="majorBidi" w:hAnsiTheme="majorBidi" w:cstheme="majorBidi"/>
          <w:lang w:val="en-GB"/>
        </w:rPr>
        <w:t xml:space="preserve"> </w:t>
      </w:r>
      <w:r w:rsidR="006A4A5D" w:rsidRPr="003D2A76">
        <w:rPr>
          <w:rFonts w:asciiTheme="majorBidi" w:hAnsiTheme="majorBidi" w:cstheme="majorBidi"/>
          <w:lang w:val="en-GB"/>
        </w:rPr>
        <w:t xml:space="preserve">they will need to focus on </w:t>
      </w:r>
      <w:r w:rsidRPr="003D2A76">
        <w:rPr>
          <w:rFonts w:asciiTheme="majorBidi" w:hAnsiTheme="majorBidi" w:cstheme="majorBidi"/>
          <w:lang w:val="en-GB"/>
        </w:rPr>
        <w:t xml:space="preserve">delivery quality </w:t>
      </w:r>
      <w:r w:rsidR="006A4A5D" w:rsidRPr="003D2A76">
        <w:rPr>
          <w:rFonts w:asciiTheme="majorBidi" w:hAnsiTheme="majorBidi" w:cstheme="majorBidi"/>
          <w:lang w:val="en-GB"/>
        </w:rPr>
        <w:t xml:space="preserve">rather than just </w:t>
      </w:r>
      <w:r w:rsidR="004E058C">
        <w:rPr>
          <w:rFonts w:asciiTheme="majorBidi" w:hAnsiTheme="majorBidi" w:cstheme="majorBidi"/>
          <w:lang w:val="en-GB"/>
        </w:rPr>
        <w:t>shiny, trendy</w:t>
      </w:r>
      <w:r w:rsidR="006A4A5D" w:rsidRPr="003D2A76">
        <w:rPr>
          <w:rFonts w:asciiTheme="majorBidi" w:hAnsiTheme="majorBidi" w:cstheme="majorBidi"/>
          <w:lang w:val="en-GB"/>
        </w:rPr>
        <w:t xml:space="preserve"> features of the AI. </w:t>
      </w:r>
      <w:r w:rsidRPr="003D2A76">
        <w:rPr>
          <w:rFonts w:asciiTheme="majorBidi" w:hAnsiTheme="majorBidi" w:cstheme="majorBidi"/>
          <w:lang w:val="en-GB"/>
        </w:rPr>
        <w:t>For example,</w:t>
      </w:r>
      <w:r w:rsidR="006A4A5D" w:rsidRPr="003D2A76">
        <w:rPr>
          <w:rFonts w:asciiTheme="majorBidi" w:hAnsiTheme="majorBidi" w:cstheme="majorBidi"/>
          <w:lang w:val="en-GB"/>
        </w:rPr>
        <w:t xml:space="preserve"> </w:t>
      </w:r>
      <w:r w:rsidRPr="003D2A76">
        <w:rPr>
          <w:rFonts w:asciiTheme="majorBidi" w:hAnsiTheme="majorBidi" w:cstheme="majorBidi"/>
          <w:lang w:val="en-GB"/>
        </w:rPr>
        <w:t xml:space="preserve">schools </w:t>
      </w:r>
      <w:r w:rsidR="006A4A5D" w:rsidRPr="003D2A76">
        <w:rPr>
          <w:rFonts w:asciiTheme="majorBidi" w:hAnsiTheme="majorBidi" w:cstheme="majorBidi"/>
          <w:lang w:val="en-GB"/>
        </w:rPr>
        <w:t xml:space="preserve">should invest in technology that provides them with the means of delivering consistently reliable </w:t>
      </w:r>
      <w:r w:rsidRPr="003D2A76">
        <w:rPr>
          <w:rFonts w:asciiTheme="majorBidi" w:hAnsiTheme="majorBidi" w:cstheme="majorBidi"/>
          <w:lang w:val="en-GB"/>
        </w:rPr>
        <w:t xml:space="preserve">services </w:t>
      </w:r>
      <w:r w:rsidR="006A4A5D" w:rsidRPr="003D2A76">
        <w:rPr>
          <w:rFonts w:asciiTheme="majorBidi" w:hAnsiTheme="majorBidi" w:cstheme="majorBidi"/>
          <w:lang w:val="en-GB"/>
        </w:rPr>
        <w:t xml:space="preserve">(by ensuring </w:t>
      </w:r>
      <w:r w:rsidRPr="003D2A76">
        <w:rPr>
          <w:rFonts w:asciiTheme="majorBidi" w:hAnsiTheme="majorBidi" w:cstheme="majorBidi"/>
          <w:lang w:val="en-GB"/>
        </w:rPr>
        <w:t xml:space="preserve">services </w:t>
      </w:r>
      <w:r w:rsidR="006A4A5D" w:rsidRPr="003D2A76">
        <w:rPr>
          <w:rFonts w:asciiTheme="majorBidi" w:hAnsiTheme="majorBidi" w:cstheme="majorBidi"/>
          <w:lang w:val="en-GB"/>
        </w:rPr>
        <w:t>are provided consistently</w:t>
      </w:r>
      <w:r w:rsidRPr="003D2A76">
        <w:rPr>
          <w:rFonts w:asciiTheme="majorBidi" w:hAnsiTheme="majorBidi" w:cstheme="majorBidi"/>
          <w:lang w:val="en-GB"/>
        </w:rPr>
        <w:t xml:space="preserve"> and </w:t>
      </w:r>
      <w:r w:rsidR="00263E18">
        <w:rPr>
          <w:rFonts w:asciiTheme="majorBidi" w:hAnsiTheme="majorBidi" w:cstheme="majorBidi"/>
          <w:lang w:val="en-GB"/>
        </w:rPr>
        <w:t>creating</w:t>
      </w:r>
      <w:r w:rsidR="006A4A5D" w:rsidRPr="003D2A76">
        <w:rPr>
          <w:rFonts w:asciiTheme="majorBidi" w:hAnsiTheme="majorBidi" w:cstheme="majorBidi"/>
          <w:lang w:val="en-GB"/>
        </w:rPr>
        <w:t xml:space="preserve"> reliable schedules), quickly </w:t>
      </w:r>
      <w:r w:rsidRPr="003D2A76">
        <w:rPr>
          <w:rFonts w:asciiTheme="majorBidi" w:hAnsiTheme="majorBidi" w:cstheme="majorBidi"/>
          <w:lang w:val="en-GB"/>
        </w:rPr>
        <w:t xml:space="preserve">responding </w:t>
      </w:r>
      <w:r w:rsidR="006A4A5D" w:rsidRPr="003D2A76">
        <w:rPr>
          <w:rFonts w:asciiTheme="majorBidi" w:hAnsiTheme="majorBidi" w:cstheme="majorBidi"/>
          <w:lang w:val="en-GB"/>
        </w:rPr>
        <w:t xml:space="preserve">to </w:t>
      </w:r>
      <w:r w:rsidRPr="003D2A76">
        <w:rPr>
          <w:rFonts w:asciiTheme="majorBidi" w:hAnsiTheme="majorBidi" w:cstheme="majorBidi"/>
          <w:lang w:val="en-GB"/>
        </w:rPr>
        <w:t xml:space="preserve">parents’ </w:t>
      </w:r>
      <w:r w:rsidR="006A4A5D" w:rsidRPr="003D2A76">
        <w:rPr>
          <w:rFonts w:asciiTheme="majorBidi" w:hAnsiTheme="majorBidi" w:cstheme="majorBidi"/>
          <w:lang w:val="en-GB"/>
        </w:rPr>
        <w:t xml:space="preserve">needs, providing accurate </w:t>
      </w:r>
      <w:r w:rsidRPr="003D2A76">
        <w:rPr>
          <w:rFonts w:asciiTheme="majorBidi" w:hAnsiTheme="majorBidi" w:cstheme="majorBidi"/>
          <w:lang w:val="en-GB"/>
        </w:rPr>
        <w:t xml:space="preserve">responses </w:t>
      </w:r>
      <w:r w:rsidR="006A4A5D" w:rsidRPr="003D2A76">
        <w:rPr>
          <w:rFonts w:asciiTheme="majorBidi" w:hAnsiTheme="majorBidi" w:cstheme="majorBidi"/>
          <w:lang w:val="en-GB"/>
        </w:rPr>
        <w:t xml:space="preserve">to </w:t>
      </w:r>
      <w:r w:rsidRPr="003D2A76">
        <w:rPr>
          <w:rFonts w:asciiTheme="majorBidi" w:hAnsiTheme="majorBidi" w:cstheme="majorBidi"/>
          <w:lang w:val="en-GB"/>
        </w:rPr>
        <w:t xml:space="preserve">parents’ </w:t>
      </w:r>
      <w:r w:rsidR="006A4A5D" w:rsidRPr="003D2A76">
        <w:rPr>
          <w:rFonts w:asciiTheme="majorBidi" w:hAnsiTheme="majorBidi" w:cstheme="majorBidi"/>
          <w:lang w:val="en-GB"/>
        </w:rPr>
        <w:t xml:space="preserve">queries, </w:t>
      </w:r>
      <w:r w:rsidR="00263E18">
        <w:rPr>
          <w:rFonts w:asciiTheme="majorBidi" w:hAnsiTheme="majorBidi" w:cstheme="majorBidi"/>
          <w:lang w:val="en-GB"/>
        </w:rPr>
        <w:t xml:space="preserve">and </w:t>
      </w:r>
      <w:r w:rsidR="006A4A5D" w:rsidRPr="003D2A76">
        <w:rPr>
          <w:rFonts w:asciiTheme="majorBidi" w:hAnsiTheme="majorBidi" w:cstheme="majorBidi"/>
          <w:lang w:val="en-GB"/>
        </w:rPr>
        <w:t>providing assurance (explain</w:t>
      </w:r>
      <w:r w:rsidRPr="003D2A76">
        <w:rPr>
          <w:rFonts w:asciiTheme="majorBidi" w:hAnsiTheme="majorBidi" w:cstheme="majorBidi"/>
          <w:lang w:val="en-GB"/>
        </w:rPr>
        <w:t>ing</w:t>
      </w:r>
      <w:r w:rsidR="006A4A5D" w:rsidRPr="003D2A76">
        <w:rPr>
          <w:rFonts w:asciiTheme="majorBidi" w:hAnsiTheme="majorBidi" w:cstheme="majorBidi"/>
          <w:lang w:val="en-GB"/>
        </w:rPr>
        <w:t xml:space="preserve"> how data gets collected and used and creating systems where teachers can oversee how AI </w:t>
      </w:r>
      <w:r w:rsidRPr="003D2A76">
        <w:rPr>
          <w:rFonts w:asciiTheme="majorBidi" w:hAnsiTheme="majorBidi" w:cstheme="majorBidi"/>
          <w:lang w:val="en-GB"/>
        </w:rPr>
        <w:t xml:space="preserve">systems </w:t>
      </w:r>
      <w:r w:rsidR="006A4A5D" w:rsidRPr="003D2A76">
        <w:rPr>
          <w:rFonts w:asciiTheme="majorBidi" w:hAnsiTheme="majorBidi" w:cstheme="majorBidi"/>
          <w:lang w:val="en-GB"/>
        </w:rPr>
        <w:t>perform).</w:t>
      </w:r>
    </w:p>
    <w:p w14:paraId="42263380" w14:textId="7A437818" w:rsidR="006A4A5D" w:rsidRPr="003D2A76" w:rsidRDefault="002B4127" w:rsidP="00BD6279">
      <w:pPr>
        <w:bidi w:val="0"/>
        <w:rPr>
          <w:rFonts w:asciiTheme="majorBidi" w:hAnsiTheme="majorBidi" w:cstheme="majorBidi"/>
          <w:lang w:val="en-GB"/>
        </w:rPr>
      </w:pPr>
      <w:r w:rsidRPr="003D2A76">
        <w:rPr>
          <w:rFonts w:asciiTheme="majorBidi" w:hAnsiTheme="majorBidi" w:cstheme="majorBidi"/>
          <w:lang w:val="en-GB"/>
        </w:rPr>
        <w:t xml:space="preserve">The second </w:t>
      </w:r>
      <w:r w:rsidR="006A4A5D" w:rsidRPr="003D2A76">
        <w:rPr>
          <w:rFonts w:asciiTheme="majorBidi" w:hAnsiTheme="majorBidi" w:cstheme="majorBidi"/>
          <w:lang w:val="en-GB"/>
        </w:rPr>
        <w:t>recommendation stems from trust being the dominant mediator (over 75% mediation in the AI-to-intention routes). Rather than treating trust as something that flows naturally from marketing, schools should manage it as an explicit outcome. Visible protocols for teacher supervision of AI tools, clear communication about data safety, parent-facing explanations of how algorithms work, and a named person accountable for AI decisions all move the trust gauge. An AI ethics committee or parent advisory board reviewing AI rollouts before launch would be prudent.</w:t>
      </w:r>
    </w:p>
    <w:p w14:paraId="4E928EF7" w14:textId="6E8482E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As a result of </w:t>
      </w:r>
      <w:r w:rsidR="00263E18">
        <w:rPr>
          <w:rFonts w:asciiTheme="majorBidi" w:hAnsiTheme="majorBidi" w:cstheme="majorBidi"/>
          <w:lang w:val="en-GB"/>
        </w:rPr>
        <w:t>finding considered</w:t>
      </w:r>
      <w:r w:rsidRPr="003D2A76">
        <w:rPr>
          <w:rFonts w:asciiTheme="majorBidi" w:hAnsiTheme="majorBidi" w:cstheme="majorBidi"/>
          <w:lang w:val="en-GB"/>
        </w:rPr>
        <w:t xml:space="preserve"> cultural moderation in H12, </w:t>
      </w:r>
      <w:r w:rsidR="00263E18">
        <w:rPr>
          <w:rFonts w:asciiTheme="majorBidi" w:hAnsiTheme="majorBidi" w:cstheme="majorBidi"/>
          <w:lang w:val="en-GB"/>
        </w:rPr>
        <w:t>AI in pedagogy must be</w:t>
      </w:r>
      <w:r w:rsidRPr="003D2A76">
        <w:rPr>
          <w:rFonts w:asciiTheme="majorBidi" w:hAnsiTheme="majorBidi" w:cstheme="majorBidi"/>
          <w:lang w:val="en-GB"/>
        </w:rPr>
        <w:t xml:space="preserve"> implemented with </w:t>
      </w:r>
      <w:r w:rsidR="002B4127" w:rsidRPr="003D2A76">
        <w:rPr>
          <w:rFonts w:asciiTheme="majorBidi" w:hAnsiTheme="majorBidi" w:cstheme="majorBidi"/>
          <w:lang w:val="en-GB"/>
        </w:rPr>
        <w:t>cultural intent</w:t>
      </w:r>
      <w:r w:rsidRPr="003D2A76">
        <w:rPr>
          <w:rFonts w:asciiTheme="majorBidi" w:hAnsiTheme="majorBidi" w:cstheme="majorBidi"/>
          <w:lang w:val="en-GB"/>
        </w:rPr>
        <w:t xml:space="preserve">. This </w:t>
      </w:r>
      <w:r w:rsidR="002B4127" w:rsidRPr="003D2A76">
        <w:rPr>
          <w:rFonts w:asciiTheme="majorBidi" w:hAnsiTheme="majorBidi" w:cstheme="majorBidi"/>
          <w:lang w:val="en-GB"/>
        </w:rPr>
        <w:t xml:space="preserve">intent </w:t>
      </w:r>
      <w:r w:rsidRPr="003D2A76">
        <w:rPr>
          <w:rFonts w:asciiTheme="majorBidi" w:hAnsiTheme="majorBidi" w:cstheme="majorBidi"/>
          <w:lang w:val="en-GB"/>
        </w:rPr>
        <w:t xml:space="preserve">may include (at a minimum): Arabic </w:t>
      </w:r>
      <w:r w:rsidRPr="003D2A76">
        <w:rPr>
          <w:rFonts w:asciiTheme="majorBidi" w:hAnsiTheme="majorBidi" w:cstheme="majorBidi"/>
          <w:lang w:val="en-GB"/>
        </w:rPr>
        <w:lastRenderedPageBreak/>
        <w:t xml:space="preserve">language </w:t>
      </w:r>
      <w:r w:rsidR="002B4127" w:rsidRPr="003D2A76">
        <w:rPr>
          <w:rFonts w:asciiTheme="majorBidi" w:hAnsiTheme="majorBidi" w:cstheme="majorBidi"/>
          <w:lang w:val="en-GB"/>
        </w:rPr>
        <w:t>support</w:t>
      </w:r>
      <w:r w:rsidRPr="003D2A76">
        <w:rPr>
          <w:rFonts w:asciiTheme="majorBidi" w:hAnsiTheme="majorBidi" w:cstheme="majorBidi"/>
          <w:lang w:val="en-GB"/>
        </w:rPr>
        <w:t xml:space="preserve">; </w:t>
      </w:r>
      <w:r w:rsidR="002B4127" w:rsidRPr="003D2A76">
        <w:rPr>
          <w:rFonts w:asciiTheme="majorBidi" w:hAnsiTheme="majorBidi" w:cstheme="majorBidi"/>
          <w:lang w:val="en-GB"/>
        </w:rPr>
        <w:t xml:space="preserve">content </w:t>
      </w:r>
      <w:r w:rsidRPr="003D2A76">
        <w:rPr>
          <w:rFonts w:asciiTheme="majorBidi" w:hAnsiTheme="majorBidi" w:cstheme="majorBidi"/>
          <w:lang w:val="en-GB"/>
        </w:rPr>
        <w:t xml:space="preserve">selected based on </w:t>
      </w:r>
      <w:r w:rsidR="002B4127" w:rsidRPr="003D2A76">
        <w:rPr>
          <w:rFonts w:asciiTheme="majorBidi" w:hAnsiTheme="majorBidi" w:cstheme="majorBidi"/>
          <w:lang w:val="en-GB"/>
        </w:rPr>
        <w:t>religious</w:t>
      </w:r>
      <w:r w:rsidRPr="003D2A76">
        <w:rPr>
          <w:rFonts w:asciiTheme="majorBidi" w:hAnsiTheme="majorBidi" w:cstheme="majorBidi"/>
          <w:lang w:val="en-GB"/>
        </w:rPr>
        <w:t>/</w:t>
      </w:r>
      <w:r w:rsidR="002B4127" w:rsidRPr="003D2A76">
        <w:rPr>
          <w:rFonts w:asciiTheme="majorBidi" w:hAnsiTheme="majorBidi" w:cstheme="majorBidi"/>
          <w:lang w:val="en-GB"/>
        </w:rPr>
        <w:t>ethical compatibility</w:t>
      </w:r>
      <w:r w:rsidRPr="003D2A76">
        <w:rPr>
          <w:rFonts w:asciiTheme="majorBidi" w:hAnsiTheme="majorBidi" w:cstheme="majorBidi"/>
          <w:lang w:val="en-GB"/>
        </w:rPr>
        <w:t xml:space="preserve">; </w:t>
      </w:r>
      <w:r w:rsidR="002B4127" w:rsidRPr="003D2A76">
        <w:rPr>
          <w:rFonts w:asciiTheme="majorBidi" w:hAnsiTheme="majorBidi" w:cstheme="majorBidi"/>
          <w:lang w:val="en-GB"/>
        </w:rPr>
        <w:t>gender-</w:t>
      </w:r>
      <w:r w:rsidRPr="003D2A76">
        <w:rPr>
          <w:rFonts w:asciiTheme="majorBidi" w:hAnsiTheme="majorBidi" w:cstheme="majorBidi"/>
          <w:lang w:val="en-GB"/>
        </w:rPr>
        <w:t xml:space="preserve">related </w:t>
      </w:r>
      <w:r w:rsidR="002B4127" w:rsidRPr="003D2A76">
        <w:rPr>
          <w:rFonts w:asciiTheme="majorBidi" w:hAnsiTheme="majorBidi" w:cstheme="majorBidi"/>
          <w:lang w:val="en-GB"/>
        </w:rPr>
        <w:t xml:space="preserve">options </w:t>
      </w:r>
      <w:r w:rsidRPr="003D2A76">
        <w:rPr>
          <w:rFonts w:asciiTheme="majorBidi" w:hAnsiTheme="majorBidi" w:cstheme="majorBidi"/>
          <w:lang w:val="en-GB"/>
        </w:rPr>
        <w:t xml:space="preserve">pre-programmed into </w:t>
      </w:r>
      <w:r w:rsidR="002B4127" w:rsidRPr="003D2A76">
        <w:rPr>
          <w:rFonts w:asciiTheme="majorBidi" w:hAnsiTheme="majorBidi" w:cstheme="majorBidi"/>
          <w:lang w:val="en-GB"/>
        </w:rPr>
        <w:t>personalised learning</w:t>
      </w:r>
      <w:r w:rsidRPr="003D2A76">
        <w:rPr>
          <w:rFonts w:asciiTheme="majorBidi" w:hAnsiTheme="majorBidi" w:cstheme="majorBidi"/>
          <w:lang w:val="en-GB"/>
        </w:rPr>
        <w:t xml:space="preserve">; and </w:t>
      </w:r>
      <w:r w:rsidR="002B4127" w:rsidRPr="003D2A76">
        <w:rPr>
          <w:rFonts w:asciiTheme="majorBidi" w:hAnsiTheme="majorBidi" w:cstheme="majorBidi"/>
          <w:lang w:val="en-GB"/>
        </w:rPr>
        <w:t xml:space="preserve">options </w:t>
      </w:r>
      <w:r w:rsidRPr="003D2A76">
        <w:rPr>
          <w:rFonts w:asciiTheme="majorBidi" w:hAnsiTheme="majorBidi" w:cstheme="majorBidi"/>
          <w:lang w:val="en-GB"/>
        </w:rPr>
        <w:t xml:space="preserve">for </w:t>
      </w:r>
      <w:r w:rsidR="002B4127" w:rsidRPr="003D2A76">
        <w:rPr>
          <w:rFonts w:asciiTheme="majorBidi" w:hAnsiTheme="majorBidi" w:cstheme="majorBidi"/>
          <w:lang w:val="en-GB"/>
        </w:rPr>
        <w:t xml:space="preserve">parents </w:t>
      </w:r>
      <w:r w:rsidRPr="003D2A76">
        <w:rPr>
          <w:rFonts w:asciiTheme="majorBidi" w:hAnsiTheme="majorBidi" w:cstheme="majorBidi"/>
          <w:lang w:val="en-GB"/>
        </w:rPr>
        <w:t xml:space="preserve">to </w:t>
      </w:r>
      <w:r w:rsidR="002B4127" w:rsidRPr="003D2A76">
        <w:rPr>
          <w:rFonts w:asciiTheme="majorBidi" w:hAnsiTheme="majorBidi" w:cstheme="majorBidi"/>
          <w:lang w:val="en-GB"/>
        </w:rPr>
        <w:t>oversee</w:t>
      </w:r>
      <w:r w:rsidRPr="003D2A76">
        <w:rPr>
          <w:rFonts w:asciiTheme="majorBidi" w:hAnsiTheme="majorBidi" w:cstheme="majorBidi"/>
          <w:lang w:val="en-GB"/>
        </w:rPr>
        <w:t>/</w:t>
      </w:r>
      <w:r w:rsidR="002B4127" w:rsidRPr="003D2A76">
        <w:rPr>
          <w:rFonts w:asciiTheme="majorBidi" w:hAnsiTheme="majorBidi" w:cstheme="majorBidi"/>
          <w:lang w:val="en-GB"/>
        </w:rPr>
        <w:t xml:space="preserve">control how their child uses </w:t>
      </w:r>
      <w:r w:rsidRPr="003D2A76">
        <w:rPr>
          <w:rFonts w:asciiTheme="majorBidi" w:hAnsiTheme="majorBidi" w:cstheme="majorBidi"/>
          <w:lang w:val="en-GB"/>
        </w:rPr>
        <w:t xml:space="preserve">AI. According to the data collected from our </w:t>
      </w:r>
      <w:r w:rsidR="002B4127" w:rsidRPr="003D2A76">
        <w:rPr>
          <w:rFonts w:asciiTheme="majorBidi" w:hAnsiTheme="majorBidi" w:cstheme="majorBidi"/>
          <w:lang w:val="en-GB"/>
        </w:rPr>
        <w:t xml:space="preserve">sample </w:t>
      </w:r>
      <w:r w:rsidR="004E058C">
        <w:rPr>
          <w:rFonts w:asciiTheme="majorBidi" w:hAnsiTheme="majorBidi" w:cstheme="majorBidi"/>
          <w:lang w:val="en-GB"/>
        </w:rPr>
        <w:t>of</w:t>
      </w:r>
      <w:r w:rsidRPr="003D2A76">
        <w:rPr>
          <w:rFonts w:asciiTheme="majorBidi" w:hAnsiTheme="majorBidi" w:cstheme="majorBidi"/>
          <w:lang w:val="en-GB"/>
        </w:rPr>
        <w:t xml:space="preserve"> </w:t>
      </w:r>
      <w:r w:rsidR="002B4127" w:rsidRPr="003D2A76">
        <w:rPr>
          <w:rFonts w:asciiTheme="majorBidi" w:hAnsiTheme="majorBidi" w:cstheme="majorBidi"/>
          <w:lang w:val="en-GB"/>
        </w:rPr>
        <w:t>parents’ children</w:t>
      </w:r>
      <w:r w:rsidRPr="003D2A76">
        <w:rPr>
          <w:rFonts w:asciiTheme="majorBidi" w:hAnsiTheme="majorBidi" w:cstheme="majorBidi"/>
          <w:lang w:val="en-GB"/>
        </w:rPr>
        <w:t xml:space="preserve">, 78.2% of the </w:t>
      </w:r>
      <w:r w:rsidR="002B4127" w:rsidRPr="003D2A76">
        <w:rPr>
          <w:rFonts w:asciiTheme="majorBidi" w:hAnsiTheme="majorBidi" w:cstheme="majorBidi"/>
          <w:lang w:val="en-GB"/>
        </w:rPr>
        <w:t xml:space="preserve">sample rated </w:t>
      </w:r>
      <w:r w:rsidRPr="003D2A76">
        <w:rPr>
          <w:rFonts w:asciiTheme="majorBidi" w:hAnsiTheme="majorBidi" w:cstheme="majorBidi"/>
          <w:lang w:val="en-GB"/>
        </w:rPr>
        <w:t xml:space="preserve">their </w:t>
      </w:r>
      <w:r w:rsidR="002B4127" w:rsidRPr="003D2A76">
        <w:rPr>
          <w:rFonts w:asciiTheme="majorBidi" w:hAnsiTheme="majorBidi" w:cstheme="majorBidi"/>
          <w:lang w:val="en-GB"/>
        </w:rPr>
        <w:t xml:space="preserve">child’s cultural sensitivity higher </w:t>
      </w:r>
      <w:r w:rsidRPr="003D2A76">
        <w:rPr>
          <w:rFonts w:asciiTheme="majorBidi" w:hAnsiTheme="majorBidi" w:cstheme="majorBidi"/>
          <w:lang w:val="en-GB"/>
        </w:rPr>
        <w:t xml:space="preserve">than 4.82 which suggests there is a high demand for </w:t>
      </w:r>
      <w:r w:rsidR="002B4127" w:rsidRPr="003D2A76">
        <w:rPr>
          <w:rFonts w:asciiTheme="majorBidi" w:hAnsiTheme="majorBidi" w:cstheme="majorBidi"/>
          <w:lang w:val="en-GB"/>
        </w:rPr>
        <w:t xml:space="preserve">pedagogical </w:t>
      </w:r>
      <w:r w:rsidRPr="003D2A76">
        <w:rPr>
          <w:rFonts w:asciiTheme="majorBidi" w:hAnsiTheme="majorBidi" w:cstheme="majorBidi"/>
          <w:lang w:val="en-GB"/>
        </w:rPr>
        <w:t xml:space="preserve">AI, but there would be no acceptance unless the </w:t>
      </w:r>
      <w:r w:rsidR="002B4127" w:rsidRPr="003D2A76">
        <w:rPr>
          <w:rFonts w:asciiTheme="majorBidi" w:hAnsiTheme="majorBidi" w:cstheme="majorBidi"/>
          <w:lang w:val="en-GB"/>
        </w:rPr>
        <w:t xml:space="preserve">technology </w:t>
      </w:r>
      <w:r w:rsidRPr="003D2A76">
        <w:rPr>
          <w:rFonts w:asciiTheme="majorBidi" w:hAnsiTheme="majorBidi" w:cstheme="majorBidi"/>
          <w:lang w:val="en-GB"/>
        </w:rPr>
        <w:t xml:space="preserve">indicates an understanding of the </w:t>
      </w:r>
      <w:r w:rsidR="002B4127" w:rsidRPr="003D2A76">
        <w:rPr>
          <w:rFonts w:asciiTheme="majorBidi" w:hAnsiTheme="majorBidi" w:cstheme="majorBidi"/>
          <w:lang w:val="en-GB"/>
        </w:rPr>
        <w:t xml:space="preserve">culture </w:t>
      </w:r>
      <w:r w:rsidRPr="003D2A76">
        <w:rPr>
          <w:rFonts w:asciiTheme="majorBidi" w:hAnsiTheme="majorBidi" w:cstheme="majorBidi"/>
          <w:lang w:val="en-GB"/>
        </w:rPr>
        <w:t xml:space="preserve">of the </w:t>
      </w:r>
      <w:r w:rsidR="002B4127" w:rsidRPr="003D2A76">
        <w:rPr>
          <w:rFonts w:asciiTheme="majorBidi" w:hAnsiTheme="majorBidi" w:cstheme="majorBidi"/>
          <w:lang w:val="en-GB"/>
        </w:rPr>
        <w:t>users</w:t>
      </w:r>
      <w:r w:rsidRPr="003D2A76">
        <w:rPr>
          <w:rFonts w:asciiTheme="majorBidi" w:hAnsiTheme="majorBidi" w:cstheme="majorBidi"/>
          <w:lang w:val="en-GB"/>
        </w:rPr>
        <w:t>.</w:t>
      </w:r>
    </w:p>
    <w:p w14:paraId="1A76C177" w14:textId="77777777" w:rsidR="0042734A" w:rsidRPr="003D2A76" w:rsidRDefault="0042734A" w:rsidP="0042734A">
      <w:pPr>
        <w:bidi w:val="0"/>
        <w:rPr>
          <w:rFonts w:asciiTheme="majorBidi" w:hAnsiTheme="majorBidi" w:cstheme="majorBidi"/>
          <w:lang w:val="en-GB"/>
        </w:rPr>
      </w:pPr>
    </w:p>
    <w:p w14:paraId="67836EEC"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5.5.2 Implications for Policymakers and Vision 2030</w:t>
      </w:r>
    </w:p>
    <w:p w14:paraId="384341BB" w14:textId="1E87D5A6"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As we consider the Vision 2030 (SDAIA,</w:t>
      </w:r>
      <w:r w:rsidR="004E058C">
        <w:rPr>
          <w:rFonts w:asciiTheme="majorBidi" w:hAnsiTheme="majorBidi" w:cstheme="majorBidi"/>
          <w:lang w:val="en-GB"/>
        </w:rPr>
        <w:t xml:space="preserve"> </w:t>
      </w:r>
      <w:r w:rsidRPr="003D2A76">
        <w:rPr>
          <w:rFonts w:asciiTheme="majorBidi" w:hAnsiTheme="majorBidi" w:cstheme="majorBidi"/>
          <w:lang w:val="en-GB"/>
        </w:rPr>
        <w:t xml:space="preserve">MOE) initiative declaring AI to be of </w:t>
      </w:r>
      <w:r w:rsidR="00D1083E" w:rsidRPr="003D2A76">
        <w:rPr>
          <w:rFonts w:asciiTheme="majorBidi" w:hAnsiTheme="majorBidi" w:cstheme="majorBidi"/>
          <w:lang w:val="en-GB"/>
        </w:rPr>
        <w:t>national significance</w:t>
      </w:r>
      <w:r w:rsidR="004E058C">
        <w:rPr>
          <w:rFonts w:asciiTheme="majorBidi" w:hAnsiTheme="majorBidi" w:cstheme="majorBidi"/>
          <w:lang w:val="en-GB"/>
        </w:rPr>
        <w:t>,</w:t>
      </w:r>
      <w:r w:rsidRPr="003D2A76">
        <w:rPr>
          <w:rFonts w:asciiTheme="majorBidi" w:hAnsiTheme="majorBidi" w:cstheme="majorBidi"/>
          <w:lang w:val="en-GB"/>
        </w:rPr>
        <w:t xml:space="preserve"> there are </w:t>
      </w:r>
      <w:r w:rsidR="00D1083E" w:rsidRPr="003D2A76">
        <w:rPr>
          <w:rFonts w:asciiTheme="majorBidi" w:hAnsiTheme="majorBidi" w:cstheme="majorBidi"/>
          <w:lang w:val="en-GB"/>
        </w:rPr>
        <w:t xml:space="preserve">three signals related </w:t>
      </w:r>
      <w:r w:rsidRPr="003D2A76">
        <w:rPr>
          <w:rFonts w:asciiTheme="majorBidi" w:hAnsiTheme="majorBidi" w:cstheme="majorBidi"/>
          <w:lang w:val="en-GB"/>
        </w:rPr>
        <w:t xml:space="preserve">to </w:t>
      </w:r>
      <w:r w:rsidR="00D1083E" w:rsidRPr="003D2A76">
        <w:rPr>
          <w:rFonts w:asciiTheme="majorBidi" w:hAnsiTheme="majorBidi" w:cstheme="majorBidi"/>
          <w:lang w:val="en-GB"/>
        </w:rPr>
        <w:t xml:space="preserve">educational policy </w:t>
      </w:r>
      <w:r w:rsidRPr="003D2A76">
        <w:rPr>
          <w:rFonts w:asciiTheme="majorBidi" w:hAnsiTheme="majorBidi" w:cstheme="majorBidi"/>
          <w:lang w:val="en-GB"/>
        </w:rPr>
        <w:t xml:space="preserve">that </w:t>
      </w:r>
      <w:r w:rsidR="00D1083E" w:rsidRPr="003D2A76">
        <w:rPr>
          <w:rFonts w:asciiTheme="majorBidi" w:hAnsiTheme="majorBidi" w:cstheme="majorBidi"/>
          <w:lang w:val="en-GB"/>
        </w:rPr>
        <w:t xml:space="preserve">stem from analysis presented </w:t>
      </w:r>
      <w:r w:rsidRPr="003D2A76">
        <w:rPr>
          <w:rFonts w:asciiTheme="majorBidi" w:hAnsiTheme="majorBidi" w:cstheme="majorBidi"/>
          <w:lang w:val="en-GB"/>
        </w:rPr>
        <w:t xml:space="preserve">in Chapter 4 of this </w:t>
      </w:r>
      <w:r w:rsidR="00D1083E" w:rsidRPr="003D2A76">
        <w:rPr>
          <w:rFonts w:asciiTheme="majorBidi" w:hAnsiTheme="majorBidi" w:cstheme="majorBidi"/>
          <w:lang w:val="en-GB"/>
        </w:rPr>
        <w:t>report</w:t>
      </w:r>
      <w:r w:rsidRPr="003D2A76">
        <w:rPr>
          <w:rFonts w:asciiTheme="majorBidi" w:hAnsiTheme="majorBidi" w:cstheme="majorBidi"/>
          <w:lang w:val="en-GB"/>
        </w:rPr>
        <w:t xml:space="preserve">. The first is that the K-12 </w:t>
      </w:r>
      <w:r w:rsidR="00D1083E" w:rsidRPr="003D2A76">
        <w:rPr>
          <w:rFonts w:asciiTheme="majorBidi" w:hAnsiTheme="majorBidi" w:cstheme="majorBidi"/>
          <w:lang w:val="en-GB"/>
        </w:rPr>
        <w:t xml:space="preserve">national </w:t>
      </w:r>
      <w:r w:rsidRPr="003D2A76">
        <w:rPr>
          <w:rFonts w:asciiTheme="majorBidi" w:hAnsiTheme="majorBidi" w:cstheme="majorBidi"/>
          <w:lang w:val="en-GB"/>
        </w:rPr>
        <w:t xml:space="preserve">AI </w:t>
      </w:r>
      <w:r w:rsidR="00D1083E" w:rsidRPr="003D2A76">
        <w:rPr>
          <w:rFonts w:asciiTheme="majorBidi" w:hAnsiTheme="majorBidi" w:cstheme="majorBidi"/>
          <w:lang w:val="en-GB"/>
        </w:rPr>
        <w:t xml:space="preserve">strategy </w:t>
      </w:r>
      <w:r w:rsidRPr="003D2A76">
        <w:rPr>
          <w:rFonts w:asciiTheme="majorBidi" w:hAnsiTheme="majorBidi" w:cstheme="majorBidi"/>
          <w:lang w:val="en-GB"/>
        </w:rPr>
        <w:t xml:space="preserve">must have </w:t>
      </w:r>
      <w:r w:rsidR="00D1083E" w:rsidRPr="003D2A76">
        <w:rPr>
          <w:rFonts w:asciiTheme="majorBidi" w:hAnsiTheme="majorBidi" w:cstheme="majorBidi"/>
          <w:lang w:val="en-GB"/>
        </w:rPr>
        <w:t xml:space="preserve">measures related </w:t>
      </w:r>
      <w:r w:rsidRPr="003D2A76">
        <w:rPr>
          <w:rFonts w:asciiTheme="majorBidi" w:hAnsiTheme="majorBidi" w:cstheme="majorBidi"/>
          <w:lang w:val="en-GB"/>
        </w:rPr>
        <w:t xml:space="preserve">to both </w:t>
      </w:r>
      <w:r w:rsidR="00D1083E" w:rsidRPr="003D2A76">
        <w:rPr>
          <w:rFonts w:asciiTheme="majorBidi" w:hAnsiTheme="majorBidi" w:cstheme="majorBidi"/>
          <w:lang w:val="en-GB"/>
        </w:rPr>
        <w:t>quality and t</w:t>
      </w:r>
      <w:r w:rsidRPr="003D2A76">
        <w:rPr>
          <w:rFonts w:asciiTheme="majorBidi" w:hAnsiTheme="majorBidi" w:cstheme="majorBidi"/>
          <w:lang w:val="en-GB"/>
        </w:rPr>
        <w:t xml:space="preserve">rust, </w:t>
      </w:r>
      <w:r w:rsidR="00D1083E" w:rsidRPr="003D2A76">
        <w:rPr>
          <w:rFonts w:asciiTheme="majorBidi" w:hAnsiTheme="majorBidi" w:cstheme="majorBidi"/>
          <w:lang w:val="en-GB"/>
        </w:rPr>
        <w:t>as well as cultural alignment –</w:t>
      </w:r>
      <w:r w:rsidRPr="003D2A76">
        <w:rPr>
          <w:rFonts w:asciiTheme="majorBidi" w:hAnsiTheme="majorBidi" w:cstheme="majorBidi"/>
          <w:lang w:val="en-GB"/>
        </w:rPr>
        <w:t xml:space="preserve"> these measures must be tracked alongside </w:t>
      </w:r>
      <w:r w:rsidR="00D1083E" w:rsidRPr="003D2A76">
        <w:rPr>
          <w:rFonts w:asciiTheme="majorBidi" w:hAnsiTheme="majorBidi" w:cstheme="majorBidi"/>
          <w:lang w:val="en-GB"/>
        </w:rPr>
        <w:t>adoption counts</w:t>
      </w:r>
      <w:r w:rsidRPr="003D2A76">
        <w:rPr>
          <w:rFonts w:asciiTheme="majorBidi" w:hAnsiTheme="majorBidi" w:cstheme="majorBidi"/>
          <w:lang w:val="en-GB"/>
        </w:rPr>
        <w:t xml:space="preserve">. Tracking the # of </w:t>
      </w:r>
      <w:r w:rsidR="00D1083E" w:rsidRPr="003D2A76">
        <w:rPr>
          <w:rFonts w:asciiTheme="majorBidi" w:hAnsiTheme="majorBidi" w:cstheme="majorBidi"/>
          <w:lang w:val="en-GB"/>
        </w:rPr>
        <w:t xml:space="preserve">schools reporting how </w:t>
      </w:r>
      <w:r w:rsidRPr="003D2A76">
        <w:rPr>
          <w:rFonts w:asciiTheme="majorBidi" w:hAnsiTheme="majorBidi" w:cstheme="majorBidi"/>
          <w:lang w:val="en-GB"/>
        </w:rPr>
        <w:t xml:space="preserve">they </w:t>
      </w:r>
      <w:r w:rsidR="00D1083E" w:rsidRPr="003D2A76">
        <w:rPr>
          <w:rFonts w:asciiTheme="majorBidi" w:hAnsiTheme="majorBidi" w:cstheme="majorBidi"/>
          <w:lang w:val="en-GB"/>
        </w:rPr>
        <w:t xml:space="preserve">use </w:t>
      </w:r>
      <w:r w:rsidRPr="003D2A76">
        <w:rPr>
          <w:rFonts w:asciiTheme="majorBidi" w:hAnsiTheme="majorBidi" w:cstheme="majorBidi"/>
          <w:lang w:val="en-GB"/>
        </w:rPr>
        <w:t xml:space="preserve">AI is weak; however, tracking whether </w:t>
      </w:r>
      <w:r w:rsidR="00D1083E" w:rsidRPr="003D2A76">
        <w:rPr>
          <w:rFonts w:asciiTheme="majorBidi" w:hAnsiTheme="majorBidi" w:cstheme="majorBidi"/>
          <w:lang w:val="en-GB"/>
        </w:rPr>
        <w:t xml:space="preserve">parents report improvements </w:t>
      </w:r>
      <w:r w:rsidRPr="003D2A76">
        <w:rPr>
          <w:rFonts w:asciiTheme="majorBidi" w:hAnsiTheme="majorBidi" w:cstheme="majorBidi"/>
          <w:lang w:val="en-GB"/>
        </w:rPr>
        <w:t xml:space="preserve">in </w:t>
      </w:r>
      <w:r w:rsidR="00D1083E" w:rsidRPr="003D2A76">
        <w:rPr>
          <w:rFonts w:asciiTheme="majorBidi" w:hAnsiTheme="majorBidi" w:cstheme="majorBidi"/>
          <w:lang w:val="en-GB"/>
        </w:rPr>
        <w:t>service quality</w:t>
      </w:r>
      <w:r w:rsidRPr="003D2A76">
        <w:rPr>
          <w:rFonts w:asciiTheme="majorBidi" w:hAnsiTheme="majorBidi" w:cstheme="majorBidi"/>
          <w:lang w:val="en-GB"/>
        </w:rPr>
        <w:t xml:space="preserve">, </w:t>
      </w:r>
      <w:r w:rsidR="00D1083E" w:rsidRPr="003D2A76">
        <w:rPr>
          <w:rFonts w:asciiTheme="majorBidi" w:hAnsiTheme="majorBidi" w:cstheme="majorBidi"/>
          <w:lang w:val="en-GB"/>
        </w:rPr>
        <w:t>trust</w:t>
      </w:r>
      <w:r w:rsidR="004E058C">
        <w:rPr>
          <w:rFonts w:asciiTheme="majorBidi" w:hAnsiTheme="majorBidi" w:cstheme="majorBidi"/>
          <w:lang w:val="en-GB"/>
        </w:rPr>
        <w:t>,</w:t>
      </w:r>
      <w:r w:rsidR="00D1083E" w:rsidRPr="003D2A76">
        <w:rPr>
          <w:rFonts w:asciiTheme="majorBidi" w:hAnsiTheme="majorBidi" w:cstheme="majorBidi"/>
          <w:lang w:val="en-GB"/>
        </w:rPr>
        <w:t xml:space="preserve"> </w:t>
      </w:r>
      <w:r w:rsidRPr="003D2A76">
        <w:rPr>
          <w:rFonts w:asciiTheme="majorBidi" w:hAnsiTheme="majorBidi" w:cstheme="majorBidi"/>
          <w:lang w:val="en-GB"/>
        </w:rPr>
        <w:t xml:space="preserve">and </w:t>
      </w:r>
      <w:r w:rsidR="00D1083E" w:rsidRPr="003D2A76">
        <w:rPr>
          <w:rFonts w:asciiTheme="majorBidi" w:hAnsiTheme="majorBidi" w:cstheme="majorBidi"/>
          <w:lang w:val="en-GB"/>
        </w:rPr>
        <w:t xml:space="preserve">value added </w:t>
      </w:r>
      <w:r w:rsidRPr="003D2A76">
        <w:rPr>
          <w:rFonts w:asciiTheme="majorBidi" w:hAnsiTheme="majorBidi" w:cstheme="majorBidi"/>
          <w:lang w:val="en-GB"/>
        </w:rPr>
        <w:t xml:space="preserve">by using AI compared to </w:t>
      </w:r>
      <w:r w:rsidR="00D1083E" w:rsidRPr="003D2A76">
        <w:rPr>
          <w:rFonts w:asciiTheme="majorBidi" w:hAnsiTheme="majorBidi" w:cstheme="majorBidi"/>
          <w:lang w:val="en-GB"/>
        </w:rPr>
        <w:t xml:space="preserve">traditional methods </w:t>
      </w:r>
      <w:r w:rsidRPr="003D2A76">
        <w:rPr>
          <w:rFonts w:asciiTheme="majorBidi" w:hAnsiTheme="majorBidi" w:cstheme="majorBidi"/>
          <w:lang w:val="en-GB"/>
        </w:rPr>
        <w:t xml:space="preserve">would provide a </w:t>
      </w:r>
      <w:r w:rsidR="00D1083E" w:rsidRPr="003D2A76">
        <w:rPr>
          <w:rFonts w:asciiTheme="majorBidi" w:hAnsiTheme="majorBidi" w:cstheme="majorBidi"/>
          <w:lang w:val="en-GB"/>
        </w:rPr>
        <w:t xml:space="preserve">stronger measurement </w:t>
      </w:r>
      <w:r w:rsidRPr="003D2A76">
        <w:rPr>
          <w:rFonts w:asciiTheme="majorBidi" w:hAnsiTheme="majorBidi" w:cstheme="majorBidi"/>
          <w:lang w:val="en-GB"/>
        </w:rPr>
        <w:t xml:space="preserve">of </w:t>
      </w:r>
      <w:r w:rsidR="00D1083E" w:rsidRPr="003D2A76">
        <w:rPr>
          <w:rFonts w:asciiTheme="majorBidi" w:hAnsiTheme="majorBidi" w:cstheme="majorBidi"/>
          <w:lang w:val="en-GB"/>
        </w:rPr>
        <w:t>efficacy</w:t>
      </w:r>
      <w:r w:rsidRPr="003D2A76">
        <w:rPr>
          <w:rFonts w:asciiTheme="majorBidi" w:hAnsiTheme="majorBidi" w:cstheme="majorBidi"/>
          <w:lang w:val="en-GB"/>
        </w:rPr>
        <w:t xml:space="preserve">. Adding </w:t>
      </w:r>
      <w:r w:rsidR="00D1083E" w:rsidRPr="003D2A76">
        <w:rPr>
          <w:rFonts w:asciiTheme="majorBidi" w:hAnsiTheme="majorBidi" w:cstheme="majorBidi"/>
          <w:lang w:val="en-GB"/>
        </w:rPr>
        <w:t xml:space="preserve">a parent perception index </w:t>
      </w:r>
      <w:r w:rsidRPr="003D2A76">
        <w:rPr>
          <w:rFonts w:asciiTheme="majorBidi" w:hAnsiTheme="majorBidi" w:cstheme="majorBidi"/>
          <w:lang w:val="en-GB"/>
        </w:rPr>
        <w:t xml:space="preserve">to MOE’s existing </w:t>
      </w:r>
      <w:r w:rsidR="00D1083E" w:rsidRPr="003D2A76">
        <w:rPr>
          <w:rFonts w:asciiTheme="majorBidi" w:hAnsiTheme="majorBidi" w:cstheme="majorBidi"/>
          <w:lang w:val="en-GB"/>
        </w:rPr>
        <w:t xml:space="preserve">school evaluation tools </w:t>
      </w:r>
      <w:r w:rsidRPr="003D2A76">
        <w:rPr>
          <w:rFonts w:asciiTheme="majorBidi" w:hAnsiTheme="majorBidi" w:cstheme="majorBidi"/>
          <w:lang w:val="en-GB"/>
        </w:rPr>
        <w:t>would cost little, but increase the rigo</w:t>
      </w:r>
      <w:r w:rsidR="00D1083E" w:rsidRPr="003D2A76">
        <w:rPr>
          <w:rFonts w:asciiTheme="majorBidi" w:hAnsiTheme="majorBidi" w:cstheme="majorBidi"/>
          <w:lang w:val="en-GB"/>
        </w:rPr>
        <w:t>u</w:t>
      </w:r>
      <w:r w:rsidRPr="003D2A76">
        <w:rPr>
          <w:rFonts w:asciiTheme="majorBidi" w:hAnsiTheme="majorBidi" w:cstheme="majorBidi"/>
          <w:lang w:val="en-GB"/>
        </w:rPr>
        <w:t>r of these tools.</w:t>
      </w:r>
    </w:p>
    <w:p w14:paraId="073D6F4A" w14:textId="2E5A4EF7" w:rsidR="006A4A5D" w:rsidRPr="003D2A76" w:rsidRDefault="00D1083E" w:rsidP="00BD6279">
      <w:pPr>
        <w:bidi w:val="0"/>
        <w:rPr>
          <w:rFonts w:asciiTheme="majorBidi" w:hAnsiTheme="majorBidi" w:cstheme="majorBidi"/>
          <w:lang w:val="en-GB"/>
        </w:rPr>
      </w:pPr>
      <w:r w:rsidRPr="003D2A76">
        <w:rPr>
          <w:rFonts w:asciiTheme="majorBidi" w:hAnsiTheme="majorBidi" w:cstheme="majorBidi"/>
          <w:lang w:val="en-GB"/>
        </w:rPr>
        <w:t>Secondly,</w:t>
      </w:r>
      <w:r w:rsidR="006A4A5D" w:rsidRPr="003D2A76">
        <w:rPr>
          <w:rFonts w:asciiTheme="majorBidi" w:hAnsiTheme="majorBidi" w:cstheme="majorBidi"/>
          <w:lang w:val="en-GB"/>
        </w:rPr>
        <w:t xml:space="preserve"> AI in marketing moves the service-quality needle almost as much as AI in teaching (H2 β = 0.474 versus H1 β = 0.464). Pre-enrolment marketing shapes parent perceptions as much as classroom use does. Information asymmetry risk is real if marketing outpaces delivery. A light-touch disclosure rule (a short, Ministry-standard statement of AI use that schools publish) would shrink the gap.</w:t>
      </w:r>
    </w:p>
    <w:p w14:paraId="5AE320E1" w14:textId="51CB087E" w:rsidR="006A4A5D" w:rsidRPr="003D2A76" w:rsidRDefault="00D1083E"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The third </w:t>
      </w:r>
      <w:r w:rsidR="006A4A5D" w:rsidRPr="003D2A76">
        <w:rPr>
          <w:rFonts w:asciiTheme="majorBidi" w:hAnsiTheme="majorBidi" w:cstheme="majorBidi"/>
          <w:lang w:val="en-GB"/>
        </w:rPr>
        <w:t xml:space="preserve">point takes up the cultural moderation of teaching AI (H12). This aligns with a Vision 2030 principle: modernisation happens </w:t>
      </w:r>
      <w:r w:rsidRPr="003D2A76">
        <w:rPr>
          <w:rFonts w:asciiTheme="majorBidi" w:hAnsiTheme="majorBidi" w:cstheme="majorBidi"/>
          <w:lang w:val="en-GB"/>
        </w:rPr>
        <w:t xml:space="preserve">within </w:t>
      </w:r>
      <w:r w:rsidR="006A4A5D" w:rsidRPr="003D2A76">
        <w:rPr>
          <w:rFonts w:asciiTheme="majorBidi" w:hAnsiTheme="majorBidi" w:cstheme="majorBidi"/>
          <w:lang w:val="en-GB"/>
        </w:rPr>
        <w:t xml:space="preserve">Saudi cultural </w:t>
      </w:r>
      <w:r w:rsidRPr="003D2A76">
        <w:rPr>
          <w:rFonts w:asciiTheme="majorBidi" w:hAnsiTheme="majorBidi" w:cstheme="majorBidi"/>
          <w:lang w:val="en-GB"/>
        </w:rPr>
        <w:t>bounds</w:t>
      </w:r>
      <w:r w:rsidR="006A4A5D" w:rsidRPr="003D2A76">
        <w:rPr>
          <w:rFonts w:asciiTheme="majorBidi" w:hAnsiTheme="majorBidi" w:cstheme="majorBidi"/>
          <w:lang w:val="en-GB"/>
        </w:rPr>
        <w:t xml:space="preserve">. The 4.82 threshold on the 7-point cultural scale is operationally useful: schools and vendors </w:t>
      </w:r>
      <w:r w:rsidRPr="003D2A76">
        <w:rPr>
          <w:rFonts w:asciiTheme="majorBidi" w:hAnsiTheme="majorBidi" w:cstheme="majorBidi"/>
          <w:lang w:val="en-GB"/>
        </w:rPr>
        <w:t xml:space="preserve">scoring </w:t>
      </w:r>
      <w:r w:rsidR="006A4A5D" w:rsidRPr="003D2A76">
        <w:rPr>
          <w:rFonts w:asciiTheme="majorBidi" w:hAnsiTheme="majorBidi" w:cstheme="majorBidi"/>
          <w:lang w:val="en-GB"/>
        </w:rPr>
        <w:t xml:space="preserve">below </w:t>
      </w:r>
      <w:r w:rsidRPr="003D2A76">
        <w:rPr>
          <w:rFonts w:asciiTheme="majorBidi" w:hAnsiTheme="majorBidi" w:cstheme="majorBidi"/>
          <w:lang w:val="en-GB"/>
        </w:rPr>
        <w:t xml:space="preserve">this </w:t>
      </w:r>
      <w:r w:rsidR="006A4A5D" w:rsidRPr="003D2A76">
        <w:rPr>
          <w:rFonts w:asciiTheme="majorBidi" w:hAnsiTheme="majorBidi" w:cstheme="majorBidi"/>
          <w:lang w:val="en-GB"/>
        </w:rPr>
        <w:t>will likely lose the AI-quality gain. A public curriculum-alignment badge (like halal certification in consumer goods) signalling cultural fit of AI in education would help.</w:t>
      </w:r>
    </w:p>
    <w:p w14:paraId="7154D4F9" w14:textId="77777777" w:rsidR="0042734A" w:rsidRPr="003D2A76" w:rsidRDefault="0042734A" w:rsidP="0042734A">
      <w:pPr>
        <w:bidi w:val="0"/>
        <w:rPr>
          <w:rFonts w:asciiTheme="majorBidi" w:hAnsiTheme="majorBidi" w:cstheme="majorBidi"/>
          <w:lang w:val="en-GB"/>
        </w:rPr>
      </w:pPr>
    </w:p>
    <w:p w14:paraId="56713E04"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5.5.3 Implications for Educational Technology Developers</w:t>
      </w:r>
    </w:p>
    <w:p w14:paraId="5164F6F8" w14:textId="02FBF8B8"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Companies involved in </w:t>
      </w:r>
      <w:r w:rsidR="00D1083E" w:rsidRPr="003D2A76">
        <w:rPr>
          <w:rFonts w:asciiTheme="majorBidi" w:hAnsiTheme="majorBidi" w:cstheme="majorBidi"/>
          <w:lang w:val="en-GB"/>
        </w:rPr>
        <w:t xml:space="preserve">developing educational technology </w:t>
      </w:r>
      <w:r w:rsidRPr="003D2A76">
        <w:rPr>
          <w:rFonts w:asciiTheme="majorBidi" w:hAnsiTheme="majorBidi" w:cstheme="majorBidi"/>
          <w:lang w:val="en-GB"/>
        </w:rPr>
        <w:t xml:space="preserve">for the Saudi K-12 </w:t>
      </w:r>
      <w:r w:rsidR="00D1083E" w:rsidRPr="003D2A76">
        <w:rPr>
          <w:rFonts w:asciiTheme="majorBidi" w:hAnsiTheme="majorBidi" w:cstheme="majorBidi"/>
          <w:lang w:val="en-GB"/>
        </w:rPr>
        <w:t xml:space="preserve">market </w:t>
      </w:r>
      <w:r w:rsidRPr="003D2A76">
        <w:rPr>
          <w:rFonts w:asciiTheme="majorBidi" w:hAnsiTheme="majorBidi" w:cstheme="majorBidi"/>
          <w:lang w:val="en-GB"/>
        </w:rPr>
        <w:t xml:space="preserve">should treat Chapter 4 of this </w:t>
      </w:r>
      <w:r w:rsidR="003D2A76" w:rsidRPr="003D2A76">
        <w:rPr>
          <w:rFonts w:asciiTheme="majorBidi" w:hAnsiTheme="majorBidi" w:cstheme="majorBidi"/>
          <w:lang w:val="en-GB"/>
        </w:rPr>
        <w:t>report</w:t>
      </w:r>
      <w:r w:rsidR="00D1083E" w:rsidRPr="003D2A76">
        <w:rPr>
          <w:rFonts w:asciiTheme="majorBidi" w:hAnsiTheme="majorBidi" w:cstheme="majorBidi"/>
          <w:lang w:val="en-GB"/>
        </w:rPr>
        <w:t xml:space="preserve"> </w:t>
      </w:r>
      <w:r w:rsidRPr="003D2A76">
        <w:rPr>
          <w:rFonts w:asciiTheme="majorBidi" w:hAnsiTheme="majorBidi" w:cstheme="majorBidi"/>
          <w:lang w:val="en-GB"/>
        </w:rPr>
        <w:t xml:space="preserve">as a </w:t>
      </w:r>
      <w:r w:rsidR="00D1083E" w:rsidRPr="003D2A76">
        <w:rPr>
          <w:rFonts w:asciiTheme="majorBidi" w:hAnsiTheme="majorBidi" w:cstheme="majorBidi"/>
          <w:lang w:val="en-GB"/>
        </w:rPr>
        <w:t>blueprint for p</w:t>
      </w:r>
      <w:r w:rsidRPr="003D2A76">
        <w:rPr>
          <w:rFonts w:asciiTheme="majorBidi" w:hAnsiTheme="majorBidi" w:cstheme="majorBidi"/>
          <w:lang w:val="en-GB"/>
        </w:rPr>
        <w:t xml:space="preserve">roduct </w:t>
      </w:r>
      <w:r w:rsidR="00D1083E" w:rsidRPr="003D2A76">
        <w:rPr>
          <w:rFonts w:asciiTheme="majorBidi" w:hAnsiTheme="majorBidi" w:cstheme="majorBidi"/>
          <w:lang w:val="en-GB"/>
        </w:rPr>
        <w:t>development</w:t>
      </w:r>
      <w:r w:rsidRPr="003D2A76">
        <w:rPr>
          <w:rFonts w:asciiTheme="majorBidi" w:hAnsiTheme="majorBidi" w:cstheme="majorBidi"/>
          <w:lang w:val="en-GB"/>
        </w:rPr>
        <w:t>.</w:t>
      </w:r>
      <w:r w:rsidR="00D31DDE" w:rsidRPr="003D2A76">
        <w:rPr>
          <w:rFonts w:asciiTheme="majorBidi" w:hAnsiTheme="majorBidi" w:cstheme="majorBidi"/>
          <w:lang w:val="en-GB"/>
        </w:rPr>
        <w:t xml:space="preserve"> </w:t>
      </w:r>
      <w:r w:rsidRPr="003D2A76">
        <w:rPr>
          <w:rFonts w:asciiTheme="majorBidi" w:hAnsiTheme="majorBidi" w:cstheme="majorBidi"/>
          <w:lang w:val="en-GB"/>
        </w:rPr>
        <w:t xml:space="preserve">The first </w:t>
      </w:r>
      <w:r w:rsidR="00D1083E" w:rsidRPr="003D2A76">
        <w:rPr>
          <w:rFonts w:asciiTheme="majorBidi" w:hAnsiTheme="majorBidi" w:cstheme="majorBidi"/>
          <w:lang w:val="en-GB"/>
        </w:rPr>
        <w:t xml:space="preserve">priority </w:t>
      </w:r>
      <w:r w:rsidRPr="003D2A76">
        <w:rPr>
          <w:rFonts w:asciiTheme="majorBidi" w:hAnsiTheme="majorBidi" w:cstheme="majorBidi"/>
          <w:lang w:val="en-GB"/>
        </w:rPr>
        <w:t xml:space="preserve">of </w:t>
      </w:r>
      <w:r w:rsidR="00D1083E" w:rsidRPr="003D2A76">
        <w:rPr>
          <w:rFonts w:asciiTheme="majorBidi" w:hAnsiTheme="majorBidi" w:cstheme="majorBidi"/>
          <w:lang w:val="en-GB"/>
        </w:rPr>
        <w:t xml:space="preserve">design </w:t>
      </w:r>
      <w:r w:rsidRPr="003D2A76">
        <w:rPr>
          <w:rFonts w:asciiTheme="majorBidi" w:hAnsiTheme="majorBidi" w:cstheme="majorBidi"/>
          <w:lang w:val="en-GB"/>
        </w:rPr>
        <w:t xml:space="preserve">for </w:t>
      </w:r>
      <w:r w:rsidR="00D1083E" w:rsidRPr="003D2A76">
        <w:rPr>
          <w:rFonts w:asciiTheme="majorBidi" w:hAnsiTheme="majorBidi" w:cstheme="majorBidi"/>
          <w:lang w:val="en-GB"/>
        </w:rPr>
        <w:t xml:space="preserve">educational technology </w:t>
      </w:r>
      <w:r w:rsidRPr="003D2A76">
        <w:rPr>
          <w:rFonts w:asciiTheme="majorBidi" w:hAnsiTheme="majorBidi" w:cstheme="majorBidi"/>
          <w:lang w:val="en-GB"/>
        </w:rPr>
        <w:t xml:space="preserve">targeting K-12 </w:t>
      </w:r>
      <w:r w:rsidR="00D1083E" w:rsidRPr="003D2A76">
        <w:rPr>
          <w:rFonts w:asciiTheme="majorBidi" w:hAnsiTheme="majorBidi" w:cstheme="majorBidi"/>
          <w:lang w:val="en-GB"/>
        </w:rPr>
        <w:t xml:space="preserve">delivery </w:t>
      </w:r>
      <w:r w:rsidRPr="003D2A76">
        <w:rPr>
          <w:rFonts w:asciiTheme="majorBidi" w:hAnsiTheme="majorBidi" w:cstheme="majorBidi"/>
          <w:lang w:val="en-GB"/>
        </w:rPr>
        <w:t xml:space="preserve">is </w:t>
      </w:r>
      <w:r w:rsidR="00D1083E" w:rsidRPr="003D2A76">
        <w:rPr>
          <w:rFonts w:asciiTheme="majorBidi" w:hAnsiTheme="majorBidi" w:cstheme="majorBidi"/>
          <w:lang w:val="en-GB"/>
        </w:rPr>
        <w:t xml:space="preserve">reliability </w:t>
      </w:r>
      <w:r w:rsidRPr="003D2A76">
        <w:rPr>
          <w:rFonts w:asciiTheme="majorBidi" w:hAnsiTheme="majorBidi" w:cstheme="majorBidi"/>
          <w:lang w:val="en-GB"/>
        </w:rPr>
        <w:t xml:space="preserve">and </w:t>
      </w:r>
      <w:r w:rsidR="00D1083E" w:rsidRPr="003D2A76">
        <w:rPr>
          <w:rFonts w:asciiTheme="majorBidi" w:hAnsiTheme="majorBidi" w:cstheme="majorBidi"/>
          <w:lang w:val="en-GB"/>
        </w:rPr>
        <w:t>responsiveness – t</w:t>
      </w:r>
      <w:r w:rsidRPr="003D2A76">
        <w:rPr>
          <w:rFonts w:asciiTheme="majorBidi" w:hAnsiTheme="majorBidi" w:cstheme="majorBidi"/>
          <w:lang w:val="en-GB"/>
        </w:rPr>
        <w:t xml:space="preserve">he SERVQUAL </w:t>
      </w:r>
      <w:r w:rsidR="00D1083E" w:rsidRPr="003D2A76">
        <w:rPr>
          <w:rFonts w:asciiTheme="majorBidi" w:hAnsiTheme="majorBidi" w:cstheme="majorBidi"/>
          <w:lang w:val="en-GB"/>
        </w:rPr>
        <w:t xml:space="preserve">dimensions </w:t>
      </w:r>
      <w:r w:rsidRPr="003D2A76">
        <w:rPr>
          <w:rFonts w:asciiTheme="majorBidi" w:hAnsiTheme="majorBidi" w:cstheme="majorBidi"/>
          <w:lang w:val="en-GB"/>
        </w:rPr>
        <w:t xml:space="preserve">of </w:t>
      </w:r>
      <w:r w:rsidR="00D1083E" w:rsidRPr="003D2A76">
        <w:rPr>
          <w:rFonts w:asciiTheme="majorBidi" w:hAnsiTheme="majorBidi" w:cstheme="majorBidi"/>
          <w:lang w:val="en-GB"/>
        </w:rPr>
        <w:t xml:space="preserve">quality effect </w:t>
      </w:r>
      <w:r w:rsidRPr="003D2A76">
        <w:rPr>
          <w:rFonts w:asciiTheme="majorBidi" w:hAnsiTheme="majorBidi" w:cstheme="majorBidi"/>
          <w:lang w:val="en-GB"/>
        </w:rPr>
        <w:t xml:space="preserve">that weigh most heavily in terms of impact associated with </w:t>
      </w:r>
      <w:r w:rsidR="00D1083E" w:rsidRPr="003D2A76">
        <w:rPr>
          <w:rFonts w:asciiTheme="majorBidi" w:hAnsiTheme="majorBidi" w:cstheme="majorBidi"/>
          <w:lang w:val="en-GB"/>
        </w:rPr>
        <w:t>student learning</w:t>
      </w:r>
      <w:r w:rsidRPr="003D2A76">
        <w:rPr>
          <w:rFonts w:asciiTheme="majorBidi" w:hAnsiTheme="majorBidi" w:cstheme="majorBidi"/>
          <w:lang w:val="en-GB"/>
        </w:rPr>
        <w:t xml:space="preserve">. Therefore, </w:t>
      </w:r>
      <w:r w:rsidR="00D1083E" w:rsidRPr="003D2A76">
        <w:rPr>
          <w:rFonts w:asciiTheme="majorBidi" w:hAnsiTheme="majorBidi" w:cstheme="majorBidi"/>
          <w:lang w:val="en-GB"/>
        </w:rPr>
        <w:t xml:space="preserve">companies </w:t>
      </w:r>
      <w:r w:rsidRPr="003D2A76">
        <w:rPr>
          <w:rFonts w:asciiTheme="majorBidi" w:hAnsiTheme="majorBidi" w:cstheme="majorBidi"/>
          <w:lang w:val="en-GB"/>
        </w:rPr>
        <w:t xml:space="preserve">should develop and </w:t>
      </w:r>
      <w:r w:rsidR="00D1083E" w:rsidRPr="003D2A76">
        <w:rPr>
          <w:rFonts w:asciiTheme="majorBidi" w:hAnsiTheme="majorBidi" w:cstheme="majorBidi"/>
          <w:lang w:val="en-GB"/>
        </w:rPr>
        <w:t xml:space="preserve">implement </w:t>
      </w:r>
      <w:r w:rsidRPr="003D2A76">
        <w:rPr>
          <w:rFonts w:asciiTheme="majorBidi" w:hAnsiTheme="majorBidi" w:cstheme="majorBidi"/>
          <w:lang w:val="en-GB"/>
        </w:rPr>
        <w:t xml:space="preserve">a </w:t>
      </w:r>
      <w:r w:rsidR="00D1083E" w:rsidRPr="003D2A76">
        <w:rPr>
          <w:rFonts w:asciiTheme="majorBidi" w:hAnsiTheme="majorBidi" w:cstheme="majorBidi"/>
          <w:lang w:val="en-GB"/>
        </w:rPr>
        <w:t>reliable infrastructure</w:t>
      </w:r>
      <w:r w:rsidRPr="003D2A76">
        <w:rPr>
          <w:rFonts w:asciiTheme="majorBidi" w:hAnsiTheme="majorBidi" w:cstheme="majorBidi"/>
          <w:lang w:val="en-GB"/>
        </w:rPr>
        <w:t xml:space="preserve">, </w:t>
      </w:r>
      <w:r w:rsidR="00D1083E" w:rsidRPr="003D2A76">
        <w:rPr>
          <w:rFonts w:asciiTheme="majorBidi" w:hAnsiTheme="majorBidi" w:cstheme="majorBidi"/>
          <w:lang w:val="en-GB"/>
        </w:rPr>
        <w:t xml:space="preserve">use </w:t>
      </w:r>
      <w:r w:rsidRPr="003D2A76">
        <w:rPr>
          <w:rFonts w:asciiTheme="majorBidi" w:hAnsiTheme="majorBidi" w:cstheme="majorBidi"/>
          <w:lang w:val="en-GB"/>
        </w:rPr>
        <w:t xml:space="preserve">an Arabic 1st (language) </w:t>
      </w:r>
      <w:r w:rsidR="00D1083E" w:rsidRPr="003D2A76">
        <w:rPr>
          <w:rFonts w:asciiTheme="majorBidi" w:hAnsiTheme="majorBidi" w:cstheme="majorBidi"/>
          <w:lang w:val="en-GB"/>
        </w:rPr>
        <w:t>interface</w:t>
      </w:r>
      <w:r w:rsidRPr="003D2A76">
        <w:rPr>
          <w:rFonts w:asciiTheme="majorBidi" w:hAnsiTheme="majorBidi" w:cstheme="majorBidi"/>
          <w:lang w:val="en-GB"/>
        </w:rPr>
        <w:t xml:space="preserve">, </w:t>
      </w:r>
      <w:r w:rsidR="00D1083E" w:rsidRPr="003D2A76">
        <w:rPr>
          <w:rFonts w:asciiTheme="majorBidi" w:hAnsiTheme="majorBidi" w:cstheme="majorBidi"/>
          <w:lang w:val="en-GB"/>
        </w:rPr>
        <w:t xml:space="preserve">budget </w:t>
      </w:r>
      <w:r w:rsidRPr="003D2A76">
        <w:rPr>
          <w:rFonts w:asciiTheme="majorBidi" w:hAnsiTheme="majorBidi" w:cstheme="majorBidi"/>
          <w:lang w:val="en-GB"/>
        </w:rPr>
        <w:t xml:space="preserve">for </w:t>
      </w:r>
      <w:r w:rsidR="00D1083E" w:rsidRPr="003D2A76">
        <w:rPr>
          <w:rFonts w:asciiTheme="majorBidi" w:hAnsiTheme="majorBidi" w:cstheme="majorBidi"/>
          <w:lang w:val="en-GB"/>
        </w:rPr>
        <w:t xml:space="preserve">latency </w:t>
      </w:r>
      <w:r w:rsidRPr="003D2A76">
        <w:rPr>
          <w:rFonts w:asciiTheme="majorBidi" w:hAnsiTheme="majorBidi" w:cstheme="majorBidi"/>
          <w:lang w:val="en-GB"/>
        </w:rPr>
        <w:t xml:space="preserve">based on </w:t>
      </w:r>
      <w:r w:rsidR="00D1083E" w:rsidRPr="003D2A76">
        <w:rPr>
          <w:rFonts w:asciiTheme="majorBidi" w:hAnsiTheme="majorBidi" w:cstheme="majorBidi"/>
          <w:lang w:val="en-GB"/>
        </w:rPr>
        <w:t>actual classroom use</w:t>
      </w:r>
      <w:r w:rsidRPr="003D2A76">
        <w:rPr>
          <w:rFonts w:asciiTheme="majorBidi" w:hAnsiTheme="majorBidi" w:cstheme="majorBidi"/>
          <w:lang w:val="en-GB"/>
        </w:rPr>
        <w:t xml:space="preserve">, and have </w:t>
      </w:r>
      <w:r w:rsidR="00D1083E" w:rsidRPr="003D2A76">
        <w:rPr>
          <w:rFonts w:asciiTheme="majorBidi" w:hAnsiTheme="majorBidi" w:cstheme="majorBidi"/>
          <w:lang w:val="en-GB"/>
        </w:rPr>
        <w:t xml:space="preserve">fully integrated connectivity with </w:t>
      </w:r>
      <w:r w:rsidRPr="003D2A76">
        <w:rPr>
          <w:rFonts w:asciiTheme="majorBidi" w:hAnsiTheme="majorBidi" w:cstheme="majorBidi"/>
          <w:lang w:val="en-GB"/>
        </w:rPr>
        <w:t xml:space="preserve">the </w:t>
      </w:r>
      <w:r w:rsidR="00D1083E" w:rsidRPr="003D2A76">
        <w:rPr>
          <w:rFonts w:asciiTheme="majorBidi" w:hAnsiTheme="majorBidi" w:cstheme="majorBidi"/>
          <w:lang w:val="en-GB"/>
        </w:rPr>
        <w:t xml:space="preserve">school information systems </w:t>
      </w:r>
      <w:r w:rsidRPr="003D2A76">
        <w:rPr>
          <w:rFonts w:asciiTheme="majorBidi" w:hAnsiTheme="majorBidi" w:cstheme="majorBidi"/>
          <w:lang w:val="en-GB"/>
        </w:rPr>
        <w:t>(rather than function</w:t>
      </w:r>
      <w:r w:rsidR="00D1083E" w:rsidRPr="003D2A76">
        <w:rPr>
          <w:rFonts w:asciiTheme="majorBidi" w:hAnsiTheme="majorBidi" w:cstheme="majorBidi"/>
          <w:lang w:val="en-GB"/>
        </w:rPr>
        <w:t>ing</w:t>
      </w:r>
      <w:r w:rsidRPr="003D2A76">
        <w:rPr>
          <w:rFonts w:asciiTheme="majorBidi" w:hAnsiTheme="majorBidi" w:cstheme="majorBidi"/>
          <w:lang w:val="en-GB"/>
        </w:rPr>
        <w:t xml:space="preserve"> as a "stand-alone" product).</w:t>
      </w:r>
    </w:p>
    <w:p w14:paraId="296367EE" w14:textId="56F59984" w:rsidR="006A4A5D" w:rsidRPr="003D2A76" w:rsidRDefault="00D1083E" w:rsidP="00BD6279">
      <w:pPr>
        <w:bidi w:val="0"/>
        <w:rPr>
          <w:rFonts w:asciiTheme="majorBidi" w:hAnsiTheme="majorBidi" w:cstheme="majorBidi"/>
          <w:lang w:val="en-GB"/>
        </w:rPr>
      </w:pPr>
      <w:r w:rsidRPr="003D2A76">
        <w:rPr>
          <w:rFonts w:asciiTheme="majorBidi" w:hAnsiTheme="majorBidi" w:cstheme="majorBidi"/>
          <w:lang w:val="en-GB"/>
        </w:rPr>
        <w:t xml:space="preserve">The second </w:t>
      </w:r>
      <w:r w:rsidR="006A4A5D" w:rsidRPr="003D2A76">
        <w:rPr>
          <w:rFonts w:asciiTheme="majorBidi" w:hAnsiTheme="majorBidi" w:cstheme="majorBidi"/>
          <w:lang w:val="en-GB"/>
        </w:rPr>
        <w:t>priority</w:t>
      </w:r>
      <w:r w:rsidRPr="003D2A76">
        <w:rPr>
          <w:rFonts w:asciiTheme="majorBidi" w:hAnsiTheme="majorBidi" w:cstheme="majorBidi"/>
          <w:lang w:val="en-GB"/>
        </w:rPr>
        <w:t xml:space="preserve"> is for </w:t>
      </w:r>
      <w:r w:rsidR="006A4A5D" w:rsidRPr="003D2A76">
        <w:rPr>
          <w:rFonts w:asciiTheme="majorBidi" w:hAnsiTheme="majorBidi" w:cstheme="majorBidi"/>
          <w:lang w:val="en-GB"/>
        </w:rPr>
        <w:t>algorithmic assurance operationalised through transparent model documents, legible data-flow disclosures, user-visible controls over personalisation options, and accessible explanation features for parents and teachers. This is the compound-assurance point from §5.4.3 as a product requirement.</w:t>
      </w:r>
    </w:p>
    <w:p w14:paraId="6596D526" w14:textId="4A0DC3E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T</w:t>
      </w:r>
      <w:r w:rsidR="00D1083E" w:rsidRPr="003D2A76">
        <w:rPr>
          <w:rFonts w:asciiTheme="majorBidi" w:hAnsiTheme="majorBidi" w:cstheme="majorBidi"/>
          <w:lang w:val="en-GB"/>
        </w:rPr>
        <w:t>he t</w:t>
      </w:r>
      <w:r w:rsidRPr="003D2A76">
        <w:rPr>
          <w:rFonts w:asciiTheme="majorBidi" w:hAnsiTheme="majorBidi" w:cstheme="majorBidi"/>
          <w:lang w:val="en-GB"/>
        </w:rPr>
        <w:t>hird priority</w:t>
      </w:r>
      <w:r w:rsidR="00D1083E" w:rsidRPr="003D2A76">
        <w:rPr>
          <w:rFonts w:asciiTheme="majorBidi" w:hAnsiTheme="majorBidi" w:cstheme="majorBidi"/>
          <w:lang w:val="en-GB"/>
        </w:rPr>
        <w:t xml:space="preserve"> is </w:t>
      </w:r>
      <w:r w:rsidRPr="003D2A76">
        <w:rPr>
          <w:rFonts w:asciiTheme="majorBidi" w:hAnsiTheme="majorBidi" w:cstheme="majorBidi"/>
          <w:lang w:val="en-GB"/>
        </w:rPr>
        <w:t xml:space="preserve">cultural localisation that goes deeper than translation. Content moderation, religious calendar awareness, gender defaults in adaptive pathways, family-involvement features, and parent co-use modes are product-level levers interacting with </w:t>
      </w:r>
      <w:r w:rsidRPr="003D2A76">
        <w:rPr>
          <w:rFonts w:asciiTheme="majorBidi" w:hAnsiTheme="majorBidi" w:cstheme="majorBidi"/>
          <w:lang w:val="en-GB"/>
        </w:rPr>
        <w:lastRenderedPageBreak/>
        <w:t xml:space="preserve">the cultural moderation effect. Vendors translating only the </w:t>
      </w:r>
      <w:r w:rsidR="00AB541E">
        <w:rPr>
          <w:rFonts w:asciiTheme="majorBidi" w:hAnsiTheme="majorBidi" w:cstheme="majorBidi"/>
          <w:lang w:val="en-GB"/>
        </w:rPr>
        <w:t>User Interface (</w:t>
      </w:r>
      <w:r w:rsidRPr="003D2A76">
        <w:rPr>
          <w:rFonts w:asciiTheme="majorBidi" w:hAnsiTheme="majorBidi" w:cstheme="majorBidi"/>
          <w:lang w:val="en-GB"/>
        </w:rPr>
        <w:t>UI</w:t>
      </w:r>
      <w:r w:rsidR="00AB541E">
        <w:rPr>
          <w:rFonts w:asciiTheme="majorBidi" w:hAnsiTheme="majorBidi" w:cstheme="majorBidi"/>
          <w:lang w:val="en-GB"/>
        </w:rPr>
        <w:t>)</w:t>
      </w:r>
      <w:r w:rsidRPr="003D2A76">
        <w:rPr>
          <w:rFonts w:asciiTheme="majorBidi" w:hAnsiTheme="majorBidi" w:cstheme="majorBidi"/>
          <w:lang w:val="en-GB"/>
        </w:rPr>
        <w:t xml:space="preserve"> will likely find their AI products fail to register the positive quality lift forecast by H1 in the high</w:t>
      </w:r>
      <w:r w:rsidR="00D1083E" w:rsidRPr="003D2A76">
        <w:rPr>
          <w:rFonts w:asciiTheme="majorBidi" w:hAnsiTheme="majorBidi" w:cstheme="majorBidi"/>
          <w:lang w:val="en-GB"/>
        </w:rPr>
        <w:t xml:space="preserve"> </w:t>
      </w:r>
      <w:r w:rsidRPr="003D2A76">
        <w:rPr>
          <w:rFonts w:asciiTheme="majorBidi" w:hAnsiTheme="majorBidi" w:cstheme="majorBidi"/>
          <w:lang w:val="en-GB"/>
        </w:rPr>
        <w:t>cultural-score segment.</w:t>
      </w:r>
    </w:p>
    <w:p w14:paraId="3B5D754C" w14:textId="77777777" w:rsidR="0042734A" w:rsidRPr="003D2A76" w:rsidRDefault="0042734A" w:rsidP="0042734A">
      <w:pPr>
        <w:bidi w:val="0"/>
        <w:rPr>
          <w:rFonts w:asciiTheme="majorBidi" w:hAnsiTheme="majorBidi" w:cstheme="majorBidi"/>
          <w:lang w:val="en-GB"/>
        </w:rPr>
      </w:pPr>
    </w:p>
    <w:p w14:paraId="667BFBC7"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5.5.4 Implications for Parents</w:t>
      </w:r>
    </w:p>
    <w:p w14:paraId="3D76ED7D" w14:textId="0ABB075F"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Parents serve as the respondents and buyers for </w:t>
      </w:r>
      <w:r w:rsidR="00D1083E" w:rsidRPr="003D2A76">
        <w:rPr>
          <w:rFonts w:asciiTheme="majorBidi" w:hAnsiTheme="majorBidi" w:cstheme="majorBidi"/>
          <w:lang w:val="en-GB"/>
        </w:rPr>
        <w:t xml:space="preserve">the </w:t>
      </w:r>
      <w:r w:rsidRPr="003D2A76">
        <w:rPr>
          <w:rFonts w:asciiTheme="majorBidi" w:hAnsiTheme="majorBidi" w:cstheme="majorBidi"/>
          <w:lang w:val="en-GB"/>
        </w:rPr>
        <w:t>purposes of this study. Practically, the diagnostic focus is on the questions parents will ask regarding an institution's advertised AI attributes. The study results suggest the major questions are: (1)</w:t>
      </w:r>
      <w:r w:rsidR="00D1083E" w:rsidRPr="003D2A76">
        <w:rPr>
          <w:rFonts w:asciiTheme="majorBidi" w:hAnsiTheme="majorBidi" w:cstheme="majorBidi"/>
          <w:lang w:val="en-GB"/>
        </w:rPr>
        <w:t xml:space="preserve"> D</w:t>
      </w:r>
      <w:r w:rsidRPr="003D2A76">
        <w:rPr>
          <w:rFonts w:asciiTheme="majorBidi" w:hAnsiTheme="majorBidi" w:cstheme="majorBidi"/>
          <w:lang w:val="en-GB"/>
        </w:rPr>
        <w:t>o the AI attributes for the school meet the five SERVQUAL dimensions (</w:t>
      </w:r>
      <w:r w:rsidR="00D1083E" w:rsidRPr="003D2A76">
        <w:rPr>
          <w:rFonts w:asciiTheme="majorBidi" w:hAnsiTheme="majorBidi" w:cstheme="majorBidi"/>
          <w:lang w:val="en-GB"/>
        </w:rPr>
        <w:t>tangibles</w:t>
      </w:r>
      <w:r w:rsidRPr="003D2A76">
        <w:rPr>
          <w:rFonts w:asciiTheme="majorBidi" w:hAnsiTheme="majorBidi" w:cstheme="majorBidi"/>
          <w:lang w:val="en-GB"/>
        </w:rPr>
        <w:t xml:space="preserve">, </w:t>
      </w:r>
      <w:r w:rsidR="00D1083E" w:rsidRPr="003D2A76">
        <w:rPr>
          <w:rFonts w:asciiTheme="majorBidi" w:hAnsiTheme="majorBidi" w:cstheme="majorBidi"/>
          <w:lang w:val="en-GB"/>
        </w:rPr>
        <w:t>reliability</w:t>
      </w:r>
      <w:r w:rsidRPr="003D2A76">
        <w:rPr>
          <w:rFonts w:asciiTheme="majorBidi" w:hAnsiTheme="majorBidi" w:cstheme="majorBidi"/>
          <w:lang w:val="en-GB"/>
        </w:rPr>
        <w:t xml:space="preserve">, </w:t>
      </w:r>
      <w:r w:rsidR="00D1083E" w:rsidRPr="003D2A76">
        <w:rPr>
          <w:rFonts w:asciiTheme="majorBidi" w:hAnsiTheme="majorBidi" w:cstheme="majorBidi"/>
          <w:lang w:val="en-GB"/>
        </w:rPr>
        <w:t>responsiveness</w:t>
      </w:r>
      <w:r w:rsidRPr="003D2A76">
        <w:rPr>
          <w:rFonts w:asciiTheme="majorBidi" w:hAnsiTheme="majorBidi" w:cstheme="majorBidi"/>
          <w:lang w:val="en-GB"/>
        </w:rPr>
        <w:t xml:space="preserve">, </w:t>
      </w:r>
      <w:r w:rsidR="00D1083E" w:rsidRPr="003D2A76">
        <w:rPr>
          <w:rFonts w:asciiTheme="majorBidi" w:hAnsiTheme="majorBidi" w:cstheme="majorBidi"/>
          <w:lang w:val="en-GB"/>
        </w:rPr>
        <w:t>assurance</w:t>
      </w:r>
      <w:r w:rsidRPr="003D2A76">
        <w:rPr>
          <w:rFonts w:asciiTheme="majorBidi" w:hAnsiTheme="majorBidi" w:cstheme="majorBidi"/>
          <w:lang w:val="en-GB"/>
        </w:rPr>
        <w:t xml:space="preserve">, </w:t>
      </w:r>
      <w:r w:rsidR="00D1083E" w:rsidRPr="003D2A76">
        <w:rPr>
          <w:rFonts w:asciiTheme="majorBidi" w:hAnsiTheme="majorBidi" w:cstheme="majorBidi"/>
          <w:lang w:val="en-GB"/>
        </w:rPr>
        <w:t>empathy</w:t>
      </w:r>
      <w:r w:rsidRPr="003D2A76">
        <w:rPr>
          <w:rFonts w:asciiTheme="majorBidi" w:hAnsiTheme="majorBidi" w:cstheme="majorBidi"/>
          <w:lang w:val="en-GB"/>
        </w:rPr>
        <w:t xml:space="preserve">)? (2) Do the AI attributes build trust in the school and AI </w:t>
      </w:r>
      <w:r w:rsidR="00D1083E" w:rsidRPr="003D2A76">
        <w:rPr>
          <w:rFonts w:asciiTheme="majorBidi" w:hAnsiTheme="majorBidi" w:cstheme="majorBidi"/>
          <w:lang w:val="en-GB"/>
        </w:rPr>
        <w:t>technology</w:t>
      </w:r>
      <w:r w:rsidRPr="003D2A76">
        <w:rPr>
          <w:rFonts w:asciiTheme="majorBidi" w:hAnsiTheme="majorBidi" w:cstheme="majorBidi"/>
          <w:lang w:val="en-GB"/>
        </w:rPr>
        <w:t xml:space="preserve">? (3) Do the AI attributes align with </w:t>
      </w:r>
      <w:r w:rsidR="00D1083E" w:rsidRPr="003D2A76">
        <w:rPr>
          <w:rFonts w:asciiTheme="majorBidi" w:hAnsiTheme="majorBidi" w:cstheme="majorBidi"/>
          <w:lang w:val="en-GB"/>
        </w:rPr>
        <w:t>family values</w:t>
      </w:r>
      <w:r w:rsidRPr="003D2A76">
        <w:rPr>
          <w:rFonts w:asciiTheme="majorBidi" w:hAnsiTheme="majorBidi" w:cstheme="majorBidi"/>
          <w:lang w:val="en-GB"/>
        </w:rPr>
        <w:t>/</w:t>
      </w:r>
      <w:r w:rsidR="00D1083E" w:rsidRPr="003D2A76">
        <w:rPr>
          <w:rFonts w:asciiTheme="majorBidi" w:hAnsiTheme="majorBidi" w:cstheme="majorBidi"/>
          <w:lang w:val="en-GB"/>
        </w:rPr>
        <w:t>cultural commitments</w:t>
      </w:r>
      <w:r w:rsidRPr="003D2A76">
        <w:rPr>
          <w:rFonts w:asciiTheme="majorBidi" w:hAnsiTheme="majorBidi" w:cstheme="majorBidi"/>
          <w:lang w:val="en-GB"/>
        </w:rPr>
        <w:t xml:space="preserve">? Institutions receiving strong scores on these measures will be on </w:t>
      </w:r>
      <w:r w:rsidR="00D1083E" w:rsidRPr="003D2A76">
        <w:rPr>
          <w:rFonts w:asciiTheme="majorBidi" w:hAnsiTheme="majorBidi" w:cstheme="majorBidi"/>
          <w:lang w:val="en-GB"/>
        </w:rPr>
        <w:t xml:space="preserve">a </w:t>
      </w:r>
      <w:r w:rsidRPr="003D2A76">
        <w:rPr>
          <w:rFonts w:asciiTheme="majorBidi" w:hAnsiTheme="majorBidi" w:cstheme="majorBidi"/>
          <w:lang w:val="en-GB"/>
        </w:rPr>
        <w:t xml:space="preserve">more solid footing in terms of enrolment decisions. Institutions </w:t>
      </w:r>
      <w:r w:rsidR="00D1083E" w:rsidRPr="003D2A76">
        <w:rPr>
          <w:rFonts w:asciiTheme="majorBidi" w:hAnsiTheme="majorBidi" w:cstheme="majorBidi"/>
          <w:lang w:val="en-GB"/>
        </w:rPr>
        <w:t xml:space="preserve">utilising </w:t>
      </w:r>
      <w:r w:rsidRPr="003D2A76">
        <w:rPr>
          <w:rFonts w:asciiTheme="majorBidi" w:hAnsiTheme="majorBidi" w:cstheme="majorBidi"/>
          <w:lang w:val="en-GB"/>
        </w:rPr>
        <w:t xml:space="preserve">AI simply as a </w:t>
      </w:r>
      <w:r w:rsidR="00D1083E" w:rsidRPr="003D2A76">
        <w:rPr>
          <w:rFonts w:asciiTheme="majorBidi" w:hAnsiTheme="majorBidi" w:cstheme="majorBidi"/>
          <w:lang w:val="en-GB"/>
        </w:rPr>
        <w:t xml:space="preserve">marketing label </w:t>
      </w:r>
      <w:r w:rsidRPr="003D2A76">
        <w:rPr>
          <w:rFonts w:asciiTheme="majorBidi" w:hAnsiTheme="majorBidi" w:cstheme="majorBidi"/>
          <w:lang w:val="en-GB"/>
        </w:rPr>
        <w:t>without substance will ultimately prove disappointing.</w:t>
      </w:r>
    </w:p>
    <w:p w14:paraId="7445E1BB" w14:textId="77777777" w:rsidR="0042734A" w:rsidRPr="003D2A76" w:rsidRDefault="0042734A" w:rsidP="0042734A">
      <w:pPr>
        <w:bidi w:val="0"/>
        <w:rPr>
          <w:rFonts w:asciiTheme="majorBidi" w:hAnsiTheme="majorBidi" w:cstheme="majorBidi"/>
          <w:lang w:val="en-GB"/>
        </w:rPr>
      </w:pPr>
    </w:p>
    <w:p w14:paraId="1681B957" w14:textId="77777777" w:rsidR="006A4A5D" w:rsidRPr="003D2A76" w:rsidRDefault="006A4A5D" w:rsidP="00BD6279">
      <w:pPr>
        <w:pStyle w:val="Heading2"/>
        <w:rPr>
          <w:lang w:val="en-GB"/>
        </w:rPr>
      </w:pPr>
      <w:bookmarkStart w:id="147" w:name="_Toc228056595"/>
      <w:r w:rsidRPr="003D2A76">
        <w:rPr>
          <w:rFonts w:ascii="Times New Roman" w:hAnsi="Times New Roman" w:cs="Times New Roman"/>
          <w:lang w:val="en-GB"/>
        </w:rPr>
        <w:t>5.6 Limitations, Delimitations, and Assumptions</w:t>
      </w:r>
      <w:bookmarkEnd w:id="147"/>
    </w:p>
    <w:p w14:paraId="09B00BC9" w14:textId="543F2883"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This section outlines which of the </w:t>
      </w:r>
      <w:r w:rsidR="00D1083E" w:rsidRPr="003D2A76">
        <w:rPr>
          <w:rFonts w:asciiTheme="majorBidi" w:hAnsiTheme="majorBidi" w:cstheme="majorBidi"/>
          <w:lang w:val="en-GB"/>
        </w:rPr>
        <w:t>limitations</w:t>
      </w:r>
      <w:r w:rsidRPr="003D2A76">
        <w:rPr>
          <w:rFonts w:asciiTheme="majorBidi" w:hAnsiTheme="majorBidi" w:cstheme="majorBidi"/>
          <w:lang w:val="en-GB"/>
        </w:rPr>
        <w:t xml:space="preserve">, </w:t>
      </w:r>
      <w:r w:rsidR="00D1083E" w:rsidRPr="003D2A76">
        <w:rPr>
          <w:rFonts w:asciiTheme="majorBidi" w:hAnsiTheme="majorBidi" w:cstheme="majorBidi"/>
          <w:lang w:val="en-GB"/>
        </w:rPr>
        <w:t>delimitations</w:t>
      </w:r>
      <w:r w:rsidRPr="003D2A76">
        <w:rPr>
          <w:rFonts w:asciiTheme="majorBidi" w:hAnsiTheme="majorBidi" w:cstheme="majorBidi"/>
          <w:lang w:val="en-GB"/>
        </w:rPr>
        <w:t xml:space="preserve">, and </w:t>
      </w:r>
      <w:r w:rsidR="00D1083E" w:rsidRPr="003D2A76">
        <w:rPr>
          <w:rFonts w:asciiTheme="majorBidi" w:hAnsiTheme="majorBidi" w:cstheme="majorBidi"/>
          <w:lang w:val="en-GB"/>
        </w:rPr>
        <w:t xml:space="preserve">assumptions </w:t>
      </w:r>
      <w:r w:rsidRPr="003D2A76">
        <w:rPr>
          <w:rFonts w:asciiTheme="majorBidi" w:hAnsiTheme="majorBidi" w:cstheme="majorBidi"/>
          <w:lang w:val="en-GB"/>
        </w:rPr>
        <w:t xml:space="preserve">from Chapter 1 §1.5 held, were tightened, or were relaxed after completion of the empirical work. The three-part structure of this section mirrors that of Chapter 1, providing a way to align both </w:t>
      </w:r>
      <w:r w:rsidR="00D1083E" w:rsidRPr="003D2A76">
        <w:rPr>
          <w:rFonts w:asciiTheme="majorBidi" w:hAnsiTheme="majorBidi" w:cstheme="majorBidi"/>
          <w:lang w:val="en-GB"/>
        </w:rPr>
        <w:t>chapters</w:t>
      </w:r>
      <w:r w:rsidRPr="003D2A76">
        <w:rPr>
          <w:rFonts w:asciiTheme="majorBidi" w:hAnsiTheme="majorBidi" w:cstheme="majorBidi"/>
          <w:lang w:val="en-GB"/>
        </w:rPr>
        <w:t>.</w:t>
      </w:r>
    </w:p>
    <w:p w14:paraId="4CA7B7C6" w14:textId="77777777" w:rsidR="0042734A" w:rsidRPr="003D2A76" w:rsidRDefault="0042734A" w:rsidP="0042734A">
      <w:pPr>
        <w:bidi w:val="0"/>
        <w:rPr>
          <w:rFonts w:asciiTheme="majorBidi" w:hAnsiTheme="majorBidi" w:cstheme="majorBidi"/>
          <w:lang w:val="en-GB"/>
        </w:rPr>
      </w:pPr>
    </w:p>
    <w:p w14:paraId="41C0D4F1"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5.6.1 Limitations Confirmed or Extended by the Empirical Work</w:t>
      </w:r>
    </w:p>
    <w:p w14:paraId="1DB600DD" w14:textId="55132FDE"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The use of a cross-sectional design is the primary </w:t>
      </w:r>
      <w:r w:rsidR="00DB56FC" w:rsidRPr="003D2A76">
        <w:rPr>
          <w:rFonts w:asciiTheme="majorBidi" w:hAnsiTheme="majorBidi" w:cstheme="majorBidi"/>
          <w:lang w:val="en-GB"/>
        </w:rPr>
        <w:t xml:space="preserve">limitation </w:t>
      </w:r>
      <w:r w:rsidRPr="003D2A76">
        <w:rPr>
          <w:rFonts w:asciiTheme="majorBidi" w:hAnsiTheme="majorBidi" w:cstheme="majorBidi"/>
          <w:lang w:val="en-GB"/>
        </w:rPr>
        <w:t xml:space="preserve">of the study. As previously noted in Chapter 3 §3.2.4, due to the use of a single-wave survey, it is not possible to establish causality to the same degree that either a longitudinal study or experimental design would yield. The </w:t>
      </w:r>
      <w:r w:rsidR="00DB56FC" w:rsidRPr="003D2A76">
        <w:rPr>
          <w:rFonts w:asciiTheme="majorBidi" w:hAnsiTheme="majorBidi" w:cstheme="majorBidi"/>
          <w:lang w:val="en-GB"/>
        </w:rPr>
        <w:t xml:space="preserve">results </w:t>
      </w:r>
      <w:r w:rsidRPr="003D2A76">
        <w:rPr>
          <w:rFonts w:asciiTheme="majorBidi" w:hAnsiTheme="majorBidi" w:cstheme="majorBidi"/>
          <w:lang w:val="en-GB"/>
        </w:rPr>
        <w:t xml:space="preserve">of the study included regression, mediation, and moderation analyses run on a theoretically ordered model, yet </w:t>
      </w:r>
      <w:r w:rsidR="00DB56FC" w:rsidRPr="003D2A76">
        <w:rPr>
          <w:rFonts w:asciiTheme="majorBidi" w:hAnsiTheme="majorBidi" w:cstheme="majorBidi"/>
          <w:lang w:val="en-GB"/>
        </w:rPr>
        <w:t xml:space="preserve">theory </w:t>
      </w:r>
      <w:r w:rsidRPr="003D2A76">
        <w:rPr>
          <w:rFonts w:asciiTheme="majorBidi" w:hAnsiTheme="majorBidi" w:cstheme="majorBidi"/>
          <w:lang w:val="en-GB"/>
        </w:rPr>
        <w:t xml:space="preserve">can never replace what is called the </w:t>
      </w:r>
      <w:r w:rsidR="00DB56FC" w:rsidRPr="003D2A76">
        <w:rPr>
          <w:rFonts w:asciiTheme="majorBidi" w:hAnsiTheme="majorBidi" w:cstheme="majorBidi"/>
          <w:lang w:val="en-GB"/>
        </w:rPr>
        <w:t>temporal sequence</w:t>
      </w:r>
      <w:r w:rsidRPr="003D2A76">
        <w:rPr>
          <w:rFonts w:asciiTheme="majorBidi" w:hAnsiTheme="majorBidi" w:cstheme="majorBidi"/>
          <w:lang w:val="en-GB"/>
        </w:rPr>
        <w:t xml:space="preserve">. A two- or three-wave panel study would potentially allow for </w:t>
      </w:r>
      <w:r w:rsidR="00DB56FC" w:rsidRPr="003D2A76">
        <w:rPr>
          <w:rFonts w:asciiTheme="majorBidi" w:hAnsiTheme="majorBidi" w:cstheme="majorBidi"/>
          <w:lang w:val="en-GB"/>
        </w:rPr>
        <w:t>cross</w:t>
      </w:r>
      <w:r w:rsidRPr="003D2A76">
        <w:rPr>
          <w:rFonts w:asciiTheme="majorBidi" w:hAnsiTheme="majorBidi" w:cstheme="majorBidi"/>
          <w:lang w:val="en-GB"/>
        </w:rPr>
        <w:t xml:space="preserve">-lagged </w:t>
      </w:r>
      <w:r w:rsidR="00DB56FC" w:rsidRPr="003D2A76">
        <w:rPr>
          <w:rFonts w:asciiTheme="majorBidi" w:hAnsiTheme="majorBidi" w:cstheme="majorBidi"/>
          <w:lang w:val="en-GB"/>
        </w:rPr>
        <w:t xml:space="preserve">analysis </w:t>
      </w:r>
      <w:r w:rsidRPr="003D2A76">
        <w:rPr>
          <w:rFonts w:asciiTheme="majorBidi" w:hAnsiTheme="majorBidi" w:cstheme="majorBidi"/>
          <w:lang w:val="en-GB"/>
        </w:rPr>
        <w:t xml:space="preserve">that would be better suited to the identification of </w:t>
      </w:r>
      <w:r w:rsidR="00DB56FC" w:rsidRPr="003D2A76">
        <w:rPr>
          <w:rFonts w:asciiTheme="majorBidi" w:hAnsiTheme="majorBidi" w:cstheme="majorBidi"/>
          <w:lang w:val="en-GB"/>
        </w:rPr>
        <w:t>causal order</w:t>
      </w:r>
      <w:r w:rsidRPr="003D2A76">
        <w:rPr>
          <w:rFonts w:asciiTheme="majorBidi" w:hAnsiTheme="majorBidi" w:cstheme="majorBidi"/>
          <w:lang w:val="en-GB"/>
        </w:rPr>
        <w:t>.</w:t>
      </w:r>
    </w:p>
    <w:p w14:paraId="6A4BD38F" w14:textId="1EEF71F0"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Common-method variance</w:t>
      </w:r>
      <w:r w:rsidR="00AB541E">
        <w:rPr>
          <w:rFonts w:asciiTheme="majorBidi" w:hAnsiTheme="majorBidi" w:cstheme="majorBidi"/>
          <w:lang w:val="en-GB"/>
        </w:rPr>
        <w:t xml:space="preserve"> (</w:t>
      </w:r>
      <w:r w:rsidR="00AB541E" w:rsidRPr="003D2A76">
        <w:rPr>
          <w:rFonts w:asciiTheme="majorBidi" w:hAnsiTheme="majorBidi" w:cstheme="majorBidi"/>
          <w:lang w:val="en-GB"/>
        </w:rPr>
        <w:t>CMV</w:t>
      </w:r>
      <w:r w:rsidR="00AB541E">
        <w:rPr>
          <w:rFonts w:asciiTheme="majorBidi" w:hAnsiTheme="majorBidi" w:cstheme="majorBidi"/>
          <w:lang w:val="en-GB"/>
        </w:rPr>
        <w:t>)</w:t>
      </w:r>
      <w:r w:rsidR="00AB541E" w:rsidRPr="003D2A76">
        <w:rPr>
          <w:rFonts w:asciiTheme="majorBidi" w:hAnsiTheme="majorBidi" w:cstheme="majorBidi"/>
          <w:lang w:val="en-GB"/>
        </w:rPr>
        <w:t xml:space="preserve"> </w:t>
      </w:r>
      <w:r w:rsidRPr="003D2A76">
        <w:rPr>
          <w:rFonts w:asciiTheme="majorBidi" w:hAnsiTheme="majorBidi" w:cstheme="majorBidi"/>
          <w:lang w:val="en-GB"/>
        </w:rPr>
        <w:t xml:space="preserve">is a second constraint. Harman's single-factor test held the largest-factor variance under 50%, and marker-variable checks sat within bounds, so catastrophic </w:t>
      </w:r>
      <w:bookmarkStart w:id="148" w:name="_Hlk232868767"/>
      <w:r w:rsidRPr="003D2A76">
        <w:rPr>
          <w:rFonts w:asciiTheme="majorBidi" w:hAnsiTheme="majorBidi" w:cstheme="majorBidi"/>
          <w:lang w:val="en-GB"/>
        </w:rPr>
        <w:t xml:space="preserve">CMV </w:t>
      </w:r>
      <w:bookmarkEnd w:id="148"/>
      <w:r w:rsidRPr="003D2A76">
        <w:rPr>
          <w:rFonts w:asciiTheme="majorBidi" w:hAnsiTheme="majorBidi" w:cstheme="majorBidi"/>
          <w:lang w:val="en-GB"/>
        </w:rPr>
        <w:t>did not surface</w:t>
      </w:r>
      <w:r w:rsidR="00AB541E">
        <w:rPr>
          <w:rFonts w:asciiTheme="majorBidi" w:hAnsiTheme="majorBidi" w:cstheme="majorBidi"/>
          <w:lang w:val="en-GB"/>
        </w:rPr>
        <w:t xml:space="preserve"> in managerial marketing research</w:t>
      </w:r>
      <w:r w:rsidRPr="003D2A76">
        <w:rPr>
          <w:rFonts w:asciiTheme="majorBidi" w:hAnsiTheme="majorBidi" w:cstheme="majorBidi"/>
          <w:lang w:val="en-GB"/>
        </w:rPr>
        <w:t>. Still, the caveat holds: a survey of parent perceptions inflates perception-to-perception correlations. Chapter 4 coefficients should be read as upper-bound estimates of what a multi-source design might yield.</w:t>
      </w:r>
    </w:p>
    <w:p w14:paraId="79FFF468" w14:textId="1291E882"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A third constraint is how AI adoption was measured. The instrument tapped perceived AI use in teaching and marketing as general constructs. It did not separate adaptive learning from intelligent tutoring, chatbots from generative writing tools, or automated marketing from programmatic enrolment. Future work unpacking these </w:t>
      </w:r>
      <w:r w:rsidR="004E058C">
        <w:rPr>
          <w:rFonts w:asciiTheme="majorBidi" w:hAnsiTheme="majorBidi" w:cstheme="majorBidi"/>
          <w:lang w:val="en-GB"/>
        </w:rPr>
        <w:t>subtypes</w:t>
      </w:r>
      <w:r w:rsidRPr="003D2A76">
        <w:rPr>
          <w:rFonts w:asciiTheme="majorBidi" w:hAnsiTheme="majorBidi" w:cstheme="majorBidi"/>
          <w:lang w:val="en-GB"/>
        </w:rPr>
        <w:t xml:space="preserve"> matters because H1 and H2 coefficients almost certainly average across different effects.</w:t>
      </w:r>
    </w:p>
    <w:p w14:paraId="4887830B" w14:textId="77777777" w:rsidR="0042734A" w:rsidRPr="003D2A76" w:rsidRDefault="0042734A" w:rsidP="0042734A">
      <w:pPr>
        <w:bidi w:val="0"/>
        <w:rPr>
          <w:rFonts w:asciiTheme="majorBidi" w:hAnsiTheme="majorBidi" w:cstheme="majorBidi"/>
          <w:lang w:val="en-GB"/>
        </w:rPr>
      </w:pPr>
    </w:p>
    <w:p w14:paraId="6B50235A"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5.6.2 Delimitations Revisited</w:t>
      </w:r>
    </w:p>
    <w:p w14:paraId="7C693159" w14:textId="12827D7E" w:rsidR="006A4A5D" w:rsidRPr="003D2A76" w:rsidRDefault="00985D04" w:rsidP="00BD6279">
      <w:pPr>
        <w:bidi w:val="0"/>
        <w:rPr>
          <w:rFonts w:asciiTheme="majorBidi" w:hAnsiTheme="majorBidi" w:cstheme="majorBidi"/>
          <w:lang w:val="en-GB"/>
        </w:rPr>
      </w:pPr>
      <w:r>
        <w:rPr>
          <w:rFonts w:asciiTheme="majorBidi" w:hAnsiTheme="majorBidi" w:cstheme="majorBidi"/>
          <w:lang w:val="en-GB"/>
        </w:rPr>
        <w:t>This s</w:t>
      </w:r>
      <w:r w:rsidR="006A4A5D" w:rsidRPr="003D2A76">
        <w:rPr>
          <w:rFonts w:asciiTheme="majorBidi" w:hAnsiTheme="majorBidi" w:cstheme="majorBidi"/>
          <w:lang w:val="en-GB"/>
        </w:rPr>
        <w:t xml:space="preserve">tudy </w:t>
      </w:r>
      <w:r>
        <w:rPr>
          <w:rFonts w:asciiTheme="majorBidi" w:hAnsiTheme="majorBidi" w:cstheme="majorBidi"/>
          <w:lang w:val="en-GB"/>
        </w:rPr>
        <w:t xml:space="preserve">was conducted in </w:t>
      </w:r>
      <w:r w:rsidR="006A4A5D" w:rsidRPr="003D2A76">
        <w:rPr>
          <w:rFonts w:asciiTheme="majorBidi" w:hAnsiTheme="majorBidi" w:cstheme="majorBidi"/>
          <w:lang w:val="en-GB"/>
        </w:rPr>
        <w:t>Jeddah</w:t>
      </w:r>
      <w:r w:rsidR="00561761">
        <w:rPr>
          <w:rFonts w:asciiTheme="majorBidi" w:hAnsiTheme="majorBidi" w:cstheme="majorBidi"/>
          <w:lang w:val="en-GB"/>
        </w:rPr>
        <w:t>,</w:t>
      </w:r>
      <w:r w:rsidR="006A4A5D" w:rsidRPr="003D2A76">
        <w:rPr>
          <w:rFonts w:asciiTheme="majorBidi" w:hAnsiTheme="majorBidi" w:cstheme="majorBidi"/>
          <w:lang w:val="en-GB"/>
        </w:rPr>
        <w:t xml:space="preserve"> </w:t>
      </w:r>
      <w:r>
        <w:rPr>
          <w:rFonts w:asciiTheme="majorBidi" w:hAnsiTheme="majorBidi" w:cstheme="majorBidi"/>
          <w:lang w:val="en-GB"/>
        </w:rPr>
        <w:t xml:space="preserve">Saudi Arabia </w:t>
      </w:r>
      <w:r w:rsidR="006A4A5D" w:rsidRPr="003D2A76">
        <w:rPr>
          <w:rFonts w:asciiTheme="majorBidi" w:hAnsiTheme="majorBidi" w:cstheme="majorBidi"/>
          <w:lang w:val="en-GB"/>
        </w:rPr>
        <w:t xml:space="preserve">as originally defined in Chapter 1. So, it follows that any conclusions may not be </w:t>
      </w:r>
      <w:r w:rsidR="00DB56FC" w:rsidRPr="003D2A76">
        <w:rPr>
          <w:rFonts w:asciiTheme="majorBidi" w:hAnsiTheme="majorBidi" w:cstheme="majorBidi"/>
          <w:lang w:val="en-GB"/>
        </w:rPr>
        <w:t xml:space="preserve">generalised </w:t>
      </w:r>
      <w:r w:rsidR="006A4A5D" w:rsidRPr="003D2A76">
        <w:rPr>
          <w:rFonts w:asciiTheme="majorBidi" w:hAnsiTheme="majorBidi" w:cstheme="majorBidi"/>
          <w:lang w:val="en-GB"/>
        </w:rPr>
        <w:t xml:space="preserve">to Riyadh, Dammam, or any other </w:t>
      </w:r>
      <w:r w:rsidR="00DB56FC" w:rsidRPr="003D2A76">
        <w:rPr>
          <w:rFonts w:asciiTheme="majorBidi" w:hAnsiTheme="majorBidi" w:cstheme="majorBidi"/>
          <w:lang w:val="en-GB"/>
        </w:rPr>
        <w:lastRenderedPageBreak/>
        <w:t xml:space="preserve">city </w:t>
      </w:r>
      <w:r w:rsidR="006A4A5D" w:rsidRPr="003D2A76">
        <w:rPr>
          <w:rFonts w:asciiTheme="majorBidi" w:hAnsiTheme="majorBidi" w:cstheme="majorBidi"/>
          <w:lang w:val="en-GB"/>
        </w:rPr>
        <w:t xml:space="preserve">in the Kingdom. Because Jeddah is </w:t>
      </w:r>
      <w:r w:rsidR="00DB56FC" w:rsidRPr="003D2A76">
        <w:rPr>
          <w:rFonts w:asciiTheme="majorBidi" w:hAnsiTheme="majorBidi" w:cstheme="majorBidi"/>
          <w:lang w:val="en-GB"/>
        </w:rPr>
        <w:t>a coastal</w:t>
      </w:r>
      <w:r w:rsidR="006A4A5D" w:rsidRPr="003D2A76">
        <w:rPr>
          <w:rFonts w:asciiTheme="majorBidi" w:hAnsiTheme="majorBidi" w:cstheme="majorBidi"/>
          <w:lang w:val="en-GB"/>
        </w:rPr>
        <w:t xml:space="preserve">, </w:t>
      </w:r>
      <w:r w:rsidR="00DB56FC" w:rsidRPr="003D2A76">
        <w:rPr>
          <w:rFonts w:asciiTheme="majorBidi" w:hAnsiTheme="majorBidi" w:cstheme="majorBidi"/>
          <w:lang w:val="en-GB"/>
        </w:rPr>
        <w:t>cosmopolitan</w:t>
      </w:r>
      <w:r w:rsidR="006A4A5D" w:rsidRPr="003D2A76">
        <w:rPr>
          <w:rFonts w:asciiTheme="majorBidi" w:hAnsiTheme="majorBidi" w:cstheme="majorBidi"/>
          <w:lang w:val="en-GB"/>
        </w:rPr>
        <w:t xml:space="preserve">, </w:t>
      </w:r>
      <w:r w:rsidR="00DB56FC" w:rsidRPr="003D2A76">
        <w:rPr>
          <w:rFonts w:asciiTheme="majorBidi" w:hAnsiTheme="majorBidi" w:cstheme="majorBidi"/>
          <w:lang w:val="en-GB"/>
        </w:rPr>
        <w:t>trading c</w:t>
      </w:r>
      <w:r w:rsidR="006A4A5D" w:rsidRPr="003D2A76">
        <w:rPr>
          <w:rFonts w:asciiTheme="majorBidi" w:hAnsiTheme="majorBidi" w:cstheme="majorBidi"/>
          <w:lang w:val="en-GB"/>
        </w:rPr>
        <w:t xml:space="preserve">ity, it is likely that parents in Jeddah may be more accepting of AI than relatives or parents in other </w:t>
      </w:r>
      <w:r w:rsidR="00DB56FC" w:rsidRPr="003D2A76">
        <w:rPr>
          <w:rFonts w:asciiTheme="majorBidi" w:hAnsiTheme="majorBidi" w:cstheme="majorBidi"/>
          <w:lang w:val="en-GB"/>
        </w:rPr>
        <w:t xml:space="preserve">cities </w:t>
      </w:r>
      <w:r w:rsidR="006A4A5D" w:rsidRPr="003D2A76">
        <w:rPr>
          <w:rFonts w:asciiTheme="majorBidi" w:hAnsiTheme="majorBidi" w:cstheme="majorBidi"/>
          <w:lang w:val="en-GB"/>
        </w:rPr>
        <w:t xml:space="preserve">within </w:t>
      </w:r>
      <w:r w:rsidR="00DB56FC" w:rsidRPr="003D2A76">
        <w:rPr>
          <w:rFonts w:asciiTheme="majorBidi" w:hAnsiTheme="majorBidi" w:cstheme="majorBidi"/>
          <w:lang w:val="en-GB"/>
        </w:rPr>
        <w:t>Saudi Arabia</w:t>
      </w:r>
      <w:r w:rsidR="006A4A5D" w:rsidRPr="003D2A76">
        <w:rPr>
          <w:rFonts w:asciiTheme="majorBidi" w:hAnsiTheme="majorBidi" w:cstheme="majorBidi"/>
          <w:lang w:val="en-GB"/>
        </w:rPr>
        <w:t xml:space="preserve">. Therefore, the natural next step would be a </w:t>
      </w:r>
      <w:r w:rsidR="00DB56FC" w:rsidRPr="003D2A76">
        <w:rPr>
          <w:rFonts w:asciiTheme="majorBidi" w:hAnsiTheme="majorBidi" w:cstheme="majorBidi"/>
          <w:lang w:val="en-GB"/>
        </w:rPr>
        <w:t xml:space="preserve">replication study </w:t>
      </w:r>
      <w:r w:rsidR="006A4A5D" w:rsidRPr="003D2A76">
        <w:rPr>
          <w:rFonts w:asciiTheme="majorBidi" w:hAnsiTheme="majorBidi" w:cstheme="majorBidi"/>
          <w:lang w:val="en-GB"/>
        </w:rPr>
        <w:t>in Riyadh.</w:t>
      </w:r>
    </w:p>
    <w:p w14:paraId="6A9714B2" w14:textId="4EB5C23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Because of the constraints in this sector relating to private (K-12) education</w:t>
      </w:r>
      <w:r w:rsidR="00DB56FC" w:rsidRPr="003D2A76">
        <w:rPr>
          <w:rFonts w:asciiTheme="majorBidi" w:hAnsiTheme="majorBidi" w:cstheme="majorBidi"/>
          <w:lang w:val="en-GB"/>
        </w:rPr>
        <w:t>,</w:t>
      </w:r>
      <w:r w:rsidRPr="003D2A76">
        <w:rPr>
          <w:rFonts w:asciiTheme="majorBidi" w:hAnsiTheme="majorBidi" w:cstheme="majorBidi"/>
          <w:lang w:val="en-GB"/>
        </w:rPr>
        <w:t xml:space="preserve"> public schools, as well as international (foreign curriculum), and all levels of </w:t>
      </w:r>
      <w:r w:rsidR="003D2A76" w:rsidRPr="003D2A76">
        <w:rPr>
          <w:rFonts w:asciiTheme="majorBidi" w:hAnsiTheme="majorBidi" w:cstheme="majorBidi"/>
          <w:lang w:val="en-GB"/>
        </w:rPr>
        <w:t>post-secondary</w:t>
      </w:r>
      <w:r w:rsidRPr="003D2A76">
        <w:rPr>
          <w:rFonts w:asciiTheme="majorBidi" w:hAnsiTheme="majorBidi" w:cstheme="majorBidi"/>
          <w:lang w:val="en-GB"/>
        </w:rPr>
        <w:t xml:space="preserve"> (public or private) types of educational institution</w:t>
      </w:r>
      <w:r w:rsidR="00DB56FC" w:rsidRPr="003D2A76">
        <w:rPr>
          <w:rFonts w:asciiTheme="majorBidi" w:hAnsiTheme="majorBidi" w:cstheme="majorBidi"/>
          <w:lang w:val="en-GB"/>
        </w:rPr>
        <w:t xml:space="preserve"> have been excluded</w:t>
      </w:r>
      <w:r w:rsidRPr="003D2A76">
        <w:rPr>
          <w:rFonts w:asciiTheme="majorBidi" w:hAnsiTheme="majorBidi" w:cstheme="majorBidi"/>
          <w:lang w:val="en-GB"/>
        </w:rPr>
        <w:t xml:space="preserve">. Adding public schools would have more to do with policy than demand for products as most of the parents of </w:t>
      </w:r>
      <w:r w:rsidR="0042734A" w:rsidRPr="003D2A76">
        <w:rPr>
          <w:rFonts w:asciiTheme="majorBidi" w:hAnsiTheme="majorBidi" w:cstheme="majorBidi"/>
          <w:lang w:val="en-GB"/>
        </w:rPr>
        <w:t>public-school</w:t>
      </w:r>
      <w:r w:rsidRPr="003D2A76">
        <w:rPr>
          <w:rFonts w:asciiTheme="majorBidi" w:hAnsiTheme="majorBidi" w:cstheme="majorBidi"/>
          <w:lang w:val="en-GB"/>
        </w:rPr>
        <w:t xml:space="preserve"> students do not choose their school in the same manner as other types of educational settings. Therefore, the avenue of </w:t>
      </w:r>
      <w:r w:rsidR="00DB56FC" w:rsidRPr="003D2A76">
        <w:rPr>
          <w:rFonts w:asciiTheme="majorBidi" w:hAnsiTheme="majorBidi" w:cstheme="majorBidi"/>
          <w:lang w:val="en-GB"/>
        </w:rPr>
        <w:t xml:space="preserve">researching </w:t>
      </w:r>
      <w:r w:rsidRPr="003D2A76">
        <w:rPr>
          <w:rFonts w:asciiTheme="majorBidi" w:hAnsiTheme="majorBidi" w:cstheme="majorBidi"/>
          <w:lang w:val="en-GB"/>
        </w:rPr>
        <w:t xml:space="preserve">higher education for students </w:t>
      </w:r>
      <w:r w:rsidR="00DB56FC" w:rsidRPr="003D2A76">
        <w:rPr>
          <w:rFonts w:asciiTheme="majorBidi" w:hAnsiTheme="majorBidi" w:cstheme="majorBidi"/>
          <w:lang w:val="en-GB"/>
        </w:rPr>
        <w:t xml:space="preserve">would </w:t>
      </w:r>
      <w:r w:rsidRPr="003D2A76">
        <w:rPr>
          <w:rFonts w:asciiTheme="majorBidi" w:hAnsiTheme="majorBidi" w:cstheme="majorBidi"/>
          <w:lang w:val="en-GB"/>
        </w:rPr>
        <w:t>be a more productive option than K-12.</w:t>
      </w:r>
    </w:p>
    <w:p w14:paraId="4101EA20" w14:textId="5F482715"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The demographic bounds set the unit to parents as decision-makers and held. Chapter 4's student-versus-parent auxiliary analysis showed students </w:t>
      </w:r>
      <w:r w:rsidR="00DB56FC" w:rsidRPr="003D2A76">
        <w:rPr>
          <w:rFonts w:asciiTheme="majorBidi" w:hAnsiTheme="majorBidi" w:cstheme="majorBidi"/>
          <w:lang w:val="en-GB"/>
        </w:rPr>
        <w:t xml:space="preserve">to be </w:t>
      </w:r>
      <w:r w:rsidRPr="003D2A76">
        <w:rPr>
          <w:rFonts w:asciiTheme="majorBidi" w:hAnsiTheme="majorBidi" w:cstheme="majorBidi"/>
          <w:lang w:val="en-GB"/>
        </w:rPr>
        <w:t>consistently more positive than parents except on cultural factors, where they aligned. A student-sample replication would likely yield somewhat higher coefficients, a useful contrast rather than contradiction.</w:t>
      </w:r>
    </w:p>
    <w:p w14:paraId="0441430A" w14:textId="77777777" w:rsidR="0042734A" w:rsidRPr="003D2A76" w:rsidRDefault="0042734A" w:rsidP="0042734A">
      <w:pPr>
        <w:bidi w:val="0"/>
        <w:rPr>
          <w:rFonts w:asciiTheme="majorBidi" w:hAnsiTheme="majorBidi" w:cstheme="majorBidi"/>
          <w:lang w:val="en-GB"/>
        </w:rPr>
      </w:pPr>
    </w:p>
    <w:p w14:paraId="017F91F7"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b/>
          <w:i/>
          <w:lang w:val="en-GB"/>
        </w:rPr>
        <w:t>5.6.3 Assumptions Revisited</w:t>
      </w:r>
    </w:p>
    <w:p w14:paraId="160F5706" w14:textId="42E7221D"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According to the study, the assumption is made that Jeddah's parents are the primary decision-maker(s) for enrolling children in Jeddah's private schools. The demographics in Chapter </w:t>
      </w:r>
      <w:r w:rsidR="00DB56FC" w:rsidRPr="003D2A76">
        <w:rPr>
          <w:rFonts w:asciiTheme="majorBidi" w:hAnsiTheme="majorBidi" w:cstheme="majorBidi"/>
          <w:lang w:val="en-GB"/>
        </w:rPr>
        <w:t xml:space="preserve">4 </w:t>
      </w:r>
      <w:r w:rsidRPr="003D2A76">
        <w:rPr>
          <w:rFonts w:asciiTheme="majorBidi" w:hAnsiTheme="majorBidi" w:cstheme="majorBidi"/>
          <w:lang w:val="en-GB"/>
        </w:rPr>
        <w:t>(93% of participants self-identifying as being either a primary or joint decision-maker) affirm this assumption. It was a further assumption that parents could differentiate between AI and non-AI functions</w:t>
      </w:r>
      <w:r w:rsidR="004E058C">
        <w:rPr>
          <w:rFonts w:asciiTheme="majorBidi" w:hAnsiTheme="majorBidi" w:cstheme="majorBidi"/>
          <w:lang w:val="en-GB"/>
        </w:rPr>
        <w:t>,</w:t>
      </w:r>
      <w:r w:rsidRPr="003D2A76">
        <w:rPr>
          <w:rFonts w:asciiTheme="majorBidi" w:hAnsiTheme="majorBidi" w:cstheme="majorBidi"/>
          <w:lang w:val="en-GB"/>
        </w:rPr>
        <w:t xml:space="preserve"> and this was verified at a rudimentary </w:t>
      </w:r>
      <w:r w:rsidRPr="003D2A76">
        <w:rPr>
          <w:rFonts w:asciiTheme="majorBidi" w:hAnsiTheme="majorBidi" w:cstheme="majorBidi"/>
          <w:lang w:val="en-GB"/>
        </w:rPr>
        <w:lastRenderedPageBreak/>
        <w:t>level via the pilot study, described in §3.5.4. A more elaborate test of this capability will occur during the second phase of the next study when the survey results of parents</w:t>
      </w:r>
      <w:r w:rsidR="00DB56FC" w:rsidRPr="003D2A76">
        <w:rPr>
          <w:rFonts w:asciiTheme="majorBidi" w:hAnsiTheme="majorBidi" w:cstheme="majorBidi"/>
          <w:lang w:val="en-GB"/>
        </w:rPr>
        <w:t>’</w:t>
      </w:r>
      <w:r w:rsidRPr="003D2A76">
        <w:rPr>
          <w:rFonts w:asciiTheme="majorBidi" w:hAnsiTheme="majorBidi" w:cstheme="majorBidi"/>
          <w:lang w:val="en-GB"/>
        </w:rPr>
        <w:t xml:space="preserve"> </w:t>
      </w:r>
      <w:r w:rsidR="004E058C">
        <w:rPr>
          <w:rFonts w:asciiTheme="majorBidi" w:hAnsiTheme="majorBidi" w:cstheme="majorBidi"/>
          <w:lang w:val="en-GB"/>
        </w:rPr>
        <w:t>reports</w:t>
      </w:r>
      <w:r w:rsidRPr="003D2A76">
        <w:rPr>
          <w:rFonts w:asciiTheme="majorBidi" w:hAnsiTheme="majorBidi" w:cstheme="majorBidi"/>
          <w:lang w:val="en-GB"/>
        </w:rPr>
        <w:t xml:space="preserve"> on whether their child(ren) have been using AI </w:t>
      </w:r>
      <w:r w:rsidR="00DB56FC" w:rsidRPr="003D2A76">
        <w:rPr>
          <w:rFonts w:asciiTheme="majorBidi" w:hAnsiTheme="majorBidi" w:cstheme="majorBidi"/>
          <w:lang w:val="en-GB"/>
        </w:rPr>
        <w:t>is correlated with</w:t>
      </w:r>
      <w:r w:rsidRPr="003D2A76">
        <w:rPr>
          <w:rFonts w:asciiTheme="majorBidi" w:hAnsiTheme="majorBidi" w:cstheme="majorBidi"/>
          <w:lang w:val="en-GB"/>
        </w:rPr>
        <w:t xml:space="preserve"> institutional-level AI usage by independent comparison of institutional-level reported usage of AI.</w:t>
      </w:r>
    </w:p>
    <w:p w14:paraId="658A2DB0" w14:textId="56B576DA"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The study assumed Arabic-English translation held the scales' psychometric properties intact. Chapter 4's construct-validity checks (AVE, CR, HTMT ratios) support this assumption in the Jeddah sample, though translation remains an ongoing concern in cross-cultural measurement. Future work should do full psychometric calibration of Arabic versions of these instruments.</w:t>
      </w:r>
    </w:p>
    <w:p w14:paraId="0A9D6716" w14:textId="77777777" w:rsidR="0042734A" w:rsidRPr="003D2A76" w:rsidRDefault="0042734A" w:rsidP="0042734A">
      <w:pPr>
        <w:bidi w:val="0"/>
        <w:rPr>
          <w:rFonts w:asciiTheme="majorBidi" w:hAnsiTheme="majorBidi" w:cstheme="majorBidi"/>
          <w:lang w:val="en-GB"/>
        </w:rPr>
      </w:pPr>
    </w:p>
    <w:p w14:paraId="01079A3C" w14:textId="77777777" w:rsidR="006A4A5D" w:rsidRPr="003D2A76" w:rsidRDefault="006A4A5D" w:rsidP="00BD6279">
      <w:pPr>
        <w:pStyle w:val="Heading2"/>
        <w:rPr>
          <w:lang w:val="en-GB"/>
        </w:rPr>
      </w:pPr>
      <w:bookmarkStart w:id="149" w:name="_Toc228056596"/>
      <w:r w:rsidRPr="003D2A76">
        <w:rPr>
          <w:rFonts w:ascii="Times New Roman" w:hAnsi="Times New Roman" w:cs="Times New Roman"/>
          <w:lang w:val="en-GB"/>
        </w:rPr>
        <w:t>5.7 Future Research Directions</w:t>
      </w:r>
      <w:bookmarkEnd w:id="149"/>
    </w:p>
    <w:p w14:paraId="1BB4B123" w14:textId="3C50E3E1"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The preceding discussion generates numerous future research opportunities. First, longitudinal replication via two or more waves of data collection would permit </w:t>
      </w:r>
      <w:r w:rsidR="00DB56FC" w:rsidRPr="003D2A76">
        <w:rPr>
          <w:rFonts w:asciiTheme="majorBidi" w:hAnsiTheme="majorBidi" w:cstheme="majorBidi"/>
          <w:lang w:val="en-GB"/>
        </w:rPr>
        <w:t xml:space="preserve">a </w:t>
      </w:r>
      <w:r w:rsidRPr="003D2A76">
        <w:rPr>
          <w:rFonts w:asciiTheme="majorBidi" w:hAnsiTheme="majorBidi" w:cstheme="majorBidi"/>
          <w:lang w:val="en-GB"/>
        </w:rPr>
        <w:t>cleaner investigation of the causal relationship</w:t>
      </w:r>
      <w:r w:rsidR="00DB56FC" w:rsidRPr="003D2A76">
        <w:rPr>
          <w:rFonts w:asciiTheme="majorBidi" w:hAnsiTheme="majorBidi" w:cstheme="majorBidi"/>
          <w:lang w:val="en-GB"/>
        </w:rPr>
        <w:t>s</w:t>
      </w:r>
      <w:r w:rsidRPr="003D2A76">
        <w:rPr>
          <w:rFonts w:asciiTheme="majorBidi" w:hAnsiTheme="majorBidi" w:cstheme="majorBidi"/>
          <w:lang w:val="en-GB"/>
        </w:rPr>
        <w:t xml:space="preserve"> among service quality, trust, and value in the AI-adoption process, providing a stronger basis for theorising those relationships within a longitudinal dataset. Second, replication across cities or countries (i.e., Riyadh, Dammam, or generally across the GCC region) would enable </w:t>
      </w:r>
      <w:r w:rsidR="00DB56FC" w:rsidRPr="003D2A76">
        <w:rPr>
          <w:rFonts w:asciiTheme="majorBidi" w:hAnsiTheme="majorBidi" w:cstheme="majorBidi"/>
          <w:lang w:val="en-GB"/>
        </w:rPr>
        <w:t>the</w:t>
      </w:r>
      <w:r w:rsidRPr="003D2A76">
        <w:rPr>
          <w:rFonts w:asciiTheme="majorBidi" w:hAnsiTheme="majorBidi" w:cstheme="majorBidi"/>
          <w:lang w:val="en-GB"/>
        </w:rPr>
        <w:t xml:space="preserve"> limits of the cultural-moderation result (H12)</w:t>
      </w:r>
      <w:r w:rsidR="00DB56FC" w:rsidRPr="003D2A76">
        <w:rPr>
          <w:rFonts w:asciiTheme="majorBidi" w:hAnsiTheme="majorBidi" w:cstheme="majorBidi"/>
          <w:lang w:val="en-GB"/>
        </w:rPr>
        <w:t xml:space="preserve"> to be tested</w:t>
      </w:r>
      <w:r w:rsidRPr="003D2A76">
        <w:rPr>
          <w:rFonts w:asciiTheme="majorBidi" w:hAnsiTheme="majorBidi" w:cstheme="majorBidi"/>
          <w:lang w:val="en-GB"/>
        </w:rPr>
        <w:t>. Finally, an investigation into different types of AI would allow adaptive learning versus intelligent tutoring systems versus chatbot systems versus generative writing assistance systems</w:t>
      </w:r>
      <w:r w:rsidR="00DB56FC" w:rsidRPr="003D2A76">
        <w:rPr>
          <w:rFonts w:asciiTheme="majorBidi" w:hAnsiTheme="majorBidi" w:cstheme="majorBidi"/>
          <w:lang w:val="en-GB"/>
        </w:rPr>
        <w:t xml:space="preserve"> to be disaggregated</w:t>
      </w:r>
      <w:r w:rsidRPr="003D2A76">
        <w:rPr>
          <w:rFonts w:asciiTheme="majorBidi" w:hAnsiTheme="majorBidi" w:cstheme="majorBidi"/>
          <w:lang w:val="en-GB"/>
        </w:rPr>
        <w:t>, generating new pooled coefficients to understand the different influences associated with each AI type based upon differences among the constructs.</w:t>
      </w:r>
    </w:p>
    <w:p w14:paraId="7DFC4E2D" w14:textId="0642F241"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lastRenderedPageBreak/>
        <w:t xml:space="preserve">A fourth line is experimental. Vignette-based or field experiments manipulating the AI-feature set and cultural framing of communications would </w:t>
      </w:r>
      <w:r w:rsidR="00DB56FC" w:rsidRPr="003D2A76">
        <w:rPr>
          <w:rFonts w:asciiTheme="majorBidi" w:hAnsiTheme="majorBidi" w:cstheme="majorBidi"/>
          <w:lang w:val="en-GB"/>
        </w:rPr>
        <w:t xml:space="preserve">allow </w:t>
      </w:r>
      <w:r w:rsidRPr="003D2A76">
        <w:rPr>
          <w:rFonts w:asciiTheme="majorBidi" w:hAnsiTheme="majorBidi" w:cstheme="majorBidi"/>
          <w:lang w:val="en-GB"/>
        </w:rPr>
        <w:t xml:space="preserve">a future researcher </w:t>
      </w:r>
      <w:r w:rsidR="00DB56FC" w:rsidRPr="003D2A76">
        <w:rPr>
          <w:rFonts w:asciiTheme="majorBidi" w:hAnsiTheme="majorBidi" w:cstheme="majorBidi"/>
          <w:lang w:val="en-GB"/>
        </w:rPr>
        <w:t xml:space="preserve">to </w:t>
      </w:r>
      <w:r w:rsidRPr="003D2A76">
        <w:rPr>
          <w:rFonts w:asciiTheme="majorBidi" w:hAnsiTheme="majorBidi" w:cstheme="majorBidi"/>
          <w:lang w:val="en-GB"/>
        </w:rPr>
        <w:t>separate technology from framing effects, something this correlational study cannot do. A fifth line mixes methods: adding qualitative interviews with parents, teachers, and school heads alongside the quantitative model would unlock the meaning-making processes behind the suppression pattern (H7, H8) and the domain-specificity of cultural moderation (H12).</w:t>
      </w:r>
    </w:p>
    <w:p w14:paraId="534FFE1C" w14:textId="2A4049A9"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A sixth </w:t>
      </w:r>
      <w:r w:rsidR="00DB56FC" w:rsidRPr="003D2A76">
        <w:rPr>
          <w:rFonts w:asciiTheme="majorBidi" w:hAnsiTheme="majorBidi" w:cstheme="majorBidi"/>
          <w:lang w:val="en-GB"/>
        </w:rPr>
        <w:t xml:space="preserve">future approach </w:t>
      </w:r>
      <w:r w:rsidRPr="003D2A76">
        <w:rPr>
          <w:rFonts w:asciiTheme="majorBidi" w:hAnsiTheme="majorBidi" w:cstheme="majorBidi"/>
          <w:lang w:val="en-GB"/>
        </w:rPr>
        <w:t>ties back to the student-satisfaction discussion in Chapter 2, §2.4.10: broadening the outcome side. Purchase intention fits a pre-enrolment model, but once enrolment happens, outcomes shift to continuation, referral</w:t>
      </w:r>
      <w:r w:rsidR="00DB56FC" w:rsidRPr="003D2A76">
        <w:rPr>
          <w:rFonts w:asciiTheme="majorBidi" w:hAnsiTheme="majorBidi" w:cstheme="majorBidi"/>
          <w:lang w:val="en-GB"/>
        </w:rPr>
        <w:t xml:space="preserve"> and</w:t>
      </w:r>
      <w:r w:rsidRPr="003D2A76">
        <w:rPr>
          <w:rFonts w:asciiTheme="majorBidi" w:hAnsiTheme="majorBidi" w:cstheme="majorBidi"/>
          <w:lang w:val="en-GB"/>
        </w:rPr>
        <w:t xml:space="preserve"> educational outcomes. Following families from pre-enrolment intent through two or three years of schooling would bring the field closer to the actual stakes of AI-augmented private schooling.</w:t>
      </w:r>
    </w:p>
    <w:p w14:paraId="31164A0A" w14:textId="77777777" w:rsidR="0042734A" w:rsidRPr="003D2A76" w:rsidRDefault="0042734A" w:rsidP="0042734A">
      <w:pPr>
        <w:bidi w:val="0"/>
        <w:rPr>
          <w:rFonts w:asciiTheme="majorBidi" w:hAnsiTheme="majorBidi" w:cstheme="majorBidi"/>
          <w:lang w:val="en-GB"/>
        </w:rPr>
      </w:pPr>
    </w:p>
    <w:p w14:paraId="3ED44DAA" w14:textId="77777777" w:rsidR="006A4A5D" w:rsidRPr="003D2A76" w:rsidRDefault="006A4A5D" w:rsidP="00BD6279">
      <w:pPr>
        <w:pStyle w:val="Heading2"/>
        <w:rPr>
          <w:lang w:val="en-GB"/>
        </w:rPr>
      </w:pPr>
      <w:bookmarkStart w:id="150" w:name="_Toc228056597"/>
      <w:r w:rsidRPr="003D2A76">
        <w:rPr>
          <w:rFonts w:ascii="Times New Roman" w:hAnsi="Times New Roman" w:cs="Times New Roman"/>
          <w:lang w:val="en-GB"/>
        </w:rPr>
        <w:t>5.8 Conclusions</w:t>
      </w:r>
      <w:bookmarkEnd w:id="150"/>
    </w:p>
    <w:p w14:paraId="71B45643" w14:textId="4DF0AEBE"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The research question of this dissertation focused on how parents' intent to purchase educational services for their child(ren) has been impacted by their use of AI in assisting their child(ren) with educational activities in Jeddah private schools, as well as what pathways led to this impact. The empirical analysis of survey data collected from 409 parents yielded </w:t>
      </w:r>
      <w:r w:rsidR="00B109AC" w:rsidRPr="003D2A76">
        <w:rPr>
          <w:rFonts w:asciiTheme="majorBidi" w:hAnsiTheme="majorBidi" w:cstheme="majorBidi"/>
          <w:lang w:val="en-GB"/>
        </w:rPr>
        <w:t xml:space="preserve">10 </w:t>
      </w:r>
      <w:r w:rsidRPr="003D2A76">
        <w:rPr>
          <w:rFonts w:asciiTheme="majorBidi" w:hAnsiTheme="majorBidi" w:cstheme="majorBidi"/>
          <w:lang w:val="en-GB"/>
        </w:rPr>
        <w:t xml:space="preserve">out of </w:t>
      </w:r>
      <w:r w:rsidR="00B109AC" w:rsidRPr="003D2A76">
        <w:rPr>
          <w:rFonts w:asciiTheme="majorBidi" w:hAnsiTheme="majorBidi" w:cstheme="majorBidi"/>
          <w:lang w:val="en-GB"/>
        </w:rPr>
        <w:t xml:space="preserve">12 </w:t>
      </w:r>
      <w:r w:rsidRPr="003D2A76">
        <w:rPr>
          <w:rFonts w:asciiTheme="majorBidi" w:hAnsiTheme="majorBidi" w:cstheme="majorBidi"/>
          <w:lang w:val="en-GB"/>
        </w:rPr>
        <w:t xml:space="preserve">hypotheses being supported and provided an explanatory model capable of explaining 76.9% of </w:t>
      </w:r>
      <w:r w:rsidR="003A20EC">
        <w:rPr>
          <w:rFonts w:asciiTheme="majorBidi" w:hAnsiTheme="majorBidi" w:cstheme="majorBidi"/>
          <w:lang w:val="en-GB"/>
        </w:rPr>
        <w:t xml:space="preserve">the </w:t>
      </w:r>
      <w:r w:rsidRPr="003D2A76">
        <w:rPr>
          <w:rFonts w:asciiTheme="majorBidi" w:hAnsiTheme="majorBidi" w:cstheme="majorBidi"/>
          <w:lang w:val="en-GB"/>
        </w:rPr>
        <w:t xml:space="preserve">variance in parental purchase intentions. Hypotheses 10 and 11 (i.e., there are no direct, unmediated AI effects on the overall </w:t>
      </w:r>
      <w:r w:rsidRPr="003D2A76">
        <w:rPr>
          <w:rFonts w:asciiTheme="majorBidi" w:hAnsiTheme="majorBidi" w:cstheme="majorBidi"/>
          <w:lang w:val="en-GB"/>
        </w:rPr>
        <w:lastRenderedPageBreak/>
        <w:t>model) were not supported and were consistent with theoretical expectations that mediation of AI effects occurs via service quality, trust, and value.</w:t>
      </w:r>
    </w:p>
    <w:p w14:paraId="2E5E2A92" w14:textId="7C0CD9F3"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 xml:space="preserve">The main theoretical contribution is the integrated </w:t>
      </w:r>
      <w:r w:rsidR="00B109AC" w:rsidRPr="003D2A76">
        <w:rPr>
          <w:rFonts w:asciiTheme="majorBidi" w:hAnsiTheme="majorBidi" w:cstheme="majorBidi"/>
          <w:lang w:val="en-GB"/>
        </w:rPr>
        <w:t>trust</w:t>
      </w:r>
      <w:r w:rsidRPr="003D2A76">
        <w:rPr>
          <w:rFonts w:asciiTheme="majorBidi" w:hAnsiTheme="majorBidi" w:cstheme="majorBidi"/>
          <w:lang w:val="en-GB"/>
        </w:rPr>
        <w:t>-</w:t>
      </w:r>
      <w:r w:rsidR="00B109AC" w:rsidRPr="003D2A76">
        <w:rPr>
          <w:rFonts w:asciiTheme="majorBidi" w:hAnsiTheme="majorBidi" w:cstheme="majorBidi"/>
          <w:lang w:val="en-GB"/>
        </w:rPr>
        <w:t>value</w:t>
      </w:r>
      <w:r w:rsidRPr="003D2A76">
        <w:rPr>
          <w:rFonts w:asciiTheme="majorBidi" w:hAnsiTheme="majorBidi" w:cstheme="majorBidi"/>
          <w:lang w:val="en-GB"/>
        </w:rPr>
        <w:t>-</w:t>
      </w:r>
      <w:r w:rsidR="00B109AC" w:rsidRPr="003D2A76">
        <w:rPr>
          <w:rFonts w:asciiTheme="majorBidi" w:hAnsiTheme="majorBidi" w:cstheme="majorBidi"/>
          <w:lang w:val="en-GB"/>
        </w:rPr>
        <w:t xml:space="preserve">quality </w:t>
      </w:r>
      <w:r w:rsidRPr="003D2A76">
        <w:rPr>
          <w:rFonts w:asciiTheme="majorBidi" w:hAnsiTheme="majorBidi" w:cstheme="majorBidi"/>
          <w:lang w:val="en-GB"/>
        </w:rPr>
        <w:t xml:space="preserve">framework from §5.4.5, uniting TAM, TPB, SERVQUAL, and Perceived Value </w:t>
      </w:r>
      <w:r w:rsidR="00D1303B" w:rsidRPr="003D2A76">
        <w:rPr>
          <w:rFonts w:asciiTheme="majorBidi" w:hAnsiTheme="majorBidi" w:cstheme="majorBidi"/>
          <w:lang w:val="en-GB"/>
        </w:rPr>
        <w:t>T</w:t>
      </w:r>
      <w:r w:rsidRPr="003D2A76">
        <w:rPr>
          <w:rFonts w:asciiTheme="majorBidi" w:hAnsiTheme="majorBidi" w:cstheme="majorBidi"/>
          <w:lang w:val="en-GB"/>
        </w:rPr>
        <w:t>heory in a single, culturally moderated model for K-12 AI adoption. The main practical contribution is the set of recommendations in §5.5 for school heads, policymakers, vendors, and parents, all grounded in the specific Chapter 4 coefficients rather than abstract technology-adoption talk. The main methodological contribution, modest but real, is the Arabic-language SERVQUAL adaptation with algorithmic-assurance items grafted into the assurance dimension.</w:t>
      </w:r>
    </w:p>
    <w:p w14:paraId="6D9401F9" w14:textId="77777777"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Three points deserve remark as the reader finishes. Cross-sectional design blocks strong causal claims. Jeddah-only, K-12-only, private-sector-only delimitations restrict how far conclusions travel. The pooled AI-adoption measure averages over distinct AI subtypes and thus yields coefficients that are internally consistent but coarse externally. Future work addressing any of these three will sharpen the picture.</w:t>
      </w:r>
    </w:p>
    <w:p w14:paraId="621C8C9D" w14:textId="141236A4" w:rsidR="006A4A5D" w:rsidRPr="003D2A76" w:rsidRDefault="006A4A5D" w:rsidP="00BD6279">
      <w:pPr>
        <w:bidi w:val="0"/>
        <w:rPr>
          <w:rFonts w:asciiTheme="majorBidi" w:hAnsiTheme="majorBidi" w:cstheme="majorBidi"/>
          <w:lang w:val="en-GB"/>
        </w:rPr>
      </w:pPr>
      <w:r w:rsidRPr="003D2A76">
        <w:rPr>
          <w:rFonts w:asciiTheme="majorBidi" w:hAnsiTheme="majorBidi" w:cstheme="majorBidi"/>
          <w:lang w:val="en-GB"/>
        </w:rPr>
        <w:t>A final thought</w:t>
      </w:r>
      <w:r w:rsidR="00B109AC" w:rsidRPr="003D2A76">
        <w:rPr>
          <w:rFonts w:asciiTheme="majorBidi" w:hAnsiTheme="majorBidi" w:cstheme="majorBidi"/>
          <w:lang w:val="en-GB"/>
        </w:rPr>
        <w:t xml:space="preserve"> is that </w:t>
      </w:r>
      <w:r w:rsidRPr="003D2A76">
        <w:rPr>
          <w:rFonts w:asciiTheme="majorBidi" w:hAnsiTheme="majorBidi" w:cstheme="majorBidi"/>
          <w:lang w:val="en-GB"/>
        </w:rPr>
        <w:t xml:space="preserve">AI in education is not ultimately a technology story. It is a story about whether parents, teachers, and school leaders can pick up new tools and do what schools actually do </w:t>
      </w:r>
      <w:r w:rsidR="00B109AC" w:rsidRPr="003D2A76">
        <w:rPr>
          <w:rFonts w:asciiTheme="majorBidi" w:hAnsiTheme="majorBidi" w:cstheme="majorBidi"/>
          <w:lang w:val="en-GB"/>
        </w:rPr>
        <w:t xml:space="preserve">– </w:t>
      </w:r>
      <w:r w:rsidRPr="003D2A76">
        <w:rPr>
          <w:rFonts w:asciiTheme="majorBidi" w:hAnsiTheme="majorBidi" w:cstheme="majorBidi"/>
          <w:lang w:val="en-GB"/>
        </w:rPr>
        <w:t>teach</w:t>
      </w:r>
      <w:r w:rsidR="00B109AC" w:rsidRPr="003D2A76">
        <w:rPr>
          <w:rFonts w:asciiTheme="majorBidi" w:hAnsiTheme="majorBidi" w:cstheme="majorBidi"/>
          <w:lang w:val="en-GB"/>
        </w:rPr>
        <w:t>ing</w:t>
      </w:r>
      <w:r w:rsidRPr="003D2A76">
        <w:rPr>
          <w:rFonts w:asciiTheme="majorBidi" w:hAnsiTheme="majorBidi" w:cstheme="majorBidi"/>
          <w:lang w:val="en-GB"/>
        </w:rPr>
        <w:t xml:space="preserve"> children in a manner families trust and value. The Chapter 4 data say AI can help in Jeddah private schools, provided it is deployed with deliberate attention to service-quality delivery, trust-building, value creation, and the cultural commitments of families paying tuition</w:t>
      </w:r>
      <w:r w:rsidR="00B109AC" w:rsidRPr="003D2A76">
        <w:rPr>
          <w:rFonts w:asciiTheme="majorBidi" w:hAnsiTheme="majorBidi" w:cstheme="majorBidi"/>
          <w:lang w:val="en-GB"/>
        </w:rPr>
        <w:t xml:space="preserve"> fees</w:t>
      </w:r>
      <w:r w:rsidRPr="003D2A76">
        <w:rPr>
          <w:rFonts w:asciiTheme="majorBidi" w:hAnsiTheme="majorBidi" w:cstheme="majorBidi"/>
          <w:lang w:val="en-GB"/>
        </w:rPr>
        <w:t>. This is a hopeful finding, and a demanding one, and it is where this dissertation stops.</w:t>
      </w:r>
    </w:p>
    <w:p w14:paraId="7C4B573F" w14:textId="77777777" w:rsidR="00885F3C" w:rsidRPr="003D2A76" w:rsidRDefault="00885F3C" w:rsidP="00BD6279">
      <w:pPr>
        <w:bidi w:val="0"/>
        <w:rPr>
          <w:rFonts w:asciiTheme="majorBidi" w:hAnsiTheme="majorBidi" w:cstheme="majorBidi"/>
          <w:lang w:val="en-GB"/>
        </w:rPr>
      </w:pPr>
    </w:p>
    <w:p w14:paraId="715F0185" w14:textId="77777777" w:rsidR="00885F3C" w:rsidRPr="003D2A76" w:rsidRDefault="00885F3C" w:rsidP="00BD6279">
      <w:pPr>
        <w:bidi w:val="0"/>
        <w:rPr>
          <w:rFonts w:asciiTheme="majorBidi" w:hAnsiTheme="majorBidi" w:cstheme="majorBidi"/>
          <w:lang w:val="en-GB"/>
        </w:rPr>
      </w:pPr>
    </w:p>
    <w:p w14:paraId="64CA5269" w14:textId="77777777" w:rsidR="00885F3C" w:rsidRPr="003D2A76" w:rsidRDefault="00885F3C" w:rsidP="00BD6279">
      <w:pPr>
        <w:bidi w:val="0"/>
        <w:rPr>
          <w:rFonts w:asciiTheme="majorBidi" w:hAnsiTheme="majorBidi" w:cstheme="majorBidi"/>
          <w:lang w:val="en-GB"/>
        </w:rPr>
      </w:pPr>
    </w:p>
    <w:p w14:paraId="40C8732A" w14:textId="77777777" w:rsidR="00885F3C" w:rsidRPr="003D2A76" w:rsidRDefault="00885F3C" w:rsidP="00BD6279">
      <w:pPr>
        <w:bidi w:val="0"/>
        <w:rPr>
          <w:rFonts w:asciiTheme="majorBidi" w:hAnsiTheme="majorBidi" w:cstheme="majorBidi"/>
          <w:lang w:val="en-GB"/>
        </w:rPr>
      </w:pPr>
    </w:p>
    <w:p w14:paraId="64F6F71C" w14:textId="77777777" w:rsidR="00065C40" w:rsidRPr="003D2A76" w:rsidRDefault="0089406B" w:rsidP="00BD6279">
      <w:pPr>
        <w:pStyle w:val="Heading1"/>
        <w:pageBreakBefore/>
        <w:rPr>
          <w:lang w:val="en-GB"/>
        </w:rPr>
      </w:pPr>
      <w:bookmarkStart w:id="151" w:name="_Toc228056598"/>
      <w:r w:rsidRPr="003D2A76">
        <w:rPr>
          <w:rFonts w:ascii="Times New Roman" w:hAnsi="Times New Roman" w:cs="Times New Roman"/>
          <w:lang w:val="en-GB"/>
        </w:rPr>
        <w:lastRenderedPageBreak/>
        <w:t>REFERENCES</w:t>
      </w:r>
      <w:bookmarkEnd w:id="151"/>
    </w:p>
    <w:p w14:paraId="7172D9BE" w14:textId="77777777" w:rsidR="00992606" w:rsidRPr="003D2A76" w:rsidRDefault="00992606" w:rsidP="00BD6279">
      <w:pPr>
        <w:bidi w:val="0"/>
        <w:ind w:hanging="720"/>
        <w:rPr>
          <w:rFonts w:asciiTheme="majorBidi" w:hAnsiTheme="majorBidi" w:cstheme="majorBidi"/>
          <w:lang w:val="en-GB"/>
        </w:rPr>
      </w:pPr>
    </w:p>
    <w:p w14:paraId="60E06DE5" w14:textId="0E21E752" w:rsidR="00992606" w:rsidRPr="003D2A76" w:rsidRDefault="00992606" w:rsidP="006E1E23">
      <w:pPr>
        <w:bidi w:val="0"/>
        <w:ind w:hanging="720"/>
        <w:rPr>
          <w:rFonts w:asciiTheme="majorBidi" w:hAnsiTheme="majorBidi" w:cstheme="majorBidi"/>
          <w:lang w:val="en-GB"/>
        </w:rPr>
      </w:pPr>
      <w:r w:rsidRPr="003D2A76">
        <w:rPr>
          <w:rFonts w:asciiTheme="majorBidi" w:hAnsiTheme="majorBidi" w:cstheme="majorBidi"/>
          <w:lang w:val="en-GB"/>
        </w:rPr>
        <w:t xml:space="preserve">Aiken, L. S., &amp; West, S. G. (1991) </w:t>
      </w:r>
      <w:r w:rsidRPr="003D2A76">
        <w:rPr>
          <w:rFonts w:asciiTheme="majorBidi" w:hAnsiTheme="majorBidi" w:cstheme="majorBidi"/>
          <w:i/>
          <w:iCs/>
          <w:lang w:val="en-GB"/>
        </w:rPr>
        <w:t>Multiple regression: Testing and interpreting interactions</w:t>
      </w:r>
      <w:r w:rsidRPr="003D2A76">
        <w:rPr>
          <w:rFonts w:asciiTheme="majorBidi" w:hAnsiTheme="majorBidi" w:cstheme="majorBidi"/>
          <w:lang w:val="en-GB"/>
        </w:rPr>
        <w:t>. Sage Publications.</w:t>
      </w:r>
    </w:p>
    <w:p w14:paraId="277A38CA" w14:textId="77777777" w:rsidR="00234EB2" w:rsidRDefault="00234EB2" w:rsidP="00BD6279">
      <w:pPr>
        <w:bidi w:val="0"/>
        <w:ind w:hanging="720"/>
      </w:pPr>
      <w:r>
        <w:t xml:space="preserve">Ajzen, I. (1991) ‘The theory of planned behavior’, </w:t>
      </w:r>
      <w:r>
        <w:rPr>
          <w:rStyle w:val="Emphasis"/>
        </w:rPr>
        <w:t>Organizational Behavior and Human Decision Processes</w:t>
      </w:r>
      <w:r>
        <w:t>, 50(2), pp. 179–211. doi:10.1016/0749-5978(91)90020-T</w:t>
      </w:r>
    </w:p>
    <w:p w14:paraId="0DA13BC4" w14:textId="77777777" w:rsidR="00234EB2" w:rsidRDefault="00234EB2" w:rsidP="00BD6279">
      <w:pPr>
        <w:bidi w:val="0"/>
        <w:ind w:hanging="720"/>
      </w:pPr>
      <w:r>
        <w:t xml:space="preserve">Alenezi, A. (2017) ‘Obstacles for teachers to integrate technology with instruction’, </w:t>
      </w:r>
      <w:r>
        <w:rPr>
          <w:rStyle w:val="Emphasis"/>
        </w:rPr>
        <w:t>Education and Information Technologies</w:t>
      </w:r>
      <w:r>
        <w:t>, 22(4), pp. 1797–1816. doi:10.1007/s10639-016-9518-5.</w:t>
      </w:r>
    </w:p>
    <w:p w14:paraId="7FD30D9F" w14:textId="77777777" w:rsidR="00234EB2" w:rsidRDefault="00234EB2" w:rsidP="00BD6279">
      <w:pPr>
        <w:bidi w:val="0"/>
        <w:ind w:hanging="720"/>
      </w:pPr>
      <w:r>
        <w:t xml:space="preserve">Al-Gahtani, S.S., Hubona, G.S. and Wang, J. (2007) ‘Information technology (IT) in Saudi Arabia: Culture and the acceptance and use of IT’, </w:t>
      </w:r>
      <w:r>
        <w:rPr>
          <w:rStyle w:val="Emphasis"/>
        </w:rPr>
        <w:t>Information &amp; Management</w:t>
      </w:r>
      <w:r>
        <w:t>, 44(8), pp. 681–691. doi:10.1016/j.im.2007.09.002.</w:t>
      </w:r>
    </w:p>
    <w:p w14:paraId="40AF4413" w14:textId="77777777" w:rsidR="00234EB2" w:rsidRDefault="00234EB2" w:rsidP="00BD6279">
      <w:pPr>
        <w:bidi w:val="0"/>
        <w:ind w:hanging="720"/>
      </w:pPr>
      <w:r>
        <w:t xml:space="preserve">Allmnakrah, A. and Evers, C. (2020) ‘The need for a fundamental shift in the Saudi education system: Implementing the Saudi Arabian Economic Vision 2030’, </w:t>
      </w:r>
      <w:r>
        <w:rPr>
          <w:rStyle w:val="Emphasis"/>
        </w:rPr>
        <w:t>Research in Education</w:t>
      </w:r>
      <w:r>
        <w:t>, 106(1), pp. 22–40. doi:10.1177/0034523719851534.</w:t>
      </w:r>
    </w:p>
    <w:p w14:paraId="41D47B2C" w14:textId="77777777" w:rsidR="00234EB2" w:rsidRDefault="00234EB2" w:rsidP="00BD6279">
      <w:pPr>
        <w:bidi w:val="0"/>
        <w:ind w:hanging="720"/>
      </w:pPr>
      <w:r>
        <w:t xml:space="preserve">Al-Saggaf, Y. and Williamson, K. (2004) ‘Online communities in Saudi Arabia: Evaluating the impact on culture through online semi-structured interviews’, </w:t>
      </w:r>
      <w:r>
        <w:rPr>
          <w:rStyle w:val="Emphasis"/>
        </w:rPr>
        <w:t>Forum Qualitative Sozialforschung / Forum: Qualitative Social Research</w:t>
      </w:r>
      <w:r>
        <w:t>, 5(3), Art. 24.</w:t>
      </w:r>
    </w:p>
    <w:p w14:paraId="6E5ECAEB" w14:textId="77777777" w:rsidR="00F4687A" w:rsidRDefault="00234EB2" w:rsidP="00BD6279">
      <w:pPr>
        <w:bidi w:val="0"/>
        <w:ind w:hanging="720"/>
      </w:pPr>
      <w:r>
        <w:t xml:space="preserve">Alves, H. and Raposo, M. (2007) ‘Conceptual model of student satisfaction in higher education’, </w:t>
      </w:r>
      <w:r>
        <w:rPr>
          <w:rStyle w:val="Emphasis"/>
        </w:rPr>
        <w:t>Total Quality Management &amp; Business Excellence</w:t>
      </w:r>
      <w:r>
        <w:t>, 18(5), pp. 571–588. doi:10.1080/14783360601074315.</w:t>
      </w:r>
    </w:p>
    <w:p w14:paraId="06BFE524" w14:textId="77777777" w:rsidR="00F4687A" w:rsidRDefault="00F4687A" w:rsidP="00BD6279">
      <w:pPr>
        <w:bidi w:val="0"/>
        <w:ind w:hanging="720"/>
      </w:pPr>
      <w:r>
        <w:t xml:space="preserve">Arrieta, A.B., Díaz-Rodríguez, N., Del Ser, J., Bennetot, A., Tabik, S., Barbado, A. and Herrera, F. (2020) ‘Explainable artificial intelligence (XAI): Concepts, taxonomies, opportunities </w:t>
      </w:r>
      <w:r>
        <w:lastRenderedPageBreak/>
        <w:t xml:space="preserve">and challenges toward responsible AI’, </w:t>
      </w:r>
      <w:r>
        <w:rPr>
          <w:rStyle w:val="Emphasis"/>
        </w:rPr>
        <w:t>Information Fusion</w:t>
      </w:r>
      <w:r>
        <w:t>, 58, pp. 82–115. doi:10.1016/j.inffus.2019.12.012.</w:t>
      </w:r>
    </w:p>
    <w:p w14:paraId="4B188389" w14:textId="6D08D428" w:rsidR="00992606" w:rsidRPr="003D2A76" w:rsidRDefault="00992606" w:rsidP="00F4687A">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Australian National Data Service (2018) </w:t>
      </w:r>
      <w:r w:rsidRPr="003D2A76">
        <w:rPr>
          <w:rFonts w:asciiTheme="majorBidi" w:hAnsiTheme="majorBidi" w:cstheme="majorBidi"/>
          <w:i/>
          <w:iCs/>
          <w:lang w:val="en-GB"/>
        </w:rPr>
        <w:t>Data management: A practical guide for researchers</w:t>
      </w:r>
      <w:r w:rsidRPr="003D2A76">
        <w:rPr>
          <w:rFonts w:asciiTheme="majorBidi" w:hAnsiTheme="majorBidi" w:cstheme="majorBidi"/>
          <w:lang w:val="en-GB"/>
        </w:rPr>
        <w:t xml:space="preserve">. ANDS. Retrieved from </w:t>
      </w:r>
      <w:hyperlink r:id="rId22" w:history="1">
        <w:r w:rsidRPr="003D2A76">
          <w:rPr>
            <w:rStyle w:val="Hyperlink"/>
            <w:rFonts w:asciiTheme="majorBidi" w:hAnsiTheme="majorBidi" w:cstheme="majorBidi"/>
            <w:lang w:val="en-GB"/>
          </w:rPr>
          <w:t>https://www.ands.org.au</w:t>
        </w:r>
      </w:hyperlink>
      <w:r w:rsidR="00C3355E" w:rsidRPr="003D2A76">
        <w:rPr>
          <w:lang w:val="en-GB"/>
        </w:rPr>
        <w:t>.</w:t>
      </w:r>
    </w:p>
    <w:p w14:paraId="067AE941" w14:textId="669E8B1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Babbie, E. R. (2016) </w:t>
      </w:r>
      <w:r w:rsidRPr="003D2A76">
        <w:rPr>
          <w:rFonts w:asciiTheme="majorBidi" w:hAnsiTheme="majorBidi" w:cstheme="majorBidi"/>
          <w:i/>
          <w:iCs/>
          <w:lang w:val="en-GB"/>
        </w:rPr>
        <w:t>The practice of social research</w:t>
      </w:r>
      <w:r w:rsidRPr="003D2A76">
        <w:rPr>
          <w:rFonts w:asciiTheme="majorBidi" w:hAnsiTheme="majorBidi" w:cstheme="majorBidi"/>
          <w:lang w:val="en-GB"/>
        </w:rPr>
        <w:t xml:space="preserve"> (14th ed.). Cengage Learning.</w:t>
      </w:r>
    </w:p>
    <w:p w14:paraId="7AAFFCBB" w14:textId="77777777" w:rsidR="00F4687A" w:rsidRDefault="00F4687A" w:rsidP="00BD6279">
      <w:pPr>
        <w:bidi w:val="0"/>
        <w:ind w:hanging="720"/>
      </w:pPr>
      <w:r>
        <w:t xml:space="preserve">Baron, R.M. and Kenny, D.A. (1986) ‘The moderator–mediator variable distinction in social psychological research: Conceptual, strategic, and statistical considerations’, </w:t>
      </w:r>
      <w:r>
        <w:rPr>
          <w:rStyle w:val="Emphasis"/>
        </w:rPr>
        <w:t>Journal of Personality and Social Psychology</w:t>
      </w:r>
      <w:r>
        <w:t>, 51(6), pp. 1173–1182. doi:10.1037/0022-3514.51.6.1173.</w:t>
      </w:r>
    </w:p>
    <w:p w14:paraId="35F8EA6B" w14:textId="77777777" w:rsidR="00F4687A" w:rsidRDefault="00F4687A" w:rsidP="00BD6279">
      <w:pPr>
        <w:bidi w:val="0"/>
        <w:ind w:hanging="720"/>
      </w:pPr>
      <w:r>
        <w:t xml:space="preserve">Bartlett, M.S. (1950) ‘Tests of significance in factor analysis’, </w:t>
      </w:r>
      <w:r>
        <w:rPr>
          <w:rStyle w:val="Emphasis"/>
        </w:rPr>
        <w:t>British Journal of Statistical Psychology</w:t>
      </w:r>
      <w:r>
        <w:t>, 3(2), pp. 77–85. doi:10.1111/j.2044-8317.1950.tb00285.x.</w:t>
      </w:r>
    </w:p>
    <w:p w14:paraId="4A1E8085" w14:textId="77777777" w:rsidR="00F4687A" w:rsidRDefault="00F4687A" w:rsidP="00BD6279">
      <w:pPr>
        <w:bidi w:val="0"/>
        <w:ind w:hanging="720"/>
      </w:pPr>
      <w:r>
        <w:t xml:space="preserve">Bauer, D.J. and Curran, P.J. (2005) ‘Probing interactions in fixed and multilevel regression: Inferential and graphical techniques’, </w:t>
      </w:r>
      <w:r>
        <w:rPr>
          <w:rStyle w:val="Emphasis"/>
        </w:rPr>
        <w:t>Multivariate Behavioral Research</w:t>
      </w:r>
      <w:r>
        <w:t>, 40(3), pp. 373–400. doi:10.1207/s15327906mbr4003_5.</w:t>
      </w:r>
    </w:p>
    <w:p w14:paraId="1773937E" w14:textId="019EF4B5" w:rsidR="00992606" w:rsidRPr="003D2A76" w:rsidRDefault="00992606" w:rsidP="00F4687A">
      <w:pPr>
        <w:bidi w:val="0"/>
        <w:ind w:hanging="720"/>
        <w:rPr>
          <w:rFonts w:asciiTheme="majorBidi" w:hAnsiTheme="majorBidi" w:cstheme="majorBidi"/>
          <w:lang w:val="en-GB"/>
        </w:rPr>
      </w:pPr>
      <w:r w:rsidRPr="003D2A76">
        <w:rPr>
          <w:rFonts w:asciiTheme="majorBidi" w:hAnsiTheme="majorBidi" w:cstheme="majorBidi"/>
          <w:lang w:val="en-GB"/>
        </w:rPr>
        <w:t xml:space="preserve">Beauchamp, T. L., &amp; Childress, J. F. (2013) </w:t>
      </w:r>
      <w:r w:rsidRPr="003D2A76">
        <w:rPr>
          <w:rFonts w:asciiTheme="majorBidi" w:hAnsiTheme="majorBidi" w:cstheme="majorBidi"/>
          <w:i/>
          <w:iCs/>
          <w:lang w:val="en-GB"/>
        </w:rPr>
        <w:t>Principles of biomedical ethics</w:t>
      </w:r>
      <w:r w:rsidRPr="003D2A76">
        <w:rPr>
          <w:rFonts w:asciiTheme="majorBidi" w:hAnsiTheme="majorBidi" w:cstheme="majorBidi"/>
          <w:lang w:val="en-GB"/>
        </w:rPr>
        <w:t xml:space="preserve"> (7th ed.). Oxford University Press.</w:t>
      </w:r>
    </w:p>
    <w:p w14:paraId="47EDF97A" w14:textId="6692DC4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Belsley, D. A., Kuh, E., &amp; Welsch, R. E. (1980) </w:t>
      </w:r>
      <w:r w:rsidRPr="003D2A76">
        <w:rPr>
          <w:rFonts w:asciiTheme="majorBidi" w:hAnsiTheme="majorBidi" w:cstheme="majorBidi"/>
          <w:i/>
          <w:iCs/>
          <w:lang w:val="en-GB"/>
        </w:rPr>
        <w:t>Regression diagnostics: Identifying influential data and sources of collinearity</w:t>
      </w:r>
      <w:r w:rsidRPr="003D2A76">
        <w:rPr>
          <w:rFonts w:asciiTheme="majorBidi" w:hAnsiTheme="majorBidi" w:cstheme="majorBidi"/>
          <w:lang w:val="en-GB"/>
        </w:rPr>
        <w:t xml:space="preserve">. John Wiley &amp; Sons. </w:t>
      </w:r>
      <w:hyperlink r:id="rId23" w:history="1">
        <w:r w:rsidRPr="003D2A76">
          <w:rPr>
            <w:rStyle w:val="Hyperlink"/>
            <w:rFonts w:asciiTheme="majorBidi" w:hAnsiTheme="majorBidi" w:cstheme="majorBidi"/>
            <w:lang w:val="en-GB"/>
          </w:rPr>
          <w:t>https://doi.org/10.1002/0471725153</w:t>
        </w:r>
      </w:hyperlink>
    </w:p>
    <w:p w14:paraId="0F8899B6" w14:textId="6354852C"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Berry, L. L. (1988) </w:t>
      </w:r>
      <w:r w:rsidR="00C3355E" w:rsidRPr="003D2A76">
        <w:rPr>
          <w:rFonts w:asciiTheme="majorBidi" w:hAnsiTheme="majorBidi" w:cstheme="majorBidi"/>
          <w:lang w:val="en-GB"/>
        </w:rPr>
        <w:t>“</w:t>
      </w:r>
      <w:r w:rsidRPr="003D2A76">
        <w:rPr>
          <w:rFonts w:asciiTheme="majorBidi" w:hAnsiTheme="majorBidi" w:cstheme="majorBidi"/>
          <w:lang w:val="en-GB"/>
        </w:rPr>
        <w:t>Services marketing is different</w:t>
      </w:r>
      <w:r w:rsidR="00C3355E" w:rsidRPr="003D2A76">
        <w:rPr>
          <w:rFonts w:asciiTheme="majorBidi" w:hAnsiTheme="majorBidi" w:cstheme="majorBidi"/>
          <w:lang w:val="en-GB"/>
        </w:rPr>
        <w:t>”, i</w:t>
      </w:r>
      <w:r w:rsidRPr="003D2A76">
        <w:rPr>
          <w:rFonts w:asciiTheme="majorBidi" w:hAnsiTheme="majorBidi" w:cstheme="majorBidi"/>
          <w:lang w:val="en-GB"/>
        </w:rPr>
        <w:t>n C. H. Lovelock (</w:t>
      </w:r>
      <w:r w:rsidR="00C3355E" w:rsidRPr="003D2A76">
        <w:rPr>
          <w:rFonts w:asciiTheme="majorBidi" w:hAnsiTheme="majorBidi" w:cstheme="majorBidi"/>
          <w:lang w:val="en-GB"/>
        </w:rPr>
        <w:t>ed</w:t>
      </w:r>
      <w:r w:rsidRPr="003D2A76">
        <w:rPr>
          <w:rFonts w:asciiTheme="majorBidi" w:hAnsiTheme="majorBidi" w:cstheme="majorBidi"/>
          <w:lang w:val="en-GB"/>
        </w:rPr>
        <w:t xml:space="preserve">.), </w:t>
      </w:r>
      <w:r w:rsidRPr="003D2A76">
        <w:rPr>
          <w:rFonts w:asciiTheme="majorBidi" w:hAnsiTheme="majorBidi" w:cstheme="majorBidi"/>
          <w:i/>
          <w:iCs/>
          <w:lang w:val="en-GB"/>
        </w:rPr>
        <w:t>Managing services</w:t>
      </w:r>
      <w:r w:rsidRPr="003D2A76">
        <w:rPr>
          <w:rFonts w:asciiTheme="majorBidi" w:hAnsiTheme="majorBidi" w:cstheme="majorBidi"/>
          <w:lang w:val="en-GB"/>
        </w:rPr>
        <w:t xml:space="preserve"> (pp. 29–37). Prentice Hall.</w:t>
      </w:r>
    </w:p>
    <w:p w14:paraId="067D8D2C" w14:textId="3C85E66A"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Berry, W. D., &amp; Feldman, S. (1985) </w:t>
      </w:r>
      <w:r w:rsidRPr="003D2A76">
        <w:rPr>
          <w:rFonts w:asciiTheme="majorBidi" w:hAnsiTheme="majorBidi" w:cstheme="majorBidi"/>
          <w:i/>
          <w:iCs/>
          <w:lang w:val="en-GB"/>
        </w:rPr>
        <w:t>Multiple regression in practice</w:t>
      </w:r>
      <w:r w:rsidRPr="003D2A76">
        <w:rPr>
          <w:rFonts w:asciiTheme="majorBidi" w:hAnsiTheme="majorBidi" w:cstheme="majorBidi"/>
          <w:lang w:val="en-GB"/>
        </w:rPr>
        <w:t>. Sage Publications.</w:t>
      </w:r>
    </w:p>
    <w:p w14:paraId="199D915A" w14:textId="1B80B20A" w:rsidR="00992606" w:rsidRPr="003D2A76" w:rsidRDefault="00992606" w:rsidP="00BD6279">
      <w:pPr>
        <w:bidi w:val="0"/>
        <w:ind w:hanging="720"/>
        <w:rPr>
          <w:rStyle w:val="Hyperlink"/>
          <w:rFonts w:asciiTheme="majorBidi" w:hAnsiTheme="majorBidi" w:cstheme="majorBidi"/>
          <w:lang w:val="en-GB"/>
        </w:rPr>
      </w:pPr>
      <w:r w:rsidRPr="00B958A8">
        <w:rPr>
          <w:rFonts w:asciiTheme="majorBidi" w:hAnsiTheme="majorBidi" w:cstheme="majorBidi"/>
          <w:lang w:val="en-GB"/>
        </w:rPr>
        <w:t>Bland</w:t>
      </w:r>
      <w:r w:rsidRPr="003D2A76">
        <w:rPr>
          <w:rFonts w:asciiTheme="majorBidi" w:hAnsiTheme="majorBidi" w:cstheme="majorBidi"/>
          <w:lang w:val="en-GB"/>
        </w:rPr>
        <w:t xml:space="preserve">, J. M., &amp; Altman, D. G. (1995) </w:t>
      </w:r>
      <w:r w:rsidR="00C3355E" w:rsidRPr="003D2A76">
        <w:rPr>
          <w:rFonts w:asciiTheme="majorBidi" w:hAnsiTheme="majorBidi" w:cstheme="majorBidi"/>
          <w:lang w:val="en-GB"/>
        </w:rPr>
        <w:t>“</w:t>
      </w:r>
      <w:r w:rsidRPr="003D2A76">
        <w:rPr>
          <w:rFonts w:asciiTheme="majorBidi" w:hAnsiTheme="majorBidi" w:cstheme="majorBidi"/>
          <w:lang w:val="en-GB"/>
        </w:rPr>
        <w:t>Multiple significance tests: The Bonferroni method</w:t>
      </w:r>
      <w:r w:rsidR="00C3355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BMJ</w:t>
      </w:r>
      <w:r w:rsidRPr="009A04CD">
        <w:rPr>
          <w:rFonts w:asciiTheme="majorBidi" w:hAnsiTheme="majorBidi" w:cstheme="majorBidi"/>
          <w:lang w:val="en-GB"/>
        </w:rPr>
        <w:t>, 310</w:t>
      </w:r>
      <w:r w:rsidRPr="003D2A76">
        <w:rPr>
          <w:rFonts w:asciiTheme="majorBidi" w:hAnsiTheme="majorBidi" w:cstheme="majorBidi"/>
          <w:lang w:val="en-GB"/>
        </w:rPr>
        <w:t xml:space="preserve">(6973), </w:t>
      </w:r>
      <w:r w:rsidR="00C3355E" w:rsidRPr="003D2A76">
        <w:rPr>
          <w:rFonts w:asciiTheme="majorBidi" w:hAnsiTheme="majorBidi" w:cstheme="majorBidi"/>
          <w:lang w:val="en-GB"/>
        </w:rPr>
        <w:t xml:space="preserve">p. </w:t>
      </w:r>
      <w:r w:rsidRPr="003D2A76">
        <w:rPr>
          <w:rFonts w:asciiTheme="majorBidi" w:hAnsiTheme="majorBidi" w:cstheme="majorBidi"/>
          <w:lang w:val="en-GB"/>
        </w:rPr>
        <w:t xml:space="preserve">170. </w:t>
      </w:r>
      <w:hyperlink r:id="rId24" w:history="1">
        <w:r w:rsidRPr="003D2A76">
          <w:rPr>
            <w:rStyle w:val="Hyperlink"/>
            <w:rFonts w:asciiTheme="majorBidi" w:hAnsiTheme="majorBidi" w:cstheme="majorBidi"/>
            <w:lang w:val="en-GB"/>
          </w:rPr>
          <w:t>https://doi.org/10.1136/bmj.310.6973.170</w:t>
        </w:r>
      </w:hyperlink>
      <w:r w:rsidR="00C3355E" w:rsidRPr="003D2A76">
        <w:rPr>
          <w:rStyle w:val="Hyperlink"/>
          <w:rFonts w:asciiTheme="majorBidi" w:hAnsiTheme="majorBidi" w:cstheme="majorBidi"/>
          <w:lang w:val="en-GB"/>
        </w:rPr>
        <w:t>.</w:t>
      </w:r>
    </w:p>
    <w:p w14:paraId="4CDDDE4B" w14:textId="129E203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Bornstein, M. H., Jager, J., &amp; Putnick, D. L. (2013) </w:t>
      </w:r>
      <w:r w:rsidR="00B441FB" w:rsidRPr="003D2A76">
        <w:rPr>
          <w:rFonts w:asciiTheme="majorBidi" w:hAnsiTheme="majorBidi" w:cstheme="majorBidi"/>
          <w:lang w:val="en-GB"/>
        </w:rPr>
        <w:t>“</w:t>
      </w:r>
      <w:r w:rsidRPr="003D2A76">
        <w:rPr>
          <w:rFonts w:asciiTheme="majorBidi" w:hAnsiTheme="majorBidi" w:cstheme="majorBidi"/>
          <w:lang w:val="en-GB"/>
        </w:rPr>
        <w:t>Sampling in developmental science: Situations, shortcomings, solutions, and standards</w:t>
      </w:r>
      <w:r w:rsidR="00B441FB"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Developmental Review</w:t>
      </w:r>
      <w:r w:rsidRPr="009A04CD">
        <w:rPr>
          <w:rFonts w:asciiTheme="majorBidi" w:hAnsiTheme="majorBidi" w:cstheme="majorBidi"/>
          <w:lang w:val="en-GB"/>
        </w:rPr>
        <w:t>, 33</w:t>
      </w:r>
      <w:r w:rsidRPr="003D2A76">
        <w:rPr>
          <w:rFonts w:asciiTheme="majorBidi" w:hAnsiTheme="majorBidi" w:cstheme="majorBidi"/>
          <w:lang w:val="en-GB"/>
        </w:rPr>
        <w:t xml:space="preserve">(4), </w:t>
      </w:r>
      <w:r w:rsidR="00B441FB" w:rsidRPr="003D2A76">
        <w:rPr>
          <w:rFonts w:asciiTheme="majorBidi" w:hAnsiTheme="majorBidi" w:cstheme="majorBidi"/>
          <w:lang w:val="en-GB"/>
        </w:rPr>
        <w:t xml:space="preserve">pp. </w:t>
      </w:r>
      <w:r w:rsidRPr="003D2A76">
        <w:rPr>
          <w:rFonts w:asciiTheme="majorBidi" w:hAnsiTheme="majorBidi" w:cstheme="majorBidi"/>
          <w:lang w:val="en-GB"/>
        </w:rPr>
        <w:t xml:space="preserve">357–370. </w:t>
      </w:r>
      <w:hyperlink r:id="rId25" w:history="1">
        <w:r w:rsidRPr="003D2A76">
          <w:rPr>
            <w:rStyle w:val="Hyperlink"/>
            <w:rFonts w:asciiTheme="majorBidi" w:hAnsiTheme="majorBidi" w:cstheme="majorBidi"/>
            <w:lang w:val="en-GB"/>
          </w:rPr>
          <w:t>https://doi.org/10.1016/j.dr.2013.08.003</w:t>
        </w:r>
      </w:hyperlink>
      <w:r w:rsidR="00B441FB" w:rsidRPr="003D2A76">
        <w:rPr>
          <w:lang w:val="en-GB"/>
        </w:rPr>
        <w:t>.</w:t>
      </w:r>
    </w:p>
    <w:p w14:paraId="76A5D0B7" w14:textId="2844036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Brislin, R. W. (1970) </w:t>
      </w:r>
      <w:r w:rsidR="00B441FB" w:rsidRPr="003D2A76">
        <w:rPr>
          <w:rFonts w:asciiTheme="majorBidi" w:hAnsiTheme="majorBidi" w:cstheme="majorBidi"/>
          <w:lang w:val="en-GB"/>
        </w:rPr>
        <w:t>“</w:t>
      </w:r>
      <w:r w:rsidRPr="003D2A76">
        <w:rPr>
          <w:rFonts w:asciiTheme="majorBidi" w:hAnsiTheme="majorBidi" w:cstheme="majorBidi"/>
          <w:lang w:val="en-GB"/>
        </w:rPr>
        <w:t>Back-translation for cross-cultural research</w:t>
      </w:r>
      <w:r w:rsidR="00B441FB"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Cross-Cultural Psychology</w:t>
      </w:r>
      <w:r w:rsidRPr="009A04CD">
        <w:rPr>
          <w:rFonts w:asciiTheme="majorBidi" w:hAnsiTheme="majorBidi" w:cstheme="majorBidi"/>
          <w:lang w:val="en-GB"/>
        </w:rPr>
        <w:t>, 1</w:t>
      </w:r>
      <w:r w:rsidRPr="003D2A76">
        <w:rPr>
          <w:rFonts w:asciiTheme="majorBidi" w:hAnsiTheme="majorBidi" w:cstheme="majorBidi"/>
          <w:lang w:val="en-GB"/>
        </w:rPr>
        <w:t xml:space="preserve">(3), </w:t>
      </w:r>
      <w:r w:rsidR="00B441FB" w:rsidRPr="003D2A76">
        <w:rPr>
          <w:rFonts w:asciiTheme="majorBidi" w:hAnsiTheme="majorBidi" w:cstheme="majorBidi"/>
          <w:lang w:val="en-GB"/>
        </w:rPr>
        <w:t xml:space="preserve">pp. </w:t>
      </w:r>
      <w:r w:rsidRPr="003D2A76">
        <w:rPr>
          <w:rFonts w:asciiTheme="majorBidi" w:hAnsiTheme="majorBidi" w:cstheme="majorBidi"/>
          <w:lang w:val="en-GB"/>
        </w:rPr>
        <w:t xml:space="preserve">185–216. </w:t>
      </w:r>
      <w:hyperlink r:id="rId26" w:history="1">
        <w:r w:rsidRPr="003D2A76">
          <w:rPr>
            <w:rStyle w:val="Hyperlink"/>
            <w:rFonts w:asciiTheme="majorBidi" w:hAnsiTheme="majorBidi" w:cstheme="majorBidi"/>
            <w:lang w:val="en-GB"/>
          </w:rPr>
          <w:t>https://doi.org/10.1177/135910457000100301</w:t>
        </w:r>
      </w:hyperlink>
      <w:r w:rsidR="00B441FB" w:rsidRPr="003D2A76">
        <w:rPr>
          <w:lang w:val="en-GB"/>
        </w:rPr>
        <w:t>.</w:t>
      </w:r>
    </w:p>
    <w:p w14:paraId="5244E4C8" w14:textId="2B3766C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British Educational Research Association (2018) </w:t>
      </w:r>
      <w:r w:rsidRPr="003D2A76">
        <w:rPr>
          <w:rFonts w:asciiTheme="majorBidi" w:hAnsiTheme="majorBidi" w:cstheme="majorBidi"/>
          <w:i/>
          <w:iCs/>
          <w:lang w:val="en-GB"/>
        </w:rPr>
        <w:t>Ethical guidelines for educational research</w:t>
      </w:r>
      <w:r w:rsidRPr="003D2A76">
        <w:rPr>
          <w:rFonts w:asciiTheme="majorBidi" w:hAnsiTheme="majorBidi" w:cstheme="majorBidi"/>
          <w:lang w:val="en-GB"/>
        </w:rPr>
        <w:t xml:space="preserve"> (4th ed.). BERA. Retrieved from </w:t>
      </w:r>
      <w:hyperlink r:id="rId27" w:history="1">
        <w:r w:rsidRPr="003D2A76">
          <w:rPr>
            <w:rStyle w:val="Hyperlink"/>
            <w:rFonts w:asciiTheme="majorBidi" w:hAnsiTheme="majorBidi" w:cstheme="majorBidi"/>
            <w:lang w:val="en-GB"/>
          </w:rPr>
          <w:t>https://www.bera.ac.uk</w:t>
        </w:r>
      </w:hyperlink>
      <w:r w:rsidR="00B441FB" w:rsidRPr="003D2A76">
        <w:rPr>
          <w:lang w:val="en-GB"/>
        </w:rPr>
        <w:t>.</w:t>
      </w:r>
    </w:p>
    <w:p w14:paraId="3809A080" w14:textId="076DC160"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Bryman, A., &amp; Bell, E. (2019) </w:t>
      </w:r>
      <w:r w:rsidRPr="003D2A76">
        <w:rPr>
          <w:rFonts w:asciiTheme="majorBidi" w:hAnsiTheme="majorBidi" w:cstheme="majorBidi"/>
          <w:i/>
          <w:iCs/>
          <w:lang w:val="en-GB"/>
        </w:rPr>
        <w:t>Business research methods</w:t>
      </w:r>
      <w:r w:rsidRPr="003D2A76">
        <w:rPr>
          <w:rFonts w:asciiTheme="majorBidi" w:hAnsiTheme="majorBidi" w:cstheme="majorBidi"/>
          <w:lang w:val="en-GB"/>
        </w:rPr>
        <w:t xml:space="preserve"> (5th ed.). Oxford University Press.</w:t>
      </w:r>
    </w:p>
    <w:p w14:paraId="645F3227" w14:textId="18A0296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Byrne, B. M. (2010) </w:t>
      </w:r>
      <w:r w:rsidRPr="003D2A76">
        <w:rPr>
          <w:rFonts w:asciiTheme="majorBidi" w:hAnsiTheme="majorBidi" w:cstheme="majorBidi"/>
          <w:i/>
          <w:iCs/>
          <w:lang w:val="en-GB"/>
        </w:rPr>
        <w:t>Structural equation modeling with AMOS: Basic concepts, applications, and programming</w:t>
      </w:r>
      <w:r w:rsidRPr="003D2A76">
        <w:rPr>
          <w:rFonts w:asciiTheme="majorBidi" w:hAnsiTheme="majorBidi" w:cstheme="majorBidi"/>
          <w:lang w:val="en-GB"/>
        </w:rPr>
        <w:t xml:space="preserve"> (2nd ed.). Routledge.</w:t>
      </w:r>
    </w:p>
    <w:p w14:paraId="3313F256" w14:textId="39174D1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Caruana, A. (2002) </w:t>
      </w:r>
      <w:r w:rsidR="00B441FB" w:rsidRPr="003D2A76">
        <w:rPr>
          <w:rFonts w:asciiTheme="majorBidi" w:hAnsiTheme="majorBidi" w:cstheme="majorBidi"/>
          <w:lang w:val="en-GB"/>
        </w:rPr>
        <w:t>“</w:t>
      </w:r>
      <w:r w:rsidRPr="003D2A76">
        <w:rPr>
          <w:rFonts w:asciiTheme="majorBidi" w:hAnsiTheme="majorBidi" w:cstheme="majorBidi"/>
          <w:lang w:val="en-GB"/>
        </w:rPr>
        <w:t>Service loyalty: The effects of service quality and the mediating role of customer satisfaction</w:t>
      </w:r>
      <w:r w:rsidR="00B441FB"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European Journal of Marketing</w:t>
      </w:r>
      <w:r w:rsidRPr="009A04CD">
        <w:rPr>
          <w:rFonts w:asciiTheme="majorBidi" w:hAnsiTheme="majorBidi" w:cstheme="majorBidi"/>
          <w:lang w:val="en-GB"/>
        </w:rPr>
        <w:t>, 36</w:t>
      </w:r>
      <w:r w:rsidRPr="003D2A76">
        <w:rPr>
          <w:rFonts w:asciiTheme="majorBidi" w:hAnsiTheme="majorBidi" w:cstheme="majorBidi"/>
          <w:lang w:val="en-GB"/>
        </w:rPr>
        <w:t xml:space="preserve">(7/8), </w:t>
      </w:r>
      <w:r w:rsidR="00B441FB" w:rsidRPr="003D2A76">
        <w:rPr>
          <w:rFonts w:asciiTheme="majorBidi" w:hAnsiTheme="majorBidi" w:cstheme="majorBidi"/>
          <w:lang w:val="en-GB"/>
        </w:rPr>
        <w:t xml:space="preserve">pp. </w:t>
      </w:r>
      <w:r w:rsidRPr="003D2A76">
        <w:rPr>
          <w:rFonts w:asciiTheme="majorBidi" w:hAnsiTheme="majorBidi" w:cstheme="majorBidi"/>
          <w:lang w:val="en-GB"/>
        </w:rPr>
        <w:t xml:space="preserve">811–828. </w:t>
      </w:r>
      <w:hyperlink r:id="rId28" w:history="1">
        <w:r w:rsidRPr="003D2A76">
          <w:rPr>
            <w:rStyle w:val="Hyperlink"/>
            <w:rFonts w:asciiTheme="majorBidi" w:hAnsiTheme="majorBidi" w:cstheme="majorBidi"/>
            <w:lang w:val="en-GB"/>
          </w:rPr>
          <w:t>https://doi.org/10.1108/03090560210430818</w:t>
        </w:r>
      </w:hyperlink>
      <w:r w:rsidR="00B441FB" w:rsidRPr="003D2A76">
        <w:rPr>
          <w:lang w:val="en-GB"/>
        </w:rPr>
        <w:t>.</w:t>
      </w:r>
    </w:p>
    <w:p w14:paraId="1F44A3DD" w14:textId="1BEADFB0"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Cattell, R. B. (1966). The scree test for the number of factors. </w:t>
      </w:r>
      <w:r w:rsidRPr="003D2A76">
        <w:rPr>
          <w:rFonts w:asciiTheme="majorBidi" w:hAnsiTheme="majorBidi" w:cstheme="majorBidi"/>
          <w:i/>
          <w:iCs/>
          <w:lang w:val="en-GB"/>
        </w:rPr>
        <w:t>Multivariate Behavioral Research, 1</w:t>
      </w:r>
      <w:r w:rsidRPr="003D2A76">
        <w:rPr>
          <w:rFonts w:asciiTheme="majorBidi" w:hAnsiTheme="majorBidi" w:cstheme="majorBidi"/>
          <w:lang w:val="en-GB"/>
        </w:rPr>
        <w:t xml:space="preserve">(2), 245–276. </w:t>
      </w:r>
      <w:hyperlink r:id="rId29" w:history="1">
        <w:r w:rsidRPr="003D2A76">
          <w:rPr>
            <w:rStyle w:val="Hyperlink"/>
            <w:rFonts w:asciiTheme="majorBidi" w:hAnsiTheme="majorBidi" w:cstheme="majorBidi"/>
            <w:lang w:val="en-GB"/>
          </w:rPr>
          <w:t>https://doi.org/10.1207/s15327906mbr0102_10</w:t>
        </w:r>
      </w:hyperlink>
      <w:r w:rsidR="00A14355" w:rsidRPr="003D2A76">
        <w:rPr>
          <w:rStyle w:val="Hyperlink"/>
          <w:rFonts w:asciiTheme="majorBidi" w:hAnsiTheme="majorBidi" w:cstheme="majorBidi"/>
          <w:lang w:val="en-GB"/>
        </w:rPr>
        <w:t>.</w:t>
      </w:r>
    </w:p>
    <w:p w14:paraId="274F07DD" w14:textId="736CD4C4"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Chen, Z., &amp; Dubinsky, A. J. (2003) </w:t>
      </w:r>
      <w:r w:rsidR="00767B8E" w:rsidRPr="003D2A76">
        <w:rPr>
          <w:rFonts w:asciiTheme="majorBidi" w:hAnsiTheme="majorBidi" w:cstheme="majorBidi"/>
          <w:lang w:val="en-GB"/>
        </w:rPr>
        <w:t>“</w:t>
      </w:r>
      <w:r w:rsidRPr="003D2A76">
        <w:rPr>
          <w:rFonts w:asciiTheme="majorBidi" w:hAnsiTheme="majorBidi" w:cstheme="majorBidi"/>
          <w:lang w:val="en-GB"/>
        </w:rPr>
        <w:t>A conceptual model of perceived customer value in e-commerce: A preliminary investigation</w:t>
      </w:r>
      <w:r w:rsidR="00767B8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Psychology &amp; Marketing</w:t>
      </w:r>
      <w:r w:rsidRPr="009A04CD">
        <w:rPr>
          <w:rFonts w:asciiTheme="majorBidi" w:hAnsiTheme="majorBidi" w:cstheme="majorBidi"/>
          <w:lang w:val="en-GB"/>
        </w:rPr>
        <w:t>, 20</w:t>
      </w:r>
      <w:r w:rsidRPr="003D2A76">
        <w:rPr>
          <w:rFonts w:asciiTheme="majorBidi" w:hAnsiTheme="majorBidi" w:cstheme="majorBidi"/>
          <w:lang w:val="en-GB"/>
        </w:rPr>
        <w:t xml:space="preserve">(4), </w:t>
      </w:r>
      <w:r w:rsidR="00767B8E" w:rsidRPr="003D2A76">
        <w:rPr>
          <w:rFonts w:asciiTheme="majorBidi" w:hAnsiTheme="majorBidi" w:cstheme="majorBidi"/>
          <w:lang w:val="en-GB"/>
        </w:rPr>
        <w:t xml:space="preserve">pp. </w:t>
      </w:r>
      <w:r w:rsidRPr="003D2A76">
        <w:rPr>
          <w:rFonts w:asciiTheme="majorBidi" w:hAnsiTheme="majorBidi" w:cstheme="majorBidi"/>
          <w:lang w:val="en-GB"/>
        </w:rPr>
        <w:t xml:space="preserve">323–347. </w:t>
      </w:r>
      <w:hyperlink r:id="rId30" w:history="1">
        <w:r w:rsidRPr="003D2A76">
          <w:rPr>
            <w:rStyle w:val="Hyperlink"/>
            <w:rFonts w:asciiTheme="majorBidi" w:hAnsiTheme="majorBidi" w:cstheme="majorBidi"/>
            <w:lang w:val="en-GB"/>
          </w:rPr>
          <w:t>https://doi.org/10.1002/mar.10076</w:t>
        </w:r>
      </w:hyperlink>
      <w:r w:rsidR="00767B8E" w:rsidRPr="003D2A76">
        <w:rPr>
          <w:lang w:val="en-GB"/>
        </w:rPr>
        <w:t>.</w:t>
      </w:r>
    </w:p>
    <w:p w14:paraId="1DED7411" w14:textId="74019C64"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Chiou, J.-S., &amp; Droge, C. (2006) </w:t>
      </w:r>
      <w:r w:rsidR="00767B8E" w:rsidRPr="003D2A76">
        <w:rPr>
          <w:rFonts w:asciiTheme="majorBidi" w:hAnsiTheme="majorBidi" w:cstheme="majorBidi"/>
          <w:lang w:val="en-GB"/>
        </w:rPr>
        <w:t>“</w:t>
      </w:r>
      <w:r w:rsidRPr="003D2A76">
        <w:rPr>
          <w:rFonts w:asciiTheme="majorBidi" w:hAnsiTheme="majorBidi" w:cstheme="majorBidi"/>
          <w:lang w:val="en-GB"/>
        </w:rPr>
        <w:t>Service quality, trust, specific asset investment, and expertise: Direct and indirect effects in a satisfaction-loyalty framework</w:t>
      </w:r>
      <w:r w:rsidR="00767B8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the Academy of Marketing Science</w:t>
      </w:r>
      <w:r w:rsidRPr="009A04CD">
        <w:rPr>
          <w:rFonts w:asciiTheme="majorBidi" w:hAnsiTheme="majorBidi" w:cstheme="majorBidi"/>
          <w:lang w:val="en-GB"/>
        </w:rPr>
        <w:t>, 34</w:t>
      </w:r>
      <w:r w:rsidRPr="003D2A76">
        <w:rPr>
          <w:rFonts w:asciiTheme="majorBidi" w:hAnsiTheme="majorBidi" w:cstheme="majorBidi"/>
          <w:lang w:val="en-GB"/>
        </w:rPr>
        <w:t>(4),</w:t>
      </w:r>
      <w:r w:rsidR="00767B8E" w:rsidRPr="003D2A76">
        <w:rPr>
          <w:rFonts w:asciiTheme="majorBidi" w:hAnsiTheme="majorBidi" w:cstheme="majorBidi"/>
          <w:lang w:val="en-GB"/>
        </w:rPr>
        <w:t xml:space="preserve"> pp.</w:t>
      </w:r>
      <w:r w:rsidRPr="003D2A76">
        <w:rPr>
          <w:rFonts w:asciiTheme="majorBidi" w:hAnsiTheme="majorBidi" w:cstheme="majorBidi"/>
          <w:lang w:val="en-GB"/>
        </w:rPr>
        <w:t xml:space="preserve"> 613–627. </w:t>
      </w:r>
      <w:hyperlink r:id="rId31" w:history="1">
        <w:r w:rsidRPr="003D2A76">
          <w:rPr>
            <w:rStyle w:val="Hyperlink"/>
            <w:rFonts w:asciiTheme="majorBidi" w:hAnsiTheme="majorBidi" w:cstheme="majorBidi"/>
            <w:lang w:val="en-GB"/>
          </w:rPr>
          <w:t>https://doi.org/10.1177/0092070306286934</w:t>
        </w:r>
      </w:hyperlink>
      <w:r w:rsidR="00767B8E" w:rsidRPr="003D2A76">
        <w:rPr>
          <w:lang w:val="en-GB"/>
        </w:rPr>
        <w:t>.</w:t>
      </w:r>
    </w:p>
    <w:p w14:paraId="398A6E4B" w14:textId="40B3CE29"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Clark, L. A., &amp; Watson, D. (1995) </w:t>
      </w:r>
      <w:r w:rsidR="00767B8E" w:rsidRPr="003D2A76">
        <w:rPr>
          <w:rFonts w:asciiTheme="majorBidi" w:hAnsiTheme="majorBidi" w:cstheme="majorBidi"/>
          <w:lang w:val="en-GB"/>
        </w:rPr>
        <w:t>“</w:t>
      </w:r>
      <w:r w:rsidRPr="003D2A76">
        <w:rPr>
          <w:rFonts w:asciiTheme="majorBidi" w:hAnsiTheme="majorBidi" w:cstheme="majorBidi"/>
          <w:lang w:val="en-GB"/>
        </w:rPr>
        <w:t>Constructing validity: Basic issues in objective scale development</w:t>
      </w:r>
      <w:r w:rsidR="00767B8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Psychological Assessment</w:t>
      </w:r>
      <w:r w:rsidRPr="009A04CD">
        <w:rPr>
          <w:rFonts w:asciiTheme="majorBidi" w:hAnsiTheme="majorBidi" w:cstheme="majorBidi"/>
          <w:lang w:val="en-GB"/>
        </w:rPr>
        <w:t>, 7</w:t>
      </w:r>
      <w:r w:rsidRPr="003D2A76">
        <w:rPr>
          <w:rFonts w:asciiTheme="majorBidi" w:hAnsiTheme="majorBidi" w:cstheme="majorBidi"/>
          <w:lang w:val="en-GB"/>
        </w:rPr>
        <w:t xml:space="preserve">(3), </w:t>
      </w:r>
      <w:r w:rsidR="00767B8E" w:rsidRPr="003D2A76">
        <w:rPr>
          <w:rFonts w:asciiTheme="majorBidi" w:hAnsiTheme="majorBidi" w:cstheme="majorBidi"/>
          <w:lang w:val="en-GB"/>
        </w:rPr>
        <w:t xml:space="preserve">pp. </w:t>
      </w:r>
      <w:r w:rsidRPr="003D2A76">
        <w:rPr>
          <w:rFonts w:asciiTheme="majorBidi" w:hAnsiTheme="majorBidi" w:cstheme="majorBidi"/>
          <w:lang w:val="en-GB"/>
        </w:rPr>
        <w:t xml:space="preserve">309–319. </w:t>
      </w:r>
      <w:hyperlink r:id="rId32" w:history="1">
        <w:r w:rsidRPr="003D2A76">
          <w:rPr>
            <w:rStyle w:val="Hyperlink"/>
            <w:rFonts w:asciiTheme="majorBidi" w:hAnsiTheme="majorBidi" w:cstheme="majorBidi"/>
            <w:lang w:val="en-GB"/>
          </w:rPr>
          <w:t>https://doi.org/10.1037/1040-3590.7.3.309</w:t>
        </w:r>
      </w:hyperlink>
      <w:r w:rsidR="00767B8E" w:rsidRPr="003D2A76">
        <w:rPr>
          <w:lang w:val="en-GB"/>
        </w:rPr>
        <w:t>.</w:t>
      </w:r>
    </w:p>
    <w:p w14:paraId="0EB5FCFB" w14:textId="7777777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Cohen, J. (1988). </w:t>
      </w:r>
      <w:r w:rsidRPr="003D2A76">
        <w:rPr>
          <w:rFonts w:asciiTheme="majorBidi" w:hAnsiTheme="majorBidi" w:cstheme="majorBidi"/>
          <w:i/>
          <w:iCs/>
          <w:lang w:val="en-GB"/>
        </w:rPr>
        <w:t>Statistical power analysis for the behavioral sciences</w:t>
      </w:r>
      <w:r w:rsidRPr="003D2A76">
        <w:rPr>
          <w:rFonts w:asciiTheme="majorBidi" w:hAnsiTheme="majorBidi" w:cstheme="majorBidi"/>
          <w:lang w:val="en-GB"/>
        </w:rPr>
        <w:t xml:space="preserve"> (2nd ed.). Lawrence Erlbaum Associates.</w:t>
      </w:r>
    </w:p>
    <w:p w14:paraId="76B6D277" w14:textId="4CF8E4EB"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Cohen, J., Cohen, P., West, S. G., &amp; Aiken, L. S. (2003) </w:t>
      </w:r>
      <w:r w:rsidRPr="003D2A76">
        <w:rPr>
          <w:rFonts w:asciiTheme="majorBidi" w:hAnsiTheme="majorBidi" w:cstheme="majorBidi"/>
          <w:i/>
          <w:iCs/>
          <w:lang w:val="en-GB"/>
        </w:rPr>
        <w:t>Applied multiple regression/correlation analysis for the behavioral sciences</w:t>
      </w:r>
      <w:r w:rsidRPr="003D2A76">
        <w:rPr>
          <w:rFonts w:asciiTheme="majorBidi" w:hAnsiTheme="majorBidi" w:cstheme="majorBidi"/>
          <w:lang w:val="en-GB"/>
        </w:rPr>
        <w:t xml:space="preserve"> (3rd ed.). Lawrence Erlbaum Associates.</w:t>
      </w:r>
    </w:p>
    <w:p w14:paraId="5EB522A7" w14:textId="2C93EF1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Colliers International (2024, January) </w:t>
      </w:r>
      <w:r w:rsidR="00767B8E" w:rsidRPr="003D2A76">
        <w:rPr>
          <w:rFonts w:asciiTheme="majorBidi" w:hAnsiTheme="majorBidi" w:cstheme="majorBidi"/>
          <w:lang w:val="en-GB"/>
        </w:rPr>
        <w:t>“</w:t>
      </w:r>
      <w:r w:rsidRPr="003D2A76">
        <w:rPr>
          <w:rFonts w:asciiTheme="majorBidi" w:hAnsiTheme="majorBidi" w:cstheme="majorBidi"/>
          <w:lang w:val="en-GB"/>
        </w:rPr>
        <w:t>K-12 market in the Kingdom of Saudi Arabia: Private-school enrollment and growth outlook 2022–2030</w:t>
      </w:r>
      <w:r w:rsidR="00767B8E" w:rsidRPr="003D2A76">
        <w:rPr>
          <w:rFonts w:asciiTheme="majorBidi" w:hAnsiTheme="majorBidi" w:cstheme="majorBidi"/>
          <w:lang w:val="en-GB"/>
        </w:rPr>
        <w:t>”,</w:t>
      </w:r>
      <w:r w:rsidRPr="003D2A76">
        <w:rPr>
          <w:rFonts w:asciiTheme="majorBidi" w:hAnsiTheme="majorBidi" w:cstheme="majorBidi"/>
          <w:lang w:val="en-GB"/>
        </w:rPr>
        <w:t xml:space="preserve"> Colliers International. Retrieved from </w:t>
      </w:r>
      <w:hyperlink r:id="rId33" w:history="1">
        <w:r w:rsidRPr="003D2A76">
          <w:rPr>
            <w:rStyle w:val="Hyperlink"/>
            <w:rFonts w:asciiTheme="majorBidi" w:hAnsiTheme="majorBidi" w:cstheme="majorBidi"/>
            <w:lang w:val="en-GB"/>
          </w:rPr>
          <w:t>https://www.colliers.com/en-sa/news/riyadh/k12-market-in-kingdom-of-saudi-arabia</w:t>
        </w:r>
      </w:hyperlink>
    </w:p>
    <w:p w14:paraId="65FF5195" w14:textId="46036AD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Connelly, L. M. (2008) </w:t>
      </w:r>
      <w:r w:rsidR="00767B8E" w:rsidRPr="003D2A76">
        <w:rPr>
          <w:rFonts w:asciiTheme="majorBidi" w:hAnsiTheme="majorBidi" w:cstheme="majorBidi"/>
          <w:lang w:val="en-GB"/>
        </w:rPr>
        <w:t>“</w:t>
      </w:r>
      <w:r w:rsidRPr="003D2A76">
        <w:rPr>
          <w:rFonts w:asciiTheme="majorBidi" w:hAnsiTheme="majorBidi" w:cstheme="majorBidi"/>
          <w:lang w:val="en-GB"/>
        </w:rPr>
        <w:t>Pilot studies</w:t>
      </w:r>
      <w:r w:rsidR="00767B8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Medsurg Nursing</w:t>
      </w:r>
      <w:r w:rsidRPr="009A04CD">
        <w:rPr>
          <w:rFonts w:asciiTheme="majorBidi" w:hAnsiTheme="majorBidi" w:cstheme="majorBidi"/>
          <w:lang w:val="en-GB"/>
        </w:rPr>
        <w:t>, 17</w:t>
      </w:r>
      <w:r w:rsidRPr="003D2A76">
        <w:rPr>
          <w:rFonts w:asciiTheme="majorBidi" w:hAnsiTheme="majorBidi" w:cstheme="majorBidi"/>
          <w:lang w:val="en-GB"/>
        </w:rPr>
        <w:t xml:space="preserve">(6), </w:t>
      </w:r>
      <w:r w:rsidR="00767B8E" w:rsidRPr="003D2A76">
        <w:rPr>
          <w:rFonts w:asciiTheme="majorBidi" w:hAnsiTheme="majorBidi" w:cstheme="majorBidi"/>
          <w:lang w:val="en-GB"/>
        </w:rPr>
        <w:t xml:space="preserve">pp. </w:t>
      </w:r>
      <w:r w:rsidRPr="003D2A76">
        <w:rPr>
          <w:rFonts w:asciiTheme="majorBidi" w:hAnsiTheme="majorBidi" w:cstheme="majorBidi"/>
          <w:lang w:val="en-GB"/>
        </w:rPr>
        <w:t>411–412.</w:t>
      </w:r>
    </w:p>
    <w:p w14:paraId="0EE9B712" w14:textId="43398C3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Consultancy-me (2019) </w:t>
      </w:r>
      <w:r w:rsidR="00767B8E" w:rsidRPr="003D2A76">
        <w:rPr>
          <w:rFonts w:asciiTheme="majorBidi" w:hAnsiTheme="majorBidi" w:cstheme="majorBidi"/>
          <w:lang w:val="en-GB"/>
        </w:rPr>
        <w:t>“</w:t>
      </w:r>
      <w:r w:rsidRPr="003D2A76">
        <w:rPr>
          <w:rFonts w:asciiTheme="majorBidi" w:hAnsiTheme="majorBidi" w:cstheme="majorBidi"/>
          <w:lang w:val="en-GB"/>
        </w:rPr>
        <w:t>The primary, secondary and tertiary education sector in Saudi Arabia</w:t>
      </w:r>
      <w:r w:rsidR="00767B8E" w:rsidRPr="003D2A76">
        <w:rPr>
          <w:rFonts w:asciiTheme="majorBidi" w:hAnsiTheme="majorBidi" w:cstheme="majorBidi"/>
          <w:lang w:val="en-GB"/>
        </w:rPr>
        <w:t>”</w:t>
      </w:r>
      <w:r w:rsidRPr="003D2A76">
        <w:rPr>
          <w:rFonts w:asciiTheme="majorBidi" w:hAnsiTheme="majorBidi" w:cstheme="majorBidi"/>
          <w:lang w:val="en-GB"/>
        </w:rPr>
        <w:t xml:space="preserve">. Retrieved from </w:t>
      </w:r>
      <w:hyperlink r:id="rId34" w:history="1">
        <w:r w:rsidRPr="003D2A76">
          <w:rPr>
            <w:rStyle w:val="Hyperlink"/>
            <w:rFonts w:asciiTheme="majorBidi" w:hAnsiTheme="majorBidi" w:cstheme="majorBidi"/>
            <w:lang w:val="en-GB"/>
          </w:rPr>
          <w:t>https://www.consultancy-me.com/news/3757/the-primary-secondary-and-tertiary-education-sector-in-saudi-arabia</w:t>
        </w:r>
      </w:hyperlink>
    </w:p>
    <w:p w14:paraId="3720DD45" w14:textId="11C512FE"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Cooper, D. R., &amp; Schindler, P. S. (2014) </w:t>
      </w:r>
      <w:r w:rsidRPr="003D2A76">
        <w:rPr>
          <w:rFonts w:asciiTheme="majorBidi" w:hAnsiTheme="majorBidi" w:cstheme="majorBidi"/>
          <w:i/>
          <w:iCs/>
          <w:lang w:val="en-GB"/>
        </w:rPr>
        <w:t>Business research methods</w:t>
      </w:r>
      <w:r w:rsidRPr="003D2A76">
        <w:rPr>
          <w:rFonts w:asciiTheme="majorBidi" w:hAnsiTheme="majorBidi" w:cstheme="majorBidi"/>
          <w:lang w:val="en-GB"/>
        </w:rPr>
        <w:t xml:space="preserve"> (12th ed.). McGraw-Hill.</w:t>
      </w:r>
    </w:p>
    <w:p w14:paraId="02D56E98" w14:textId="6794194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Costello, A. B., &amp; Osborne, J. W. (2005) </w:t>
      </w:r>
      <w:r w:rsidR="00767B8E" w:rsidRPr="003D2A76">
        <w:rPr>
          <w:rFonts w:asciiTheme="majorBidi" w:hAnsiTheme="majorBidi" w:cstheme="majorBidi"/>
          <w:lang w:val="en-GB"/>
        </w:rPr>
        <w:t>“</w:t>
      </w:r>
      <w:r w:rsidRPr="003D2A76">
        <w:rPr>
          <w:rFonts w:asciiTheme="majorBidi" w:hAnsiTheme="majorBidi" w:cstheme="majorBidi"/>
          <w:lang w:val="en-GB"/>
        </w:rPr>
        <w:t>Best practices in exploratory factor analysis: Four recommendations for getting the most from your analysis</w:t>
      </w:r>
      <w:r w:rsidR="00767B8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Practical Assessment, Research, and Evaluation</w:t>
      </w:r>
      <w:r w:rsidRPr="009A04CD">
        <w:rPr>
          <w:rFonts w:asciiTheme="majorBidi" w:hAnsiTheme="majorBidi" w:cstheme="majorBidi"/>
          <w:lang w:val="en-GB"/>
        </w:rPr>
        <w:t>, 10</w:t>
      </w:r>
      <w:r w:rsidRPr="003D2A76">
        <w:rPr>
          <w:rFonts w:asciiTheme="majorBidi" w:hAnsiTheme="majorBidi" w:cstheme="majorBidi"/>
          <w:lang w:val="en-GB"/>
        </w:rPr>
        <w:t xml:space="preserve">(7), </w:t>
      </w:r>
      <w:r w:rsidR="00767B8E" w:rsidRPr="003D2A76">
        <w:rPr>
          <w:rFonts w:asciiTheme="majorBidi" w:hAnsiTheme="majorBidi" w:cstheme="majorBidi"/>
          <w:lang w:val="en-GB"/>
        </w:rPr>
        <w:t xml:space="preserve">pp. </w:t>
      </w:r>
      <w:r w:rsidRPr="003D2A76">
        <w:rPr>
          <w:rFonts w:asciiTheme="majorBidi" w:hAnsiTheme="majorBidi" w:cstheme="majorBidi"/>
          <w:lang w:val="en-GB"/>
        </w:rPr>
        <w:t xml:space="preserve">1–9. </w:t>
      </w:r>
      <w:hyperlink r:id="rId35" w:history="1">
        <w:r w:rsidRPr="003D2A76">
          <w:rPr>
            <w:rStyle w:val="Hyperlink"/>
            <w:rFonts w:asciiTheme="majorBidi" w:hAnsiTheme="majorBidi" w:cstheme="majorBidi"/>
            <w:lang w:val="en-GB"/>
          </w:rPr>
          <w:t>https://doi.org/10.7275/jyj1-4868</w:t>
        </w:r>
      </w:hyperlink>
      <w:r w:rsidR="00767B8E" w:rsidRPr="003D2A76">
        <w:rPr>
          <w:lang w:val="en-GB"/>
        </w:rPr>
        <w:t>.</w:t>
      </w:r>
    </w:p>
    <w:p w14:paraId="51007E7B" w14:textId="38D6D4A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Council for International Organizations of Medical Sciences (2016) </w:t>
      </w:r>
      <w:r w:rsidRPr="003D2A76">
        <w:rPr>
          <w:rFonts w:asciiTheme="majorBidi" w:hAnsiTheme="majorBidi" w:cstheme="majorBidi"/>
          <w:i/>
          <w:iCs/>
          <w:lang w:val="en-GB"/>
        </w:rPr>
        <w:t>International ethical guidelines for health-related research involving humans</w:t>
      </w:r>
      <w:r w:rsidRPr="003D2A76">
        <w:rPr>
          <w:rFonts w:asciiTheme="majorBidi" w:hAnsiTheme="majorBidi" w:cstheme="majorBidi"/>
          <w:lang w:val="en-GB"/>
        </w:rPr>
        <w:t xml:space="preserve"> (4th ed.). CIOMS. Retrieved from </w:t>
      </w:r>
      <w:hyperlink r:id="rId36" w:history="1">
        <w:r w:rsidRPr="003D2A76">
          <w:rPr>
            <w:rStyle w:val="Hyperlink"/>
            <w:rFonts w:asciiTheme="majorBidi" w:hAnsiTheme="majorBidi" w:cstheme="majorBidi"/>
            <w:lang w:val="en-GB"/>
          </w:rPr>
          <w:t>https://cioms.ch</w:t>
        </w:r>
      </w:hyperlink>
      <w:r w:rsidR="00767B8E" w:rsidRPr="003D2A76">
        <w:rPr>
          <w:lang w:val="en-GB"/>
        </w:rPr>
        <w:t>.</w:t>
      </w:r>
    </w:p>
    <w:p w14:paraId="1B01168B" w14:textId="24A89F80"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Couper, M. P. (2008) </w:t>
      </w:r>
      <w:r w:rsidRPr="003D2A76">
        <w:rPr>
          <w:rFonts w:asciiTheme="majorBidi" w:hAnsiTheme="majorBidi" w:cstheme="majorBidi"/>
          <w:i/>
          <w:iCs/>
          <w:lang w:val="en-GB"/>
        </w:rPr>
        <w:t>Designing effective web surveys</w:t>
      </w:r>
      <w:r w:rsidRPr="003D2A76">
        <w:rPr>
          <w:rFonts w:asciiTheme="majorBidi" w:hAnsiTheme="majorBidi" w:cstheme="majorBidi"/>
          <w:lang w:val="en-GB"/>
        </w:rPr>
        <w:t xml:space="preserve">. Cambridge University Press. </w:t>
      </w:r>
      <w:hyperlink r:id="rId37" w:history="1">
        <w:r w:rsidRPr="003D2A76">
          <w:rPr>
            <w:rStyle w:val="Hyperlink"/>
            <w:rFonts w:asciiTheme="majorBidi" w:hAnsiTheme="majorBidi" w:cstheme="majorBidi"/>
            <w:lang w:val="en-GB"/>
          </w:rPr>
          <w:t>https://doi.org/10.1017/CBO9780511499371</w:t>
        </w:r>
      </w:hyperlink>
      <w:r w:rsidR="00767B8E" w:rsidRPr="003D2A76">
        <w:rPr>
          <w:lang w:val="en-GB"/>
        </w:rPr>
        <w:t>.</w:t>
      </w:r>
    </w:p>
    <w:p w14:paraId="13CAA585" w14:textId="73FBB80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Creswell, J. W. (2014) </w:t>
      </w:r>
      <w:r w:rsidRPr="003D2A76">
        <w:rPr>
          <w:rFonts w:asciiTheme="majorBidi" w:hAnsiTheme="majorBidi" w:cstheme="majorBidi"/>
          <w:i/>
          <w:iCs/>
          <w:lang w:val="en-GB"/>
        </w:rPr>
        <w:t>Research design: Qualitative, quantitative, and mixed methods approaches</w:t>
      </w:r>
      <w:r w:rsidRPr="003D2A76">
        <w:rPr>
          <w:rFonts w:asciiTheme="majorBidi" w:hAnsiTheme="majorBidi" w:cstheme="majorBidi"/>
          <w:lang w:val="en-GB"/>
        </w:rPr>
        <w:t xml:space="preserve"> (4th ed.). Sage Publications.</w:t>
      </w:r>
    </w:p>
    <w:p w14:paraId="603C9CAE" w14:textId="1ACEFBA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Creswell, J. W., &amp; Creswell, J. D. (2018) </w:t>
      </w:r>
      <w:r w:rsidRPr="003D2A76">
        <w:rPr>
          <w:rFonts w:asciiTheme="majorBidi" w:hAnsiTheme="majorBidi" w:cstheme="majorBidi"/>
          <w:i/>
          <w:iCs/>
          <w:lang w:val="en-GB"/>
        </w:rPr>
        <w:t>Research design: Qualitative, quantitative, and mixed methods approaches</w:t>
      </w:r>
      <w:r w:rsidRPr="003D2A76">
        <w:rPr>
          <w:rFonts w:asciiTheme="majorBidi" w:hAnsiTheme="majorBidi" w:cstheme="majorBidi"/>
          <w:lang w:val="en-GB"/>
        </w:rPr>
        <w:t xml:space="preserve"> (5th ed.). Sage Publications.</w:t>
      </w:r>
    </w:p>
    <w:p w14:paraId="1053B65A" w14:textId="1198B76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Creswell, J. W., &amp; Poth, C. N. (2018) </w:t>
      </w:r>
      <w:r w:rsidRPr="003D2A76">
        <w:rPr>
          <w:rFonts w:asciiTheme="majorBidi" w:hAnsiTheme="majorBidi" w:cstheme="majorBidi"/>
          <w:i/>
          <w:iCs/>
          <w:lang w:val="en-GB"/>
        </w:rPr>
        <w:t>Qualitative inquiry and research design: Choosing among five approaches</w:t>
      </w:r>
      <w:r w:rsidRPr="003D2A76">
        <w:rPr>
          <w:rFonts w:asciiTheme="majorBidi" w:hAnsiTheme="majorBidi" w:cstheme="majorBidi"/>
          <w:lang w:val="en-GB"/>
        </w:rPr>
        <w:t xml:space="preserve"> (4th ed.). Sage Publications.</w:t>
      </w:r>
    </w:p>
    <w:p w14:paraId="3EB50C55" w14:textId="388BB46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Crompton, H., &amp; Burke, D. (2023) </w:t>
      </w:r>
      <w:r w:rsidR="0086347E" w:rsidRPr="003D2A76">
        <w:rPr>
          <w:rFonts w:asciiTheme="majorBidi" w:hAnsiTheme="majorBidi" w:cstheme="majorBidi"/>
          <w:lang w:val="en-GB"/>
        </w:rPr>
        <w:t>“</w:t>
      </w:r>
      <w:r w:rsidRPr="003D2A76">
        <w:rPr>
          <w:rFonts w:asciiTheme="majorBidi" w:hAnsiTheme="majorBidi" w:cstheme="majorBidi"/>
          <w:lang w:val="en-GB"/>
        </w:rPr>
        <w:t>Artificial intelligence in higher education: The state of the field</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Educational Technology in Higher Education</w:t>
      </w:r>
      <w:r w:rsidRPr="009A04CD">
        <w:rPr>
          <w:rFonts w:asciiTheme="majorBidi" w:hAnsiTheme="majorBidi" w:cstheme="majorBidi"/>
          <w:lang w:val="en-GB"/>
        </w:rPr>
        <w:t>, 20</w:t>
      </w:r>
      <w:r w:rsidRPr="003D2A76">
        <w:rPr>
          <w:rFonts w:asciiTheme="majorBidi" w:hAnsiTheme="majorBidi" w:cstheme="majorBidi"/>
          <w:lang w:val="en-GB"/>
        </w:rPr>
        <w:t xml:space="preserve">(1), 22. </w:t>
      </w:r>
      <w:hyperlink r:id="rId38" w:history="1">
        <w:r w:rsidRPr="003D2A76">
          <w:rPr>
            <w:rStyle w:val="Hyperlink"/>
            <w:rFonts w:asciiTheme="majorBidi" w:hAnsiTheme="majorBidi" w:cstheme="majorBidi"/>
            <w:lang w:val="en-GB"/>
          </w:rPr>
          <w:t>https://doi.org/10.1186/s41239-023-00392-8</w:t>
        </w:r>
      </w:hyperlink>
      <w:r w:rsidR="0086347E" w:rsidRPr="003D2A76">
        <w:rPr>
          <w:lang w:val="en-GB"/>
        </w:rPr>
        <w:t>.</w:t>
      </w:r>
    </w:p>
    <w:p w14:paraId="42A6E023" w14:textId="62C07A6D"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Cronbach, L. J. (1951) </w:t>
      </w:r>
      <w:r w:rsidR="0086347E" w:rsidRPr="003D2A76">
        <w:rPr>
          <w:rFonts w:asciiTheme="majorBidi" w:hAnsiTheme="majorBidi" w:cstheme="majorBidi"/>
          <w:lang w:val="en-GB"/>
        </w:rPr>
        <w:t>“</w:t>
      </w:r>
      <w:r w:rsidRPr="003D2A76">
        <w:rPr>
          <w:rFonts w:asciiTheme="majorBidi" w:hAnsiTheme="majorBidi" w:cstheme="majorBidi"/>
          <w:lang w:val="en-GB"/>
        </w:rPr>
        <w:t>Coefficient alpha and the internal structure of tests</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Psychometrika</w:t>
      </w:r>
      <w:r w:rsidRPr="009A04CD">
        <w:rPr>
          <w:rFonts w:asciiTheme="majorBidi" w:hAnsiTheme="majorBidi" w:cstheme="majorBidi"/>
          <w:lang w:val="en-GB"/>
        </w:rPr>
        <w:t>, 16</w:t>
      </w:r>
      <w:r w:rsidRPr="003D2A76">
        <w:rPr>
          <w:rFonts w:asciiTheme="majorBidi" w:hAnsiTheme="majorBidi" w:cstheme="majorBidi"/>
          <w:lang w:val="en-GB"/>
        </w:rPr>
        <w:t xml:space="preserve">(3),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297–334. </w:t>
      </w:r>
      <w:hyperlink r:id="rId39" w:history="1">
        <w:r w:rsidRPr="003D2A76">
          <w:rPr>
            <w:rStyle w:val="Hyperlink"/>
            <w:rFonts w:asciiTheme="majorBidi" w:hAnsiTheme="majorBidi" w:cstheme="majorBidi"/>
            <w:lang w:val="en-GB"/>
          </w:rPr>
          <w:t>https://doi.org/10.1007/BF02310555</w:t>
        </w:r>
      </w:hyperlink>
      <w:r w:rsidR="0086347E" w:rsidRPr="003D2A76">
        <w:rPr>
          <w:lang w:val="en-GB"/>
        </w:rPr>
        <w:t>.</w:t>
      </w:r>
    </w:p>
    <w:p w14:paraId="16F16E97" w14:textId="72D7F7E0"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Cronin, J. J., &amp; Taylor, S. A. (1992) </w:t>
      </w:r>
      <w:r w:rsidR="0086347E" w:rsidRPr="003D2A76">
        <w:rPr>
          <w:rFonts w:asciiTheme="majorBidi" w:hAnsiTheme="majorBidi" w:cstheme="majorBidi"/>
          <w:lang w:val="en-GB"/>
        </w:rPr>
        <w:t>“</w:t>
      </w:r>
      <w:r w:rsidRPr="003D2A76">
        <w:rPr>
          <w:rFonts w:asciiTheme="majorBidi" w:hAnsiTheme="majorBidi" w:cstheme="majorBidi"/>
          <w:lang w:val="en-GB"/>
        </w:rPr>
        <w:t>Measuring service quality: A reexamination and extension</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w:t>
      </w:r>
      <w:r w:rsidRPr="009A04CD">
        <w:rPr>
          <w:rFonts w:asciiTheme="majorBidi" w:hAnsiTheme="majorBidi" w:cstheme="majorBidi"/>
          <w:lang w:val="en-GB"/>
        </w:rPr>
        <w:t>, 56</w:t>
      </w:r>
      <w:r w:rsidRPr="003D2A76">
        <w:rPr>
          <w:rFonts w:asciiTheme="majorBidi" w:hAnsiTheme="majorBidi" w:cstheme="majorBidi"/>
          <w:lang w:val="en-GB"/>
        </w:rPr>
        <w:t>(3),</w:t>
      </w:r>
      <w:r w:rsidR="0086347E" w:rsidRPr="003D2A76">
        <w:rPr>
          <w:rFonts w:asciiTheme="majorBidi" w:hAnsiTheme="majorBidi" w:cstheme="majorBidi"/>
          <w:lang w:val="en-GB"/>
        </w:rPr>
        <w:t xml:space="preserve"> pp.</w:t>
      </w:r>
      <w:r w:rsidRPr="003D2A76">
        <w:rPr>
          <w:rFonts w:asciiTheme="majorBidi" w:hAnsiTheme="majorBidi" w:cstheme="majorBidi"/>
          <w:lang w:val="en-GB"/>
        </w:rPr>
        <w:t xml:space="preserve"> 55–68. </w:t>
      </w:r>
      <w:hyperlink r:id="rId40" w:history="1">
        <w:r w:rsidRPr="003D2A76">
          <w:rPr>
            <w:rStyle w:val="Hyperlink"/>
            <w:rFonts w:asciiTheme="majorBidi" w:hAnsiTheme="majorBidi" w:cstheme="majorBidi"/>
            <w:lang w:val="en-GB"/>
          </w:rPr>
          <w:t>https://doi.org/10.1177/002224299205600304</w:t>
        </w:r>
      </w:hyperlink>
      <w:r w:rsidR="0086347E" w:rsidRPr="003D2A76">
        <w:rPr>
          <w:lang w:val="en-GB"/>
        </w:rPr>
        <w:t>.</w:t>
      </w:r>
    </w:p>
    <w:p w14:paraId="472C6275" w14:textId="4727020D"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Davenport, T., Guha, A., Grewal, D., &amp; Bressgott, T. (2019) </w:t>
      </w:r>
      <w:r w:rsidR="0086347E" w:rsidRPr="003D2A76">
        <w:rPr>
          <w:rFonts w:asciiTheme="majorBidi" w:hAnsiTheme="majorBidi" w:cstheme="majorBidi"/>
          <w:lang w:val="en-GB"/>
        </w:rPr>
        <w:t>“</w:t>
      </w:r>
      <w:r w:rsidRPr="003D2A76">
        <w:rPr>
          <w:rFonts w:asciiTheme="majorBidi" w:hAnsiTheme="majorBidi" w:cstheme="majorBidi"/>
          <w:lang w:val="en-GB"/>
        </w:rPr>
        <w:t>How artificial intelligence will change the future of marketing</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the Academy of Marketing Science</w:t>
      </w:r>
      <w:r w:rsidRPr="009A04CD">
        <w:rPr>
          <w:rFonts w:asciiTheme="majorBidi" w:hAnsiTheme="majorBidi" w:cstheme="majorBidi"/>
          <w:lang w:val="en-GB"/>
        </w:rPr>
        <w:t>, 48</w:t>
      </w:r>
      <w:r w:rsidRPr="003D2A76">
        <w:rPr>
          <w:rFonts w:asciiTheme="majorBidi" w:hAnsiTheme="majorBidi" w:cstheme="majorBidi"/>
          <w:lang w:val="en-GB"/>
        </w:rPr>
        <w:t xml:space="preserve">(1),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24–42. </w:t>
      </w:r>
      <w:hyperlink r:id="rId41" w:history="1">
        <w:r w:rsidRPr="003D2A76">
          <w:rPr>
            <w:rStyle w:val="Hyperlink"/>
            <w:rFonts w:asciiTheme="majorBidi" w:hAnsiTheme="majorBidi" w:cstheme="majorBidi"/>
            <w:lang w:val="en-GB"/>
          </w:rPr>
          <w:t>https://doi.org/10.1007/s11747-019-00696-0</w:t>
        </w:r>
      </w:hyperlink>
      <w:r w:rsidR="0086347E" w:rsidRPr="003D2A76">
        <w:rPr>
          <w:lang w:val="en-GB"/>
        </w:rPr>
        <w:t>.</w:t>
      </w:r>
    </w:p>
    <w:p w14:paraId="0CCA06E9" w14:textId="4AF067F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Davis, F. D. (1989) </w:t>
      </w:r>
      <w:r w:rsidR="0086347E" w:rsidRPr="003D2A76">
        <w:rPr>
          <w:rFonts w:asciiTheme="majorBidi" w:hAnsiTheme="majorBidi" w:cstheme="majorBidi"/>
          <w:lang w:val="en-GB"/>
        </w:rPr>
        <w:t>“</w:t>
      </w:r>
      <w:r w:rsidRPr="003D2A76">
        <w:rPr>
          <w:rFonts w:asciiTheme="majorBidi" w:hAnsiTheme="majorBidi" w:cstheme="majorBidi"/>
          <w:lang w:val="en-GB"/>
        </w:rPr>
        <w:t>Perceived usefulness, perceived ease of use, and user acceptance of information technology</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MIS Quarterly</w:t>
      </w:r>
      <w:r w:rsidRPr="009A04CD">
        <w:rPr>
          <w:rFonts w:asciiTheme="majorBidi" w:hAnsiTheme="majorBidi" w:cstheme="majorBidi"/>
          <w:lang w:val="en-GB"/>
        </w:rPr>
        <w:t>, 13</w:t>
      </w:r>
      <w:r w:rsidRPr="003D2A76">
        <w:rPr>
          <w:rFonts w:asciiTheme="majorBidi" w:hAnsiTheme="majorBidi" w:cstheme="majorBidi"/>
          <w:lang w:val="en-GB"/>
        </w:rPr>
        <w:t xml:space="preserve">(3),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319–340. </w:t>
      </w:r>
      <w:hyperlink r:id="rId42" w:history="1">
        <w:r w:rsidRPr="003D2A76">
          <w:rPr>
            <w:rStyle w:val="Hyperlink"/>
            <w:rFonts w:asciiTheme="majorBidi" w:hAnsiTheme="majorBidi" w:cstheme="majorBidi"/>
            <w:lang w:val="en-GB"/>
          </w:rPr>
          <w:t>https://doi.org/10.2307/249008</w:t>
        </w:r>
      </w:hyperlink>
      <w:r w:rsidR="0086347E" w:rsidRPr="003D2A76">
        <w:rPr>
          <w:lang w:val="en-GB"/>
        </w:rPr>
        <w:t>.</w:t>
      </w:r>
    </w:p>
    <w:p w14:paraId="3D77DB68" w14:textId="03577F46"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lastRenderedPageBreak/>
        <w:t xml:space="preserve">Dawes, J. (2008) </w:t>
      </w:r>
      <w:r w:rsidR="0086347E" w:rsidRPr="003D2A76">
        <w:rPr>
          <w:rFonts w:asciiTheme="majorBidi" w:hAnsiTheme="majorBidi" w:cstheme="majorBidi"/>
          <w:lang w:val="en-GB"/>
        </w:rPr>
        <w:t>“</w:t>
      </w:r>
      <w:r w:rsidRPr="003D2A76">
        <w:rPr>
          <w:rFonts w:asciiTheme="majorBidi" w:hAnsiTheme="majorBidi" w:cstheme="majorBidi"/>
          <w:lang w:val="en-GB"/>
        </w:rPr>
        <w:t>Do data characteristics change according to the number of scale points used? An experiment using 5-point, 7-point and 10-point scales</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Market Research</w:t>
      </w:r>
      <w:r w:rsidRPr="009A04CD">
        <w:rPr>
          <w:rFonts w:asciiTheme="majorBidi" w:hAnsiTheme="majorBidi" w:cstheme="majorBidi"/>
          <w:lang w:val="en-GB"/>
        </w:rPr>
        <w:t>, 50</w:t>
      </w:r>
      <w:r w:rsidRPr="003D2A76">
        <w:rPr>
          <w:rFonts w:asciiTheme="majorBidi" w:hAnsiTheme="majorBidi" w:cstheme="majorBidi"/>
          <w:lang w:val="en-GB"/>
        </w:rPr>
        <w:t xml:space="preserve">(1),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61–77. </w:t>
      </w:r>
      <w:hyperlink r:id="rId43" w:history="1">
        <w:r w:rsidRPr="003D2A76">
          <w:rPr>
            <w:rStyle w:val="Hyperlink"/>
            <w:rFonts w:asciiTheme="majorBidi" w:hAnsiTheme="majorBidi" w:cstheme="majorBidi"/>
            <w:lang w:val="en-GB"/>
          </w:rPr>
          <w:t>https://doi.org/10.1177/147078530805000106</w:t>
        </w:r>
      </w:hyperlink>
      <w:r w:rsidR="0086347E" w:rsidRPr="003D2A76">
        <w:rPr>
          <w:lang w:val="en-GB"/>
        </w:rPr>
        <w:t>.</w:t>
      </w:r>
    </w:p>
    <w:p w14:paraId="3A28F88D" w14:textId="7777777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DeVellis, R. F. (2017). </w:t>
      </w:r>
      <w:r w:rsidRPr="003D2A76">
        <w:rPr>
          <w:rFonts w:asciiTheme="majorBidi" w:hAnsiTheme="majorBidi" w:cstheme="majorBidi"/>
          <w:i/>
          <w:iCs/>
          <w:lang w:val="en-GB"/>
        </w:rPr>
        <w:t>Scale development: Theory and applications</w:t>
      </w:r>
      <w:r w:rsidRPr="003D2A76">
        <w:rPr>
          <w:rFonts w:asciiTheme="majorBidi" w:hAnsiTheme="majorBidi" w:cstheme="majorBidi"/>
          <w:lang w:val="en-GB"/>
        </w:rPr>
        <w:t xml:space="preserve"> (4th ed.). Sage Publications.</w:t>
      </w:r>
    </w:p>
    <w:p w14:paraId="50D415E9" w14:textId="1B31791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Dillman, D. A., Smyth, J. D., &amp; Christian, L. M. (2014) </w:t>
      </w:r>
      <w:r w:rsidRPr="003D2A76">
        <w:rPr>
          <w:rFonts w:asciiTheme="majorBidi" w:hAnsiTheme="majorBidi" w:cstheme="majorBidi"/>
          <w:i/>
          <w:iCs/>
          <w:lang w:val="en-GB"/>
        </w:rPr>
        <w:t>Internet, phone, mail, and mixed-mode surveys: The tailored design method</w:t>
      </w:r>
      <w:r w:rsidRPr="003D2A76">
        <w:rPr>
          <w:rFonts w:asciiTheme="majorBidi" w:hAnsiTheme="majorBidi" w:cstheme="majorBidi"/>
          <w:lang w:val="en-GB"/>
        </w:rPr>
        <w:t xml:space="preserve"> (4th ed.). John Wiley &amp; Sons.</w:t>
      </w:r>
    </w:p>
    <w:p w14:paraId="73595991" w14:textId="60BFB11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Duan, Y., Edwards, J. S., &amp; Dwivedi, Y. K. (2019) </w:t>
      </w:r>
      <w:r w:rsidR="0086347E" w:rsidRPr="003D2A76">
        <w:rPr>
          <w:rFonts w:asciiTheme="majorBidi" w:hAnsiTheme="majorBidi" w:cstheme="majorBidi"/>
          <w:lang w:val="en-GB"/>
        </w:rPr>
        <w:t>“</w:t>
      </w:r>
      <w:r w:rsidRPr="003D2A76">
        <w:rPr>
          <w:rFonts w:asciiTheme="majorBidi" w:hAnsiTheme="majorBidi" w:cstheme="majorBidi"/>
          <w:lang w:val="en-GB"/>
        </w:rPr>
        <w:t>Artificial intelligence for decision making in the era of Big Data – Evolution, challenges and research agenda</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Information Management</w:t>
      </w:r>
      <w:r w:rsidRPr="009A04CD">
        <w:rPr>
          <w:rFonts w:asciiTheme="majorBidi" w:hAnsiTheme="majorBidi" w:cstheme="majorBidi"/>
          <w:lang w:val="en-GB"/>
        </w:rPr>
        <w:t>, 48</w:t>
      </w:r>
      <w:r w:rsidRPr="003D2A76">
        <w:rPr>
          <w:rFonts w:asciiTheme="majorBidi" w:hAnsiTheme="majorBidi" w:cstheme="majorBidi"/>
          <w:lang w:val="en-GB"/>
        </w:rPr>
        <w:t xml:space="preserve">,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63–71. </w:t>
      </w:r>
      <w:hyperlink r:id="rId44" w:history="1">
        <w:r w:rsidRPr="003D2A76">
          <w:rPr>
            <w:rStyle w:val="Hyperlink"/>
            <w:rFonts w:asciiTheme="majorBidi" w:hAnsiTheme="majorBidi" w:cstheme="majorBidi"/>
            <w:lang w:val="en-GB"/>
          </w:rPr>
          <w:t>https://doi.org/10.1016/j.ijinfomgt.2019.01.021</w:t>
        </w:r>
      </w:hyperlink>
      <w:r w:rsidR="0086347E" w:rsidRPr="003D2A76">
        <w:rPr>
          <w:lang w:val="en-GB"/>
        </w:rPr>
        <w:t>.</w:t>
      </w:r>
    </w:p>
    <w:p w14:paraId="45CE0C48" w14:textId="175B7329"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Dwivedi, Y. K., Kshetri, N., Hughes, L., Slade, E. L., Jeyaraj, A., Kar, A. K., … Wright, R. (2023) </w:t>
      </w:r>
      <w:r w:rsidR="0086347E" w:rsidRPr="003D2A76">
        <w:rPr>
          <w:rFonts w:asciiTheme="majorBidi" w:hAnsiTheme="majorBidi" w:cstheme="majorBidi"/>
          <w:lang w:val="en-GB"/>
        </w:rPr>
        <w:t>“</w:t>
      </w:r>
      <w:r w:rsidRPr="003D2A76">
        <w:rPr>
          <w:rFonts w:asciiTheme="majorBidi" w:hAnsiTheme="majorBidi" w:cstheme="majorBidi"/>
          <w:lang w:val="en-GB"/>
        </w:rPr>
        <w:t xml:space="preserve">Opinion Paper: </w:t>
      </w:r>
      <w:r w:rsidR="0086347E" w:rsidRPr="003D2A76">
        <w:rPr>
          <w:rFonts w:asciiTheme="majorBidi" w:hAnsiTheme="majorBidi" w:cstheme="majorBidi"/>
          <w:lang w:val="en-GB"/>
        </w:rPr>
        <w:t>‘</w:t>
      </w:r>
      <w:r w:rsidRPr="003D2A76">
        <w:rPr>
          <w:rFonts w:asciiTheme="majorBidi" w:hAnsiTheme="majorBidi" w:cstheme="majorBidi"/>
          <w:lang w:val="en-GB"/>
        </w:rPr>
        <w:t>So what if ChatGPT wrote it?</w:t>
      </w:r>
      <w:r w:rsidR="0086347E" w:rsidRPr="003D2A76">
        <w:rPr>
          <w:rFonts w:asciiTheme="majorBidi" w:hAnsiTheme="majorBidi" w:cstheme="majorBidi"/>
          <w:lang w:val="en-GB"/>
        </w:rPr>
        <w:t>’</w:t>
      </w:r>
      <w:r w:rsidRPr="003D2A76">
        <w:rPr>
          <w:rFonts w:asciiTheme="majorBidi" w:hAnsiTheme="majorBidi" w:cstheme="majorBidi"/>
          <w:lang w:val="en-GB"/>
        </w:rPr>
        <w:t xml:space="preserve"> Multidisciplinary perspectives on opportunities, challenges and implications of generative conversational AI for research, practice and policy</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Information Management</w:t>
      </w:r>
      <w:r w:rsidRPr="009A04CD">
        <w:rPr>
          <w:rFonts w:asciiTheme="majorBidi" w:hAnsiTheme="majorBidi" w:cstheme="majorBidi"/>
          <w:lang w:val="en-GB"/>
        </w:rPr>
        <w:t>, 71</w:t>
      </w:r>
      <w:r w:rsidRPr="003D2A76">
        <w:rPr>
          <w:rFonts w:asciiTheme="majorBidi" w:hAnsiTheme="majorBidi" w:cstheme="majorBidi"/>
          <w:lang w:val="en-GB"/>
        </w:rPr>
        <w:t xml:space="preserve">, 102642. </w:t>
      </w:r>
      <w:hyperlink r:id="rId45" w:history="1">
        <w:r w:rsidRPr="003D2A76">
          <w:rPr>
            <w:rStyle w:val="Hyperlink"/>
            <w:rFonts w:asciiTheme="majorBidi" w:hAnsiTheme="majorBidi" w:cstheme="majorBidi"/>
            <w:lang w:val="en-GB"/>
          </w:rPr>
          <w:t>https://doi.org/10.1016/j.ijinfomgt.2023.102642</w:t>
        </w:r>
      </w:hyperlink>
      <w:r w:rsidR="0086347E" w:rsidRPr="003D2A76">
        <w:rPr>
          <w:lang w:val="en-GB"/>
        </w:rPr>
        <w:t>.</w:t>
      </w:r>
    </w:p>
    <w:p w14:paraId="0CBA02B2" w14:textId="2A5DB67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Emanuel, E. J., Wendler, D., &amp; Grady, C. (2000) </w:t>
      </w:r>
      <w:r w:rsidR="0086347E" w:rsidRPr="003D2A76">
        <w:rPr>
          <w:rFonts w:asciiTheme="majorBidi" w:hAnsiTheme="majorBidi" w:cstheme="majorBidi"/>
          <w:lang w:val="en-GB"/>
        </w:rPr>
        <w:t>“</w:t>
      </w:r>
      <w:r w:rsidRPr="003D2A76">
        <w:rPr>
          <w:rFonts w:asciiTheme="majorBidi" w:hAnsiTheme="majorBidi" w:cstheme="majorBidi"/>
          <w:lang w:val="en-GB"/>
        </w:rPr>
        <w:t>What makes clinical research ethical?</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JAMA</w:t>
      </w:r>
      <w:r w:rsidRPr="009A04CD">
        <w:rPr>
          <w:rFonts w:asciiTheme="majorBidi" w:hAnsiTheme="majorBidi" w:cstheme="majorBidi"/>
          <w:lang w:val="en-GB"/>
        </w:rPr>
        <w:t>, 283</w:t>
      </w:r>
      <w:r w:rsidRPr="003D2A76">
        <w:rPr>
          <w:rFonts w:asciiTheme="majorBidi" w:hAnsiTheme="majorBidi" w:cstheme="majorBidi"/>
          <w:lang w:val="en-GB"/>
        </w:rPr>
        <w:t xml:space="preserve">(20),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2701–2711. </w:t>
      </w:r>
      <w:hyperlink r:id="rId46" w:history="1">
        <w:r w:rsidRPr="003D2A76">
          <w:rPr>
            <w:rStyle w:val="Hyperlink"/>
            <w:rFonts w:asciiTheme="majorBidi" w:hAnsiTheme="majorBidi" w:cstheme="majorBidi"/>
            <w:lang w:val="en-GB"/>
          </w:rPr>
          <w:t>https://doi.org/10.1001/jama.283.20.2701</w:t>
        </w:r>
      </w:hyperlink>
      <w:r w:rsidR="0086347E" w:rsidRPr="003D2A76">
        <w:rPr>
          <w:lang w:val="en-GB"/>
        </w:rPr>
        <w:t>.</w:t>
      </w:r>
    </w:p>
    <w:p w14:paraId="570626A7" w14:textId="279837CA"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Etikan, I., Musa, S. A., &amp; Alkassim, R. S. (2016) </w:t>
      </w:r>
      <w:r w:rsidR="0086347E" w:rsidRPr="003D2A76">
        <w:rPr>
          <w:rFonts w:asciiTheme="majorBidi" w:hAnsiTheme="majorBidi" w:cstheme="majorBidi"/>
          <w:lang w:val="en-GB"/>
        </w:rPr>
        <w:t>“</w:t>
      </w:r>
      <w:r w:rsidRPr="003D2A76">
        <w:rPr>
          <w:rFonts w:asciiTheme="majorBidi" w:hAnsiTheme="majorBidi" w:cstheme="majorBidi"/>
          <w:lang w:val="en-GB"/>
        </w:rPr>
        <w:t>Comparison of convenience sampling and purposive sampling</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American Journal of Theoretical and Applied Statistics</w:t>
      </w:r>
      <w:r w:rsidRPr="009A04CD">
        <w:rPr>
          <w:rFonts w:asciiTheme="majorBidi" w:hAnsiTheme="majorBidi" w:cstheme="majorBidi"/>
          <w:lang w:val="en-GB"/>
        </w:rPr>
        <w:t>, 5</w:t>
      </w:r>
      <w:r w:rsidRPr="003D2A76">
        <w:rPr>
          <w:rFonts w:asciiTheme="majorBidi" w:hAnsiTheme="majorBidi" w:cstheme="majorBidi"/>
          <w:lang w:val="en-GB"/>
        </w:rPr>
        <w:t xml:space="preserve">(1),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1–4. </w:t>
      </w:r>
      <w:hyperlink r:id="rId47" w:history="1">
        <w:r w:rsidRPr="003D2A76">
          <w:rPr>
            <w:rStyle w:val="Hyperlink"/>
            <w:rFonts w:asciiTheme="majorBidi" w:hAnsiTheme="majorBidi" w:cstheme="majorBidi"/>
            <w:lang w:val="en-GB"/>
          </w:rPr>
          <w:t>https://doi.org/10.11648/j.ajtas.20160501.11</w:t>
        </w:r>
      </w:hyperlink>
      <w:r w:rsidR="0086347E" w:rsidRPr="003D2A76">
        <w:rPr>
          <w:lang w:val="en-GB"/>
        </w:rPr>
        <w:t>.</w:t>
      </w:r>
    </w:p>
    <w:p w14:paraId="2205B328" w14:textId="5EC5C1E8"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Evans, J. R., &amp; Mathur, A. (2018) </w:t>
      </w:r>
      <w:r w:rsidR="0086347E" w:rsidRPr="003D2A76">
        <w:rPr>
          <w:rFonts w:asciiTheme="majorBidi" w:hAnsiTheme="majorBidi" w:cstheme="majorBidi"/>
          <w:lang w:val="en-GB"/>
        </w:rPr>
        <w:t>“</w:t>
      </w:r>
      <w:r w:rsidRPr="003D2A76">
        <w:rPr>
          <w:rFonts w:asciiTheme="majorBidi" w:hAnsiTheme="majorBidi" w:cstheme="majorBidi"/>
          <w:lang w:val="en-GB"/>
        </w:rPr>
        <w:t>The value of online surveys: A look back and a look ahead</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Internet Research</w:t>
      </w:r>
      <w:r w:rsidRPr="009A04CD">
        <w:rPr>
          <w:rFonts w:asciiTheme="majorBidi" w:hAnsiTheme="majorBidi" w:cstheme="majorBidi"/>
          <w:lang w:val="en-GB"/>
        </w:rPr>
        <w:t>, 28</w:t>
      </w:r>
      <w:r w:rsidRPr="003D2A76">
        <w:rPr>
          <w:rFonts w:asciiTheme="majorBidi" w:hAnsiTheme="majorBidi" w:cstheme="majorBidi"/>
          <w:lang w:val="en-GB"/>
        </w:rPr>
        <w:t xml:space="preserve">(4),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854–887. </w:t>
      </w:r>
      <w:hyperlink r:id="rId48" w:history="1">
        <w:r w:rsidRPr="003D2A76">
          <w:rPr>
            <w:rStyle w:val="Hyperlink"/>
            <w:rFonts w:asciiTheme="majorBidi" w:hAnsiTheme="majorBidi" w:cstheme="majorBidi"/>
            <w:lang w:val="en-GB"/>
          </w:rPr>
          <w:t>https://doi.org/10.1108/IntR-03-2018-0089</w:t>
        </w:r>
      </w:hyperlink>
      <w:r w:rsidR="0086347E" w:rsidRPr="003D2A76">
        <w:rPr>
          <w:lang w:val="en-GB"/>
        </w:rPr>
        <w:t>.</w:t>
      </w:r>
    </w:p>
    <w:p w14:paraId="4FB6BAE1" w14:textId="7EDCA5C6"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Faul, F., Erdfelder, E., Buchner, A., &amp; Lang, A.-G. (2009) </w:t>
      </w:r>
      <w:r w:rsidR="0086347E" w:rsidRPr="003D2A76">
        <w:rPr>
          <w:rFonts w:asciiTheme="majorBidi" w:hAnsiTheme="majorBidi" w:cstheme="majorBidi"/>
          <w:lang w:val="en-GB"/>
        </w:rPr>
        <w:t>“</w:t>
      </w:r>
      <w:r w:rsidRPr="003D2A76">
        <w:rPr>
          <w:rFonts w:asciiTheme="majorBidi" w:hAnsiTheme="majorBidi" w:cstheme="majorBidi"/>
          <w:lang w:val="en-GB"/>
        </w:rPr>
        <w:t>Statistical power analyses using G*Power 3.1: Tests for correlation and regression analyses</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Behavior Research Methods</w:t>
      </w:r>
      <w:r w:rsidRPr="009A04CD">
        <w:rPr>
          <w:rFonts w:asciiTheme="majorBidi" w:hAnsiTheme="majorBidi" w:cstheme="majorBidi"/>
          <w:lang w:val="en-GB"/>
        </w:rPr>
        <w:t>, 41</w:t>
      </w:r>
      <w:r w:rsidRPr="003D2A76">
        <w:rPr>
          <w:rFonts w:asciiTheme="majorBidi" w:hAnsiTheme="majorBidi" w:cstheme="majorBidi"/>
          <w:lang w:val="en-GB"/>
        </w:rPr>
        <w:t xml:space="preserve">(4),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1149–1160. </w:t>
      </w:r>
      <w:hyperlink r:id="rId49" w:history="1">
        <w:r w:rsidRPr="003D2A76">
          <w:rPr>
            <w:rStyle w:val="Hyperlink"/>
            <w:rFonts w:asciiTheme="majorBidi" w:hAnsiTheme="majorBidi" w:cstheme="majorBidi"/>
            <w:lang w:val="en-GB"/>
          </w:rPr>
          <w:t>https://doi.org/10.3758/BRM.41.4.1149</w:t>
        </w:r>
      </w:hyperlink>
      <w:r w:rsidR="0086347E" w:rsidRPr="003D2A76">
        <w:rPr>
          <w:lang w:val="en-GB"/>
        </w:rPr>
        <w:t>.</w:t>
      </w:r>
    </w:p>
    <w:p w14:paraId="302C302B" w14:textId="6A7F5AA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Ferguson, C. J. (2009) </w:t>
      </w:r>
      <w:r w:rsidR="0086347E" w:rsidRPr="003D2A76">
        <w:rPr>
          <w:rFonts w:asciiTheme="majorBidi" w:hAnsiTheme="majorBidi" w:cstheme="majorBidi"/>
          <w:lang w:val="en-GB"/>
        </w:rPr>
        <w:t>“</w:t>
      </w:r>
      <w:r w:rsidRPr="003D2A76">
        <w:rPr>
          <w:rFonts w:asciiTheme="majorBidi" w:hAnsiTheme="majorBidi" w:cstheme="majorBidi"/>
          <w:lang w:val="en-GB"/>
        </w:rPr>
        <w:t>An effect size primer: A guide for clinicians and researchers</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Professional Psychology: Research and Practice</w:t>
      </w:r>
      <w:r w:rsidRPr="009A04CD">
        <w:rPr>
          <w:rFonts w:asciiTheme="majorBidi" w:hAnsiTheme="majorBidi" w:cstheme="majorBidi"/>
          <w:lang w:val="en-GB"/>
        </w:rPr>
        <w:t>, 40</w:t>
      </w:r>
      <w:r w:rsidRPr="003D2A76">
        <w:rPr>
          <w:rFonts w:asciiTheme="majorBidi" w:hAnsiTheme="majorBidi" w:cstheme="majorBidi"/>
          <w:lang w:val="en-GB"/>
        </w:rPr>
        <w:t xml:space="preserve">(5),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532–538. </w:t>
      </w:r>
      <w:hyperlink r:id="rId50" w:history="1">
        <w:r w:rsidRPr="003D2A76">
          <w:rPr>
            <w:rStyle w:val="Hyperlink"/>
            <w:rFonts w:asciiTheme="majorBidi" w:hAnsiTheme="majorBidi" w:cstheme="majorBidi"/>
            <w:lang w:val="en-GB"/>
          </w:rPr>
          <w:t>https://doi.org/10.1037/a0015808</w:t>
        </w:r>
      </w:hyperlink>
      <w:r w:rsidR="0086347E" w:rsidRPr="003D2A76">
        <w:rPr>
          <w:lang w:val="en-GB"/>
        </w:rPr>
        <w:t>.</w:t>
      </w:r>
    </w:p>
    <w:p w14:paraId="2A40A0B6" w14:textId="32C59F19"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Field, A. (2018) </w:t>
      </w:r>
      <w:r w:rsidRPr="003D2A76">
        <w:rPr>
          <w:rFonts w:asciiTheme="majorBidi" w:hAnsiTheme="majorBidi" w:cstheme="majorBidi"/>
          <w:i/>
          <w:iCs/>
          <w:lang w:val="en-GB"/>
        </w:rPr>
        <w:t>Discovering statistics using IBM SPSS statistics</w:t>
      </w:r>
      <w:r w:rsidRPr="003D2A76">
        <w:rPr>
          <w:rFonts w:asciiTheme="majorBidi" w:hAnsiTheme="majorBidi" w:cstheme="majorBidi"/>
          <w:lang w:val="en-GB"/>
        </w:rPr>
        <w:t xml:space="preserve"> (5th ed.). Sage Publications.</w:t>
      </w:r>
    </w:p>
    <w:p w14:paraId="0C623DB6" w14:textId="6275412B"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Fink, A. (2017) </w:t>
      </w:r>
      <w:r w:rsidRPr="003D2A76">
        <w:rPr>
          <w:rFonts w:asciiTheme="majorBidi" w:hAnsiTheme="majorBidi" w:cstheme="majorBidi"/>
          <w:i/>
          <w:iCs/>
          <w:lang w:val="en-GB"/>
        </w:rPr>
        <w:t>How to conduct surveys: A step-by-step guide</w:t>
      </w:r>
      <w:r w:rsidRPr="003D2A76">
        <w:rPr>
          <w:rFonts w:asciiTheme="majorBidi" w:hAnsiTheme="majorBidi" w:cstheme="majorBidi"/>
          <w:lang w:val="en-GB"/>
        </w:rPr>
        <w:t xml:space="preserve"> (6th ed.). Sage Publications.</w:t>
      </w:r>
    </w:p>
    <w:p w14:paraId="2FE62F8F" w14:textId="31B94A3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Finstad, K. (2010) </w:t>
      </w:r>
      <w:r w:rsidR="0086347E" w:rsidRPr="003D2A76">
        <w:rPr>
          <w:rFonts w:asciiTheme="majorBidi" w:hAnsiTheme="majorBidi" w:cstheme="majorBidi"/>
          <w:lang w:val="en-GB"/>
        </w:rPr>
        <w:t>“</w:t>
      </w:r>
      <w:r w:rsidRPr="003D2A76">
        <w:rPr>
          <w:rFonts w:asciiTheme="majorBidi" w:hAnsiTheme="majorBidi" w:cstheme="majorBidi"/>
          <w:lang w:val="en-GB"/>
        </w:rPr>
        <w:t>Response interpolation and scale sensitivity: Evidence against 5-point scales</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Usability Studies</w:t>
      </w:r>
      <w:r w:rsidRPr="009A04CD">
        <w:rPr>
          <w:rFonts w:asciiTheme="majorBidi" w:hAnsiTheme="majorBidi" w:cstheme="majorBidi"/>
          <w:lang w:val="en-GB"/>
        </w:rPr>
        <w:t>, 5</w:t>
      </w:r>
      <w:r w:rsidRPr="003D2A76">
        <w:rPr>
          <w:rFonts w:asciiTheme="majorBidi" w:hAnsiTheme="majorBidi" w:cstheme="majorBidi"/>
          <w:lang w:val="en-GB"/>
        </w:rPr>
        <w:t xml:space="preserve">(3), </w:t>
      </w:r>
      <w:r w:rsidR="0086347E" w:rsidRPr="003D2A76">
        <w:rPr>
          <w:rFonts w:asciiTheme="majorBidi" w:hAnsiTheme="majorBidi" w:cstheme="majorBidi"/>
          <w:lang w:val="en-GB"/>
        </w:rPr>
        <w:t xml:space="preserve">pp. </w:t>
      </w:r>
      <w:r w:rsidRPr="003D2A76">
        <w:rPr>
          <w:rFonts w:asciiTheme="majorBidi" w:hAnsiTheme="majorBidi" w:cstheme="majorBidi"/>
          <w:lang w:val="en-GB"/>
        </w:rPr>
        <w:t>104–110.</w:t>
      </w:r>
    </w:p>
    <w:p w14:paraId="2CBB3C85" w14:textId="3A12663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Fornell, C., &amp; Larcker, D. F. (1981) </w:t>
      </w:r>
      <w:r w:rsidR="0086347E" w:rsidRPr="003D2A76">
        <w:rPr>
          <w:rFonts w:asciiTheme="majorBidi" w:hAnsiTheme="majorBidi" w:cstheme="majorBidi"/>
          <w:lang w:val="en-GB"/>
        </w:rPr>
        <w:t>“</w:t>
      </w:r>
      <w:r w:rsidRPr="003D2A76">
        <w:rPr>
          <w:rFonts w:asciiTheme="majorBidi" w:hAnsiTheme="majorBidi" w:cstheme="majorBidi"/>
          <w:lang w:val="en-GB"/>
        </w:rPr>
        <w:t>Evaluating structural equation models with unobservable variables and measurement error</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 Research</w:t>
      </w:r>
      <w:r w:rsidRPr="009A04CD">
        <w:rPr>
          <w:rFonts w:asciiTheme="majorBidi" w:hAnsiTheme="majorBidi" w:cstheme="majorBidi"/>
          <w:lang w:val="en-GB"/>
        </w:rPr>
        <w:t>, 18</w:t>
      </w:r>
      <w:r w:rsidRPr="003D2A76">
        <w:rPr>
          <w:rFonts w:asciiTheme="majorBidi" w:hAnsiTheme="majorBidi" w:cstheme="majorBidi"/>
          <w:lang w:val="en-GB"/>
        </w:rPr>
        <w:t xml:space="preserve">(1),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39–50. </w:t>
      </w:r>
      <w:hyperlink r:id="rId51" w:history="1">
        <w:r w:rsidRPr="003D2A76">
          <w:rPr>
            <w:rStyle w:val="Hyperlink"/>
            <w:rFonts w:asciiTheme="majorBidi" w:hAnsiTheme="majorBidi" w:cstheme="majorBidi"/>
            <w:lang w:val="en-GB"/>
          </w:rPr>
          <w:t>https://doi.org/10.1177/002224378101800104</w:t>
        </w:r>
      </w:hyperlink>
      <w:r w:rsidR="0086347E" w:rsidRPr="003D2A76">
        <w:rPr>
          <w:lang w:val="en-GB"/>
        </w:rPr>
        <w:t>.</w:t>
      </w:r>
    </w:p>
    <w:p w14:paraId="260D7D4E" w14:textId="6EE83E0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Fowler, F. J. (2014) </w:t>
      </w:r>
      <w:r w:rsidRPr="003D2A76">
        <w:rPr>
          <w:rFonts w:asciiTheme="majorBidi" w:hAnsiTheme="majorBidi" w:cstheme="majorBidi"/>
          <w:i/>
          <w:iCs/>
          <w:lang w:val="en-GB"/>
        </w:rPr>
        <w:t>Survey research methods</w:t>
      </w:r>
      <w:r w:rsidRPr="003D2A76">
        <w:rPr>
          <w:rFonts w:asciiTheme="majorBidi" w:hAnsiTheme="majorBidi" w:cstheme="majorBidi"/>
          <w:lang w:val="en-GB"/>
        </w:rPr>
        <w:t xml:space="preserve"> (5th ed.). Sage Publications.</w:t>
      </w:r>
    </w:p>
    <w:p w14:paraId="6E8CDBA5" w14:textId="428BE384"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Fritz, M. S., &amp; MacKinnon, D. P. (2007) </w:t>
      </w:r>
      <w:r w:rsidR="0086347E" w:rsidRPr="003D2A76">
        <w:rPr>
          <w:rFonts w:asciiTheme="majorBidi" w:hAnsiTheme="majorBidi" w:cstheme="majorBidi"/>
          <w:lang w:val="en-GB"/>
        </w:rPr>
        <w:t>“</w:t>
      </w:r>
      <w:r w:rsidRPr="003D2A76">
        <w:rPr>
          <w:rFonts w:asciiTheme="majorBidi" w:hAnsiTheme="majorBidi" w:cstheme="majorBidi"/>
          <w:lang w:val="en-GB"/>
        </w:rPr>
        <w:t>Required sample size to detect the mediated effect</w:t>
      </w:r>
      <w:r w:rsidR="0086347E"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Psychological Science</w:t>
      </w:r>
      <w:r w:rsidRPr="009A04CD">
        <w:rPr>
          <w:rFonts w:asciiTheme="majorBidi" w:hAnsiTheme="majorBidi" w:cstheme="majorBidi"/>
          <w:lang w:val="en-GB"/>
        </w:rPr>
        <w:t>, 18</w:t>
      </w:r>
      <w:r w:rsidRPr="003D2A76">
        <w:rPr>
          <w:rFonts w:asciiTheme="majorBidi" w:hAnsiTheme="majorBidi" w:cstheme="majorBidi"/>
          <w:lang w:val="en-GB"/>
        </w:rPr>
        <w:t xml:space="preserve">(3), </w:t>
      </w:r>
      <w:r w:rsidR="0086347E" w:rsidRPr="003D2A76">
        <w:rPr>
          <w:rFonts w:asciiTheme="majorBidi" w:hAnsiTheme="majorBidi" w:cstheme="majorBidi"/>
          <w:lang w:val="en-GB"/>
        </w:rPr>
        <w:t xml:space="preserve">pp. </w:t>
      </w:r>
      <w:r w:rsidRPr="003D2A76">
        <w:rPr>
          <w:rFonts w:asciiTheme="majorBidi" w:hAnsiTheme="majorBidi" w:cstheme="majorBidi"/>
          <w:lang w:val="en-GB"/>
        </w:rPr>
        <w:t xml:space="preserve">233–239. </w:t>
      </w:r>
      <w:hyperlink r:id="rId52" w:history="1">
        <w:r w:rsidRPr="003D2A76">
          <w:rPr>
            <w:rStyle w:val="Hyperlink"/>
            <w:rFonts w:asciiTheme="majorBidi" w:hAnsiTheme="majorBidi" w:cstheme="majorBidi"/>
            <w:lang w:val="en-GB"/>
          </w:rPr>
          <w:t>https://doi.org/10.1111/j.1467-9280.2007.01882.x</w:t>
        </w:r>
      </w:hyperlink>
      <w:r w:rsidR="0086347E" w:rsidRPr="003D2A76">
        <w:rPr>
          <w:lang w:val="en-GB"/>
        </w:rPr>
        <w:t>.</w:t>
      </w:r>
    </w:p>
    <w:p w14:paraId="2CD33FA1" w14:textId="6F22A30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General Authority for Statistics </w:t>
      </w:r>
      <w:r w:rsidR="0086347E" w:rsidRPr="003D2A76">
        <w:rPr>
          <w:rFonts w:asciiTheme="majorBidi" w:hAnsiTheme="majorBidi" w:cstheme="majorBidi"/>
          <w:lang w:val="en-GB"/>
        </w:rPr>
        <w:t>(</w:t>
      </w:r>
      <w:r w:rsidRPr="003D2A76">
        <w:rPr>
          <w:rFonts w:asciiTheme="majorBidi" w:hAnsiTheme="majorBidi" w:cstheme="majorBidi"/>
          <w:lang w:val="en-GB"/>
        </w:rPr>
        <w:t>GASTAT</w:t>
      </w:r>
      <w:r w:rsidR="0086347E" w:rsidRPr="003D2A76">
        <w:rPr>
          <w:rFonts w:asciiTheme="majorBidi" w:hAnsiTheme="majorBidi" w:cstheme="majorBidi"/>
          <w:lang w:val="en-GB"/>
        </w:rPr>
        <w:t>)</w:t>
      </w:r>
      <w:r w:rsidRPr="003D2A76">
        <w:rPr>
          <w:rFonts w:asciiTheme="majorBidi" w:hAnsiTheme="majorBidi" w:cstheme="majorBidi"/>
          <w:lang w:val="en-GB"/>
        </w:rPr>
        <w:t xml:space="preserve"> (2024) </w:t>
      </w:r>
      <w:r w:rsidR="0086347E" w:rsidRPr="003D2A76">
        <w:rPr>
          <w:rFonts w:asciiTheme="majorBidi" w:hAnsiTheme="majorBidi" w:cstheme="majorBidi"/>
          <w:lang w:val="en-GB"/>
        </w:rPr>
        <w:t>“</w:t>
      </w:r>
      <w:r w:rsidRPr="003D2A76">
        <w:rPr>
          <w:rFonts w:asciiTheme="majorBidi" w:hAnsiTheme="majorBidi" w:cstheme="majorBidi"/>
          <w:lang w:val="en-GB"/>
        </w:rPr>
        <w:t>Population estimates statistics 2024. Riyadh, Saudi Arabia: GASTAT</w:t>
      </w:r>
      <w:r w:rsidR="0086347E" w:rsidRPr="003D2A76">
        <w:rPr>
          <w:rFonts w:asciiTheme="majorBidi" w:hAnsiTheme="majorBidi" w:cstheme="majorBidi"/>
          <w:lang w:val="en-GB"/>
        </w:rPr>
        <w:t>”</w:t>
      </w:r>
      <w:r w:rsidRPr="003D2A76">
        <w:rPr>
          <w:rFonts w:asciiTheme="majorBidi" w:hAnsiTheme="majorBidi" w:cstheme="majorBidi"/>
          <w:lang w:val="en-GB"/>
        </w:rPr>
        <w:t xml:space="preserve">. Retrieved from </w:t>
      </w:r>
      <w:hyperlink r:id="rId53" w:history="1">
        <w:r w:rsidRPr="003D2A76">
          <w:rPr>
            <w:rStyle w:val="Hyperlink"/>
            <w:rFonts w:asciiTheme="majorBidi" w:hAnsiTheme="majorBidi" w:cstheme="majorBidi"/>
            <w:lang w:val="en-GB"/>
          </w:rPr>
          <w:t>https://www.stats.gov.sa/documents/20117/2435273/Population+Estimates+Statistics+2024+EN.pdf</w:t>
        </w:r>
      </w:hyperlink>
      <w:r w:rsidR="0086347E" w:rsidRPr="003D2A76">
        <w:rPr>
          <w:lang w:val="en-GB"/>
        </w:rPr>
        <w:t>.</w:t>
      </w:r>
    </w:p>
    <w:p w14:paraId="3F3CD28A" w14:textId="74D626B1"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General Authority for Statistics </w:t>
      </w:r>
      <w:r w:rsidR="0086347E" w:rsidRPr="003D2A76">
        <w:rPr>
          <w:rFonts w:asciiTheme="majorBidi" w:hAnsiTheme="majorBidi" w:cstheme="majorBidi"/>
          <w:lang w:val="en-GB"/>
        </w:rPr>
        <w:t>(</w:t>
      </w:r>
      <w:r w:rsidRPr="003D2A76">
        <w:rPr>
          <w:rFonts w:asciiTheme="majorBidi" w:hAnsiTheme="majorBidi" w:cstheme="majorBidi"/>
          <w:lang w:val="en-GB"/>
        </w:rPr>
        <w:t>GASTAT</w:t>
      </w:r>
      <w:r w:rsidR="0086347E" w:rsidRPr="003D2A76">
        <w:rPr>
          <w:rFonts w:asciiTheme="majorBidi" w:hAnsiTheme="majorBidi" w:cstheme="majorBidi"/>
          <w:lang w:val="en-GB"/>
        </w:rPr>
        <w:t>)</w:t>
      </w:r>
      <w:r w:rsidRPr="003D2A76">
        <w:rPr>
          <w:rFonts w:asciiTheme="majorBidi" w:hAnsiTheme="majorBidi" w:cstheme="majorBidi"/>
          <w:lang w:val="en-GB"/>
        </w:rPr>
        <w:t xml:space="preserve"> (2024) </w:t>
      </w:r>
      <w:r w:rsidR="0086347E" w:rsidRPr="003D2A76">
        <w:rPr>
          <w:rFonts w:asciiTheme="majorBidi" w:hAnsiTheme="majorBidi" w:cstheme="majorBidi"/>
          <w:lang w:val="en-GB"/>
        </w:rPr>
        <w:t>“</w:t>
      </w:r>
      <w:r w:rsidRPr="003D2A76">
        <w:rPr>
          <w:rFonts w:asciiTheme="majorBidi" w:hAnsiTheme="majorBidi" w:cstheme="majorBidi"/>
          <w:lang w:val="en-GB"/>
        </w:rPr>
        <w:t>Services statistics bulletin 2023: Education sector. Riyadh, Saudi Arabia: GASTAT</w:t>
      </w:r>
      <w:r w:rsidR="0086347E" w:rsidRPr="003D2A76">
        <w:rPr>
          <w:rFonts w:asciiTheme="majorBidi" w:hAnsiTheme="majorBidi" w:cstheme="majorBidi"/>
          <w:lang w:val="en-GB"/>
        </w:rPr>
        <w:t>”</w:t>
      </w:r>
      <w:r w:rsidRPr="003D2A76">
        <w:rPr>
          <w:rFonts w:asciiTheme="majorBidi" w:hAnsiTheme="majorBidi" w:cstheme="majorBidi"/>
          <w:lang w:val="en-GB"/>
        </w:rPr>
        <w:t xml:space="preserve">. Retrieved from </w:t>
      </w:r>
      <w:hyperlink r:id="rId54" w:history="1">
        <w:r w:rsidRPr="003D2A76">
          <w:rPr>
            <w:rStyle w:val="Hyperlink"/>
            <w:rFonts w:asciiTheme="majorBidi" w:hAnsiTheme="majorBidi" w:cstheme="majorBidi"/>
            <w:lang w:val="en-GB"/>
          </w:rPr>
          <w:t>https://www.stats.gov.sa</w:t>
        </w:r>
      </w:hyperlink>
      <w:r w:rsidR="0086347E" w:rsidRPr="003D2A76">
        <w:rPr>
          <w:lang w:val="en-GB"/>
        </w:rPr>
        <w:t>.</w:t>
      </w:r>
    </w:p>
    <w:p w14:paraId="1B65C3D0" w14:textId="569756C0"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Gibbs, G. R., &amp; Knapp, D. (2012) </w:t>
      </w:r>
      <w:r w:rsidRPr="003D2A76">
        <w:rPr>
          <w:rFonts w:asciiTheme="majorBidi" w:hAnsiTheme="majorBidi" w:cstheme="majorBidi"/>
          <w:i/>
          <w:iCs/>
          <w:lang w:val="en-GB"/>
        </w:rPr>
        <w:t>Analyzing qualitative data</w:t>
      </w:r>
      <w:r w:rsidRPr="003D2A76">
        <w:rPr>
          <w:rFonts w:asciiTheme="majorBidi" w:hAnsiTheme="majorBidi" w:cstheme="majorBidi"/>
          <w:lang w:val="en-GB"/>
        </w:rPr>
        <w:t>. Sage Publications.</w:t>
      </w:r>
    </w:p>
    <w:p w14:paraId="2A15C793" w14:textId="210D5E7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Hair, J. F., Black, W. C., Babin, B. J., &amp; Anderson, R. E. (2019) </w:t>
      </w:r>
      <w:r w:rsidRPr="003D2A76">
        <w:rPr>
          <w:rFonts w:asciiTheme="majorBidi" w:hAnsiTheme="majorBidi" w:cstheme="majorBidi"/>
          <w:i/>
          <w:iCs/>
          <w:lang w:val="en-GB"/>
        </w:rPr>
        <w:t>Multivariate data analysis</w:t>
      </w:r>
      <w:r w:rsidRPr="003D2A76">
        <w:rPr>
          <w:rFonts w:asciiTheme="majorBidi" w:hAnsiTheme="majorBidi" w:cstheme="majorBidi"/>
          <w:lang w:val="en-GB"/>
        </w:rPr>
        <w:t xml:space="preserve"> (8th ed.). Cengage Learning.</w:t>
      </w:r>
    </w:p>
    <w:p w14:paraId="2096110B" w14:textId="507961D5"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Hamdan, A. (2005) </w:t>
      </w:r>
      <w:r w:rsidR="00793C4A" w:rsidRPr="003D2A76">
        <w:rPr>
          <w:rFonts w:asciiTheme="majorBidi" w:hAnsiTheme="majorBidi" w:cstheme="majorBidi"/>
          <w:lang w:val="en-GB"/>
        </w:rPr>
        <w:t>“</w:t>
      </w:r>
      <w:r w:rsidRPr="003D2A76">
        <w:rPr>
          <w:rFonts w:asciiTheme="majorBidi" w:hAnsiTheme="majorBidi" w:cstheme="majorBidi"/>
          <w:lang w:val="en-GB"/>
        </w:rPr>
        <w:t>Women and education in Saudi Arabia: Challenges and achievements</w:t>
      </w:r>
      <w:r w:rsidR="00793C4A"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Education Journal</w:t>
      </w:r>
      <w:r w:rsidRPr="009A04CD">
        <w:rPr>
          <w:rFonts w:asciiTheme="majorBidi" w:hAnsiTheme="majorBidi" w:cstheme="majorBidi"/>
          <w:lang w:val="en-GB"/>
        </w:rPr>
        <w:t>, 6</w:t>
      </w:r>
      <w:r w:rsidRPr="003D2A76">
        <w:rPr>
          <w:rFonts w:asciiTheme="majorBidi" w:hAnsiTheme="majorBidi" w:cstheme="majorBidi"/>
          <w:lang w:val="en-GB"/>
        </w:rPr>
        <w:t xml:space="preserve">(1), </w:t>
      </w:r>
      <w:r w:rsidR="00793C4A" w:rsidRPr="003D2A76">
        <w:rPr>
          <w:rFonts w:asciiTheme="majorBidi" w:hAnsiTheme="majorBidi" w:cstheme="majorBidi"/>
          <w:lang w:val="en-GB"/>
        </w:rPr>
        <w:t xml:space="preserve">pp. </w:t>
      </w:r>
      <w:r w:rsidRPr="003D2A76">
        <w:rPr>
          <w:rFonts w:asciiTheme="majorBidi" w:hAnsiTheme="majorBidi" w:cstheme="majorBidi"/>
          <w:lang w:val="en-GB"/>
        </w:rPr>
        <w:t>42–64.</w:t>
      </w:r>
    </w:p>
    <w:p w14:paraId="3818A724" w14:textId="4C415BD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Hardesty, D. M., &amp; Bearden, W. O. (2004) </w:t>
      </w:r>
      <w:r w:rsidR="00793C4A" w:rsidRPr="003D2A76">
        <w:rPr>
          <w:rFonts w:asciiTheme="majorBidi" w:hAnsiTheme="majorBidi" w:cstheme="majorBidi"/>
          <w:lang w:val="en-GB"/>
        </w:rPr>
        <w:t>“</w:t>
      </w:r>
      <w:r w:rsidRPr="003D2A76">
        <w:rPr>
          <w:rFonts w:asciiTheme="majorBidi" w:hAnsiTheme="majorBidi" w:cstheme="majorBidi"/>
          <w:lang w:val="en-GB"/>
        </w:rPr>
        <w:t>The use of expert judges in scale development: Implications for improving face validity of measures of unobservable constructs</w:t>
      </w:r>
      <w:r w:rsidR="00793C4A"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Business Research</w:t>
      </w:r>
      <w:r w:rsidRPr="009A04CD">
        <w:rPr>
          <w:rFonts w:asciiTheme="majorBidi" w:hAnsiTheme="majorBidi" w:cstheme="majorBidi"/>
          <w:lang w:val="en-GB"/>
        </w:rPr>
        <w:t>, 57</w:t>
      </w:r>
      <w:r w:rsidRPr="003D2A76">
        <w:rPr>
          <w:rFonts w:asciiTheme="majorBidi" w:hAnsiTheme="majorBidi" w:cstheme="majorBidi"/>
          <w:lang w:val="en-GB"/>
        </w:rPr>
        <w:t xml:space="preserve">(2), </w:t>
      </w:r>
      <w:r w:rsidR="00793C4A" w:rsidRPr="003D2A76">
        <w:rPr>
          <w:rFonts w:asciiTheme="majorBidi" w:hAnsiTheme="majorBidi" w:cstheme="majorBidi"/>
          <w:lang w:val="en-GB"/>
        </w:rPr>
        <w:t xml:space="preserve">pp. </w:t>
      </w:r>
      <w:r w:rsidRPr="003D2A76">
        <w:rPr>
          <w:rFonts w:asciiTheme="majorBidi" w:hAnsiTheme="majorBidi" w:cstheme="majorBidi"/>
          <w:lang w:val="en-GB"/>
        </w:rPr>
        <w:t xml:space="preserve">98–107. </w:t>
      </w:r>
      <w:hyperlink r:id="rId55" w:history="1">
        <w:r w:rsidRPr="003D2A76">
          <w:rPr>
            <w:rStyle w:val="Hyperlink"/>
            <w:rFonts w:asciiTheme="majorBidi" w:hAnsiTheme="majorBidi" w:cstheme="majorBidi"/>
            <w:lang w:val="en-GB"/>
          </w:rPr>
          <w:t>https://doi.org/10.1016/S0148-2963(01)00295-8</w:t>
        </w:r>
      </w:hyperlink>
      <w:r w:rsidR="00793C4A" w:rsidRPr="003D2A76">
        <w:rPr>
          <w:lang w:val="en-GB"/>
        </w:rPr>
        <w:t>.</w:t>
      </w:r>
    </w:p>
    <w:p w14:paraId="24D0E93F" w14:textId="026D29CA"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Hayes, A. F. (2022) </w:t>
      </w:r>
      <w:r w:rsidRPr="003D2A76">
        <w:rPr>
          <w:rFonts w:asciiTheme="majorBidi" w:hAnsiTheme="majorBidi" w:cstheme="majorBidi"/>
          <w:i/>
          <w:iCs/>
          <w:lang w:val="en-GB"/>
        </w:rPr>
        <w:t>Introduction to mediation, moderation, and conditional process analysis: A regression-based approach</w:t>
      </w:r>
      <w:r w:rsidRPr="003D2A76">
        <w:rPr>
          <w:rFonts w:asciiTheme="majorBidi" w:hAnsiTheme="majorBidi" w:cstheme="majorBidi"/>
          <w:lang w:val="en-GB"/>
        </w:rPr>
        <w:t xml:space="preserve"> (3rd ed.). The Guilford Press.</w:t>
      </w:r>
    </w:p>
    <w:p w14:paraId="7D90CF34" w14:textId="71D8E3FB"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Haynes, S. N., Richard, D. C., &amp; Kubany, E. S. (1995) </w:t>
      </w:r>
      <w:r w:rsidR="00793C4A" w:rsidRPr="003D2A76">
        <w:rPr>
          <w:rFonts w:asciiTheme="majorBidi" w:hAnsiTheme="majorBidi" w:cstheme="majorBidi"/>
          <w:lang w:val="en-GB"/>
        </w:rPr>
        <w:t>“</w:t>
      </w:r>
      <w:r w:rsidRPr="003D2A76">
        <w:rPr>
          <w:rFonts w:asciiTheme="majorBidi" w:hAnsiTheme="majorBidi" w:cstheme="majorBidi"/>
          <w:lang w:val="en-GB"/>
        </w:rPr>
        <w:t>Content validity in psychological assessment: A functional approach to concepts and methods</w:t>
      </w:r>
      <w:r w:rsidR="00793C4A"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Psychological Assessment</w:t>
      </w:r>
      <w:r w:rsidRPr="009A04CD">
        <w:rPr>
          <w:rFonts w:asciiTheme="majorBidi" w:hAnsiTheme="majorBidi" w:cstheme="majorBidi"/>
          <w:lang w:val="en-GB"/>
        </w:rPr>
        <w:t>, 7</w:t>
      </w:r>
      <w:r w:rsidRPr="003D2A76">
        <w:rPr>
          <w:rFonts w:asciiTheme="majorBidi" w:hAnsiTheme="majorBidi" w:cstheme="majorBidi"/>
          <w:lang w:val="en-GB"/>
        </w:rPr>
        <w:t xml:space="preserve">(3), </w:t>
      </w:r>
      <w:r w:rsidR="00793C4A" w:rsidRPr="003D2A76">
        <w:rPr>
          <w:rFonts w:asciiTheme="majorBidi" w:hAnsiTheme="majorBidi" w:cstheme="majorBidi"/>
          <w:lang w:val="en-GB"/>
        </w:rPr>
        <w:t xml:space="preserve">pp. </w:t>
      </w:r>
      <w:r w:rsidRPr="003D2A76">
        <w:rPr>
          <w:rFonts w:asciiTheme="majorBidi" w:hAnsiTheme="majorBidi" w:cstheme="majorBidi"/>
          <w:lang w:val="en-GB"/>
        </w:rPr>
        <w:t xml:space="preserve">238–247. </w:t>
      </w:r>
      <w:hyperlink r:id="rId56" w:history="1">
        <w:r w:rsidRPr="003D2A76">
          <w:rPr>
            <w:rStyle w:val="Hyperlink"/>
            <w:rFonts w:asciiTheme="majorBidi" w:hAnsiTheme="majorBidi" w:cstheme="majorBidi"/>
            <w:lang w:val="en-GB"/>
          </w:rPr>
          <w:t>https://doi.org/10.1037/1040-3590.7.3.238</w:t>
        </w:r>
      </w:hyperlink>
      <w:r w:rsidR="00793C4A" w:rsidRPr="003D2A76">
        <w:rPr>
          <w:lang w:val="en-GB"/>
        </w:rPr>
        <w:t>.</w:t>
      </w:r>
    </w:p>
    <w:p w14:paraId="3769FC5F" w14:textId="5C83502E"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Hemsley-Brown, J., &amp; Oplatka, I. (2006) </w:t>
      </w:r>
      <w:r w:rsidR="00793C4A" w:rsidRPr="003D2A76">
        <w:rPr>
          <w:rFonts w:asciiTheme="majorBidi" w:hAnsiTheme="majorBidi" w:cstheme="majorBidi"/>
          <w:lang w:val="en-GB"/>
        </w:rPr>
        <w:t>“</w:t>
      </w:r>
      <w:r w:rsidRPr="003D2A76">
        <w:rPr>
          <w:rFonts w:asciiTheme="majorBidi" w:hAnsiTheme="majorBidi" w:cstheme="majorBidi"/>
          <w:lang w:val="en-GB"/>
        </w:rPr>
        <w:t>Universities in a competitive global marketplace: A systematic review of the literature on higher education marketing</w:t>
      </w:r>
      <w:r w:rsidR="00793C4A"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Public Sector Management</w:t>
      </w:r>
      <w:r w:rsidRPr="009A04CD">
        <w:rPr>
          <w:rFonts w:asciiTheme="majorBidi" w:hAnsiTheme="majorBidi" w:cstheme="majorBidi"/>
          <w:lang w:val="en-GB"/>
        </w:rPr>
        <w:t>, 19</w:t>
      </w:r>
      <w:r w:rsidRPr="003D2A76">
        <w:rPr>
          <w:rFonts w:asciiTheme="majorBidi" w:hAnsiTheme="majorBidi" w:cstheme="majorBidi"/>
          <w:lang w:val="en-GB"/>
        </w:rPr>
        <w:t xml:space="preserve">(4), </w:t>
      </w:r>
      <w:r w:rsidR="00793C4A" w:rsidRPr="003D2A76">
        <w:rPr>
          <w:rFonts w:asciiTheme="majorBidi" w:hAnsiTheme="majorBidi" w:cstheme="majorBidi"/>
          <w:lang w:val="en-GB"/>
        </w:rPr>
        <w:t xml:space="preserve">pp. </w:t>
      </w:r>
      <w:r w:rsidRPr="003D2A76">
        <w:rPr>
          <w:rFonts w:asciiTheme="majorBidi" w:hAnsiTheme="majorBidi" w:cstheme="majorBidi"/>
          <w:lang w:val="en-GB"/>
        </w:rPr>
        <w:t xml:space="preserve">316–338. </w:t>
      </w:r>
      <w:hyperlink r:id="rId57" w:history="1">
        <w:r w:rsidRPr="003D2A76">
          <w:rPr>
            <w:rStyle w:val="Hyperlink"/>
            <w:rFonts w:asciiTheme="majorBidi" w:hAnsiTheme="majorBidi" w:cstheme="majorBidi"/>
            <w:lang w:val="en-GB"/>
          </w:rPr>
          <w:t>https://doi.org/10.1108/09513550610669176</w:t>
        </w:r>
      </w:hyperlink>
      <w:r w:rsidR="00793C4A" w:rsidRPr="003D2A76">
        <w:rPr>
          <w:lang w:val="en-GB"/>
        </w:rPr>
        <w:t>.</w:t>
      </w:r>
    </w:p>
    <w:p w14:paraId="7803935D" w14:textId="77C8401F"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Hennig-Thurau, T., Langer, M. F., &amp; Hansen, U. (2001) </w:t>
      </w:r>
      <w:r w:rsidR="00793C4A" w:rsidRPr="003D2A76">
        <w:rPr>
          <w:rFonts w:asciiTheme="majorBidi" w:hAnsiTheme="majorBidi" w:cstheme="majorBidi"/>
          <w:lang w:val="en-GB"/>
        </w:rPr>
        <w:t>“</w:t>
      </w:r>
      <w:r w:rsidRPr="003D2A76">
        <w:rPr>
          <w:rFonts w:asciiTheme="majorBidi" w:hAnsiTheme="majorBidi" w:cstheme="majorBidi"/>
          <w:lang w:val="en-GB"/>
        </w:rPr>
        <w:t>Modeling and managing student loyalty: An approach based on the concept of relationship quality</w:t>
      </w:r>
      <w:r w:rsidR="00793C4A"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Service Research</w:t>
      </w:r>
      <w:r w:rsidRPr="009A04CD">
        <w:rPr>
          <w:rFonts w:asciiTheme="majorBidi" w:hAnsiTheme="majorBidi" w:cstheme="majorBidi"/>
          <w:lang w:val="en-GB"/>
        </w:rPr>
        <w:t>, 3</w:t>
      </w:r>
      <w:r w:rsidRPr="003D2A76">
        <w:rPr>
          <w:rFonts w:asciiTheme="majorBidi" w:hAnsiTheme="majorBidi" w:cstheme="majorBidi"/>
          <w:lang w:val="en-GB"/>
        </w:rPr>
        <w:t xml:space="preserve">(4), </w:t>
      </w:r>
      <w:r w:rsidR="00793C4A" w:rsidRPr="003D2A76">
        <w:rPr>
          <w:rFonts w:asciiTheme="majorBidi" w:hAnsiTheme="majorBidi" w:cstheme="majorBidi"/>
          <w:lang w:val="en-GB"/>
        </w:rPr>
        <w:t xml:space="preserve">pp. </w:t>
      </w:r>
      <w:r w:rsidRPr="003D2A76">
        <w:rPr>
          <w:rFonts w:asciiTheme="majorBidi" w:hAnsiTheme="majorBidi" w:cstheme="majorBidi"/>
          <w:lang w:val="en-GB"/>
        </w:rPr>
        <w:t xml:space="preserve">331–344. </w:t>
      </w:r>
      <w:hyperlink r:id="rId58" w:history="1">
        <w:r w:rsidRPr="003D2A76">
          <w:rPr>
            <w:rStyle w:val="Hyperlink"/>
            <w:rFonts w:asciiTheme="majorBidi" w:hAnsiTheme="majorBidi" w:cstheme="majorBidi"/>
            <w:lang w:val="en-GB"/>
          </w:rPr>
          <w:t>https://doi.org/10.1177/109467050134006</w:t>
        </w:r>
      </w:hyperlink>
      <w:r w:rsidR="00793C4A" w:rsidRPr="003D2A76">
        <w:rPr>
          <w:lang w:val="en-GB"/>
        </w:rPr>
        <w:t>.</w:t>
      </w:r>
    </w:p>
    <w:p w14:paraId="3C39423C" w14:textId="5850DCEC"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Hofstede, G. (2001) </w:t>
      </w:r>
      <w:r w:rsidRPr="003D2A76">
        <w:rPr>
          <w:rFonts w:asciiTheme="majorBidi" w:hAnsiTheme="majorBidi" w:cstheme="majorBidi"/>
          <w:i/>
          <w:iCs/>
          <w:lang w:val="en-GB"/>
        </w:rPr>
        <w:t>Culture's consequences: Comparing values, behaviors, institutions and organizations across nations</w:t>
      </w:r>
      <w:r w:rsidRPr="003D2A76">
        <w:rPr>
          <w:rFonts w:asciiTheme="majorBidi" w:hAnsiTheme="majorBidi" w:cstheme="majorBidi"/>
          <w:lang w:val="en-GB"/>
        </w:rPr>
        <w:t xml:space="preserve"> (2nd ed.). Sage Publications.</w:t>
      </w:r>
    </w:p>
    <w:p w14:paraId="7BAEBD8D" w14:textId="0CEB63B9" w:rsidR="00992606" w:rsidRDefault="00992606" w:rsidP="00BD6279">
      <w:pPr>
        <w:bidi w:val="0"/>
        <w:ind w:hanging="720"/>
        <w:rPr>
          <w:lang w:val="en-GB"/>
        </w:rPr>
      </w:pPr>
      <w:r w:rsidRPr="003D2A76">
        <w:rPr>
          <w:rFonts w:asciiTheme="majorBidi" w:hAnsiTheme="majorBidi" w:cstheme="majorBidi"/>
          <w:lang w:val="en-GB"/>
        </w:rPr>
        <w:lastRenderedPageBreak/>
        <w:t xml:space="preserve">Huang, M.-H., &amp; Rust, R. T. (2018) </w:t>
      </w:r>
      <w:r w:rsidR="00CD17B7" w:rsidRPr="003D2A76">
        <w:rPr>
          <w:rFonts w:asciiTheme="majorBidi" w:hAnsiTheme="majorBidi" w:cstheme="majorBidi"/>
          <w:lang w:val="en-GB"/>
        </w:rPr>
        <w:t>“</w:t>
      </w:r>
      <w:r w:rsidRPr="003D2A76">
        <w:rPr>
          <w:rFonts w:asciiTheme="majorBidi" w:hAnsiTheme="majorBidi" w:cstheme="majorBidi"/>
          <w:lang w:val="en-GB"/>
        </w:rPr>
        <w:t>Artificial intelligence in service</w:t>
      </w:r>
      <w:r w:rsidR="00CD17B7"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Service Research</w:t>
      </w:r>
      <w:r w:rsidRPr="009A04CD">
        <w:rPr>
          <w:rFonts w:asciiTheme="majorBidi" w:hAnsiTheme="majorBidi" w:cstheme="majorBidi"/>
          <w:lang w:val="en-GB"/>
        </w:rPr>
        <w:t>, 21</w:t>
      </w:r>
      <w:r w:rsidRPr="003D2A76">
        <w:rPr>
          <w:rFonts w:asciiTheme="majorBidi" w:hAnsiTheme="majorBidi" w:cstheme="majorBidi"/>
          <w:lang w:val="en-GB"/>
        </w:rPr>
        <w:t xml:space="preserve">(2), </w:t>
      </w:r>
      <w:r w:rsidR="00CD17B7" w:rsidRPr="003D2A76">
        <w:rPr>
          <w:rFonts w:asciiTheme="majorBidi" w:hAnsiTheme="majorBidi" w:cstheme="majorBidi"/>
          <w:lang w:val="en-GB"/>
        </w:rPr>
        <w:t xml:space="preserve">pp. </w:t>
      </w:r>
      <w:r w:rsidRPr="003D2A76">
        <w:rPr>
          <w:rFonts w:asciiTheme="majorBidi" w:hAnsiTheme="majorBidi" w:cstheme="majorBidi"/>
          <w:lang w:val="en-GB"/>
        </w:rPr>
        <w:t xml:space="preserve">155–172. </w:t>
      </w:r>
      <w:hyperlink r:id="rId59" w:history="1">
        <w:r w:rsidRPr="003D2A76">
          <w:rPr>
            <w:rStyle w:val="Hyperlink"/>
            <w:rFonts w:asciiTheme="majorBidi" w:hAnsiTheme="majorBidi" w:cstheme="majorBidi"/>
            <w:lang w:val="en-GB"/>
          </w:rPr>
          <w:t>https://doi.org/10.1177/1094670517752459</w:t>
        </w:r>
      </w:hyperlink>
      <w:r w:rsidR="00CD17B7" w:rsidRPr="003D2A76">
        <w:rPr>
          <w:lang w:val="en-GB"/>
        </w:rPr>
        <w:t>.</w:t>
      </w:r>
    </w:p>
    <w:p w14:paraId="79AACE8B" w14:textId="4119B584" w:rsidR="00992606" w:rsidRDefault="00992606" w:rsidP="00BD6279">
      <w:pPr>
        <w:bidi w:val="0"/>
        <w:ind w:hanging="720"/>
        <w:rPr>
          <w:lang w:val="en-GB"/>
        </w:rPr>
      </w:pPr>
      <w:r w:rsidRPr="009B138E">
        <w:rPr>
          <w:rFonts w:asciiTheme="majorBidi" w:hAnsiTheme="majorBidi" w:cstheme="majorBidi"/>
          <w:lang w:val="en-GB"/>
        </w:rPr>
        <w:t>Iacobucci</w:t>
      </w:r>
      <w:r w:rsidRPr="003D2A76">
        <w:rPr>
          <w:rFonts w:asciiTheme="majorBidi" w:hAnsiTheme="majorBidi" w:cstheme="majorBidi"/>
          <w:lang w:val="en-GB"/>
        </w:rPr>
        <w:t xml:space="preserve">, D., Schneider, M. J., Popovich, D. L., &amp; Bakamitsos, G. A. (2016) </w:t>
      </w:r>
      <w:r w:rsidR="00CD17B7" w:rsidRPr="003D2A76">
        <w:rPr>
          <w:rFonts w:asciiTheme="majorBidi" w:hAnsiTheme="majorBidi" w:cstheme="majorBidi"/>
          <w:lang w:val="en-GB"/>
        </w:rPr>
        <w:t>“</w:t>
      </w:r>
      <w:r w:rsidRPr="003D2A76">
        <w:rPr>
          <w:rFonts w:asciiTheme="majorBidi" w:hAnsiTheme="majorBidi" w:cstheme="majorBidi"/>
          <w:lang w:val="en-GB"/>
        </w:rPr>
        <w:t xml:space="preserve">Mean centering helps alleviate </w:t>
      </w:r>
      <w:r w:rsidR="00CD17B7" w:rsidRPr="003D2A76">
        <w:rPr>
          <w:rFonts w:asciiTheme="majorBidi" w:hAnsiTheme="majorBidi" w:cstheme="majorBidi"/>
          <w:lang w:val="en-GB"/>
        </w:rPr>
        <w:t>‘</w:t>
      </w:r>
      <w:r w:rsidRPr="003D2A76">
        <w:rPr>
          <w:rFonts w:asciiTheme="majorBidi" w:hAnsiTheme="majorBidi" w:cstheme="majorBidi"/>
          <w:lang w:val="en-GB"/>
        </w:rPr>
        <w:t>micro</w:t>
      </w:r>
      <w:r w:rsidR="00CD17B7" w:rsidRPr="003D2A76">
        <w:rPr>
          <w:rFonts w:asciiTheme="majorBidi" w:hAnsiTheme="majorBidi" w:cstheme="majorBidi"/>
          <w:lang w:val="en-GB"/>
        </w:rPr>
        <w:t>’</w:t>
      </w:r>
      <w:r w:rsidRPr="003D2A76">
        <w:rPr>
          <w:rFonts w:asciiTheme="majorBidi" w:hAnsiTheme="majorBidi" w:cstheme="majorBidi"/>
          <w:lang w:val="en-GB"/>
        </w:rPr>
        <w:t xml:space="preserve"> but not </w:t>
      </w:r>
      <w:r w:rsidR="00CD17B7" w:rsidRPr="003D2A76">
        <w:rPr>
          <w:rFonts w:asciiTheme="majorBidi" w:hAnsiTheme="majorBidi" w:cstheme="majorBidi"/>
          <w:lang w:val="en-GB"/>
        </w:rPr>
        <w:t>‘</w:t>
      </w:r>
      <w:r w:rsidRPr="003D2A76">
        <w:rPr>
          <w:rFonts w:asciiTheme="majorBidi" w:hAnsiTheme="majorBidi" w:cstheme="majorBidi"/>
          <w:lang w:val="en-GB"/>
        </w:rPr>
        <w:t>macro</w:t>
      </w:r>
      <w:r w:rsidR="00CD17B7" w:rsidRPr="003D2A76">
        <w:rPr>
          <w:rFonts w:asciiTheme="majorBidi" w:hAnsiTheme="majorBidi" w:cstheme="majorBidi"/>
          <w:lang w:val="en-GB"/>
        </w:rPr>
        <w:t>’</w:t>
      </w:r>
      <w:r w:rsidRPr="003D2A76">
        <w:rPr>
          <w:rFonts w:asciiTheme="majorBidi" w:hAnsiTheme="majorBidi" w:cstheme="majorBidi"/>
          <w:lang w:val="en-GB"/>
        </w:rPr>
        <w:t xml:space="preserve"> multicollinearity</w:t>
      </w:r>
      <w:r w:rsidR="00CD17B7"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Behavior Research Methods</w:t>
      </w:r>
      <w:r w:rsidRPr="009A04CD">
        <w:rPr>
          <w:rFonts w:asciiTheme="majorBidi" w:hAnsiTheme="majorBidi" w:cstheme="majorBidi"/>
          <w:lang w:val="en-GB"/>
        </w:rPr>
        <w:t>, 48</w:t>
      </w:r>
      <w:r w:rsidRPr="003D2A76">
        <w:rPr>
          <w:rFonts w:asciiTheme="majorBidi" w:hAnsiTheme="majorBidi" w:cstheme="majorBidi"/>
          <w:lang w:val="en-GB"/>
        </w:rPr>
        <w:t xml:space="preserve">(4), </w:t>
      </w:r>
      <w:r w:rsidR="00CD17B7" w:rsidRPr="003D2A76">
        <w:rPr>
          <w:rFonts w:asciiTheme="majorBidi" w:hAnsiTheme="majorBidi" w:cstheme="majorBidi"/>
          <w:lang w:val="en-GB"/>
        </w:rPr>
        <w:t xml:space="preserve">pp. </w:t>
      </w:r>
      <w:r w:rsidRPr="003D2A76">
        <w:rPr>
          <w:rFonts w:asciiTheme="majorBidi" w:hAnsiTheme="majorBidi" w:cstheme="majorBidi"/>
          <w:lang w:val="en-GB"/>
        </w:rPr>
        <w:t xml:space="preserve">1308–1317. </w:t>
      </w:r>
      <w:hyperlink r:id="rId60" w:history="1">
        <w:r w:rsidRPr="003D2A76">
          <w:rPr>
            <w:rStyle w:val="Hyperlink"/>
            <w:rFonts w:asciiTheme="majorBidi" w:hAnsiTheme="majorBidi" w:cstheme="majorBidi"/>
            <w:lang w:val="en-GB"/>
          </w:rPr>
          <w:t>https://doi.org/10.3758/s13428-015-0624-x</w:t>
        </w:r>
      </w:hyperlink>
      <w:r w:rsidR="00CD17B7" w:rsidRPr="003D2A76">
        <w:rPr>
          <w:lang w:val="en-GB"/>
        </w:rPr>
        <w:t>.</w:t>
      </w:r>
    </w:p>
    <w:p w14:paraId="12556292" w14:textId="39ACC8A2" w:rsidR="009B138E" w:rsidRPr="004A431D" w:rsidRDefault="009B138E" w:rsidP="009B138E">
      <w:pPr>
        <w:bidi w:val="0"/>
        <w:ind w:hanging="720"/>
        <w:rPr>
          <w:rStyle w:val="Hyperlink"/>
          <w:rFonts w:asciiTheme="majorBidi" w:hAnsiTheme="majorBidi" w:cstheme="majorBidi"/>
          <w:color w:val="auto"/>
          <w:lang w:val="en-GB"/>
        </w:rPr>
      </w:pPr>
      <w:r w:rsidRPr="004A431D">
        <w:rPr>
          <w:rStyle w:val="Hyperlink"/>
          <w:rFonts w:asciiTheme="majorBidi" w:hAnsiTheme="majorBidi" w:cstheme="majorBidi"/>
          <w:color w:val="auto"/>
          <w:lang w:val="en-GB"/>
        </w:rPr>
        <w:t>IBM Corporation (2022) IBM SPSS Statistics for Windows (Version 29.0) [Computer software]. IBM Corp.</w:t>
      </w:r>
    </w:p>
    <w:p w14:paraId="3C9F27E7" w14:textId="77777777" w:rsidR="003A1009" w:rsidRPr="003A1009" w:rsidRDefault="003A1009" w:rsidP="00BD6279">
      <w:pPr>
        <w:bidi w:val="0"/>
        <w:ind w:hanging="720"/>
        <w:rPr>
          <w:b/>
          <w:bCs/>
        </w:rPr>
      </w:pPr>
      <w:r w:rsidRPr="003A1009">
        <w:rPr>
          <w:rStyle w:val="Strong"/>
          <w:b w:val="0"/>
          <w:bCs w:val="0"/>
        </w:rPr>
        <w:t xml:space="preserve">Johnson, P.O. and Neyman, J. (1936) ‘Tests of certain linear hypotheses and their application to some educational problems’, </w:t>
      </w:r>
      <w:r w:rsidRPr="003A1009">
        <w:rPr>
          <w:rStyle w:val="Emphasis"/>
          <w:rFonts w:eastAsiaTheme="majorEastAsia"/>
        </w:rPr>
        <w:t>Statistical Research Memoirs</w:t>
      </w:r>
      <w:r w:rsidRPr="003A1009">
        <w:rPr>
          <w:rStyle w:val="Strong"/>
          <w:b w:val="0"/>
          <w:bCs w:val="0"/>
        </w:rPr>
        <w:t>, 1, pp. 57–93.</w:t>
      </w:r>
      <w:r w:rsidRPr="003A1009">
        <w:rPr>
          <w:b/>
          <w:bCs/>
        </w:rPr>
        <w:t xml:space="preserve"> </w:t>
      </w:r>
    </w:p>
    <w:p w14:paraId="2A744689" w14:textId="5ECEBFC1" w:rsidR="00992606" w:rsidRPr="003D2A76" w:rsidRDefault="00992606" w:rsidP="003A1009">
      <w:pPr>
        <w:bidi w:val="0"/>
        <w:ind w:hanging="720"/>
        <w:rPr>
          <w:rFonts w:asciiTheme="majorBidi" w:hAnsiTheme="majorBidi" w:cstheme="majorBidi"/>
          <w:lang w:val="en-GB"/>
        </w:rPr>
      </w:pPr>
      <w:r w:rsidRPr="003D2A76">
        <w:rPr>
          <w:rFonts w:asciiTheme="majorBidi" w:hAnsiTheme="majorBidi" w:cstheme="majorBidi"/>
          <w:lang w:val="en-GB"/>
        </w:rPr>
        <w:t xml:space="preserve">Kaiser, H. F. (1974) </w:t>
      </w:r>
      <w:r w:rsidR="00CD17B7" w:rsidRPr="003D2A76">
        <w:rPr>
          <w:rFonts w:asciiTheme="majorBidi" w:hAnsiTheme="majorBidi" w:cstheme="majorBidi"/>
          <w:lang w:val="en-GB"/>
        </w:rPr>
        <w:t>“</w:t>
      </w:r>
      <w:r w:rsidRPr="003D2A76">
        <w:rPr>
          <w:rFonts w:asciiTheme="majorBidi" w:hAnsiTheme="majorBidi" w:cstheme="majorBidi"/>
          <w:lang w:val="en-GB"/>
        </w:rPr>
        <w:t>An index of factorial simplicity</w:t>
      </w:r>
      <w:r w:rsidR="00CD17B7"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Psychometrika</w:t>
      </w:r>
      <w:r w:rsidRPr="009A04CD">
        <w:rPr>
          <w:rFonts w:asciiTheme="majorBidi" w:hAnsiTheme="majorBidi" w:cstheme="majorBidi"/>
          <w:lang w:val="en-GB"/>
        </w:rPr>
        <w:t>, 39</w:t>
      </w:r>
      <w:r w:rsidRPr="003D2A76">
        <w:rPr>
          <w:rFonts w:asciiTheme="majorBidi" w:hAnsiTheme="majorBidi" w:cstheme="majorBidi"/>
          <w:lang w:val="en-GB"/>
        </w:rPr>
        <w:t xml:space="preserve">(1), </w:t>
      </w:r>
      <w:r w:rsidR="00CD17B7" w:rsidRPr="003D2A76">
        <w:rPr>
          <w:rFonts w:asciiTheme="majorBidi" w:hAnsiTheme="majorBidi" w:cstheme="majorBidi"/>
          <w:lang w:val="en-GB"/>
        </w:rPr>
        <w:t xml:space="preserve">pp. </w:t>
      </w:r>
      <w:r w:rsidRPr="003D2A76">
        <w:rPr>
          <w:rFonts w:asciiTheme="majorBidi" w:hAnsiTheme="majorBidi" w:cstheme="majorBidi"/>
          <w:lang w:val="en-GB"/>
        </w:rPr>
        <w:t xml:space="preserve">31–36. </w:t>
      </w:r>
      <w:hyperlink r:id="rId61" w:history="1">
        <w:r w:rsidRPr="003D2A76">
          <w:rPr>
            <w:rStyle w:val="Hyperlink"/>
            <w:rFonts w:asciiTheme="majorBidi" w:hAnsiTheme="majorBidi" w:cstheme="majorBidi"/>
            <w:lang w:val="en-GB"/>
          </w:rPr>
          <w:t>https://doi.org/10.1007/BF02291575</w:t>
        </w:r>
      </w:hyperlink>
      <w:r w:rsidR="00CD17B7" w:rsidRPr="003D2A76">
        <w:rPr>
          <w:lang w:val="en-GB"/>
        </w:rPr>
        <w:t>.</w:t>
      </w:r>
    </w:p>
    <w:p w14:paraId="4EBDC6B6" w14:textId="4007CEA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Kaiser, H. F., &amp; Rice, J. (1974) </w:t>
      </w:r>
      <w:r w:rsidR="0001713D" w:rsidRPr="003D2A76">
        <w:rPr>
          <w:rFonts w:asciiTheme="majorBidi" w:hAnsiTheme="majorBidi" w:cstheme="majorBidi"/>
          <w:lang w:val="en-GB"/>
        </w:rPr>
        <w:t>“</w:t>
      </w:r>
      <w:r w:rsidRPr="003D2A76">
        <w:rPr>
          <w:rFonts w:asciiTheme="majorBidi" w:hAnsiTheme="majorBidi" w:cstheme="majorBidi"/>
          <w:lang w:val="en-GB"/>
        </w:rPr>
        <w:t>Little Jiffy, Mark IV</w:t>
      </w:r>
      <w:r w:rsidR="0001713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Educational and Psychological Measurement</w:t>
      </w:r>
      <w:r w:rsidRPr="009A04CD">
        <w:rPr>
          <w:rFonts w:asciiTheme="majorBidi" w:hAnsiTheme="majorBidi" w:cstheme="majorBidi"/>
          <w:lang w:val="en-GB"/>
        </w:rPr>
        <w:t>, 34</w:t>
      </w:r>
      <w:r w:rsidRPr="003D2A76">
        <w:rPr>
          <w:rFonts w:asciiTheme="majorBidi" w:hAnsiTheme="majorBidi" w:cstheme="majorBidi"/>
          <w:lang w:val="en-GB"/>
        </w:rPr>
        <w:t xml:space="preserve">(1), </w:t>
      </w:r>
      <w:r w:rsidR="0001713D" w:rsidRPr="003D2A76">
        <w:rPr>
          <w:rFonts w:asciiTheme="majorBidi" w:hAnsiTheme="majorBidi" w:cstheme="majorBidi"/>
          <w:lang w:val="en-GB"/>
        </w:rPr>
        <w:t xml:space="preserve">pp. </w:t>
      </w:r>
      <w:r w:rsidRPr="003D2A76">
        <w:rPr>
          <w:rFonts w:asciiTheme="majorBidi" w:hAnsiTheme="majorBidi" w:cstheme="majorBidi"/>
          <w:lang w:val="en-GB"/>
        </w:rPr>
        <w:t xml:space="preserve">111–117. </w:t>
      </w:r>
      <w:hyperlink r:id="rId62" w:history="1">
        <w:r w:rsidRPr="003D2A76">
          <w:rPr>
            <w:rStyle w:val="Hyperlink"/>
            <w:rFonts w:asciiTheme="majorBidi" w:hAnsiTheme="majorBidi" w:cstheme="majorBidi"/>
            <w:lang w:val="en-GB"/>
          </w:rPr>
          <w:t>https://doi.org/10.1177/001316447403400115</w:t>
        </w:r>
      </w:hyperlink>
      <w:r w:rsidR="0001713D" w:rsidRPr="003D2A76">
        <w:rPr>
          <w:lang w:val="en-GB"/>
        </w:rPr>
        <w:t>.</w:t>
      </w:r>
    </w:p>
    <w:p w14:paraId="617D0291" w14:textId="068FCF6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Keith, T. Z. (2019) </w:t>
      </w:r>
      <w:r w:rsidRPr="003D2A76">
        <w:rPr>
          <w:rFonts w:asciiTheme="majorBidi" w:hAnsiTheme="majorBidi" w:cstheme="majorBidi"/>
          <w:i/>
          <w:iCs/>
          <w:lang w:val="en-GB"/>
        </w:rPr>
        <w:t>Multiple regression and beyond: An introduction to multiple regression and structural equation modeling</w:t>
      </w:r>
      <w:r w:rsidRPr="003D2A76">
        <w:rPr>
          <w:rFonts w:asciiTheme="majorBidi" w:hAnsiTheme="majorBidi" w:cstheme="majorBidi"/>
          <w:lang w:val="en-GB"/>
        </w:rPr>
        <w:t xml:space="preserve"> (3rd ed.). Routledge.</w:t>
      </w:r>
    </w:p>
    <w:p w14:paraId="13D85556" w14:textId="511139E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Kline, R. B. (2023) </w:t>
      </w:r>
      <w:r w:rsidRPr="003D2A76">
        <w:rPr>
          <w:rFonts w:asciiTheme="majorBidi" w:hAnsiTheme="majorBidi" w:cstheme="majorBidi"/>
          <w:i/>
          <w:iCs/>
          <w:lang w:val="en-GB"/>
        </w:rPr>
        <w:t>Principles and practice of structural equation modeling</w:t>
      </w:r>
      <w:r w:rsidRPr="003D2A76">
        <w:rPr>
          <w:rFonts w:asciiTheme="majorBidi" w:hAnsiTheme="majorBidi" w:cstheme="majorBidi"/>
          <w:lang w:val="en-GB"/>
        </w:rPr>
        <w:t xml:space="preserve"> (5th ed.). The Guilford Press.</w:t>
      </w:r>
    </w:p>
    <w:p w14:paraId="6D4E83DB" w14:textId="1CE64A6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Kotler, P., &amp; Fox, K. F. A. (1995) </w:t>
      </w:r>
      <w:r w:rsidRPr="003D2A76">
        <w:rPr>
          <w:rFonts w:asciiTheme="majorBidi" w:hAnsiTheme="majorBidi" w:cstheme="majorBidi"/>
          <w:i/>
          <w:iCs/>
          <w:lang w:val="en-GB"/>
        </w:rPr>
        <w:t>Strategic marketing for educational institutions</w:t>
      </w:r>
      <w:r w:rsidRPr="003D2A76">
        <w:rPr>
          <w:rFonts w:asciiTheme="majorBidi" w:hAnsiTheme="majorBidi" w:cstheme="majorBidi"/>
          <w:lang w:val="en-GB"/>
        </w:rPr>
        <w:t xml:space="preserve"> (2nd ed.). Prentice Hall.</w:t>
      </w:r>
    </w:p>
    <w:p w14:paraId="78254A90" w14:textId="0D30538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Krejcie, R. V., &amp; Morgan, D. W. (1970) </w:t>
      </w:r>
      <w:r w:rsidR="0001713D" w:rsidRPr="003D2A76">
        <w:rPr>
          <w:rFonts w:asciiTheme="majorBidi" w:hAnsiTheme="majorBidi" w:cstheme="majorBidi"/>
          <w:lang w:val="en-GB"/>
        </w:rPr>
        <w:t>“</w:t>
      </w:r>
      <w:r w:rsidRPr="003D2A76">
        <w:rPr>
          <w:rFonts w:asciiTheme="majorBidi" w:hAnsiTheme="majorBidi" w:cstheme="majorBidi"/>
          <w:lang w:val="en-GB"/>
        </w:rPr>
        <w:t>Determining sample size for research activities</w:t>
      </w:r>
      <w:r w:rsidR="0001713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Educational and Psychological Measurement</w:t>
      </w:r>
      <w:r w:rsidRPr="009A04CD">
        <w:rPr>
          <w:rFonts w:asciiTheme="majorBidi" w:hAnsiTheme="majorBidi" w:cstheme="majorBidi"/>
          <w:lang w:val="en-GB"/>
        </w:rPr>
        <w:t>, 30</w:t>
      </w:r>
      <w:r w:rsidRPr="003D2A76">
        <w:rPr>
          <w:rFonts w:asciiTheme="majorBidi" w:hAnsiTheme="majorBidi" w:cstheme="majorBidi"/>
          <w:lang w:val="en-GB"/>
        </w:rPr>
        <w:t xml:space="preserve">(3), </w:t>
      </w:r>
      <w:r w:rsidR="0001713D" w:rsidRPr="003D2A76">
        <w:rPr>
          <w:rFonts w:asciiTheme="majorBidi" w:hAnsiTheme="majorBidi" w:cstheme="majorBidi"/>
          <w:lang w:val="en-GB"/>
        </w:rPr>
        <w:t xml:space="preserve">pp. </w:t>
      </w:r>
      <w:r w:rsidRPr="003D2A76">
        <w:rPr>
          <w:rFonts w:asciiTheme="majorBidi" w:hAnsiTheme="majorBidi" w:cstheme="majorBidi"/>
          <w:lang w:val="en-GB"/>
        </w:rPr>
        <w:t xml:space="preserve">607–610. </w:t>
      </w:r>
      <w:hyperlink r:id="rId63" w:history="1">
        <w:r w:rsidRPr="003D2A76">
          <w:rPr>
            <w:rStyle w:val="Hyperlink"/>
            <w:rFonts w:asciiTheme="majorBidi" w:hAnsiTheme="majorBidi" w:cstheme="majorBidi"/>
            <w:lang w:val="en-GB"/>
          </w:rPr>
          <w:t>https://doi.org/10.1177/001316447003000308</w:t>
        </w:r>
      </w:hyperlink>
      <w:r w:rsidR="0001713D" w:rsidRPr="003D2A76">
        <w:rPr>
          <w:lang w:val="en-GB"/>
        </w:rPr>
        <w:t>.</w:t>
      </w:r>
    </w:p>
    <w:p w14:paraId="49AA66A1" w14:textId="120036D6"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Kumar, R. (2019) </w:t>
      </w:r>
      <w:r w:rsidRPr="003D2A76">
        <w:rPr>
          <w:rFonts w:asciiTheme="majorBidi" w:hAnsiTheme="majorBidi" w:cstheme="majorBidi"/>
          <w:i/>
          <w:iCs/>
          <w:lang w:val="en-GB"/>
        </w:rPr>
        <w:t>Research methodology: A step-by-step guide for beginners</w:t>
      </w:r>
      <w:r w:rsidRPr="003D2A76">
        <w:rPr>
          <w:rFonts w:asciiTheme="majorBidi" w:hAnsiTheme="majorBidi" w:cstheme="majorBidi"/>
          <w:lang w:val="en-GB"/>
        </w:rPr>
        <w:t xml:space="preserve"> (5th ed.). Sage Publications.</w:t>
      </w:r>
    </w:p>
    <w:p w14:paraId="0422B85E" w14:textId="365FCF31" w:rsidR="006B1A71" w:rsidRPr="003D2A76" w:rsidRDefault="006B1A71" w:rsidP="006B1A71">
      <w:pPr>
        <w:bidi w:val="0"/>
        <w:ind w:hanging="720"/>
        <w:rPr>
          <w:rFonts w:asciiTheme="majorBidi" w:hAnsiTheme="majorBidi" w:cstheme="majorBidi"/>
          <w:lang w:val="en-GB"/>
        </w:rPr>
      </w:pPr>
      <w:r w:rsidRPr="003D2A76">
        <w:rPr>
          <w:rFonts w:asciiTheme="majorBidi" w:hAnsiTheme="majorBidi" w:cstheme="majorBidi"/>
          <w:lang w:val="en-GB"/>
        </w:rPr>
        <w:t xml:space="preserve">Ladhari, R. (2009) </w:t>
      </w:r>
      <w:r w:rsidR="0001713D" w:rsidRPr="003D2A76">
        <w:rPr>
          <w:rFonts w:asciiTheme="majorBidi" w:hAnsiTheme="majorBidi" w:cstheme="majorBidi"/>
          <w:lang w:val="en-GB"/>
        </w:rPr>
        <w:t>“</w:t>
      </w:r>
      <w:r w:rsidRPr="003D2A76">
        <w:rPr>
          <w:rFonts w:asciiTheme="majorBidi" w:hAnsiTheme="majorBidi" w:cstheme="majorBidi"/>
          <w:lang w:val="en-GB"/>
        </w:rPr>
        <w:t>A review of twenty years of SERVQUAL research</w:t>
      </w:r>
      <w:r w:rsidR="0001713D" w:rsidRPr="003D2A76">
        <w:rPr>
          <w:rFonts w:asciiTheme="majorBidi" w:hAnsiTheme="majorBidi" w:cstheme="majorBidi"/>
          <w:lang w:val="en-GB"/>
        </w:rPr>
        <w:t>”,</w:t>
      </w:r>
      <w:r w:rsidRPr="003D2A76">
        <w:rPr>
          <w:rFonts w:asciiTheme="majorBidi" w:hAnsiTheme="majorBidi" w:cstheme="majorBidi"/>
          <w:lang w:val="en-GB"/>
        </w:rPr>
        <w:t xml:space="preserve"> </w:t>
      </w:r>
      <w:r w:rsidRPr="009A04CD">
        <w:rPr>
          <w:rFonts w:asciiTheme="majorBidi" w:hAnsiTheme="majorBidi" w:cstheme="majorBidi"/>
          <w:i/>
          <w:iCs/>
          <w:lang w:val="en-GB"/>
        </w:rPr>
        <w:t>International Journal of Quality and Service Sciences</w:t>
      </w:r>
      <w:r w:rsidRPr="003D2A76">
        <w:rPr>
          <w:rFonts w:asciiTheme="majorBidi" w:hAnsiTheme="majorBidi" w:cstheme="majorBidi"/>
          <w:lang w:val="en-GB"/>
        </w:rPr>
        <w:t xml:space="preserve">, 1(2), </w:t>
      </w:r>
      <w:r w:rsidR="0001713D" w:rsidRPr="003D2A76">
        <w:rPr>
          <w:rFonts w:asciiTheme="majorBidi" w:hAnsiTheme="majorBidi" w:cstheme="majorBidi"/>
          <w:lang w:val="en-GB"/>
        </w:rPr>
        <w:t xml:space="preserve">pp. </w:t>
      </w:r>
      <w:r w:rsidRPr="003D2A76">
        <w:rPr>
          <w:rFonts w:asciiTheme="majorBidi" w:hAnsiTheme="majorBidi" w:cstheme="majorBidi"/>
          <w:lang w:val="en-GB"/>
        </w:rPr>
        <w:t>172–198. https://doi.org/10.1108/17566690910971445</w:t>
      </w:r>
      <w:r w:rsidR="0001713D" w:rsidRPr="003D2A76">
        <w:rPr>
          <w:rFonts w:asciiTheme="majorBidi" w:hAnsiTheme="majorBidi" w:cstheme="majorBidi"/>
          <w:lang w:val="en-GB"/>
        </w:rPr>
        <w:t>.</w:t>
      </w:r>
    </w:p>
    <w:p w14:paraId="012FF80F" w14:textId="7F29F9B2" w:rsidR="006B1A71" w:rsidRPr="003D2A76" w:rsidRDefault="006B1A71" w:rsidP="006B1A71">
      <w:pPr>
        <w:bidi w:val="0"/>
        <w:ind w:hanging="720"/>
        <w:rPr>
          <w:rFonts w:asciiTheme="majorBidi" w:hAnsiTheme="majorBidi" w:cstheme="majorBidi"/>
          <w:lang w:val="en-GB"/>
        </w:rPr>
      </w:pPr>
      <w:r w:rsidRPr="003D2A76">
        <w:rPr>
          <w:rFonts w:asciiTheme="majorBidi" w:hAnsiTheme="majorBidi" w:cstheme="majorBidi"/>
          <w:lang w:val="en-GB"/>
        </w:rPr>
        <w:t xml:space="preserve">Ledden, L., Kalafatis, S. P., &amp; Samouel, P. (2007) </w:t>
      </w:r>
      <w:r w:rsidR="0001713D" w:rsidRPr="003D2A76">
        <w:rPr>
          <w:rFonts w:asciiTheme="majorBidi" w:hAnsiTheme="majorBidi" w:cstheme="majorBidi"/>
          <w:lang w:val="en-GB"/>
        </w:rPr>
        <w:t>“</w:t>
      </w:r>
      <w:r w:rsidRPr="003D2A76">
        <w:rPr>
          <w:rFonts w:asciiTheme="majorBidi" w:hAnsiTheme="majorBidi" w:cstheme="majorBidi"/>
          <w:lang w:val="en-GB"/>
        </w:rPr>
        <w:t>The relationship between personal values and perceived value of education</w:t>
      </w:r>
      <w:r w:rsidR="0001713D" w:rsidRPr="003D2A76">
        <w:rPr>
          <w:rFonts w:asciiTheme="majorBidi" w:hAnsiTheme="majorBidi" w:cstheme="majorBidi"/>
          <w:lang w:val="en-GB"/>
        </w:rPr>
        <w:t>”,</w:t>
      </w:r>
      <w:r w:rsidRPr="003D2A76">
        <w:rPr>
          <w:rFonts w:asciiTheme="majorBidi" w:hAnsiTheme="majorBidi" w:cstheme="majorBidi"/>
          <w:lang w:val="en-GB"/>
        </w:rPr>
        <w:t xml:space="preserve"> </w:t>
      </w:r>
      <w:r w:rsidRPr="009A04CD">
        <w:rPr>
          <w:rFonts w:asciiTheme="majorBidi" w:hAnsiTheme="majorBidi" w:cstheme="majorBidi"/>
          <w:i/>
          <w:iCs/>
          <w:lang w:val="en-GB"/>
        </w:rPr>
        <w:t>Journal of Business Research</w:t>
      </w:r>
      <w:r w:rsidRPr="003D2A76">
        <w:rPr>
          <w:rFonts w:asciiTheme="majorBidi" w:hAnsiTheme="majorBidi" w:cstheme="majorBidi"/>
          <w:lang w:val="en-GB"/>
        </w:rPr>
        <w:t xml:space="preserve">, 60(9), </w:t>
      </w:r>
      <w:r w:rsidR="0001713D" w:rsidRPr="003D2A76">
        <w:rPr>
          <w:rFonts w:asciiTheme="majorBidi" w:hAnsiTheme="majorBidi" w:cstheme="majorBidi"/>
          <w:lang w:val="en-GB"/>
        </w:rPr>
        <w:t xml:space="preserve">pp. </w:t>
      </w:r>
      <w:r w:rsidRPr="003D2A76">
        <w:rPr>
          <w:rFonts w:asciiTheme="majorBidi" w:hAnsiTheme="majorBidi" w:cstheme="majorBidi"/>
          <w:lang w:val="en-GB"/>
        </w:rPr>
        <w:t>965–974. https://doi.org/10.1016/j.jbusres.2007.01.021</w:t>
      </w:r>
      <w:r w:rsidR="0001713D" w:rsidRPr="003D2A76">
        <w:rPr>
          <w:rFonts w:asciiTheme="majorBidi" w:hAnsiTheme="majorBidi" w:cstheme="majorBidi"/>
          <w:lang w:val="en-GB"/>
        </w:rPr>
        <w:t>.</w:t>
      </w:r>
    </w:p>
    <w:p w14:paraId="04F8AB16" w14:textId="4A2E6C2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Levin, K. A. (2006) </w:t>
      </w:r>
      <w:r w:rsidR="0001713D" w:rsidRPr="003D2A76">
        <w:rPr>
          <w:rFonts w:asciiTheme="majorBidi" w:hAnsiTheme="majorBidi" w:cstheme="majorBidi"/>
          <w:lang w:val="en-GB"/>
        </w:rPr>
        <w:t>“</w:t>
      </w:r>
      <w:r w:rsidRPr="003D2A76">
        <w:rPr>
          <w:rFonts w:asciiTheme="majorBidi" w:hAnsiTheme="majorBidi" w:cstheme="majorBidi"/>
          <w:lang w:val="en-GB"/>
        </w:rPr>
        <w:t>Study design III: Cross-sectional studies</w:t>
      </w:r>
      <w:r w:rsidR="0001713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Evidence-Based Dentistry</w:t>
      </w:r>
      <w:r w:rsidRPr="009A04CD">
        <w:rPr>
          <w:rFonts w:asciiTheme="majorBidi" w:hAnsiTheme="majorBidi" w:cstheme="majorBidi"/>
          <w:lang w:val="en-GB"/>
        </w:rPr>
        <w:t>, 7</w:t>
      </w:r>
      <w:r w:rsidRPr="003D2A76">
        <w:rPr>
          <w:rFonts w:asciiTheme="majorBidi" w:hAnsiTheme="majorBidi" w:cstheme="majorBidi"/>
          <w:lang w:val="en-GB"/>
        </w:rPr>
        <w:t xml:space="preserve">(1), </w:t>
      </w:r>
      <w:r w:rsidR="0001713D" w:rsidRPr="003D2A76">
        <w:rPr>
          <w:rFonts w:asciiTheme="majorBidi" w:hAnsiTheme="majorBidi" w:cstheme="majorBidi"/>
          <w:lang w:val="en-GB"/>
        </w:rPr>
        <w:t xml:space="preserve">pp. </w:t>
      </w:r>
      <w:r w:rsidRPr="003D2A76">
        <w:rPr>
          <w:rFonts w:asciiTheme="majorBidi" w:hAnsiTheme="majorBidi" w:cstheme="majorBidi"/>
          <w:lang w:val="en-GB"/>
        </w:rPr>
        <w:t xml:space="preserve">24–25. </w:t>
      </w:r>
      <w:hyperlink r:id="rId64" w:history="1">
        <w:r w:rsidRPr="003D2A76">
          <w:rPr>
            <w:rStyle w:val="Hyperlink"/>
            <w:rFonts w:asciiTheme="majorBidi" w:hAnsiTheme="majorBidi" w:cstheme="majorBidi"/>
            <w:lang w:val="en-GB"/>
          </w:rPr>
          <w:t>https://doi.org/10.1038/sj.ebd.6400375</w:t>
        </w:r>
      </w:hyperlink>
      <w:r w:rsidR="0001713D" w:rsidRPr="003D2A76">
        <w:rPr>
          <w:lang w:val="en-GB"/>
        </w:rPr>
        <w:t>.</w:t>
      </w:r>
    </w:p>
    <w:p w14:paraId="52C82270" w14:textId="71F744E4"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Liamputtong, P. (2010) </w:t>
      </w:r>
      <w:r w:rsidRPr="003D2A76">
        <w:rPr>
          <w:rFonts w:asciiTheme="majorBidi" w:hAnsiTheme="majorBidi" w:cstheme="majorBidi"/>
          <w:i/>
          <w:iCs/>
          <w:lang w:val="en-GB"/>
        </w:rPr>
        <w:t>Performing qualitative cross-cultural research</w:t>
      </w:r>
      <w:r w:rsidRPr="003D2A76">
        <w:rPr>
          <w:rFonts w:asciiTheme="majorBidi" w:hAnsiTheme="majorBidi" w:cstheme="majorBidi"/>
          <w:lang w:val="en-GB"/>
        </w:rPr>
        <w:t>. Cambridge University Press.</w:t>
      </w:r>
    </w:p>
    <w:p w14:paraId="62DE0C69" w14:textId="7D1DA1B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MacCallum, R. C., Zhang, S., Preacher, K. J., &amp; Rucker, D. D. (2002) </w:t>
      </w:r>
      <w:r w:rsidR="00813FDD" w:rsidRPr="003D2A76">
        <w:rPr>
          <w:rFonts w:asciiTheme="majorBidi" w:hAnsiTheme="majorBidi" w:cstheme="majorBidi"/>
          <w:lang w:val="en-GB"/>
        </w:rPr>
        <w:t>“</w:t>
      </w:r>
      <w:r w:rsidRPr="003D2A76">
        <w:rPr>
          <w:rFonts w:asciiTheme="majorBidi" w:hAnsiTheme="majorBidi" w:cstheme="majorBidi"/>
          <w:lang w:val="en-GB"/>
        </w:rPr>
        <w:t>On the practice of dichotomization of quantitative variables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Psychological Methods</w:t>
      </w:r>
      <w:r w:rsidRPr="009A04CD">
        <w:rPr>
          <w:rFonts w:asciiTheme="majorBidi" w:hAnsiTheme="majorBidi" w:cstheme="majorBidi"/>
          <w:lang w:val="en-GB"/>
        </w:rPr>
        <w:t>, 7</w:t>
      </w:r>
      <w:r w:rsidRPr="003D2A76">
        <w:rPr>
          <w:rFonts w:asciiTheme="majorBidi" w:hAnsiTheme="majorBidi" w:cstheme="majorBidi"/>
          <w:lang w:val="en-GB"/>
        </w:rPr>
        <w:t xml:space="preserve">(1),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19–40. </w:t>
      </w:r>
      <w:hyperlink r:id="rId65" w:history="1">
        <w:r w:rsidRPr="003D2A76">
          <w:rPr>
            <w:rStyle w:val="Hyperlink"/>
            <w:rFonts w:asciiTheme="majorBidi" w:hAnsiTheme="majorBidi" w:cstheme="majorBidi"/>
            <w:lang w:val="en-GB"/>
          </w:rPr>
          <w:t>https://doi.org/10.1037/1082-989X.7.1.19</w:t>
        </w:r>
      </w:hyperlink>
      <w:r w:rsidR="00813FDD" w:rsidRPr="003D2A76">
        <w:rPr>
          <w:lang w:val="en-GB"/>
        </w:rPr>
        <w:t>.</w:t>
      </w:r>
    </w:p>
    <w:p w14:paraId="7B8EFD4B" w14:textId="3793A724"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MacKenzie, S. B., Podsakoff, P. M., &amp; Podsakoff, N. P. (2011) </w:t>
      </w:r>
      <w:r w:rsidR="00813FDD" w:rsidRPr="003D2A76">
        <w:rPr>
          <w:rFonts w:asciiTheme="majorBidi" w:hAnsiTheme="majorBidi" w:cstheme="majorBidi"/>
          <w:lang w:val="en-GB"/>
        </w:rPr>
        <w:t>“</w:t>
      </w:r>
      <w:r w:rsidRPr="003D2A76">
        <w:rPr>
          <w:rFonts w:asciiTheme="majorBidi" w:hAnsiTheme="majorBidi" w:cstheme="majorBidi"/>
          <w:lang w:val="en-GB"/>
        </w:rPr>
        <w:t>Construct measurement and validation procedures in MIS and behavioral research: Integrating new and existing techniques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MIS Quarterly</w:t>
      </w:r>
      <w:r w:rsidRPr="009A04CD">
        <w:rPr>
          <w:rFonts w:asciiTheme="majorBidi" w:hAnsiTheme="majorBidi" w:cstheme="majorBidi"/>
          <w:lang w:val="en-GB"/>
        </w:rPr>
        <w:t>, 35</w:t>
      </w:r>
      <w:r w:rsidRPr="003D2A76">
        <w:rPr>
          <w:rFonts w:asciiTheme="majorBidi" w:hAnsiTheme="majorBidi" w:cstheme="majorBidi"/>
          <w:lang w:val="en-GB"/>
        </w:rPr>
        <w:t xml:space="preserve">(2),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293–334. </w:t>
      </w:r>
      <w:hyperlink r:id="rId66" w:history="1">
        <w:r w:rsidRPr="003D2A76">
          <w:rPr>
            <w:rStyle w:val="Hyperlink"/>
            <w:rFonts w:asciiTheme="majorBidi" w:hAnsiTheme="majorBidi" w:cstheme="majorBidi"/>
            <w:lang w:val="en-GB"/>
          </w:rPr>
          <w:t>https://doi.org/10.2307/23044045</w:t>
        </w:r>
      </w:hyperlink>
      <w:r w:rsidR="00813FDD" w:rsidRPr="003D2A76">
        <w:rPr>
          <w:lang w:val="en-GB"/>
        </w:rPr>
        <w:t>.</w:t>
      </w:r>
    </w:p>
    <w:p w14:paraId="37982EB1" w14:textId="64BC285A"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MacKinnon, D. P., Krull, J. L., &amp; Lockwood, C. M. (2000) </w:t>
      </w:r>
      <w:r w:rsidR="00813FDD" w:rsidRPr="003D2A76">
        <w:rPr>
          <w:rFonts w:asciiTheme="majorBidi" w:hAnsiTheme="majorBidi" w:cstheme="majorBidi"/>
          <w:lang w:val="en-GB"/>
        </w:rPr>
        <w:t>“</w:t>
      </w:r>
      <w:r w:rsidRPr="003D2A76">
        <w:rPr>
          <w:rFonts w:asciiTheme="majorBidi" w:hAnsiTheme="majorBidi" w:cstheme="majorBidi"/>
          <w:lang w:val="en-GB"/>
        </w:rPr>
        <w:t>Equivalence of the mediation, confounding and suppression effect</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Prevention Science</w:t>
      </w:r>
      <w:r w:rsidRPr="009A04CD">
        <w:rPr>
          <w:rFonts w:asciiTheme="majorBidi" w:hAnsiTheme="majorBidi" w:cstheme="majorBidi"/>
          <w:lang w:val="en-GB"/>
        </w:rPr>
        <w:t>, 1</w:t>
      </w:r>
      <w:r w:rsidRPr="003D2A76">
        <w:rPr>
          <w:rFonts w:asciiTheme="majorBidi" w:hAnsiTheme="majorBidi" w:cstheme="majorBidi"/>
          <w:lang w:val="en-GB"/>
        </w:rPr>
        <w:t xml:space="preserve">(4),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173–181. </w:t>
      </w:r>
      <w:hyperlink r:id="rId67" w:history="1">
        <w:r w:rsidRPr="003D2A76">
          <w:rPr>
            <w:rStyle w:val="Hyperlink"/>
            <w:rFonts w:asciiTheme="majorBidi" w:hAnsiTheme="majorBidi" w:cstheme="majorBidi"/>
            <w:lang w:val="en-GB"/>
          </w:rPr>
          <w:t>https://doi.org/10.1023/A:1026595011371</w:t>
        </w:r>
      </w:hyperlink>
      <w:r w:rsidR="00813FDD" w:rsidRPr="003D2A76">
        <w:rPr>
          <w:lang w:val="en-GB"/>
        </w:rPr>
        <w:t>.</w:t>
      </w:r>
    </w:p>
    <w:p w14:paraId="16B9AAC2" w14:textId="4CC1483B" w:rsidR="0026382A" w:rsidRPr="003D2A76" w:rsidRDefault="00992606" w:rsidP="0026382A">
      <w:pPr>
        <w:bidi w:val="0"/>
        <w:ind w:hanging="720"/>
        <w:rPr>
          <w:rFonts w:asciiTheme="majorBidi" w:hAnsiTheme="majorBidi" w:cstheme="majorBidi"/>
          <w:lang w:val="en-GB"/>
        </w:rPr>
      </w:pPr>
      <w:r w:rsidRPr="003D2A76">
        <w:rPr>
          <w:rFonts w:asciiTheme="majorBidi" w:hAnsiTheme="majorBidi" w:cstheme="majorBidi"/>
          <w:lang w:val="en-GB"/>
        </w:rPr>
        <w:t xml:space="preserve">McKinney, V. (2017) </w:t>
      </w:r>
      <w:r w:rsidRPr="003D2A76">
        <w:rPr>
          <w:rFonts w:asciiTheme="majorBidi" w:hAnsiTheme="majorBidi" w:cstheme="majorBidi"/>
          <w:i/>
          <w:iCs/>
          <w:lang w:val="en-GB"/>
        </w:rPr>
        <w:t>Understanding and measuring student satisfaction in higher education</w:t>
      </w:r>
      <w:r w:rsidRPr="003D2A76">
        <w:rPr>
          <w:rFonts w:asciiTheme="majorBidi" w:hAnsiTheme="majorBidi" w:cstheme="majorBidi"/>
          <w:lang w:val="en-GB"/>
        </w:rPr>
        <w:t>. Higher Education Press.</w:t>
      </w:r>
    </w:p>
    <w:p w14:paraId="21BF0403" w14:textId="59A0B329"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Memon, M. A., Ting, H., Cheah, J.-H., Thurasamy, R., Chuah, F., &amp; Cham, T. H. (2020) </w:t>
      </w:r>
      <w:r w:rsidR="00813FDD" w:rsidRPr="003D2A76">
        <w:rPr>
          <w:rFonts w:asciiTheme="majorBidi" w:hAnsiTheme="majorBidi" w:cstheme="majorBidi"/>
          <w:lang w:val="en-GB"/>
        </w:rPr>
        <w:t>“</w:t>
      </w:r>
      <w:r w:rsidRPr="003D2A76">
        <w:rPr>
          <w:rFonts w:asciiTheme="majorBidi" w:hAnsiTheme="majorBidi" w:cstheme="majorBidi"/>
          <w:lang w:val="en-GB"/>
        </w:rPr>
        <w:t>Sample size for survey research: Review and recommendations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Applied Structural Equation Modeling</w:t>
      </w:r>
      <w:r w:rsidRPr="009A04CD">
        <w:rPr>
          <w:rFonts w:asciiTheme="majorBidi" w:hAnsiTheme="majorBidi" w:cstheme="majorBidi"/>
          <w:lang w:val="en-GB"/>
        </w:rPr>
        <w:t>, 4</w:t>
      </w:r>
      <w:r w:rsidRPr="003D2A76">
        <w:rPr>
          <w:rFonts w:asciiTheme="majorBidi" w:hAnsiTheme="majorBidi" w:cstheme="majorBidi"/>
          <w:lang w:val="en-GB"/>
        </w:rPr>
        <w:t xml:space="preserve">(2),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i–xx. </w:t>
      </w:r>
      <w:hyperlink r:id="rId68" w:history="1">
        <w:r w:rsidRPr="003D2A76">
          <w:rPr>
            <w:rStyle w:val="Hyperlink"/>
            <w:rFonts w:asciiTheme="majorBidi" w:hAnsiTheme="majorBidi" w:cstheme="majorBidi"/>
            <w:lang w:val="en-GB"/>
          </w:rPr>
          <w:t>https://doi.org/10.47263/JASEM.4(2)01</w:t>
        </w:r>
      </w:hyperlink>
      <w:r w:rsidR="00813FDD" w:rsidRPr="003D2A76">
        <w:rPr>
          <w:lang w:val="en-GB"/>
        </w:rPr>
        <w:t>.</w:t>
      </w:r>
    </w:p>
    <w:p w14:paraId="3809B40B" w14:textId="273B1030"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Ministry of Education, Kingdom of Saudi Arabia (2024) </w:t>
      </w:r>
      <w:r w:rsidR="00813FDD" w:rsidRPr="003D2A76">
        <w:rPr>
          <w:rFonts w:asciiTheme="majorBidi" w:hAnsiTheme="majorBidi" w:cstheme="majorBidi"/>
          <w:lang w:val="en-GB"/>
        </w:rPr>
        <w:t>“</w:t>
      </w:r>
      <w:r w:rsidRPr="003D2A76">
        <w:rPr>
          <w:rFonts w:asciiTheme="majorBidi" w:hAnsiTheme="majorBidi" w:cstheme="majorBidi"/>
          <w:lang w:val="en-GB"/>
        </w:rPr>
        <w:t>Annual statistical report on general education 2023/2024</w:t>
      </w:r>
      <w:r w:rsidR="00813FDD" w:rsidRPr="003D2A76">
        <w:rPr>
          <w:rFonts w:asciiTheme="majorBidi" w:hAnsiTheme="majorBidi" w:cstheme="majorBidi"/>
          <w:lang w:val="en-GB"/>
        </w:rPr>
        <w:t>”,</w:t>
      </w:r>
      <w:r w:rsidRPr="003D2A76">
        <w:rPr>
          <w:rFonts w:asciiTheme="majorBidi" w:hAnsiTheme="majorBidi" w:cstheme="majorBidi"/>
          <w:lang w:val="en-GB"/>
        </w:rPr>
        <w:t xml:space="preserve"> Riyadh, Saudi Arabia: MoE. Retrieved from </w:t>
      </w:r>
      <w:hyperlink r:id="rId69" w:history="1">
        <w:r w:rsidRPr="003D2A76">
          <w:rPr>
            <w:rStyle w:val="Hyperlink"/>
            <w:rFonts w:asciiTheme="majorBidi" w:hAnsiTheme="majorBidi" w:cstheme="majorBidi"/>
            <w:lang w:val="en-GB"/>
          </w:rPr>
          <w:t>https://moe.gov.sa</w:t>
        </w:r>
      </w:hyperlink>
      <w:r w:rsidR="00813FDD" w:rsidRPr="003D2A76">
        <w:rPr>
          <w:lang w:val="en-GB"/>
        </w:rPr>
        <w:t>.</w:t>
      </w:r>
    </w:p>
    <w:p w14:paraId="674CD260" w14:textId="68C0171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Mordor Intelligence (2024) </w:t>
      </w:r>
      <w:r w:rsidR="00813FDD" w:rsidRPr="003D2A76">
        <w:rPr>
          <w:rFonts w:asciiTheme="majorBidi" w:hAnsiTheme="majorBidi" w:cstheme="majorBidi"/>
          <w:lang w:val="en-GB"/>
        </w:rPr>
        <w:t>“</w:t>
      </w:r>
      <w:r w:rsidRPr="003D2A76">
        <w:rPr>
          <w:rFonts w:asciiTheme="majorBidi" w:hAnsiTheme="majorBidi" w:cstheme="majorBidi"/>
          <w:lang w:val="en-GB"/>
        </w:rPr>
        <w:t>KSA private K-12 education market: Size, share &amp; analysis (2024–2029)</w:t>
      </w:r>
      <w:r w:rsidR="00813FDD" w:rsidRPr="003D2A76">
        <w:rPr>
          <w:rFonts w:asciiTheme="majorBidi" w:hAnsiTheme="majorBidi" w:cstheme="majorBidi"/>
          <w:lang w:val="en-GB"/>
        </w:rPr>
        <w:t>”,</w:t>
      </w:r>
      <w:r w:rsidRPr="003D2A76">
        <w:rPr>
          <w:rFonts w:asciiTheme="majorBidi" w:hAnsiTheme="majorBidi" w:cstheme="majorBidi"/>
          <w:lang w:val="en-GB"/>
        </w:rPr>
        <w:t xml:space="preserve"> Mordor Intelligence. Retrieved from </w:t>
      </w:r>
      <w:hyperlink r:id="rId70" w:history="1">
        <w:r w:rsidRPr="003D2A76">
          <w:rPr>
            <w:rStyle w:val="Hyperlink"/>
            <w:rFonts w:asciiTheme="majorBidi" w:hAnsiTheme="majorBidi" w:cstheme="majorBidi"/>
            <w:lang w:val="en-GB"/>
          </w:rPr>
          <w:t>https://www.mordorintelligence.com/industry-reports/ksa-private-k12-education-market</w:t>
        </w:r>
      </w:hyperlink>
      <w:r w:rsidR="00813FDD" w:rsidRPr="003D2A76">
        <w:rPr>
          <w:lang w:val="en-GB"/>
        </w:rPr>
        <w:t>.</w:t>
      </w:r>
    </w:p>
    <w:p w14:paraId="092F988D" w14:textId="7D919E2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Morgan, R. M., &amp; Hunt, S. D. (1994) </w:t>
      </w:r>
      <w:r w:rsidR="00813FDD" w:rsidRPr="003D2A76">
        <w:rPr>
          <w:rFonts w:asciiTheme="majorBidi" w:hAnsiTheme="majorBidi" w:cstheme="majorBidi"/>
          <w:lang w:val="en-GB"/>
        </w:rPr>
        <w:t>“</w:t>
      </w:r>
      <w:r w:rsidRPr="003D2A76">
        <w:rPr>
          <w:rFonts w:asciiTheme="majorBidi" w:hAnsiTheme="majorBidi" w:cstheme="majorBidi"/>
          <w:lang w:val="en-GB"/>
        </w:rPr>
        <w:t>The commitment-trust theory of relationship marketing</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w:t>
      </w:r>
      <w:r w:rsidRPr="009A04CD">
        <w:rPr>
          <w:rFonts w:asciiTheme="majorBidi" w:hAnsiTheme="majorBidi" w:cstheme="majorBidi"/>
          <w:lang w:val="en-GB"/>
        </w:rPr>
        <w:t>, 58</w:t>
      </w:r>
      <w:r w:rsidRPr="003D2A76">
        <w:rPr>
          <w:rFonts w:asciiTheme="majorBidi" w:hAnsiTheme="majorBidi" w:cstheme="majorBidi"/>
          <w:lang w:val="en-GB"/>
        </w:rPr>
        <w:t xml:space="preserve">(3),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20–38. </w:t>
      </w:r>
      <w:hyperlink r:id="rId71" w:history="1">
        <w:r w:rsidRPr="003D2A76">
          <w:rPr>
            <w:rStyle w:val="Hyperlink"/>
            <w:rFonts w:asciiTheme="majorBidi" w:hAnsiTheme="majorBidi" w:cstheme="majorBidi"/>
            <w:lang w:val="en-GB"/>
          </w:rPr>
          <w:t>https://doi.org/10.1177/002224299405800302</w:t>
        </w:r>
      </w:hyperlink>
      <w:r w:rsidR="00813FDD" w:rsidRPr="003D2A76">
        <w:rPr>
          <w:lang w:val="en-GB"/>
        </w:rPr>
        <w:t>.</w:t>
      </w:r>
    </w:p>
    <w:p w14:paraId="01FC0D60" w14:textId="16EB72E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National Commission for the Protection of Human Subjects of Biomedical and Behavioral Research (1979) </w:t>
      </w:r>
      <w:r w:rsidRPr="003D2A76">
        <w:rPr>
          <w:rFonts w:asciiTheme="majorBidi" w:hAnsiTheme="majorBidi" w:cstheme="majorBidi"/>
          <w:i/>
          <w:iCs/>
          <w:lang w:val="en-GB"/>
        </w:rPr>
        <w:t>The Belmont Report: Ethical principles and guidelines for the protection of human subjects of research</w:t>
      </w:r>
      <w:r w:rsidRPr="003D2A76">
        <w:rPr>
          <w:rFonts w:asciiTheme="majorBidi" w:hAnsiTheme="majorBidi" w:cstheme="majorBidi"/>
          <w:lang w:val="en-GB"/>
        </w:rPr>
        <w:t>. US Department of Health and Human Services.</w:t>
      </w:r>
    </w:p>
    <w:p w14:paraId="57076054" w14:textId="77777777" w:rsidR="0038366C" w:rsidRDefault="0038366C" w:rsidP="00BD6279">
      <w:pPr>
        <w:bidi w:val="0"/>
        <w:ind w:hanging="720"/>
        <w:rPr>
          <w:rFonts w:asciiTheme="majorBidi" w:hAnsiTheme="majorBidi" w:cstheme="majorBidi"/>
          <w:lang w:val="en-GB"/>
        </w:rPr>
      </w:pPr>
      <w:r w:rsidRPr="0038366C">
        <w:rPr>
          <w:rFonts w:asciiTheme="majorBidi" w:hAnsiTheme="majorBidi" w:cstheme="majorBidi"/>
          <w:lang w:val="en-GB"/>
        </w:rPr>
        <w:t>Nunnally, J. C., &amp; Bernstein, I. H. (1994). Psychometric theory (3rd ed.). McGraw-Hill.</w:t>
      </w:r>
    </w:p>
    <w:p w14:paraId="5321656F" w14:textId="45D35241" w:rsidR="00992606" w:rsidRPr="003D2A76" w:rsidRDefault="00992606" w:rsidP="0038366C">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O'Brien, R. M. (2007) </w:t>
      </w:r>
      <w:r w:rsidR="00813FDD" w:rsidRPr="003D2A76">
        <w:rPr>
          <w:rFonts w:asciiTheme="majorBidi" w:hAnsiTheme="majorBidi" w:cstheme="majorBidi"/>
          <w:lang w:val="en-GB"/>
        </w:rPr>
        <w:t>“</w:t>
      </w:r>
      <w:r w:rsidRPr="003D2A76">
        <w:rPr>
          <w:rFonts w:asciiTheme="majorBidi" w:hAnsiTheme="majorBidi" w:cstheme="majorBidi"/>
          <w:lang w:val="en-GB"/>
        </w:rPr>
        <w:t>A caution regarding rules of thumb for variance inflation factors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Quality &amp; Quantity</w:t>
      </w:r>
      <w:r w:rsidRPr="009A04CD">
        <w:rPr>
          <w:rFonts w:asciiTheme="majorBidi" w:hAnsiTheme="majorBidi" w:cstheme="majorBidi"/>
          <w:lang w:val="en-GB"/>
        </w:rPr>
        <w:t>, 41</w:t>
      </w:r>
      <w:r w:rsidRPr="003D2A76">
        <w:rPr>
          <w:rFonts w:asciiTheme="majorBidi" w:hAnsiTheme="majorBidi" w:cstheme="majorBidi"/>
          <w:lang w:val="en-GB"/>
        </w:rPr>
        <w:t xml:space="preserve">(5),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673–690. </w:t>
      </w:r>
      <w:hyperlink r:id="rId72" w:history="1">
        <w:r w:rsidRPr="003D2A76">
          <w:rPr>
            <w:rStyle w:val="Hyperlink"/>
            <w:rFonts w:asciiTheme="majorBidi" w:hAnsiTheme="majorBidi" w:cstheme="majorBidi"/>
            <w:lang w:val="en-GB"/>
          </w:rPr>
          <w:t>https://doi.org/10.1007/s11135-006-9018-6</w:t>
        </w:r>
      </w:hyperlink>
      <w:r w:rsidR="00813FDD" w:rsidRPr="003D2A76">
        <w:rPr>
          <w:lang w:val="en-GB"/>
        </w:rPr>
        <w:t>.</w:t>
      </w:r>
    </w:p>
    <w:p w14:paraId="224456DF" w14:textId="6B85CA52" w:rsidR="00813FDD" w:rsidRPr="003D2A76" w:rsidRDefault="00992606" w:rsidP="003365A8">
      <w:pPr>
        <w:bidi w:val="0"/>
        <w:ind w:hanging="720"/>
        <w:rPr>
          <w:rFonts w:asciiTheme="majorBidi" w:hAnsiTheme="majorBidi" w:cstheme="majorBidi"/>
          <w:lang w:val="en-GB"/>
        </w:rPr>
      </w:pPr>
      <w:r w:rsidRPr="003D2A76">
        <w:rPr>
          <w:rFonts w:asciiTheme="majorBidi" w:hAnsiTheme="majorBidi" w:cstheme="majorBidi"/>
          <w:lang w:val="en-GB"/>
        </w:rPr>
        <w:t xml:space="preserve">Osborne, J. W., &amp; Waters, E. (2002) </w:t>
      </w:r>
      <w:r w:rsidR="00813FDD" w:rsidRPr="003D2A76">
        <w:rPr>
          <w:rFonts w:asciiTheme="majorBidi" w:hAnsiTheme="majorBidi" w:cstheme="majorBidi"/>
          <w:lang w:val="en-GB"/>
        </w:rPr>
        <w:t>“</w:t>
      </w:r>
      <w:r w:rsidRPr="003D2A76">
        <w:rPr>
          <w:rFonts w:asciiTheme="majorBidi" w:hAnsiTheme="majorBidi" w:cstheme="majorBidi"/>
          <w:lang w:val="en-GB"/>
        </w:rPr>
        <w:t>Four assumptions of multiple regression that researchers should always test</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Practical Assessment, Research, and Evaluation</w:t>
      </w:r>
      <w:r w:rsidRPr="009A04CD">
        <w:rPr>
          <w:rFonts w:asciiTheme="majorBidi" w:hAnsiTheme="majorBidi" w:cstheme="majorBidi"/>
          <w:lang w:val="en-GB"/>
        </w:rPr>
        <w:t>, 8</w:t>
      </w:r>
      <w:r w:rsidRPr="003D2A76">
        <w:rPr>
          <w:rFonts w:asciiTheme="majorBidi" w:hAnsiTheme="majorBidi" w:cstheme="majorBidi"/>
          <w:lang w:val="en-GB"/>
        </w:rPr>
        <w:t xml:space="preserve">(2),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1–5. </w:t>
      </w:r>
    </w:p>
    <w:p w14:paraId="1F30BC74" w14:textId="2E3889BF"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Pallant, J. (2020) </w:t>
      </w:r>
      <w:r w:rsidRPr="003D2A76">
        <w:rPr>
          <w:rFonts w:asciiTheme="majorBidi" w:hAnsiTheme="majorBidi" w:cstheme="majorBidi"/>
          <w:i/>
          <w:iCs/>
          <w:lang w:val="en-GB"/>
        </w:rPr>
        <w:t>SPSS survival manual: A step by step guide to data analysis using IBM SPSS</w:t>
      </w:r>
      <w:r w:rsidRPr="003D2A76">
        <w:rPr>
          <w:rFonts w:asciiTheme="majorBidi" w:hAnsiTheme="majorBidi" w:cstheme="majorBidi"/>
          <w:lang w:val="en-GB"/>
        </w:rPr>
        <w:t xml:space="preserve"> (7th ed.). Open University Press.</w:t>
      </w:r>
    </w:p>
    <w:p w14:paraId="2BBA8150" w14:textId="5BBCB5BF"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Parasuraman, A., Zeithaml, V. A., &amp; Berry, L. L. (1988) </w:t>
      </w:r>
      <w:r w:rsidR="00813FDD" w:rsidRPr="003D2A76">
        <w:rPr>
          <w:rFonts w:asciiTheme="majorBidi" w:hAnsiTheme="majorBidi" w:cstheme="majorBidi"/>
          <w:lang w:val="en-GB"/>
        </w:rPr>
        <w:t>“</w:t>
      </w:r>
      <w:r w:rsidRPr="003D2A76">
        <w:rPr>
          <w:rFonts w:asciiTheme="majorBidi" w:hAnsiTheme="majorBidi" w:cstheme="majorBidi"/>
          <w:lang w:val="en-GB"/>
        </w:rPr>
        <w:t>SERVQUAL: A multiple-item scale for measuring consumer perceptions of service quality</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Retailing</w:t>
      </w:r>
      <w:r w:rsidRPr="009A04CD">
        <w:rPr>
          <w:rFonts w:asciiTheme="majorBidi" w:hAnsiTheme="majorBidi" w:cstheme="majorBidi"/>
          <w:lang w:val="en-GB"/>
        </w:rPr>
        <w:t>, 64</w:t>
      </w:r>
      <w:r w:rsidRPr="003D2A76">
        <w:rPr>
          <w:rFonts w:asciiTheme="majorBidi" w:hAnsiTheme="majorBidi" w:cstheme="majorBidi"/>
          <w:lang w:val="en-GB"/>
        </w:rPr>
        <w:t xml:space="preserve">(1), </w:t>
      </w:r>
      <w:r w:rsidR="00813FDD" w:rsidRPr="003D2A76">
        <w:rPr>
          <w:rFonts w:asciiTheme="majorBidi" w:hAnsiTheme="majorBidi" w:cstheme="majorBidi"/>
          <w:lang w:val="en-GB"/>
        </w:rPr>
        <w:t xml:space="preserve">pp. </w:t>
      </w:r>
      <w:r w:rsidRPr="003D2A76">
        <w:rPr>
          <w:rFonts w:asciiTheme="majorBidi" w:hAnsiTheme="majorBidi" w:cstheme="majorBidi"/>
          <w:lang w:val="en-GB"/>
        </w:rPr>
        <w:t>12–40.</w:t>
      </w:r>
    </w:p>
    <w:p w14:paraId="2CFFA55E" w14:textId="24971CED"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Petrocelli, J. V. (2003) </w:t>
      </w:r>
      <w:r w:rsidR="00813FDD" w:rsidRPr="003D2A76">
        <w:rPr>
          <w:rFonts w:asciiTheme="majorBidi" w:hAnsiTheme="majorBidi" w:cstheme="majorBidi"/>
          <w:lang w:val="en-GB"/>
        </w:rPr>
        <w:t>“</w:t>
      </w:r>
      <w:r w:rsidRPr="003D2A76">
        <w:rPr>
          <w:rFonts w:asciiTheme="majorBidi" w:hAnsiTheme="majorBidi" w:cstheme="majorBidi"/>
          <w:lang w:val="en-GB"/>
        </w:rPr>
        <w:t>Hierarchical multiple regression in counseling research: Common problems and possible remedies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Measurement and Evaluation in Counseling and Development</w:t>
      </w:r>
      <w:r w:rsidRPr="009A04CD">
        <w:rPr>
          <w:rFonts w:asciiTheme="majorBidi" w:hAnsiTheme="majorBidi" w:cstheme="majorBidi"/>
          <w:lang w:val="en-GB"/>
        </w:rPr>
        <w:t>, 36</w:t>
      </w:r>
      <w:r w:rsidRPr="003D2A76">
        <w:rPr>
          <w:rFonts w:asciiTheme="majorBidi" w:hAnsiTheme="majorBidi" w:cstheme="majorBidi"/>
          <w:lang w:val="en-GB"/>
        </w:rPr>
        <w:t xml:space="preserve">(1),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9–22. </w:t>
      </w:r>
      <w:hyperlink r:id="rId73" w:history="1">
        <w:r w:rsidRPr="003D2A76">
          <w:rPr>
            <w:rStyle w:val="Hyperlink"/>
            <w:rFonts w:asciiTheme="majorBidi" w:hAnsiTheme="majorBidi" w:cstheme="majorBidi"/>
            <w:lang w:val="en-GB"/>
          </w:rPr>
          <w:t>https://doi.org/10.1080/07481756.2003.12069076</w:t>
        </w:r>
      </w:hyperlink>
      <w:r w:rsidR="00813FDD" w:rsidRPr="003D2A76">
        <w:rPr>
          <w:lang w:val="en-GB"/>
        </w:rPr>
        <w:t>.</w:t>
      </w:r>
    </w:p>
    <w:p w14:paraId="6677CFAD" w14:textId="54C8318D"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Preacher, K. J., &amp; Hayes, A. F. (2008) </w:t>
      </w:r>
      <w:r w:rsidR="00813FDD" w:rsidRPr="003D2A76">
        <w:rPr>
          <w:rFonts w:asciiTheme="majorBidi" w:hAnsiTheme="majorBidi" w:cstheme="majorBidi"/>
          <w:lang w:val="en-GB"/>
        </w:rPr>
        <w:t>“</w:t>
      </w:r>
      <w:r w:rsidRPr="003D2A76">
        <w:rPr>
          <w:rFonts w:asciiTheme="majorBidi" w:hAnsiTheme="majorBidi" w:cstheme="majorBidi"/>
          <w:lang w:val="en-GB"/>
        </w:rPr>
        <w:t>Asymptotic and resampling strategies for assessing and comparing indirect effects in multiple mediator models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Behavior Research Methods</w:t>
      </w:r>
      <w:r w:rsidRPr="009A04CD">
        <w:rPr>
          <w:rFonts w:asciiTheme="majorBidi" w:hAnsiTheme="majorBidi" w:cstheme="majorBidi"/>
          <w:lang w:val="en-GB"/>
        </w:rPr>
        <w:t>, 40</w:t>
      </w:r>
      <w:r w:rsidRPr="003D2A76">
        <w:rPr>
          <w:rFonts w:asciiTheme="majorBidi" w:hAnsiTheme="majorBidi" w:cstheme="majorBidi"/>
          <w:lang w:val="en-GB"/>
        </w:rPr>
        <w:t xml:space="preserve">(3),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879–891. </w:t>
      </w:r>
      <w:hyperlink r:id="rId74" w:history="1">
        <w:r w:rsidRPr="003D2A76">
          <w:rPr>
            <w:rStyle w:val="Hyperlink"/>
            <w:rFonts w:asciiTheme="majorBidi" w:hAnsiTheme="majorBidi" w:cstheme="majorBidi"/>
            <w:lang w:val="en-GB"/>
          </w:rPr>
          <w:t>https://doi.org/10.3758/BRM.40.3.879</w:t>
        </w:r>
      </w:hyperlink>
      <w:r w:rsidR="00813FDD" w:rsidRPr="003D2A76">
        <w:rPr>
          <w:lang w:val="en-GB"/>
        </w:rPr>
        <w:t>.</w:t>
      </w:r>
    </w:p>
    <w:p w14:paraId="1D671975" w14:textId="71ADF55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Preacher, K. J., &amp; Kelley, K. (2011) </w:t>
      </w:r>
      <w:r w:rsidR="00813FDD" w:rsidRPr="003D2A76">
        <w:rPr>
          <w:rFonts w:asciiTheme="majorBidi" w:hAnsiTheme="majorBidi" w:cstheme="majorBidi"/>
          <w:lang w:val="en-GB"/>
        </w:rPr>
        <w:t>“</w:t>
      </w:r>
      <w:r w:rsidRPr="003D2A76">
        <w:rPr>
          <w:rFonts w:asciiTheme="majorBidi" w:hAnsiTheme="majorBidi" w:cstheme="majorBidi"/>
          <w:lang w:val="en-GB"/>
        </w:rPr>
        <w:t>Effect size measures for mediation models: Quantitative strategies for communicating indirect effects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Psychological Methods</w:t>
      </w:r>
      <w:r w:rsidRPr="009A04CD">
        <w:rPr>
          <w:rFonts w:asciiTheme="majorBidi" w:hAnsiTheme="majorBidi" w:cstheme="majorBidi"/>
          <w:lang w:val="en-GB"/>
        </w:rPr>
        <w:t>, 16</w:t>
      </w:r>
      <w:r w:rsidRPr="003D2A76">
        <w:rPr>
          <w:rFonts w:asciiTheme="majorBidi" w:hAnsiTheme="majorBidi" w:cstheme="majorBidi"/>
          <w:lang w:val="en-GB"/>
        </w:rPr>
        <w:t xml:space="preserve">(2),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93–115. </w:t>
      </w:r>
      <w:hyperlink r:id="rId75" w:history="1">
        <w:r w:rsidRPr="003D2A76">
          <w:rPr>
            <w:rStyle w:val="Hyperlink"/>
            <w:rFonts w:asciiTheme="majorBidi" w:hAnsiTheme="majorBidi" w:cstheme="majorBidi"/>
            <w:lang w:val="en-GB"/>
          </w:rPr>
          <w:t>https://doi.org/10.1037/a0022658</w:t>
        </w:r>
      </w:hyperlink>
      <w:r w:rsidR="00813FDD" w:rsidRPr="003D2A76">
        <w:rPr>
          <w:lang w:val="en-GB"/>
        </w:rPr>
        <w:t>.</w:t>
      </w:r>
    </w:p>
    <w:p w14:paraId="17486FC7" w14:textId="2E80C61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Rindfleisch, A., Malter, A. J., Ganesan, S., &amp; Moorman, C. (2008) </w:t>
      </w:r>
      <w:r w:rsidR="00813FDD" w:rsidRPr="003D2A76">
        <w:rPr>
          <w:rFonts w:asciiTheme="majorBidi" w:hAnsiTheme="majorBidi" w:cstheme="majorBidi"/>
          <w:lang w:val="en-GB"/>
        </w:rPr>
        <w:t>“</w:t>
      </w:r>
      <w:r w:rsidRPr="003D2A76">
        <w:rPr>
          <w:rFonts w:asciiTheme="majorBidi" w:hAnsiTheme="majorBidi" w:cstheme="majorBidi"/>
          <w:lang w:val="en-GB"/>
        </w:rPr>
        <w:t>Cross-sectional versus longitudinal survey research: Concepts, findings, and guidelines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 Research</w:t>
      </w:r>
      <w:r w:rsidRPr="009A04CD">
        <w:rPr>
          <w:rFonts w:asciiTheme="majorBidi" w:hAnsiTheme="majorBidi" w:cstheme="majorBidi"/>
          <w:lang w:val="en-GB"/>
        </w:rPr>
        <w:t>, 45</w:t>
      </w:r>
      <w:r w:rsidRPr="003D2A76">
        <w:rPr>
          <w:rFonts w:asciiTheme="majorBidi" w:hAnsiTheme="majorBidi" w:cstheme="majorBidi"/>
          <w:lang w:val="en-GB"/>
        </w:rPr>
        <w:t xml:space="preserve">(3), </w:t>
      </w:r>
      <w:r w:rsidR="00813FDD" w:rsidRPr="003D2A76">
        <w:rPr>
          <w:rFonts w:asciiTheme="majorBidi" w:hAnsiTheme="majorBidi" w:cstheme="majorBidi"/>
          <w:lang w:val="en-GB"/>
        </w:rPr>
        <w:t xml:space="preserve">pp. </w:t>
      </w:r>
      <w:r w:rsidRPr="003D2A76">
        <w:rPr>
          <w:rFonts w:asciiTheme="majorBidi" w:hAnsiTheme="majorBidi" w:cstheme="majorBidi"/>
          <w:lang w:val="en-GB"/>
        </w:rPr>
        <w:t xml:space="preserve">261–279. </w:t>
      </w:r>
      <w:hyperlink r:id="rId76" w:history="1">
        <w:r w:rsidRPr="003D2A76">
          <w:rPr>
            <w:rStyle w:val="Hyperlink"/>
            <w:rFonts w:asciiTheme="majorBidi" w:hAnsiTheme="majorBidi" w:cstheme="majorBidi"/>
            <w:lang w:val="en-GB"/>
          </w:rPr>
          <w:t>https://doi.org/10.1509/jmkr.45.3.261</w:t>
        </w:r>
      </w:hyperlink>
      <w:r w:rsidR="00813FDD" w:rsidRPr="003D2A76">
        <w:rPr>
          <w:lang w:val="en-GB"/>
        </w:rPr>
        <w:t>.</w:t>
      </w:r>
    </w:p>
    <w:p w14:paraId="50F4E9B4" w14:textId="7B6DC87B" w:rsidR="0099260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Saleh, A., &amp; Bista, K. (2017) </w:t>
      </w:r>
      <w:r w:rsidR="00813FDD" w:rsidRPr="003D2A76">
        <w:rPr>
          <w:rFonts w:asciiTheme="majorBidi" w:hAnsiTheme="majorBidi" w:cstheme="majorBidi"/>
          <w:lang w:val="en-GB"/>
        </w:rPr>
        <w:t>“</w:t>
      </w:r>
      <w:r w:rsidRPr="003D2A76">
        <w:rPr>
          <w:rFonts w:asciiTheme="majorBidi" w:hAnsiTheme="majorBidi" w:cstheme="majorBidi"/>
          <w:lang w:val="en-GB"/>
        </w:rPr>
        <w:t>Examining factors impacting online survey response rates in educational research: Perceptions of faculty and students</w:t>
      </w:r>
      <w:r w:rsidR="00813FDD"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MultiDisciplinary Evaluation</w:t>
      </w:r>
      <w:r w:rsidRPr="009A04CD">
        <w:rPr>
          <w:rFonts w:asciiTheme="majorBidi" w:hAnsiTheme="majorBidi" w:cstheme="majorBidi"/>
          <w:lang w:val="en-GB"/>
        </w:rPr>
        <w:t>, 13</w:t>
      </w:r>
      <w:r w:rsidRPr="003D2A76">
        <w:rPr>
          <w:rFonts w:asciiTheme="majorBidi" w:hAnsiTheme="majorBidi" w:cstheme="majorBidi"/>
          <w:lang w:val="en-GB"/>
        </w:rPr>
        <w:t xml:space="preserve">(29), </w:t>
      </w:r>
      <w:r w:rsidR="00813FDD" w:rsidRPr="003D2A76">
        <w:rPr>
          <w:rFonts w:asciiTheme="majorBidi" w:hAnsiTheme="majorBidi" w:cstheme="majorBidi"/>
          <w:lang w:val="en-GB"/>
        </w:rPr>
        <w:t xml:space="preserve">pp. </w:t>
      </w:r>
      <w:r w:rsidRPr="003D2A76">
        <w:rPr>
          <w:rFonts w:asciiTheme="majorBidi" w:hAnsiTheme="majorBidi" w:cstheme="majorBidi"/>
          <w:lang w:val="en-GB"/>
        </w:rPr>
        <w:t>63–74.</w:t>
      </w:r>
    </w:p>
    <w:p w14:paraId="04017BB2" w14:textId="77777777" w:rsidR="00364372" w:rsidRDefault="00364372" w:rsidP="009A04CD">
      <w:pPr>
        <w:bidi w:val="0"/>
        <w:ind w:hanging="720"/>
      </w:pPr>
      <w:r w:rsidRPr="00364372">
        <w:t xml:space="preserve">Saudi Arabian Cultural Mission (SACM) (2024) </w:t>
      </w:r>
      <w:r w:rsidRPr="00364372">
        <w:rPr>
          <w:i/>
          <w:iCs/>
        </w:rPr>
        <w:t>Education in Saudi Arabia: Public school</w:t>
      </w:r>
      <w:r w:rsidRPr="00364372">
        <w:t xml:space="preserve">. Available at: </w:t>
      </w:r>
      <w:hyperlink r:id="rId77" w:tgtFrame="_new" w:history="1">
        <w:r w:rsidRPr="00364372">
          <w:rPr>
            <w:color w:val="0000FF"/>
            <w:u w:val="single"/>
          </w:rPr>
          <w:t>https://www.sacm.org/ksa/education-in-saudi-arabia/public-school</w:t>
        </w:r>
      </w:hyperlink>
      <w:r w:rsidRPr="00364372">
        <w:t xml:space="preserve"> (Accessed: 19 June 2026).</w:t>
      </w:r>
    </w:p>
    <w:p w14:paraId="3A8A29EC" w14:textId="14C9279D" w:rsidR="001D6784" w:rsidRPr="003D2A76" w:rsidRDefault="001D6784" w:rsidP="00364372">
      <w:pPr>
        <w:bidi w:val="0"/>
        <w:ind w:hanging="720"/>
        <w:rPr>
          <w:rFonts w:asciiTheme="majorBidi" w:hAnsiTheme="majorBidi" w:cstheme="majorBidi"/>
          <w:lang w:val="en-GB"/>
        </w:rPr>
      </w:pPr>
      <w:r w:rsidRPr="003D2A76">
        <w:rPr>
          <w:rFonts w:asciiTheme="majorBidi" w:hAnsiTheme="majorBidi" w:cstheme="majorBidi"/>
          <w:lang w:val="en-GB"/>
        </w:rPr>
        <w:t xml:space="preserve">Saunders, M. N. K., Lewis, P., &amp; Thornhill, A. (2019) </w:t>
      </w:r>
      <w:r w:rsidRPr="009A04CD">
        <w:rPr>
          <w:rFonts w:asciiTheme="majorBidi" w:hAnsiTheme="majorBidi" w:cstheme="majorBidi"/>
          <w:i/>
          <w:iCs/>
          <w:lang w:val="en-GB"/>
        </w:rPr>
        <w:t>Research methods for business students</w:t>
      </w:r>
      <w:r w:rsidRPr="003D2A76">
        <w:rPr>
          <w:rFonts w:asciiTheme="majorBidi" w:hAnsiTheme="majorBidi" w:cstheme="majorBidi"/>
          <w:lang w:val="en-GB"/>
        </w:rPr>
        <w:t xml:space="preserve"> (8th ed.). Pearson Education.</w:t>
      </w:r>
    </w:p>
    <w:p w14:paraId="61771D8C" w14:textId="02C9E7FF" w:rsidR="001D6784" w:rsidRPr="003D2A76" w:rsidRDefault="001D6784" w:rsidP="001D6784">
      <w:pPr>
        <w:bidi w:val="0"/>
        <w:ind w:hanging="720"/>
        <w:rPr>
          <w:rFonts w:asciiTheme="majorBidi" w:hAnsiTheme="majorBidi"/>
          <w:lang w:val="en-GB"/>
        </w:rPr>
      </w:pPr>
      <w:r w:rsidRPr="003D2A76">
        <w:rPr>
          <w:rFonts w:asciiTheme="majorBidi" w:hAnsiTheme="majorBidi" w:cstheme="majorBidi"/>
          <w:lang w:val="en-GB"/>
        </w:rPr>
        <w:t xml:space="preserve">Sekaran, U., &amp; Bougie, R. (2016) </w:t>
      </w:r>
      <w:r w:rsidRPr="009A04CD">
        <w:rPr>
          <w:rFonts w:asciiTheme="majorBidi" w:hAnsiTheme="majorBidi" w:cstheme="majorBidi"/>
          <w:i/>
          <w:iCs/>
          <w:lang w:val="en-GB"/>
        </w:rPr>
        <w:t>Research methods for business: A skill-building approach</w:t>
      </w:r>
      <w:r w:rsidRPr="003D2A76">
        <w:rPr>
          <w:rFonts w:asciiTheme="majorBidi" w:hAnsiTheme="majorBidi" w:cstheme="majorBidi"/>
          <w:lang w:val="en-GB"/>
        </w:rPr>
        <w:t xml:space="preserve"> (7th ed.). John Wiley &amp; Sons</w:t>
      </w:r>
      <w:r w:rsidRPr="003D2A76">
        <w:rPr>
          <w:rFonts w:asciiTheme="majorBidi" w:hAnsiTheme="majorBidi"/>
          <w:rtl/>
          <w:lang w:val="en-GB"/>
        </w:rPr>
        <w:t>.</w:t>
      </w:r>
    </w:p>
    <w:p w14:paraId="191CB782" w14:textId="39311FD7" w:rsidR="001D6784" w:rsidRPr="003D2A76" w:rsidRDefault="001D6784" w:rsidP="001D6784">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Sirdeshmukh, D., Singh, J., &amp; Sabol, B. (2002) </w:t>
      </w:r>
      <w:r w:rsidR="00AC7A43" w:rsidRPr="003D2A76">
        <w:rPr>
          <w:rFonts w:asciiTheme="majorBidi" w:hAnsiTheme="majorBidi" w:cstheme="majorBidi"/>
          <w:lang w:val="en-GB"/>
        </w:rPr>
        <w:t>“</w:t>
      </w:r>
      <w:r w:rsidRPr="003D2A76">
        <w:rPr>
          <w:rFonts w:asciiTheme="majorBidi" w:hAnsiTheme="majorBidi" w:cstheme="majorBidi"/>
          <w:lang w:val="en-GB"/>
        </w:rPr>
        <w:t>Consumer trust, value, and loyalty in relational exchanges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9A04CD">
        <w:rPr>
          <w:rFonts w:asciiTheme="majorBidi" w:hAnsiTheme="majorBidi" w:cstheme="majorBidi"/>
          <w:i/>
          <w:iCs/>
          <w:lang w:val="en-GB"/>
        </w:rPr>
        <w:t>Journal of Marketing</w:t>
      </w:r>
      <w:r w:rsidRPr="003D2A76">
        <w:rPr>
          <w:rFonts w:asciiTheme="majorBidi" w:hAnsiTheme="majorBidi" w:cstheme="majorBidi"/>
          <w:lang w:val="en-GB"/>
        </w:rPr>
        <w:t xml:space="preserve">, 66(1), </w:t>
      </w:r>
      <w:r w:rsidR="00AC7A43" w:rsidRPr="003D2A76">
        <w:rPr>
          <w:rFonts w:asciiTheme="majorBidi" w:hAnsiTheme="majorBidi" w:cstheme="majorBidi"/>
          <w:lang w:val="en-GB"/>
        </w:rPr>
        <w:t xml:space="preserve">pp. </w:t>
      </w:r>
      <w:r w:rsidRPr="003D2A76">
        <w:rPr>
          <w:rFonts w:asciiTheme="majorBidi" w:hAnsiTheme="majorBidi" w:cstheme="majorBidi"/>
          <w:lang w:val="en-GB"/>
        </w:rPr>
        <w:t>15–37. https://doi.org/10.1509/jmkg.66.1.15.18449</w:t>
      </w:r>
      <w:r w:rsidR="00AC7A43" w:rsidRPr="003D2A76">
        <w:rPr>
          <w:rFonts w:asciiTheme="majorBidi" w:hAnsiTheme="majorBidi" w:cstheme="majorBidi"/>
          <w:lang w:val="en-GB"/>
        </w:rPr>
        <w:t>.</w:t>
      </w:r>
    </w:p>
    <w:p w14:paraId="321BF1F4" w14:textId="332CE382" w:rsidR="001D6784" w:rsidRPr="003D2A76" w:rsidRDefault="001D6784" w:rsidP="001D6784">
      <w:pPr>
        <w:bidi w:val="0"/>
        <w:ind w:hanging="720"/>
        <w:rPr>
          <w:rFonts w:asciiTheme="majorBidi" w:hAnsiTheme="majorBidi" w:cstheme="majorBidi"/>
          <w:lang w:val="en-GB"/>
        </w:rPr>
      </w:pPr>
      <w:r w:rsidRPr="003D2A76">
        <w:rPr>
          <w:rFonts w:asciiTheme="majorBidi" w:hAnsiTheme="majorBidi" w:cstheme="majorBidi"/>
          <w:lang w:val="en-GB"/>
        </w:rPr>
        <w:t xml:space="preserve">Streiner, D. L. (2003) </w:t>
      </w:r>
      <w:r w:rsidR="00AC7A43" w:rsidRPr="003D2A76">
        <w:rPr>
          <w:rFonts w:asciiTheme="majorBidi" w:hAnsiTheme="majorBidi" w:cstheme="majorBidi"/>
          <w:lang w:val="en-GB"/>
        </w:rPr>
        <w:t>“</w:t>
      </w:r>
      <w:r w:rsidRPr="003D2A76">
        <w:rPr>
          <w:rFonts w:asciiTheme="majorBidi" w:hAnsiTheme="majorBidi" w:cstheme="majorBidi"/>
          <w:lang w:val="en-GB"/>
        </w:rPr>
        <w:t>Starting at the beginning: An introduction to coefficient alpha and internal consistency</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9A04CD">
        <w:rPr>
          <w:rFonts w:asciiTheme="majorBidi" w:hAnsiTheme="majorBidi" w:cstheme="majorBidi"/>
          <w:i/>
          <w:iCs/>
          <w:lang w:val="en-GB"/>
        </w:rPr>
        <w:t>Journal of Personality Assessment</w:t>
      </w:r>
      <w:r w:rsidRPr="003D2A76">
        <w:rPr>
          <w:rFonts w:asciiTheme="majorBidi" w:hAnsiTheme="majorBidi" w:cstheme="majorBidi"/>
          <w:lang w:val="en-GB"/>
        </w:rPr>
        <w:t xml:space="preserve">, 80(1), </w:t>
      </w:r>
      <w:r w:rsidR="00AC7A43" w:rsidRPr="003D2A76">
        <w:rPr>
          <w:rFonts w:asciiTheme="majorBidi" w:hAnsiTheme="majorBidi" w:cstheme="majorBidi"/>
          <w:lang w:val="en-GB"/>
        </w:rPr>
        <w:t xml:space="preserve">pp. </w:t>
      </w:r>
      <w:r w:rsidRPr="003D2A76">
        <w:rPr>
          <w:rFonts w:asciiTheme="majorBidi" w:hAnsiTheme="majorBidi" w:cstheme="majorBidi"/>
          <w:lang w:val="en-GB"/>
        </w:rPr>
        <w:t>99–103. https://doi.org/10.1207/S15327752JPA8001_18</w:t>
      </w:r>
      <w:r w:rsidR="00AC7A43" w:rsidRPr="003D2A76">
        <w:rPr>
          <w:rFonts w:asciiTheme="majorBidi" w:hAnsiTheme="majorBidi" w:cstheme="majorBidi"/>
          <w:lang w:val="en-GB"/>
        </w:rPr>
        <w:t>.</w:t>
      </w:r>
    </w:p>
    <w:p w14:paraId="4686E664" w14:textId="08A466B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Surmiak, A. (2018) </w:t>
      </w:r>
      <w:r w:rsidR="00AC7A43" w:rsidRPr="003D2A76">
        <w:rPr>
          <w:rFonts w:asciiTheme="majorBidi" w:hAnsiTheme="majorBidi" w:cstheme="majorBidi"/>
          <w:lang w:val="en-GB"/>
        </w:rPr>
        <w:t>“</w:t>
      </w:r>
      <w:r w:rsidRPr="003D2A76">
        <w:rPr>
          <w:rFonts w:asciiTheme="majorBidi" w:hAnsiTheme="majorBidi" w:cstheme="majorBidi"/>
          <w:lang w:val="en-GB"/>
        </w:rPr>
        <w:t>Confidentiality in qualitative research involving vulnerable participants: Researchers' perspectives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Forum: Qualitative Social Research</w:t>
      </w:r>
      <w:r w:rsidRPr="009A04CD">
        <w:rPr>
          <w:rFonts w:asciiTheme="majorBidi" w:hAnsiTheme="majorBidi" w:cstheme="majorBidi"/>
          <w:lang w:val="en-GB"/>
        </w:rPr>
        <w:t>, 19</w:t>
      </w:r>
      <w:r w:rsidRPr="003D2A76">
        <w:rPr>
          <w:rFonts w:asciiTheme="majorBidi" w:hAnsiTheme="majorBidi" w:cstheme="majorBidi"/>
          <w:lang w:val="en-GB"/>
        </w:rPr>
        <w:t>(3), Art. 12.</w:t>
      </w:r>
    </w:p>
    <w:p w14:paraId="40416930" w14:textId="0E61E209"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Sweeney, J. C., &amp; Soutar, G. N. (2001) </w:t>
      </w:r>
      <w:r w:rsidR="00AC7A43" w:rsidRPr="003D2A76">
        <w:rPr>
          <w:rFonts w:asciiTheme="majorBidi" w:hAnsiTheme="majorBidi" w:cstheme="majorBidi"/>
          <w:lang w:val="en-GB"/>
        </w:rPr>
        <w:t>“</w:t>
      </w:r>
      <w:r w:rsidRPr="003D2A76">
        <w:rPr>
          <w:rFonts w:asciiTheme="majorBidi" w:hAnsiTheme="majorBidi" w:cstheme="majorBidi"/>
          <w:lang w:val="en-GB"/>
        </w:rPr>
        <w:t>Consumer perceived value: The development of a multiple item scale</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Retailing</w:t>
      </w:r>
      <w:r w:rsidRPr="009A04CD">
        <w:rPr>
          <w:rFonts w:asciiTheme="majorBidi" w:hAnsiTheme="majorBidi" w:cstheme="majorBidi"/>
          <w:lang w:val="en-GB"/>
        </w:rPr>
        <w:t>, 77</w:t>
      </w:r>
      <w:r w:rsidRPr="003D2A76">
        <w:rPr>
          <w:rFonts w:asciiTheme="majorBidi" w:hAnsiTheme="majorBidi" w:cstheme="majorBidi"/>
          <w:lang w:val="en-GB"/>
        </w:rPr>
        <w:t xml:space="preserve">(2),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203–220. </w:t>
      </w:r>
      <w:hyperlink r:id="rId78" w:history="1">
        <w:r w:rsidRPr="003D2A76">
          <w:rPr>
            <w:rStyle w:val="Hyperlink"/>
            <w:rFonts w:asciiTheme="majorBidi" w:hAnsiTheme="majorBidi" w:cstheme="majorBidi"/>
            <w:lang w:val="en-GB"/>
          </w:rPr>
          <w:t>https://doi.org/10.1016/S0022-4359(01)00041-0</w:t>
        </w:r>
      </w:hyperlink>
      <w:r w:rsidR="00AC7A43" w:rsidRPr="003D2A76">
        <w:rPr>
          <w:lang w:val="en-GB"/>
        </w:rPr>
        <w:t>.</w:t>
      </w:r>
    </w:p>
    <w:p w14:paraId="286D2EA1" w14:textId="5C29302F"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Tabachnick, B. G., &amp; Fidell, L. S. (2019) </w:t>
      </w:r>
      <w:r w:rsidRPr="003D2A76">
        <w:rPr>
          <w:rFonts w:asciiTheme="majorBidi" w:hAnsiTheme="majorBidi" w:cstheme="majorBidi"/>
          <w:i/>
          <w:iCs/>
          <w:lang w:val="en-GB"/>
        </w:rPr>
        <w:t>Using multivariate statistics</w:t>
      </w:r>
      <w:r w:rsidRPr="003D2A76">
        <w:rPr>
          <w:rFonts w:asciiTheme="majorBidi" w:hAnsiTheme="majorBidi" w:cstheme="majorBidi"/>
          <w:lang w:val="en-GB"/>
        </w:rPr>
        <w:t xml:space="preserve"> (7th ed.). Pearson Education.</w:t>
      </w:r>
    </w:p>
    <w:p w14:paraId="7FA2A84E" w14:textId="7DE81A0F"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Taherdoost, H. (2016) </w:t>
      </w:r>
      <w:r w:rsidR="00AC7A43" w:rsidRPr="003D2A76">
        <w:rPr>
          <w:rFonts w:asciiTheme="majorBidi" w:hAnsiTheme="majorBidi" w:cstheme="majorBidi"/>
          <w:lang w:val="en-GB"/>
        </w:rPr>
        <w:t>“</w:t>
      </w:r>
      <w:r w:rsidRPr="003D2A76">
        <w:rPr>
          <w:rFonts w:asciiTheme="majorBidi" w:hAnsiTheme="majorBidi" w:cstheme="majorBidi"/>
          <w:lang w:val="en-GB"/>
        </w:rPr>
        <w:t>Validity and reliability of the research instrument: How to test the validation of a questionnaire/survey in a research</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Academic Research in Management</w:t>
      </w:r>
      <w:r w:rsidRPr="009A04CD">
        <w:rPr>
          <w:rFonts w:asciiTheme="majorBidi" w:hAnsiTheme="majorBidi" w:cstheme="majorBidi"/>
          <w:lang w:val="en-GB"/>
        </w:rPr>
        <w:t>, 5</w:t>
      </w:r>
      <w:r w:rsidRPr="003D2A76">
        <w:rPr>
          <w:rFonts w:asciiTheme="majorBidi" w:hAnsiTheme="majorBidi" w:cstheme="majorBidi"/>
          <w:lang w:val="en-GB"/>
        </w:rPr>
        <w:t xml:space="preserve">(3), </w:t>
      </w:r>
      <w:r w:rsidR="00AC7A43" w:rsidRPr="003D2A76">
        <w:rPr>
          <w:rFonts w:asciiTheme="majorBidi" w:hAnsiTheme="majorBidi" w:cstheme="majorBidi"/>
          <w:lang w:val="en-GB"/>
        </w:rPr>
        <w:t xml:space="preserve">pp. </w:t>
      </w:r>
      <w:r w:rsidRPr="003D2A76">
        <w:rPr>
          <w:rFonts w:asciiTheme="majorBidi" w:hAnsiTheme="majorBidi" w:cstheme="majorBidi"/>
          <w:lang w:val="en-GB"/>
        </w:rPr>
        <w:t>28–36.</w:t>
      </w:r>
    </w:p>
    <w:p w14:paraId="1E1FC607" w14:textId="4C3CAEE1"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Thompson, S. K. (2012) </w:t>
      </w:r>
      <w:r w:rsidRPr="003D2A76">
        <w:rPr>
          <w:rFonts w:asciiTheme="majorBidi" w:hAnsiTheme="majorBidi" w:cstheme="majorBidi"/>
          <w:i/>
          <w:iCs/>
          <w:lang w:val="en-GB"/>
        </w:rPr>
        <w:t>Sampling</w:t>
      </w:r>
      <w:r w:rsidRPr="003D2A76">
        <w:rPr>
          <w:rFonts w:asciiTheme="majorBidi" w:hAnsiTheme="majorBidi" w:cstheme="majorBidi"/>
          <w:lang w:val="en-GB"/>
        </w:rPr>
        <w:t xml:space="preserve"> (3rd ed.). John Wiley &amp; Sons.</w:t>
      </w:r>
    </w:p>
    <w:p w14:paraId="43FCC09A" w14:textId="5F15C5C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Tlili, A., Shehata, B., Adarkwah, M. A., Bozkurt, A., Hickey, D. T., Huang, R., &amp; Agyemang, B. (2023) </w:t>
      </w:r>
      <w:r w:rsidR="00AC7A43" w:rsidRPr="003D2A76">
        <w:rPr>
          <w:rFonts w:asciiTheme="majorBidi" w:hAnsiTheme="majorBidi" w:cstheme="majorBidi"/>
          <w:lang w:val="en-GB"/>
        </w:rPr>
        <w:t>“</w:t>
      </w:r>
      <w:r w:rsidRPr="003D2A76">
        <w:rPr>
          <w:rFonts w:asciiTheme="majorBidi" w:hAnsiTheme="majorBidi" w:cstheme="majorBidi"/>
          <w:lang w:val="en-GB"/>
        </w:rPr>
        <w:t>What if the devil is my guardian angel: ChatGPT as a case study of using chatbots in education</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Smart Learning Environments</w:t>
      </w:r>
      <w:r w:rsidRPr="009A04CD">
        <w:rPr>
          <w:rFonts w:asciiTheme="majorBidi" w:hAnsiTheme="majorBidi" w:cstheme="majorBidi"/>
          <w:lang w:val="en-GB"/>
        </w:rPr>
        <w:t>, 10</w:t>
      </w:r>
      <w:r w:rsidRPr="003D2A76">
        <w:rPr>
          <w:rFonts w:asciiTheme="majorBidi" w:hAnsiTheme="majorBidi" w:cstheme="majorBidi"/>
          <w:lang w:val="en-GB"/>
        </w:rPr>
        <w:t xml:space="preserve">(1), </w:t>
      </w:r>
      <w:r w:rsidR="00AC7A43" w:rsidRPr="003D2A76">
        <w:rPr>
          <w:rFonts w:asciiTheme="majorBidi" w:hAnsiTheme="majorBidi" w:cstheme="majorBidi"/>
          <w:lang w:val="en-GB"/>
        </w:rPr>
        <w:t xml:space="preserve">p. </w:t>
      </w:r>
      <w:r w:rsidRPr="003D2A76">
        <w:rPr>
          <w:rFonts w:asciiTheme="majorBidi" w:hAnsiTheme="majorBidi" w:cstheme="majorBidi"/>
          <w:lang w:val="en-GB"/>
        </w:rPr>
        <w:t xml:space="preserve">15. </w:t>
      </w:r>
      <w:hyperlink r:id="rId79" w:history="1">
        <w:r w:rsidRPr="003D2A76">
          <w:rPr>
            <w:rStyle w:val="Hyperlink"/>
            <w:rFonts w:asciiTheme="majorBidi" w:hAnsiTheme="majorBidi" w:cstheme="majorBidi"/>
            <w:lang w:val="en-GB"/>
          </w:rPr>
          <w:t>https://doi.org/10.1186/s40561-023-00237-x</w:t>
        </w:r>
      </w:hyperlink>
      <w:r w:rsidR="00AC7A43" w:rsidRPr="003D2A76">
        <w:rPr>
          <w:lang w:val="en-GB"/>
        </w:rPr>
        <w:t>.</w:t>
      </w:r>
    </w:p>
    <w:p w14:paraId="5275A76A" w14:textId="0B1508CB"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lastRenderedPageBreak/>
        <w:t xml:space="preserve">Tooley, J., &amp; Dixon, P. (2006) </w:t>
      </w:r>
      <w:r w:rsidR="00AC7A43" w:rsidRPr="003D2A76">
        <w:rPr>
          <w:rFonts w:asciiTheme="majorBidi" w:hAnsiTheme="majorBidi" w:cstheme="majorBidi"/>
          <w:lang w:val="en-GB"/>
        </w:rPr>
        <w:t>“</w:t>
      </w:r>
      <w:r w:rsidRPr="003D2A76">
        <w:rPr>
          <w:rFonts w:asciiTheme="majorBidi" w:hAnsiTheme="majorBidi" w:cstheme="majorBidi"/>
          <w:lang w:val="en-GB"/>
        </w:rPr>
        <w:t>'De facto' privatisation of education and the poor: Implications of a study from sub-Saharan Africa and India</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Compare</w:t>
      </w:r>
      <w:r w:rsidRPr="009A04CD">
        <w:rPr>
          <w:rFonts w:asciiTheme="majorBidi" w:hAnsiTheme="majorBidi" w:cstheme="majorBidi"/>
          <w:lang w:val="en-GB"/>
        </w:rPr>
        <w:t>, 36</w:t>
      </w:r>
      <w:r w:rsidRPr="003D2A76">
        <w:rPr>
          <w:rFonts w:asciiTheme="majorBidi" w:hAnsiTheme="majorBidi" w:cstheme="majorBidi"/>
          <w:lang w:val="en-GB"/>
        </w:rPr>
        <w:t xml:space="preserve">(4),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443–462. </w:t>
      </w:r>
      <w:hyperlink r:id="rId80" w:history="1">
        <w:r w:rsidRPr="003D2A76">
          <w:rPr>
            <w:rStyle w:val="Hyperlink"/>
            <w:rFonts w:asciiTheme="majorBidi" w:hAnsiTheme="majorBidi" w:cstheme="majorBidi"/>
            <w:lang w:val="en-GB"/>
          </w:rPr>
          <w:t>https://doi.org/10.1080/03057920601024891</w:t>
        </w:r>
      </w:hyperlink>
      <w:r w:rsidR="00AC7A43" w:rsidRPr="003D2A76">
        <w:rPr>
          <w:lang w:val="en-GB"/>
        </w:rPr>
        <w:t>.</w:t>
      </w:r>
    </w:p>
    <w:p w14:paraId="06A474B0" w14:textId="14A7D1A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Tschannen-Moran, M., &amp; Hoy, W. K. (2000) </w:t>
      </w:r>
      <w:r w:rsidR="00AC7A43" w:rsidRPr="003D2A76">
        <w:rPr>
          <w:rFonts w:asciiTheme="majorBidi" w:hAnsiTheme="majorBidi" w:cstheme="majorBidi"/>
          <w:lang w:val="en-GB"/>
        </w:rPr>
        <w:t>“</w:t>
      </w:r>
      <w:r w:rsidRPr="003D2A76">
        <w:rPr>
          <w:rFonts w:asciiTheme="majorBidi" w:hAnsiTheme="majorBidi" w:cstheme="majorBidi"/>
          <w:lang w:val="en-GB"/>
        </w:rPr>
        <w:t>A multidisciplinary analysis of the nature, meaning, and measurement of trust</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Review of Educational Research</w:t>
      </w:r>
      <w:r w:rsidRPr="009A04CD">
        <w:rPr>
          <w:rFonts w:asciiTheme="majorBidi" w:hAnsiTheme="majorBidi" w:cstheme="majorBidi"/>
          <w:lang w:val="en-GB"/>
        </w:rPr>
        <w:t>, 70</w:t>
      </w:r>
      <w:r w:rsidRPr="003D2A76">
        <w:rPr>
          <w:rFonts w:asciiTheme="majorBidi" w:hAnsiTheme="majorBidi" w:cstheme="majorBidi"/>
          <w:lang w:val="en-GB"/>
        </w:rPr>
        <w:t xml:space="preserve">(4),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547–593. </w:t>
      </w:r>
      <w:hyperlink r:id="rId81" w:history="1">
        <w:r w:rsidRPr="003D2A76">
          <w:rPr>
            <w:rStyle w:val="Hyperlink"/>
            <w:rFonts w:asciiTheme="majorBidi" w:hAnsiTheme="majorBidi" w:cstheme="majorBidi"/>
            <w:lang w:val="en-GB"/>
          </w:rPr>
          <w:t>https://doi.org/10.3102/00346543070004547</w:t>
        </w:r>
      </w:hyperlink>
      <w:r w:rsidR="00AC7A43" w:rsidRPr="003D2A76">
        <w:rPr>
          <w:lang w:val="en-GB"/>
        </w:rPr>
        <w:t>.</w:t>
      </w:r>
    </w:p>
    <w:p w14:paraId="6E1D3BFB" w14:textId="019E793A"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UK Data Service (2022) </w:t>
      </w:r>
      <w:r w:rsidRPr="003D2A76">
        <w:rPr>
          <w:rFonts w:asciiTheme="majorBidi" w:hAnsiTheme="majorBidi" w:cstheme="majorBidi"/>
          <w:i/>
          <w:iCs/>
          <w:lang w:val="en-GB"/>
        </w:rPr>
        <w:t>Research data management guidance</w:t>
      </w:r>
      <w:r w:rsidR="00AC7A43" w:rsidRPr="003D2A76">
        <w:rPr>
          <w:rFonts w:asciiTheme="majorBidi" w:hAnsiTheme="majorBidi" w:cstheme="majorBidi"/>
          <w:lang w:val="en-GB"/>
        </w:rPr>
        <w:t xml:space="preserve">, </w:t>
      </w:r>
      <w:r w:rsidRPr="003D2A76">
        <w:rPr>
          <w:rFonts w:asciiTheme="majorBidi" w:hAnsiTheme="majorBidi" w:cstheme="majorBidi"/>
          <w:lang w:val="en-GB"/>
        </w:rPr>
        <w:t xml:space="preserve">UK Data Service. Retrieved from </w:t>
      </w:r>
      <w:hyperlink r:id="rId82" w:history="1">
        <w:r w:rsidRPr="003D2A76">
          <w:rPr>
            <w:rStyle w:val="Hyperlink"/>
            <w:rFonts w:asciiTheme="majorBidi" w:hAnsiTheme="majorBidi" w:cstheme="majorBidi"/>
            <w:lang w:val="en-GB"/>
          </w:rPr>
          <w:t>https://ukdataservice.ac.uk</w:t>
        </w:r>
      </w:hyperlink>
    </w:p>
    <w:p w14:paraId="7293074A" w14:textId="2CD426C3"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Van de Vijver, F. J. R., &amp; Hambleton, R. K. (1996) </w:t>
      </w:r>
      <w:r w:rsidR="00AC7A43" w:rsidRPr="003D2A76">
        <w:rPr>
          <w:rFonts w:asciiTheme="majorBidi" w:hAnsiTheme="majorBidi" w:cstheme="majorBidi"/>
          <w:lang w:val="en-GB"/>
        </w:rPr>
        <w:t>“</w:t>
      </w:r>
      <w:r w:rsidRPr="003D2A76">
        <w:rPr>
          <w:rFonts w:asciiTheme="majorBidi" w:hAnsiTheme="majorBidi" w:cstheme="majorBidi"/>
          <w:lang w:val="en-GB"/>
        </w:rPr>
        <w:t>Translating tests: Some practical guidelines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European Psychologist</w:t>
      </w:r>
      <w:r w:rsidRPr="009A04CD">
        <w:rPr>
          <w:rFonts w:asciiTheme="majorBidi" w:hAnsiTheme="majorBidi" w:cstheme="majorBidi"/>
          <w:lang w:val="en-GB"/>
        </w:rPr>
        <w:t>, 1</w:t>
      </w:r>
      <w:r w:rsidRPr="003D2A76">
        <w:rPr>
          <w:rFonts w:asciiTheme="majorBidi" w:hAnsiTheme="majorBidi" w:cstheme="majorBidi"/>
          <w:lang w:val="en-GB"/>
        </w:rPr>
        <w:t xml:space="preserve">(2),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89–99. </w:t>
      </w:r>
      <w:hyperlink r:id="rId83" w:history="1">
        <w:r w:rsidRPr="003D2A76">
          <w:rPr>
            <w:rStyle w:val="Hyperlink"/>
            <w:rFonts w:asciiTheme="majorBidi" w:hAnsiTheme="majorBidi" w:cstheme="majorBidi"/>
            <w:lang w:val="en-GB"/>
          </w:rPr>
          <w:t>https://doi.org/10.1027/1016-9040.1.2.89</w:t>
        </w:r>
      </w:hyperlink>
      <w:r w:rsidR="00AC7A43" w:rsidRPr="003D2A76">
        <w:rPr>
          <w:lang w:val="en-GB"/>
        </w:rPr>
        <w:t>.</w:t>
      </w:r>
    </w:p>
    <w:p w14:paraId="17736587" w14:textId="3FC770EE" w:rsidR="009B138E" w:rsidRDefault="009B138E" w:rsidP="001D6784">
      <w:pPr>
        <w:bidi w:val="0"/>
        <w:ind w:hanging="720"/>
        <w:rPr>
          <w:rFonts w:asciiTheme="majorBidi" w:hAnsiTheme="majorBidi" w:cstheme="majorBidi"/>
          <w:lang w:val="en-GB"/>
        </w:rPr>
      </w:pPr>
      <w:r w:rsidRPr="009B138E">
        <w:rPr>
          <w:rFonts w:asciiTheme="majorBidi" w:hAnsiTheme="majorBidi" w:cstheme="majorBidi"/>
          <w:lang w:val="en-GB"/>
        </w:rPr>
        <w:t>Van Teijlingen, E. R., &amp; Hundley, V. (2001). The importance of pilot studies. Social Research Update, 35, 1–4.</w:t>
      </w:r>
    </w:p>
    <w:p w14:paraId="3D9A1CFC" w14:textId="03BEDD42"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Venkatesh, V., &amp; Bala, H. (2008) </w:t>
      </w:r>
      <w:r w:rsidR="00AC7A43" w:rsidRPr="003D2A76">
        <w:rPr>
          <w:rFonts w:asciiTheme="majorBidi" w:hAnsiTheme="majorBidi" w:cstheme="majorBidi"/>
          <w:lang w:val="en-GB"/>
        </w:rPr>
        <w:t>“</w:t>
      </w:r>
      <w:r w:rsidRPr="003D2A76">
        <w:rPr>
          <w:rFonts w:asciiTheme="majorBidi" w:hAnsiTheme="majorBidi" w:cstheme="majorBidi"/>
          <w:lang w:val="en-GB"/>
        </w:rPr>
        <w:t>Technology acceptance model 3 and a research agenda on interventions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Decision Sciences</w:t>
      </w:r>
      <w:r w:rsidRPr="009A04CD">
        <w:rPr>
          <w:rFonts w:asciiTheme="majorBidi" w:hAnsiTheme="majorBidi" w:cstheme="majorBidi"/>
          <w:lang w:val="en-GB"/>
        </w:rPr>
        <w:t>, 39</w:t>
      </w:r>
      <w:r w:rsidRPr="003D2A76">
        <w:rPr>
          <w:rFonts w:asciiTheme="majorBidi" w:hAnsiTheme="majorBidi" w:cstheme="majorBidi"/>
          <w:lang w:val="en-GB"/>
        </w:rPr>
        <w:t xml:space="preserve">(2),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273–315. </w:t>
      </w:r>
      <w:hyperlink r:id="rId84" w:history="1">
        <w:r w:rsidRPr="003D2A76">
          <w:rPr>
            <w:rStyle w:val="Hyperlink"/>
            <w:rFonts w:asciiTheme="majorBidi" w:hAnsiTheme="majorBidi" w:cstheme="majorBidi"/>
            <w:lang w:val="en-GB"/>
          </w:rPr>
          <w:t>https://doi.org/10.1111/j.1540-5915.2008.00192.x</w:t>
        </w:r>
      </w:hyperlink>
      <w:r w:rsidR="00AC7A43" w:rsidRPr="003D2A76">
        <w:rPr>
          <w:lang w:val="en-GB"/>
        </w:rPr>
        <w:t>.</w:t>
      </w:r>
    </w:p>
    <w:p w14:paraId="5C56CD81" w14:textId="0957389A"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Venkatesh, V., &amp; Davis, F. D. (2000) </w:t>
      </w:r>
      <w:r w:rsidR="00AC7A43" w:rsidRPr="003D2A76">
        <w:rPr>
          <w:rFonts w:asciiTheme="majorBidi" w:hAnsiTheme="majorBidi" w:cstheme="majorBidi"/>
          <w:lang w:val="en-GB"/>
        </w:rPr>
        <w:t>“</w:t>
      </w:r>
      <w:r w:rsidRPr="003D2A76">
        <w:rPr>
          <w:rFonts w:asciiTheme="majorBidi" w:hAnsiTheme="majorBidi" w:cstheme="majorBidi"/>
          <w:lang w:val="en-GB"/>
        </w:rPr>
        <w:t>A theoretical extension of the technology acceptance model: Four longitudinal field studies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Management Science</w:t>
      </w:r>
      <w:r w:rsidRPr="009A04CD">
        <w:rPr>
          <w:rFonts w:asciiTheme="majorBidi" w:hAnsiTheme="majorBidi" w:cstheme="majorBidi"/>
          <w:lang w:val="en-GB"/>
        </w:rPr>
        <w:t>, 46</w:t>
      </w:r>
      <w:r w:rsidRPr="003D2A76">
        <w:rPr>
          <w:rFonts w:asciiTheme="majorBidi" w:hAnsiTheme="majorBidi" w:cstheme="majorBidi"/>
          <w:lang w:val="en-GB"/>
        </w:rPr>
        <w:t xml:space="preserve">(2),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186–204. </w:t>
      </w:r>
      <w:hyperlink r:id="rId85" w:history="1">
        <w:r w:rsidRPr="003D2A76">
          <w:rPr>
            <w:rStyle w:val="Hyperlink"/>
            <w:rFonts w:asciiTheme="majorBidi" w:hAnsiTheme="majorBidi" w:cstheme="majorBidi"/>
            <w:lang w:val="en-GB"/>
          </w:rPr>
          <w:t>https://doi.org/10.1287/mnsc.46.2.186.11926</w:t>
        </w:r>
      </w:hyperlink>
      <w:r w:rsidR="00AC7A43" w:rsidRPr="003D2A76">
        <w:rPr>
          <w:lang w:val="en-GB"/>
        </w:rPr>
        <w:t>.</w:t>
      </w:r>
    </w:p>
    <w:p w14:paraId="0916C587" w14:textId="0AA3EBDF" w:rsidR="00992606" w:rsidRDefault="00992606" w:rsidP="00BD6279">
      <w:pPr>
        <w:bidi w:val="0"/>
        <w:ind w:hanging="720"/>
        <w:rPr>
          <w:lang w:val="en-GB"/>
        </w:rPr>
      </w:pPr>
      <w:r w:rsidRPr="003D2A76">
        <w:rPr>
          <w:rFonts w:asciiTheme="majorBidi" w:hAnsiTheme="majorBidi" w:cstheme="majorBidi"/>
          <w:lang w:val="en-GB"/>
        </w:rPr>
        <w:t xml:space="preserve">Venkatesh, V., Morris, M. G., Davis, G. B., &amp; Davis, F. D. (2003) </w:t>
      </w:r>
      <w:r w:rsidR="00AC7A43" w:rsidRPr="003D2A76">
        <w:rPr>
          <w:rFonts w:asciiTheme="majorBidi" w:hAnsiTheme="majorBidi" w:cstheme="majorBidi"/>
          <w:lang w:val="en-GB"/>
        </w:rPr>
        <w:t>“</w:t>
      </w:r>
      <w:r w:rsidRPr="003D2A76">
        <w:rPr>
          <w:rFonts w:asciiTheme="majorBidi" w:hAnsiTheme="majorBidi" w:cstheme="majorBidi"/>
          <w:lang w:val="en-GB"/>
        </w:rPr>
        <w:t>User acceptance of information technology: Toward a unified view</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MIS Quarterly</w:t>
      </w:r>
      <w:r w:rsidRPr="009A04CD">
        <w:rPr>
          <w:rFonts w:asciiTheme="majorBidi" w:hAnsiTheme="majorBidi" w:cstheme="majorBidi"/>
          <w:lang w:val="en-GB"/>
        </w:rPr>
        <w:t>, 27</w:t>
      </w:r>
      <w:r w:rsidRPr="003D2A76">
        <w:rPr>
          <w:rFonts w:asciiTheme="majorBidi" w:hAnsiTheme="majorBidi" w:cstheme="majorBidi"/>
          <w:lang w:val="en-GB"/>
        </w:rPr>
        <w:t xml:space="preserve">(3),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425–478. </w:t>
      </w:r>
      <w:hyperlink r:id="rId86" w:history="1">
        <w:r w:rsidRPr="003D2A76">
          <w:rPr>
            <w:rStyle w:val="Hyperlink"/>
            <w:rFonts w:asciiTheme="majorBidi" w:hAnsiTheme="majorBidi" w:cstheme="majorBidi"/>
            <w:lang w:val="en-GB"/>
          </w:rPr>
          <w:t>https://doi.org/10.2307/30036540</w:t>
        </w:r>
      </w:hyperlink>
      <w:r w:rsidR="00AC7A43" w:rsidRPr="003D2A76">
        <w:rPr>
          <w:lang w:val="en-GB"/>
        </w:rPr>
        <w:t>.</w:t>
      </w:r>
    </w:p>
    <w:p w14:paraId="4D9C71CC" w14:textId="2BE7E2C9" w:rsidR="0038366C" w:rsidRDefault="0038366C" w:rsidP="0038366C">
      <w:pPr>
        <w:bidi w:val="0"/>
        <w:ind w:hanging="720"/>
        <w:rPr>
          <w:lang w:val="en-GB"/>
        </w:rPr>
      </w:pPr>
      <w:r w:rsidRPr="0038366C">
        <w:rPr>
          <w:lang w:val="en-GB"/>
        </w:rPr>
        <w:lastRenderedPageBreak/>
        <w:t>Venkatesh, V., Thong, J. Y., &amp; Xu, X. (2012) “Consumer acceptance and use of information technology: Extending the unified theory of acceptance and use of technology”, MIS Quarterly, 36(1), pp. 157–178. https://doi.org/10.23/41410412.</w:t>
      </w:r>
    </w:p>
    <w:p w14:paraId="20FE8098" w14:textId="77777777" w:rsidR="0038366C" w:rsidRPr="003D2A76" w:rsidRDefault="0038366C" w:rsidP="0038366C">
      <w:pPr>
        <w:bidi w:val="0"/>
        <w:ind w:hanging="720"/>
        <w:rPr>
          <w:rFonts w:asciiTheme="majorBidi" w:hAnsiTheme="majorBidi" w:cstheme="majorBidi"/>
          <w:lang w:val="en-GB"/>
        </w:rPr>
      </w:pPr>
    </w:p>
    <w:p w14:paraId="4732BDB0" w14:textId="5C504C4D"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Wampold, B. E., &amp; Freund, R. D. (1987) </w:t>
      </w:r>
      <w:r w:rsidR="00AC7A43" w:rsidRPr="003D2A76">
        <w:rPr>
          <w:rFonts w:asciiTheme="majorBidi" w:hAnsiTheme="majorBidi" w:cstheme="majorBidi"/>
          <w:lang w:val="en-GB"/>
        </w:rPr>
        <w:t>“</w:t>
      </w:r>
      <w:r w:rsidRPr="003D2A76">
        <w:rPr>
          <w:rFonts w:asciiTheme="majorBidi" w:hAnsiTheme="majorBidi" w:cstheme="majorBidi"/>
          <w:lang w:val="en-GB"/>
        </w:rPr>
        <w:t>Use of multiple regression in counseling psychology research: A flexible data-analytic strategy</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Counseling Psychology</w:t>
      </w:r>
      <w:r w:rsidRPr="009A04CD">
        <w:rPr>
          <w:rFonts w:asciiTheme="majorBidi" w:hAnsiTheme="majorBidi" w:cstheme="majorBidi"/>
          <w:lang w:val="en-GB"/>
        </w:rPr>
        <w:t>, 34</w:t>
      </w:r>
      <w:r w:rsidRPr="003D2A76">
        <w:rPr>
          <w:rFonts w:asciiTheme="majorBidi" w:hAnsiTheme="majorBidi" w:cstheme="majorBidi"/>
          <w:lang w:val="en-GB"/>
        </w:rPr>
        <w:t xml:space="preserve">(4),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372–382. </w:t>
      </w:r>
      <w:hyperlink r:id="rId87" w:history="1">
        <w:r w:rsidRPr="003D2A76">
          <w:rPr>
            <w:rStyle w:val="Hyperlink"/>
            <w:rFonts w:asciiTheme="majorBidi" w:hAnsiTheme="majorBidi" w:cstheme="majorBidi"/>
            <w:lang w:val="en-GB"/>
          </w:rPr>
          <w:t>https://doi.org/10.1037/0022-0167.34.4.372</w:t>
        </w:r>
      </w:hyperlink>
      <w:r w:rsidR="00AC7A43" w:rsidRPr="003D2A76">
        <w:rPr>
          <w:lang w:val="en-GB"/>
        </w:rPr>
        <w:t>.</w:t>
      </w:r>
    </w:p>
    <w:p w14:paraId="00A3D2D2" w14:textId="1847328E"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Wilson, J. (2005) </w:t>
      </w:r>
      <w:r w:rsidRPr="003D2A76">
        <w:rPr>
          <w:rFonts w:asciiTheme="majorBidi" w:hAnsiTheme="majorBidi" w:cstheme="majorBidi"/>
          <w:i/>
          <w:iCs/>
          <w:lang w:val="en-GB"/>
        </w:rPr>
        <w:t>Essentials of business research: A guide to doing your research project</w:t>
      </w:r>
      <w:r w:rsidRPr="003D2A76">
        <w:rPr>
          <w:rFonts w:asciiTheme="majorBidi" w:hAnsiTheme="majorBidi" w:cstheme="majorBidi"/>
          <w:lang w:val="en-GB"/>
        </w:rPr>
        <w:t>. Sage Publications.</w:t>
      </w:r>
    </w:p>
    <w:p w14:paraId="27DB7983" w14:textId="7E6B30BF"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Winston, P. H. (2019) </w:t>
      </w:r>
      <w:r w:rsidRPr="003D2A76">
        <w:rPr>
          <w:rFonts w:asciiTheme="majorBidi" w:hAnsiTheme="majorBidi" w:cstheme="majorBidi"/>
          <w:i/>
          <w:iCs/>
          <w:lang w:val="en-GB"/>
        </w:rPr>
        <w:t>Artificial intelligence</w:t>
      </w:r>
      <w:r w:rsidRPr="003D2A76">
        <w:rPr>
          <w:rFonts w:asciiTheme="majorBidi" w:hAnsiTheme="majorBidi" w:cstheme="majorBidi"/>
          <w:lang w:val="en-GB"/>
        </w:rPr>
        <w:t xml:space="preserve"> (3rd ed.). Addison-Wesley.</w:t>
      </w:r>
    </w:p>
    <w:p w14:paraId="29D16B69" w14:textId="5C29FD8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Woodall, T. (2003) </w:t>
      </w:r>
      <w:r w:rsidR="00AC7A43" w:rsidRPr="003D2A76">
        <w:rPr>
          <w:rFonts w:asciiTheme="majorBidi" w:hAnsiTheme="majorBidi" w:cstheme="majorBidi"/>
          <w:lang w:val="en-GB"/>
        </w:rPr>
        <w:t>“</w:t>
      </w:r>
      <w:r w:rsidRPr="003D2A76">
        <w:rPr>
          <w:rFonts w:asciiTheme="majorBidi" w:hAnsiTheme="majorBidi" w:cstheme="majorBidi"/>
          <w:lang w:val="en-GB"/>
        </w:rPr>
        <w:t>Conceptualising 'value for the customer': An attributional, structural and dispositional analysis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Academy of Marketing Science Review</w:t>
      </w:r>
      <w:r w:rsidRPr="009A04CD">
        <w:rPr>
          <w:rFonts w:asciiTheme="majorBidi" w:hAnsiTheme="majorBidi" w:cstheme="majorBidi"/>
          <w:lang w:val="en-GB"/>
        </w:rPr>
        <w:t>, 12</w:t>
      </w:r>
      <w:r w:rsidRPr="003D2A76">
        <w:rPr>
          <w:rFonts w:asciiTheme="majorBidi" w:hAnsiTheme="majorBidi" w:cstheme="majorBidi"/>
          <w:lang w:val="en-GB"/>
        </w:rPr>
        <w:t xml:space="preserve">, </w:t>
      </w:r>
      <w:r w:rsidR="00AC7A43" w:rsidRPr="003D2A76">
        <w:rPr>
          <w:rFonts w:asciiTheme="majorBidi" w:hAnsiTheme="majorBidi" w:cstheme="majorBidi"/>
          <w:lang w:val="en-GB"/>
        </w:rPr>
        <w:t xml:space="preserve">pp. </w:t>
      </w:r>
      <w:r w:rsidRPr="003D2A76">
        <w:rPr>
          <w:rFonts w:asciiTheme="majorBidi" w:hAnsiTheme="majorBidi" w:cstheme="majorBidi"/>
          <w:lang w:val="en-GB"/>
        </w:rPr>
        <w:t>1–42.</w:t>
      </w:r>
    </w:p>
    <w:p w14:paraId="621271CC" w14:textId="69D4D484"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World Medical Association (2013) </w:t>
      </w:r>
      <w:r w:rsidR="00AC7A43" w:rsidRPr="003D2A76">
        <w:rPr>
          <w:rFonts w:asciiTheme="majorBidi" w:hAnsiTheme="majorBidi" w:cstheme="majorBidi"/>
          <w:lang w:val="en-GB"/>
        </w:rPr>
        <w:t>“</w:t>
      </w:r>
      <w:r w:rsidRPr="003D2A76">
        <w:rPr>
          <w:rFonts w:asciiTheme="majorBidi" w:hAnsiTheme="majorBidi" w:cstheme="majorBidi"/>
          <w:lang w:val="en-GB"/>
        </w:rPr>
        <w:t>World Medical Association Declaration of Helsinki: Ethical principles for medical research involving human subjects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JAMA</w:t>
      </w:r>
      <w:r w:rsidRPr="009A04CD">
        <w:rPr>
          <w:rFonts w:asciiTheme="majorBidi" w:hAnsiTheme="majorBidi" w:cstheme="majorBidi"/>
          <w:lang w:val="en-GB"/>
        </w:rPr>
        <w:t>, 310</w:t>
      </w:r>
      <w:r w:rsidRPr="003D2A76">
        <w:rPr>
          <w:rFonts w:asciiTheme="majorBidi" w:hAnsiTheme="majorBidi" w:cstheme="majorBidi"/>
          <w:lang w:val="en-GB"/>
        </w:rPr>
        <w:t xml:space="preserve">(20),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2191–2194. </w:t>
      </w:r>
      <w:hyperlink r:id="rId88" w:history="1">
        <w:r w:rsidRPr="003D2A76">
          <w:rPr>
            <w:rStyle w:val="Hyperlink"/>
            <w:rFonts w:asciiTheme="majorBidi" w:hAnsiTheme="majorBidi" w:cstheme="majorBidi"/>
            <w:lang w:val="en-GB"/>
          </w:rPr>
          <w:t>https://doi.org/10.1001/jama.2013.281053</w:t>
        </w:r>
      </w:hyperlink>
      <w:r w:rsidR="00AC7A43" w:rsidRPr="003D2A76">
        <w:rPr>
          <w:lang w:val="en-GB"/>
        </w:rPr>
        <w:t>.</w:t>
      </w:r>
    </w:p>
    <w:p w14:paraId="78A48EB6" w14:textId="3624FBE9"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World Population Review (2024) </w:t>
      </w:r>
      <w:r w:rsidR="00AC7A43" w:rsidRPr="003D2A76">
        <w:rPr>
          <w:rFonts w:asciiTheme="majorBidi" w:hAnsiTheme="majorBidi" w:cstheme="majorBidi"/>
          <w:lang w:val="en-GB"/>
        </w:rPr>
        <w:t>“</w:t>
      </w:r>
      <w:r w:rsidRPr="003D2A76">
        <w:rPr>
          <w:rFonts w:asciiTheme="majorBidi" w:hAnsiTheme="majorBidi" w:cstheme="majorBidi"/>
          <w:lang w:val="en-GB"/>
        </w:rPr>
        <w:t>Saudi Arabia cities by population 2024</w:t>
      </w:r>
      <w:r w:rsidR="00AC7A43" w:rsidRPr="003D2A76">
        <w:rPr>
          <w:rFonts w:asciiTheme="majorBidi" w:hAnsiTheme="majorBidi" w:cstheme="majorBidi"/>
          <w:lang w:val="en-GB"/>
        </w:rPr>
        <w:t>”</w:t>
      </w:r>
      <w:r w:rsidRPr="003D2A76">
        <w:rPr>
          <w:rFonts w:asciiTheme="majorBidi" w:hAnsiTheme="majorBidi" w:cstheme="majorBidi"/>
          <w:lang w:val="en-GB"/>
        </w:rPr>
        <w:t xml:space="preserve">. Retrieved from </w:t>
      </w:r>
      <w:hyperlink r:id="rId89" w:history="1">
        <w:r w:rsidRPr="003D2A76">
          <w:rPr>
            <w:rStyle w:val="Hyperlink"/>
            <w:rFonts w:asciiTheme="majorBidi" w:hAnsiTheme="majorBidi" w:cstheme="majorBidi"/>
            <w:lang w:val="en-GB"/>
          </w:rPr>
          <w:t>https://worldpopulationreview.com/cities/saudi-arabia</w:t>
        </w:r>
      </w:hyperlink>
      <w:r w:rsidR="00AC7A43" w:rsidRPr="003D2A76">
        <w:rPr>
          <w:lang w:val="en-GB"/>
        </w:rPr>
        <w:t>.</w:t>
      </w:r>
    </w:p>
    <w:p w14:paraId="5C03DE57" w14:textId="23B69E17"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Worthington, R. L., &amp; Whittaker, T. A. (2006) </w:t>
      </w:r>
      <w:r w:rsidR="00AC7A43" w:rsidRPr="003D2A76">
        <w:rPr>
          <w:rFonts w:asciiTheme="majorBidi" w:hAnsiTheme="majorBidi" w:cstheme="majorBidi"/>
          <w:lang w:val="en-GB"/>
        </w:rPr>
        <w:t>“</w:t>
      </w:r>
      <w:r w:rsidRPr="003D2A76">
        <w:rPr>
          <w:rFonts w:asciiTheme="majorBidi" w:hAnsiTheme="majorBidi" w:cstheme="majorBidi"/>
          <w:lang w:val="en-GB"/>
        </w:rPr>
        <w:t>Scale development research: A content analysis and recommendations for best practices</w:t>
      </w:r>
      <w:r w:rsidR="00AC7A43"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The Counseling Psychologist</w:t>
      </w:r>
      <w:r w:rsidRPr="009A04CD">
        <w:rPr>
          <w:rFonts w:asciiTheme="majorBidi" w:hAnsiTheme="majorBidi" w:cstheme="majorBidi"/>
          <w:lang w:val="en-GB"/>
        </w:rPr>
        <w:t>, 34</w:t>
      </w:r>
      <w:r w:rsidRPr="003D2A76">
        <w:rPr>
          <w:rFonts w:asciiTheme="majorBidi" w:hAnsiTheme="majorBidi" w:cstheme="majorBidi"/>
          <w:lang w:val="en-GB"/>
        </w:rPr>
        <w:t xml:space="preserve">(6), </w:t>
      </w:r>
      <w:r w:rsidR="00AC7A43" w:rsidRPr="003D2A76">
        <w:rPr>
          <w:rFonts w:asciiTheme="majorBidi" w:hAnsiTheme="majorBidi" w:cstheme="majorBidi"/>
          <w:lang w:val="en-GB"/>
        </w:rPr>
        <w:t xml:space="preserve">pp. </w:t>
      </w:r>
      <w:r w:rsidRPr="003D2A76">
        <w:rPr>
          <w:rFonts w:asciiTheme="majorBidi" w:hAnsiTheme="majorBidi" w:cstheme="majorBidi"/>
          <w:lang w:val="en-GB"/>
        </w:rPr>
        <w:t xml:space="preserve">806–838. </w:t>
      </w:r>
      <w:hyperlink r:id="rId90" w:history="1">
        <w:r w:rsidRPr="003D2A76">
          <w:rPr>
            <w:rStyle w:val="Hyperlink"/>
            <w:rFonts w:asciiTheme="majorBidi" w:hAnsiTheme="majorBidi" w:cstheme="majorBidi"/>
            <w:lang w:val="en-GB"/>
          </w:rPr>
          <w:t>https://doi.org/10.1177/0011000006288127</w:t>
        </w:r>
      </w:hyperlink>
      <w:r w:rsidR="00AC7A43" w:rsidRPr="003D2A76">
        <w:rPr>
          <w:lang w:val="en-GB"/>
        </w:rPr>
        <w:t>.</w:t>
      </w:r>
    </w:p>
    <w:p w14:paraId="1B75A41F" w14:textId="2BA1D46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Zawacki-Richter, O., Marín, V. I., Bond, M., &amp; Gouverneur, F. (2019) </w:t>
      </w:r>
      <w:r w:rsidR="00DD1590" w:rsidRPr="003D2A76">
        <w:rPr>
          <w:rFonts w:asciiTheme="majorBidi" w:hAnsiTheme="majorBidi" w:cstheme="majorBidi"/>
          <w:lang w:val="en-GB"/>
        </w:rPr>
        <w:t>“</w:t>
      </w:r>
      <w:r w:rsidRPr="003D2A76">
        <w:rPr>
          <w:rFonts w:asciiTheme="majorBidi" w:hAnsiTheme="majorBidi" w:cstheme="majorBidi"/>
          <w:lang w:val="en-GB"/>
        </w:rPr>
        <w:t xml:space="preserve">Systematic review of research on artificial intelligence applications in higher education – Where are the </w:t>
      </w:r>
      <w:r w:rsidRPr="003D2A76">
        <w:rPr>
          <w:rFonts w:asciiTheme="majorBidi" w:hAnsiTheme="majorBidi" w:cstheme="majorBidi"/>
          <w:lang w:val="en-GB"/>
        </w:rPr>
        <w:lastRenderedPageBreak/>
        <w:t>educators?</w:t>
      </w:r>
      <w:r w:rsidR="00DD1590"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International Journal of Educational Technology in Higher Education</w:t>
      </w:r>
      <w:r w:rsidRPr="009A04CD">
        <w:rPr>
          <w:rFonts w:asciiTheme="majorBidi" w:hAnsiTheme="majorBidi" w:cstheme="majorBidi"/>
          <w:lang w:val="en-GB"/>
        </w:rPr>
        <w:t>, 16</w:t>
      </w:r>
      <w:r w:rsidRPr="003D2A76">
        <w:rPr>
          <w:rFonts w:asciiTheme="majorBidi" w:hAnsiTheme="majorBidi" w:cstheme="majorBidi"/>
          <w:lang w:val="en-GB"/>
        </w:rPr>
        <w:t xml:space="preserve">(1), 39. </w:t>
      </w:r>
      <w:hyperlink r:id="rId91" w:history="1">
        <w:r w:rsidRPr="003D2A76">
          <w:rPr>
            <w:rStyle w:val="Hyperlink"/>
            <w:rFonts w:asciiTheme="majorBidi" w:hAnsiTheme="majorBidi" w:cstheme="majorBidi"/>
            <w:lang w:val="en-GB"/>
          </w:rPr>
          <w:t>https://doi.org/10.1186/s41239-019-0171-0</w:t>
        </w:r>
      </w:hyperlink>
      <w:r w:rsidR="00DD1590" w:rsidRPr="003D2A76">
        <w:rPr>
          <w:lang w:val="en-GB"/>
        </w:rPr>
        <w:t>.</w:t>
      </w:r>
    </w:p>
    <w:p w14:paraId="0B25FE0D" w14:textId="09BC08B8"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Zeithaml, V. A. (1988) </w:t>
      </w:r>
      <w:r w:rsidR="00DD1590" w:rsidRPr="003D2A76">
        <w:rPr>
          <w:rFonts w:asciiTheme="majorBidi" w:hAnsiTheme="majorBidi" w:cstheme="majorBidi"/>
          <w:lang w:val="en-GB"/>
        </w:rPr>
        <w:t>“</w:t>
      </w:r>
      <w:r w:rsidRPr="003D2A76">
        <w:rPr>
          <w:rFonts w:asciiTheme="majorBidi" w:hAnsiTheme="majorBidi" w:cstheme="majorBidi"/>
          <w:lang w:val="en-GB"/>
        </w:rPr>
        <w:t>Consumer perceptions of price, quality, and value: A means-end model and synthesis of evidence</w:t>
      </w:r>
      <w:r w:rsidR="00DD1590"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w:t>
      </w:r>
      <w:r w:rsidRPr="009A04CD">
        <w:rPr>
          <w:rFonts w:asciiTheme="majorBidi" w:hAnsiTheme="majorBidi" w:cstheme="majorBidi"/>
          <w:lang w:val="en-GB"/>
        </w:rPr>
        <w:t>, 52</w:t>
      </w:r>
      <w:r w:rsidRPr="003D2A76">
        <w:rPr>
          <w:rFonts w:asciiTheme="majorBidi" w:hAnsiTheme="majorBidi" w:cstheme="majorBidi"/>
          <w:lang w:val="en-GB"/>
        </w:rPr>
        <w:t xml:space="preserve">(3), </w:t>
      </w:r>
      <w:r w:rsidR="00DD1590" w:rsidRPr="003D2A76">
        <w:rPr>
          <w:rFonts w:asciiTheme="majorBidi" w:hAnsiTheme="majorBidi" w:cstheme="majorBidi"/>
          <w:lang w:val="en-GB"/>
        </w:rPr>
        <w:t xml:space="preserve">pp. </w:t>
      </w:r>
      <w:r w:rsidRPr="003D2A76">
        <w:rPr>
          <w:rFonts w:asciiTheme="majorBidi" w:hAnsiTheme="majorBidi" w:cstheme="majorBidi"/>
          <w:lang w:val="en-GB"/>
        </w:rPr>
        <w:t xml:space="preserve">2–22. </w:t>
      </w:r>
      <w:hyperlink r:id="rId92" w:history="1">
        <w:r w:rsidRPr="003D2A76">
          <w:rPr>
            <w:rStyle w:val="Hyperlink"/>
            <w:rFonts w:asciiTheme="majorBidi" w:hAnsiTheme="majorBidi" w:cstheme="majorBidi"/>
            <w:lang w:val="en-GB"/>
          </w:rPr>
          <w:t>https://doi.org/10.1177/002224298805200302</w:t>
        </w:r>
      </w:hyperlink>
      <w:r w:rsidR="00DD1590" w:rsidRPr="003D2A76">
        <w:rPr>
          <w:lang w:val="en-GB"/>
        </w:rPr>
        <w:t>.</w:t>
      </w:r>
    </w:p>
    <w:p w14:paraId="4B8FE275" w14:textId="62F082B7"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Zeithaml, V. A., Berry, L. L., &amp; Parasuraman, A. (1996) </w:t>
      </w:r>
      <w:r w:rsidR="00DD1590" w:rsidRPr="003D2A76">
        <w:rPr>
          <w:rFonts w:asciiTheme="majorBidi" w:hAnsiTheme="majorBidi" w:cstheme="majorBidi"/>
          <w:lang w:val="en-GB"/>
        </w:rPr>
        <w:t>“</w:t>
      </w:r>
      <w:r w:rsidRPr="003D2A76">
        <w:rPr>
          <w:rFonts w:asciiTheme="majorBidi" w:hAnsiTheme="majorBidi" w:cstheme="majorBidi"/>
          <w:lang w:val="en-GB"/>
        </w:rPr>
        <w:t>The behavioral consequences of service quality</w:t>
      </w:r>
      <w:r w:rsidR="00DD1590"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w:t>
      </w:r>
      <w:r w:rsidRPr="009A04CD">
        <w:rPr>
          <w:rFonts w:asciiTheme="majorBidi" w:hAnsiTheme="majorBidi" w:cstheme="majorBidi"/>
          <w:lang w:val="en-GB"/>
        </w:rPr>
        <w:t>, 60</w:t>
      </w:r>
      <w:r w:rsidRPr="003D2A76">
        <w:rPr>
          <w:rFonts w:asciiTheme="majorBidi" w:hAnsiTheme="majorBidi" w:cstheme="majorBidi"/>
          <w:lang w:val="en-GB"/>
        </w:rPr>
        <w:t xml:space="preserve">(2), </w:t>
      </w:r>
      <w:r w:rsidR="00DD1590" w:rsidRPr="003D2A76">
        <w:rPr>
          <w:rFonts w:asciiTheme="majorBidi" w:hAnsiTheme="majorBidi" w:cstheme="majorBidi"/>
          <w:lang w:val="en-GB"/>
        </w:rPr>
        <w:t xml:space="preserve">pp. </w:t>
      </w:r>
      <w:r w:rsidRPr="003D2A76">
        <w:rPr>
          <w:rFonts w:asciiTheme="majorBidi" w:hAnsiTheme="majorBidi" w:cstheme="majorBidi"/>
          <w:lang w:val="en-GB"/>
        </w:rPr>
        <w:t xml:space="preserve">31–46. </w:t>
      </w:r>
      <w:hyperlink r:id="rId93" w:history="1">
        <w:r w:rsidRPr="003D2A76">
          <w:rPr>
            <w:rStyle w:val="Hyperlink"/>
            <w:rFonts w:asciiTheme="majorBidi" w:hAnsiTheme="majorBidi" w:cstheme="majorBidi"/>
            <w:lang w:val="en-GB"/>
          </w:rPr>
          <w:t>https://doi.org/10.1177/002224299606000203</w:t>
        </w:r>
      </w:hyperlink>
      <w:r w:rsidR="00DD1590" w:rsidRPr="003D2A76">
        <w:rPr>
          <w:lang w:val="en-GB"/>
        </w:rPr>
        <w:t>.</w:t>
      </w:r>
    </w:p>
    <w:p w14:paraId="69EF8302" w14:textId="3432EA51" w:rsidR="00992606" w:rsidRPr="003D2A76" w:rsidRDefault="00992606" w:rsidP="00BD6279">
      <w:pPr>
        <w:bidi w:val="0"/>
        <w:ind w:hanging="720"/>
        <w:rPr>
          <w:rStyle w:val="Hyperlink"/>
          <w:rFonts w:asciiTheme="majorBidi" w:hAnsiTheme="majorBidi" w:cstheme="majorBidi"/>
          <w:lang w:val="en-GB"/>
        </w:rPr>
      </w:pPr>
      <w:r w:rsidRPr="003D2A76">
        <w:rPr>
          <w:rFonts w:asciiTheme="majorBidi" w:hAnsiTheme="majorBidi" w:cstheme="majorBidi"/>
          <w:lang w:val="en-GB"/>
        </w:rPr>
        <w:t xml:space="preserve">Zeithaml, V. A., Parasuraman, A., &amp; Berry, L. L. (1985) </w:t>
      </w:r>
      <w:r w:rsidR="00DD1590" w:rsidRPr="003D2A76">
        <w:rPr>
          <w:rFonts w:asciiTheme="majorBidi" w:hAnsiTheme="majorBidi" w:cstheme="majorBidi"/>
          <w:lang w:val="en-GB"/>
        </w:rPr>
        <w:t>“</w:t>
      </w:r>
      <w:r w:rsidRPr="003D2A76">
        <w:rPr>
          <w:rFonts w:asciiTheme="majorBidi" w:hAnsiTheme="majorBidi" w:cstheme="majorBidi"/>
          <w:lang w:val="en-GB"/>
        </w:rPr>
        <w:t>Problems and strategies in services marketing</w:t>
      </w:r>
      <w:r w:rsidR="00DD1590" w:rsidRPr="003D2A76">
        <w:rPr>
          <w:rFonts w:asciiTheme="majorBidi" w:hAnsiTheme="majorBidi" w:cstheme="majorBidi"/>
          <w:lang w:val="en-GB"/>
        </w:rPr>
        <w:t>”,</w:t>
      </w:r>
      <w:r w:rsidRPr="003D2A76">
        <w:rPr>
          <w:rFonts w:asciiTheme="majorBidi" w:hAnsiTheme="majorBidi" w:cstheme="majorBidi"/>
          <w:lang w:val="en-GB"/>
        </w:rPr>
        <w:t xml:space="preserve"> </w:t>
      </w:r>
      <w:r w:rsidRPr="003D2A76">
        <w:rPr>
          <w:rFonts w:asciiTheme="majorBidi" w:hAnsiTheme="majorBidi" w:cstheme="majorBidi"/>
          <w:i/>
          <w:iCs/>
          <w:lang w:val="en-GB"/>
        </w:rPr>
        <w:t>Journal of Marketing</w:t>
      </w:r>
      <w:r w:rsidRPr="009A04CD">
        <w:rPr>
          <w:rFonts w:asciiTheme="majorBidi" w:hAnsiTheme="majorBidi" w:cstheme="majorBidi"/>
          <w:lang w:val="en-GB"/>
        </w:rPr>
        <w:t>, 49</w:t>
      </w:r>
      <w:r w:rsidRPr="003D2A76">
        <w:rPr>
          <w:rFonts w:asciiTheme="majorBidi" w:hAnsiTheme="majorBidi" w:cstheme="majorBidi"/>
          <w:lang w:val="en-GB"/>
        </w:rPr>
        <w:t xml:space="preserve">(2), </w:t>
      </w:r>
      <w:r w:rsidR="00DD1590" w:rsidRPr="003D2A76">
        <w:rPr>
          <w:rFonts w:asciiTheme="majorBidi" w:hAnsiTheme="majorBidi" w:cstheme="majorBidi"/>
          <w:lang w:val="en-GB"/>
        </w:rPr>
        <w:t xml:space="preserve">pp. </w:t>
      </w:r>
      <w:r w:rsidRPr="003D2A76">
        <w:rPr>
          <w:rFonts w:asciiTheme="majorBidi" w:hAnsiTheme="majorBidi" w:cstheme="majorBidi"/>
          <w:lang w:val="en-GB"/>
        </w:rPr>
        <w:t xml:space="preserve">33–46. </w:t>
      </w:r>
      <w:hyperlink r:id="rId94" w:history="1">
        <w:r w:rsidRPr="003D2A76">
          <w:rPr>
            <w:rStyle w:val="Hyperlink"/>
            <w:rFonts w:asciiTheme="majorBidi" w:hAnsiTheme="majorBidi" w:cstheme="majorBidi"/>
            <w:lang w:val="en-GB"/>
          </w:rPr>
          <w:t>https://doi.org/10.1177/002224298504900203</w:t>
        </w:r>
      </w:hyperlink>
      <w:r w:rsidR="00DD1590" w:rsidRPr="003D2A76">
        <w:rPr>
          <w:lang w:val="en-GB"/>
        </w:rPr>
        <w:t>.</w:t>
      </w:r>
    </w:p>
    <w:p w14:paraId="2481E222" w14:textId="47ED495E" w:rsidR="00992606" w:rsidRPr="003D2A76" w:rsidRDefault="00992606" w:rsidP="00BD6279">
      <w:pPr>
        <w:bidi w:val="0"/>
        <w:ind w:hanging="720"/>
        <w:rPr>
          <w:rFonts w:asciiTheme="majorBidi" w:hAnsiTheme="majorBidi" w:cstheme="majorBidi"/>
          <w:lang w:val="en-GB"/>
        </w:rPr>
      </w:pPr>
      <w:r w:rsidRPr="003D2A76">
        <w:rPr>
          <w:rFonts w:asciiTheme="majorBidi" w:hAnsiTheme="majorBidi" w:cstheme="majorBidi"/>
          <w:lang w:val="en-GB"/>
        </w:rPr>
        <w:t xml:space="preserve">Zikmund, W. G., Babin, B. J., Carr, J. C., &amp; Griffin, M. (2013) </w:t>
      </w:r>
      <w:r w:rsidRPr="003D2A76">
        <w:rPr>
          <w:rFonts w:asciiTheme="majorBidi" w:hAnsiTheme="majorBidi" w:cstheme="majorBidi"/>
          <w:i/>
          <w:iCs/>
          <w:lang w:val="en-GB"/>
        </w:rPr>
        <w:t>Business research methods</w:t>
      </w:r>
      <w:r w:rsidRPr="003D2A76">
        <w:rPr>
          <w:rFonts w:asciiTheme="majorBidi" w:hAnsiTheme="majorBidi" w:cstheme="majorBidi"/>
          <w:lang w:val="en-GB"/>
        </w:rPr>
        <w:t xml:space="preserve"> (9th ed.). Cengage Learning.</w:t>
      </w:r>
    </w:p>
    <w:p w14:paraId="25CCF63D" w14:textId="77777777" w:rsidR="00885F3C" w:rsidRPr="003D2A76" w:rsidRDefault="00885F3C" w:rsidP="00BD6279">
      <w:pPr>
        <w:bidi w:val="0"/>
        <w:ind w:hanging="720"/>
        <w:rPr>
          <w:rFonts w:asciiTheme="majorBidi" w:hAnsiTheme="majorBidi" w:cstheme="majorBidi"/>
          <w:lang w:val="en-GB"/>
        </w:rPr>
      </w:pPr>
    </w:p>
    <w:p w14:paraId="3CCB1A62" w14:textId="77777777" w:rsidR="00885F3C" w:rsidRPr="003D2A76" w:rsidRDefault="00885F3C" w:rsidP="00BD6279">
      <w:pPr>
        <w:bidi w:val="0"/>
        <w:ind w:hanging="720"/>
        <w:rPr>
          <w:rFonts w:asciiTheme="majorBidi" w:hAnsiTheme="majorBidi" w:cstheme="majorBidi"/>
          <w:lang w:val="en-GB"/>
        </w:rPr>
      </w:pPr>
    </w:p>
    <w:p w14:paraId="56BFF525" w14:textId="77777777" w:rsidR="00E57E83" w:rsidRPr="003D2A76" w:rsidRDefault="00E57E83" w:rsidP="00BD6279">
      <w:pPr>
        <w:bidi w:val="0"/>
        <w:ind w:hanging="720"/>
        <w:rPr>
          <w:rFonts w:asciiTheme="majorBidi" w:hAnsiTheme="majorBidi" w:cstheme="majorBidi"/>
          <w:lang w:val="en-GB"/>
        </w:rPr>
      </w:pPr>
    </w:p>
    <w:sectPr w:rsidR="00E57E83" w:rsidRPr="003D2A76" w:rsidSect="00885F3C">
      <w:headerReference w:type="default" r:id="rId95"/>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F980C" w14:textId="77777777" w:rsidR="007657BB" w:rsidRDefault="007657BB">
      <w:pPr>
        <w:spacing w:line="240" w:lineRule="auto"/>
      </w:pPr>
      <w:r>
        <w:separator/>
      </w:r>
    </w:p>
  </w:endnote>
  <w:endnote w:type="continuationSeparator" w:id="0">
    <w:p w14:paraId="2064B8C4" w14:textId="77777777" w:rsidR="007657BB" w:rsidRDefault="0076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D48CB" w14:textId="77777777" w:rsidR="007657BB" w:rsidRDefault="007657BB">
      <w:pPr>
        <w:spacing w:line="240" w:lineRule="auto"/>
      </w:pPr>
      <w:r>
        <w:separator/>
      </w:r>
    </w:p>
  </w:footnote>
  <w:footnote w:type="continuationSeparator" w:id="0">
    <w:p w14:paraId="31ED5979" w14:textId="77777777" w:rsidR="007657BB" w:rsidRDefault="0076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1C7E0" w14:textId="77777777" w:rsidR="00E2446F" w:rsidRDefault="00CB042E">
    <w:pPr>
      <w:pStyle w:val="Header"/>
      <w:jc w:val="right"/>
    </w:pPr>
    <w:r>
      <w:fldChar w:fldCharType="begin"/>
    </w:r>
    <w:r>
      <w:instrText xml:space="preserve"> PAGE </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252D8" w14:textId="77777777" w:rsidR="00E2446F" w:rsidRDefault="00E244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2631" w14:textId="77777777" w:rsidR="00885F3C" w:rsidRDefault="00885F3C">
    <w:pPr>
      <w:pStyle w:val="Header"/>
      <w:jc w:val="right"/>
    </w:pPr>
    <w:r>
      <w:fldChar w:fldCharType="begin"/>
    </w:r>
    <w:r>
      <w:instrText xml:space="preserve"> PAGE </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9310197">
    <w:abstractNumId w:val="8"/>
  </w:num>
  <w:num w:numId="2" w16cid:durableId="1914003929">
    <w:abstractNumId w:val="6"/>
  </w:num>
  <w:num w:numId="3" w16cid:durableId="405538098">
    <w:abstractNumId w:val="5"/>
  </w:num>
  <w:num w:numId="4" w16cid:durableId="187184080">
    <w:abstractNumId w:val="4"/>
  </w:num>
  <w:num w:numId="5" w16cid:durableId="624049073">
    <w:abstractNumId w:val="7"/>
  </w:num>
  <w:num w:numId="6" w16cid:durableId="1673294454">
    <w:abstractNumId w:val="3"/>
  </w:num>
  <w:num w:numId="7" w16cid:durableId="81225967">
    <w:abstractNumId w:val="2"/>
  </w:num>
  <w:num w:numId="8" w16cid:durableId="110638901">
    <w:abstractNumId w:val="1"/>
  </w:num>
  <w:num w:numId="9" w16cid:durableId="692801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3C"/>
    <w:rsid w:val="0001713D"/>
    <w:rsid w:val="00022BC4"/>
    <w:rsid w:val="00033A7A"/>
    <w:rsid w:val="00044B66"/>
    <w:rsid w:val="00051989"/>
    <w:rsid w:val="00064062"/>
    <w:rsid w:val="00065C40"/>
    <w:rsid w:val="00072C5F"/>
    <w:rsid w:val="000767E9"/>
    <w:rsid w:val="00083B01"/>
    <w:rsid w:val="00086B7B"/>
    <w:rsid w:val="0009780D"/>
    <w:rsid w:val="00097953"/>
    <w:rsid w:val="000A2443"/>
    <w:rsid w:val="000B2261"/>
    <w:rsid w:val="000D7F51"/>
    <w:rsid w:val="00120ACF"/>
    <w:rsid w:val="00126EAD"/>
    <w:rsid w:val="00140C42"/>
    <w:rsid w:val="00142C44"/>
    <w:rsid w:val="00152A07"/>
    <w:rsid w:val="0017113C"/>
    <w:rsid w:val="001B603C"/>
    <w:rsid w:val="001B635F"/>
    <w:rsid w:val="001C5933"/>
    <w:rsid w:val="001C75A0"/>
    <w:rsid w:val="001D6784"/>
    <w:rsid w:val="001E761A"/>
    <w:rsid w:val="001F29D9"/>
    <w:rsid w:val="00214F0A"/>
    <w:rsid w:val="002262C5"/>
    <w:rsid w:val="00230CF5"/>
    <w:rsid w:val="00234EB2"/>
    <w:rsid w:val="00241375"/>
    <w:rsid w:val="00244CBB"/>
    <w:rsid w:val="00250F46"/>
    <w:rsid w:val="0026382A"/>
    <w:rsid w:val="00263E18"/>
    <w:rsid w:val="002A498F"/>
    <w:rsid w:val="002B4127"/>
    <w:rsid w:val="002C33FE"/>
    <w:rsid w:val="002D5C58"/>
    <w:rsid w:val="002E594F"/>
    <w:rsid w:val="002F4113"/>
    <w:rsid w:val="002F7FB2"/>
    <w:rsid w:val="00300844"/>
    <w:rsid w:val="00307A23"/>
    <w:rsid w:val="00310C4E"/>
    <w:rsid w:val="00315183"/>
    <w:rsid w:val="00315345"/>
    <w:rsid w:val="00326324"/>
    <w:rsid w:val="003365A8"/>
    <w:rsid w:val="0034273D"/>
    <w:rsid w:val="0035238B"/>
    <w:rsid w:val="00353383"/>
    <w:rsid w:val="00364372"/>
    <w:rsid w:val="00371E1E"/>
    <w:rsid w:val="0038366C"/>
    <w:rsid w:val="003A1009"/>
    <w:rsid w:val="003A20EC"/>
    <w:rsid w:val="003A3746"/>
    <w:rsid w:val="003B016F"/>
    <w:rsid w:val="003D10A2"/>
    <w:rsid w:val="003D2A76"/>
    <w:rsid w:val="003D62B6"/>
    <w:rsid w:val="003E2AFB"/>
    <w:rsid w:val="00410821"/>
    <w:rsid w:val="0042734A"/>
    <w:rsid w:val="00433023"/>
    <w:rsid w:val="00434010"/>
    <w:rsid w:val="004408E4"/>
    <w:rsid w:val="00453C89"/>
    <w:rsid w:val="00460689"/>
    <w:rsid w:val="00474483"/>
    <w:rsid w:val="004846FA"/>
    <w:rsid w:val="0049752D"/>
    <w:rsid w:val="004A0131"/>
    <w:rsid w:val="004A1C6D"/>
    <w:rsid w:val="004A1DA3"/>
    <w:rsid w:val="004A431D"/>
    <w:rsid w:val="004E058C"/>
    <w:rsid w:val="004E445A"/>
    <w:rsid w:val="004E685F"/>
    <w:rsid w:val="004F7650"/>
    <w:rsid w:val="0050336F"/>
    <w:rsid w:val="00505ADB"/>
    <w:rsid w:val="00507E7C"/>
    <w:rsid w:val="00510750"/>
    <w:rsid w:val="005121F2"/>
    <w:rsid w:val="00532BED"/>
    <w:rsid w:val="00557CA3"/>
    <w:rsid w:val="00561761"/>
    <w:rsid w:val="005749DD"/>
    <w:rsid w:val="005A1A73"/>
    <w:rsid w:val="005A5001"/>
    <w:rsid w:val="005B0E5B"/>
    <w:rsid w:val="005B3F07"/>
    <w:rsid w:val="005B5133"/>
    <w:rsid w:val="005C1598"/>
    <w:rsid w:val="005C3CDA"/>
    <w:rsid w:val="005C4326"/>
    <w:rsid w:val="00614258"/>
    <w:rsid w:val="00615666"/>
    <w:rsid w:val="00622946"/>
    <w:rsid w:val="00634868"/>
    <w:rsid w:val="006773CC"/>
    <w:rsid w:val="0067772D"/>
    <w:rsid w:val="0068628A"/>
    <w:rsid w:val="006A4A5D"/>
    <w:rsid w:val="006A70E9"/>
    <w:rsid w:val="006B1A71"/>
    <w:rsid w:val="006E1E23"/>
    <w:rsid w:val="006E7405"/>
    <w:rsid w:val="00706ADD"/>
    <w:rsid w:val="0071076E"/>
    <w:rsid w:val="00712270"/>
    <w:rsid w:val="00716A9F"/>
    <w:rsid w:val="0072176A"/>
    <w:rsid w:val="00724BAE"/>
    <w:rsid w:val="00744AA0"/>
    <w:rsid w:val="007657BB"/>
    <w:rsid w:val="00767B8E"/>
    <w:rsid w:val="007767D8"/>
    <w:rsid w:val="00784327"/>
    <w:rsid w:val="0078670D"/>
    <w:rsid w:val="00793C4A"/>
    <w:rsid w:val="007C3F12"/>
    <w:rsid w:val="007D0FAE"/>
    <w:rsid w:val="007E787E"/>
    <w:rsid w:val="00800011"/>
    <w:rsid w:val="00803A08"/>
    <w:rsid w:val="008103C5"/>
    <w:rsid w:val="00813FDD"/>
    <w:rsid w:val="008161AE"/>
    <w:rsid w:val="00816BF7"/>
    <w:rsid w:val="00826365"/>
    <w:rsid w:val="00832FEA"/>
    <w:rsid w:val="008417D1"/>
    <w:rsid w:val="008557D6"/>
    <w:rsid w:val="0086347E"/>
    <w:rsid w:val="00864805"/>
    <w:rsid w:val="008820BF"/>
    <w:rsid w:val="00885F3C"/>
    <w:rsid w:val="00886B4C"/>
    <w:rsid w:val="00886E4F"/>
    <w:rsid w:val="0089406B"/>
    <w:rsid w:val="008A6643"/>
    <w:rsid w:val="008B41C4"/>
    <w:rsid w:val="008C4D46"/>
    <w:rsid w:val="008D4C40"/>
    <w:rsid w:val="008E36F1"/>
    <w:rsid w:val="008F1C4A"/>
    <w:rsid w:val="00934E5C"/>
    <w:rsid w:val="00935647"/>
    <w:rsid w:val="00936935"/>
    <w:rsid w:val="0094212B"/>
    <w:rsid w:val="00942A99"/>
    <w:rsid w:val="009619D9"/>
    <w:rsid w:val="0097159C"/>
    <w:rsid w:val="00974544"/>
    <w:rsid w:val="009752B0"/>
    <w:rsid w:val="00977B89"/>
    <w:rsid w:val="009802CC"/>
    <w:rsid w:val="00983C4D"/>
    <w:rsid w:val="00983DF5"/>
    <w:rsid w:val="00985D04"/>
    <w:rsid w:val="00992606"/>
    <w:rsid w:val="009A0267"/>
    <w:rsid w:val="009A04CD"/>
    <w:rsid w:val="009B03B2"/>
    <w:rsid w:val="009B0B7E"/>
    <w:rsid w:val="009B138E"/>
    <w:rsid w:val="009C6FD8"/>
    <w:rsid w:val="009D1ADA"/>
    <w:rsid w:val="009D2DAA"/>
    <w:rsid w:val="009D76E6"/>
    <w:rsid w:val="009E1D3B"/>
    <w:rsid w:val="009E1F87"/>
    <w:rsid w:val="009E3AF8"/>
    <w:rsid w:val="009E4379"/>
    <w:rsid w:val="009F2A1B"/>
    <w:rsid w:val="00A14355"/>
    <w:rsid w:val="00A14C88"/>
    <w:rsid w:val="00A27196"/>
    <w:rsid w:val="00A3743D"/>
    <w:rsid w:val="00A573E9"/>
    <w:rsid w:val="00A670AC"/>
    <w:rsid w:val="00A82809"/>
    <w:rsid w:val="00AB46C5"/>
    <w:rsid w:val="00AB541E"/>
    <w:rsid w:val="00AB5BC9"/>
    <w:rsid w:val="00AB67C5"/>
    <w:rsid w:val="00AB695A"/>
    <w:rsid w:val="00AC7A43"/>
    <w:rsid w:val="00AD74DF"/>
    <w:rsid w:val="00AE34CF"/>
    <w:rsid w:val="00AF7C14"/>
    <w:rsid w:val="00B109AC"/>
    <w:rsid w:val="00B17EB0"/>
    <w:rsid w:val="00B2419F"/>
    <w:rsid w:val="00B3749C"/>
    <w:rsid w:val="00B441FB"/>
    <w:rsid w:val="00B52FAE"/>
    <w:rsid w:val="00B56B4C"/>
    <w:rsid w:val="00B87263"/>
    <w:rsid w:val="00B958A8"/>
    <w:rsid w:val="00B97F9F"/>
    <w:rsid w:val="00BA7306"/>
    <w:rsid w:val="00BB4DF9"/>
    <w:rsid w:val="00BC492E"/>
    <w:rsid w:val="00BC6AEB"/>
    <w:rsid w:val="00BD1E32"/>
    <w:rsid w:val="00BD3E25"/>
    <w:rsid w:val="00BD6279"/>
    <w:rsid w:val="00BE45A9"/>
    <w:rsid w:val="00BF38C5"/>
    <w:rsid w:val="00C0718C"/>
    <w:rsid w:val="00C317E9"/>
    <w:rsid w:val="00C3355E"/>
    <w:rsid w:val="00C45F0E"/>
    <w:rsid w:val="00C6175C"/>
    <w:rsid w:val="00CB042E"/>
    <w:rsid w:val="00CC136A"/>
    <w:rsid w:val="00CC23AD"/>
    <w:rsid w:val="00CC6A4B"/>
    <w:rsid w:val="00CD17B7"/>
    <w:rsid w:val="00D1083E"/>
    <w:rsid w:val="00D1303B"/>
    <w:rsid w:val="00D20EAE"/>
    <w:rsid w:val="00D31DDE"/>
    <w:rsid w:val="00D50A3D"/>
    <w:rsid w:val="00D72D50"/>
    <w:rsid w:val="00D74908"/>
    <w:rsid w:val="00D76974"/>
    <w:rsid w:val="00D76C9E"/>
    <w:rsid w:val="00D90404"/>
    <w:rsid w:val="00DB56FC"/>
    <w:rsid w:val="00DB7F70"/>
    <w:rsid w:val="00DC50C7"/>
    <w:rsid w:val="00DD1590"/>
    <w:rsid w:val="00DD500B"/>
    <w:rsid w:val="00DE6CC4"/>
    <w:rsid w:val="00E1215F"/>
    <w:rsid w:val="00E2446F"/>
    <w:rsid w:val="00E364EC"/>
    <w:rsid w:val="00E57E83"/>
    <w:rsid w:val="00E65D6B"/>
    <w:rsid w:val="00E74367"/>
    <w:rsid w:val="00EA4598"/>
    <w:rsid w:val="00EB4562"/>
    <w:rsid w:val="00EB6E9C"/>
    <w:rsid w:val="00EC10CE"/>
    <w:rsid w:val="00ED03FA"/>
    <w:rsid w:val="00ED6ED0"/>
    <w:rsid w:val="00EE6A2E"/>
    <w:rsid w:val="00EF1A13"/>
    <w:rsid w:val="00F04310"/>
    <w:rsid w:val="00F134E2"/>
    <w:rsid w:val="00F312A8"/>
    <w:rsid w:val="00F333D5"/>
    <w:rsid w:val="00F4687A"/>
    <w:rsid w:val="00F509B5"/>
    <w:rsid w:val="00F53CFF"/>
    <w:rsid w:val="00F5442D"/>
    <w:rsid w:val="00F667BD"/>
    <w:rsid w:val="00F7652C"/>
    <w:rsid w:val="00F80BCD"/>
    <w:rsid w:val="00F82513"/>
    <w:rsid w:val="00F92EA2"/>
    <w:rsid w:val="00F93084"/>
    <w:rsid w:val="00F963BC"/>
    <w:rsid w:val="00FA682D"/>
    <w:rsid w:val="00FB207C"/>
    <w:rsid w:val="00FC2A4D"/>
    <w:rsid w:val="00FC73FC"/>
    <w:rsid w:val="00FE53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8B70E"/>
  <w15:chartTrackingRefBased/>
  <w15:docId w15:val="{057D4F69-8BF5-4ADC-98B6-EC48BB58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7D6"/>
    <w:pPr>
      <w:bidi/>
      <w:spacing w:after="0" w:line="48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6A4A5D"/>
    <w:pPr>
      <w:bidi w:val="0"/>
      <w:jc w:val="center"/>
      <w:outlineLvl w:val="0"/>
    </w:pPr>
    <w:rPr>
      <w:rFonts w:asciiTheme="majorBidi" w:hAnsiTheme="majorBidi" w:cstheme="majorBidi"/>
      <w:b/>
      <w:bCs/>
      <w:color w:val="000000"/>
    </w:rPr>
  </w:style>
  <w:style w:type="paragraph" w:styleId="Heading2">
    <w:name w:val="heading 2"/>
    <w:basedOn w:val="Normal"/>
    <w:next w:val="Normal"/>
    <w:link w:val="Heading2Char"/>
    <w:uiPriority w:val="9"/>
    <w:unhideWhenUsed/>
    <w:qFormat/>
    <w:rsid w:val="006A4A5D"/>
    <w:pPr>
      <w:bidi w:val="0"/>
      <w:outlineLvl w:val="1"/>
    </w:pPr>
    <w:rPr>
      <w:rFonts w:asciiTheme="majorBidi" w:hAnsiTheme="majorBidi" w:cstheme="majorBidi"/>
      <w:b/>
      <w:bCs/>
      <w:color w:val="000000"/>
    </w:rPr>
  </w:style>
  <w:style w:type="paragraph" w:styleId="Heading3">
    <w:name w:val="heading 3"/>
    <w:basedOn w:val="Normal"/>
    <w:next w:val="Normal"/>
    <w:link w:val="Heading3Char"/>
    <w:uiPriority w:val="9"/>
    <w:unhideWhenUsed/>
    <w:qFormat/>
    <w:rsid w:val="00885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F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F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F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F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A5D"/>
    <w:rPr>
      <w:rFonts w:asciiTheme="majorBidi" w:hAnsiTheme="majorBidi" w:cstheme="majorBidi"/>
      <w:b/>
      <w:bCs/>
    </w:rPr>
  </w:style>
  <w:style w:type="character" w:customStyle="1" w:styleId="Heading2Char">
    <w:name w:val="Heading 2 Char"/>
    <w:basedOn w:val="DefaultParagraphFont"/>
    <w:link w:val="Heading2"/>
    <w:uiPriority w:val="9"/>
    <w:rsid w:val="006A4A5D"/>
    <w:rPr>
      <w:rFonts w:asciiTheme="majorBidi" w:hAnsiTheme="majorBidi" w:cstheme="majorBidi"/>
      <w:b/>
      <w:bCs/>
    </w:rPr>
  </w:style>
  <w:style w:type="character" w:customStyle="1" w:styleId="Heading3Char">
    <w:name w:val="Heading 3 Char"/>
    <w:basedOn w:val="DefaultParagraphFont"/>
    <w:link w:val="Heading3"/>
    <w:uiPriority w:val="9"/>
    <w:rsid w:val="00885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F3C"/>
    <w:rPr>
      <w:rFonts w:eastAsiaTheme="majorEastAsia" w:cstheme="majorBidi"/>
      <w:color w:val="272727" w:themeColor="text1" w:themeTint="D8"/>
    </w:rPr>
  </w:style>
  <w:style w:type="paragraph" w:styleId="Title">
    <w:name w:val="Title"/>
    <w:basedOn w:val="Normal"/>
    <w:next w:val="Normal"/>
    <w:link w:val="TitleChar"/>
    <w:uiPriority w:val="10"/>
    <w:qFormat/>
    <w:rsid w:val="00885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F3C"/>
    <w:pPr>
      <w:spacing w:before="160"/>
      <w:jc w:val="center"/>
    </w:pPr>
    <w:rPr>
      <w:i/>
      <w:iCs/>
      <w:color w:val="404040" w:themeColor="text1" w:themeTint="BF"/>
    </w:rPr>
  </w:style>
  <w:style w:type="character" w:customStyle="1" w:styleId="QuoteChar">
    <w:name w:val="Quote Char"/>
    <w:basedOn w:val="DefaultParagraphFont"/>
    <w:link w:val="Quote"/>
    <w:uiPriority w:val="29"/>
    <w:rsid w:val="00885F3C"/>
    <w:rPr>
      <w:i/>
      <w:iCs/>
      <w:color w:val="404040" w:themeColor="text1" w:themeTint="BF"/>
    </w:rPr>
  </w:style>
  <w:style w:type="paragraph" w:styleId="ListParagraph">
    <w:name w:val="List Paragraph"/>
    <w:basedOn w:val="Normal"/>
    <w:uiPriority w:val="34"/>
    <w:qFormat/>
    <w:rsid w:val="00885F3C"/>
    <w:pPr>
      <w:ind w:left="720"/>
      <w:contextualSpacing/>
    </w:pPr>
  </w:style>
  <w:style w:type="character" w:styleId="IntenseEmphasis">
    <w:name w:val="Intense Emphasis"/>
    <w:basedOn w:val="DefaultParagraphFont"/>
    <w:uiPriority w:val="21"/>
    <w:qFormat/>
    <w:rsid w:val="00885F3C"/>
    <w:rPr>
      <w:i/>
      <w:iCs/>
      <w:color w:val="0F4761" w:themeColor="accent1" w:themeShade="BF"/>
    </w:rPr>
  </w:style>
  <w:style w:type="paragraph" w:styleId="IntenseQuote">
    <w:name w:val="Intense Quote"/>
    <w:basedOn w:val="Normal"/>
    <w:next w:val="Normal"/>
    <w:link w:val="IntenseQuoteChar"/>
    <w:uiPriority w:val="30"/>
    <w:qFormat/>
    <w:rsid w:val="00885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F3C"/>
    <w:rPr>
      <w:i/>
      <w:iCs/>
      <w:color w:val="0F4761" w:themeColor="accent1" w:themeShade="BF"/>
    </w:rPr>
  </w:style>
  <w:style w:type="character" w:styleId="IntenseReference">
    <w:name w:val="Intense Reference"/>
    <w:basedOn w:val="DefaultParagraphFont"/>
    <w:uiPriority w:val="32"/>
    <w:qFormat/>
    <w:rsid w:val="00885F3C"/>
    <w:rPr>
      <w:b/>
      <w:bCs/>
      <w:smallCaps/>
      <w:color w:val="0F4761" w:themeColor="accent1" w:themeShade="BF"/>
      <w:spacing w:val="5"/>
    </w:rPr>
  </w:style>
  <w:style w:type="paragraph" w:styleId="Header">
    <w:name w:val="header"/>
    <w:basedOn w:val="Normal"/>
    <w:link w:val="HeaderChar"/>
    <w:uiPriority w:val="99"/>
    <w:unhideWhenUsed/>
    <w:rsid w:val="00885F3C"/>
    <w:pPr>
      <w:tabs>
        <w:tab w:val="center" w:pos="4153"/>
        <w:tab w:val="right" w:pos="8306"/>
      </w:tabs>
      <w:spacing w:line="240" w:lineRule="auto"/>
    </w:pPr>
  </w:style>
  <w:style w:type="character" w:customStyle="1" w:styleId="HeaderChar">
    <w:name w:val="Header Char"/>
    <w:basedOn w:val="DefaultParagraphFont"/>
    <w:link w:val="Header"/>
    <w:uiPriority w:val="99"/>
    <w:rsid w:val="00885F3C"/>
  </w:style>
  <w:style w:type="paragraph" w:styleId="Footer">
    <w:name w:val="footer"/>
    <w:basedOn w:val="Normal"/>
    <w:link w:val="FooterChar"/>
    <w:uiPriority w:val="99"/>
    <w:unhideWhenUsed/>
    <w:rsid w:val="00885F3C"/>
    <w:pPr>
      <w:tabs>
        <w:tab w:val="center" w:pos="4680"/>
        <w:tab w:val="right" w:pos="9360"/>
      </w:tabs>
      <w:bidi w:val="0"/>
      <w:spacing w:line="240" w:lineRule="auto"/>
      <w:ind w:firstLine="720"/>
    </w:pPr>
    <w:rPr>
      <w:rFonts w:eastAsiaTheme="minorEastAsia"/>
      <w:color w:val="000000"/>
      <w:kern w:val="0"/>
      <w:szCs w:val="22"/>
      <w14:ligatures w14:val="none"/>
    </w:rPr>
  </w:style>
  <w:style w:type="character" w:customStyle="1" w:styleId="FooterChar">
    <w:name w:val="Footer Char"/>
    <w:basedOn w:val="DefaultParagraphFont"/>
    <w:link w:val="Footer"/>
    <w:uiPriority w:val="99"/>
    <w:rsid w:val="00885F3C"/>
    <w:rPr>
      <w:rFonts w:ascii="Times New Roman" w:eastAsiaTheme="minorEastAsia" w:hAnsi="Times New Roman"/>
      <w:color w:val="000000"/>
      <w:kern w:val="0"/>
      <w:szCs w:val="22"/>
      <w14:ligatures w14:val="none"/>
    </w:rPr>
  </w:style>
  <w:style w:type="paragraph" w:styleId="NoSpacing">
    <w:name w:val="No Spacing"/>
    <w:uiPriority w:val="1"/>
    <w:qFormat/>
    <w:rsid w:val="00885F3C"/>
    <w:pPr>
      <w:spacing w:after="0" w:line="240" w:lineRule="auto"/>
    </w:pPr>
    <w:rPr>
      <w:rFonts w:eastAsiaTheme="minorEastAsia"/>
      <w:kern w:val="0"/>
      <w:sz w:val="22"/>
      <w:szCs w:val="22"/>
      <w14:ligatures w14:val="none"/>
    </w:rPr>
  </w:style>
  <w:style w:type="paragraph" w:styleId="BodyText">
    <w:name w:val="Body Text"/>
    <w:basedOn w:val="Normal"/>
    <w:link w:val="BodyTextChar"/>
    <w:uiPriority w:val="99"/>
    <w:unhideWhenUsed/>
    <w:rsid w:val="00885F3C"/>
    <w:pPr>
      <w:bidi w:val="0"/>
      <w:spacing w:after="120"/>
      <w:ind w:firstLine="720"/>
    </w:pPr>
    <w:rPr>
      <w:rFonts w:eastAsiaTheme="minorEastAsia"/>
      <w:color w:val="000000"/>
      <w:kern w:val="0"/>
      <w:szCs w:val="22"/>
      <w14:ligatures w14:val="none"/>
    </w:rPr>
  </w:style>
  <w:style w:type="character" w:customStyle="1" w:styleId="BodyTextChar">
    <w:name w:val="Body Text Char"/>
    <w:basedOn w:val="DefaultParagraphFont"/>
    <w:link w:val="BodyText"/>
    <w:uiPriority w:val="99"/>
    <w:rsid w:val="00885F3C"/>
    <w:rPr>
      <w:rFonts w:ascii="Times New Roman" w:eastAsiaTheme="minorEastAsia" w:hAnsi="Times New Roman"/>
      <w:color w:val="000000"/>
      <w:kern w:val="0"/>
      <w:szCs w:val="22"/>
      <w14:ligatures w14:val="none"/>
    </w:rPr>
  </w:style>
  <w:style w:type="paragraph" w:styleId="BodyText2">
    <w:name w:val="Body Text 2"/>
    <w:basedOn w:val="Normal"/>
    <w:link w:val="BodyText2Char"/>
    <w:uiPriority w:val="99"/>
    <w:unhideWhenUsed/>
    <w:rsid w:val="00885F3C"/>
    <w:pPr>
      <w:bidi w:val="0"/>
      <w:spacing w:after="120"/>
      <w:ind w:firstLine="720"/>
    </w:pPr>
    <w:rPr>
      <w:rFonts w:eastAsiaTheme="minorEastAsia"/>
      <w:color w:val="000000"/>
      <w:kern w:val="0"/>
      <w:szCs w:val="22"/>
      <w14:ligatures w14:val="none"/>
    </w:rPr>
  </w:style>
  <w:style w:type="character" w:customStyle="1" w:styleId="BodyText2Char">
    <w:name w:val="Body Text 2 Char"/>
    <w:basedOn w:val="DefaultParagraphFont"/>
    <w:link w:val="BodyText2"/>
    <w:uiPriority w:val="99"/>
    <w:rsid w:val="00885F3C"/>
    <w:rPr>
      <w:rFonts w:ascii="Times New Roman" w:eastAsiaTheme="minorEastAsia" w:hAnsi="Times New Roman"/>
      <w:color w:val="000000"/>
      <w:kern w:val="0"/>
      <w:szCs w:val="22"/>
      <w14:ligatures w14:val="none"/>
    </w:rPr>
  </w:style>
  <w:style w:type="paragraph" w:styleId="BodyText3">
    <w:name w:val="Body Text 3"/>
    <w:basedOn w:val="Normal"/>
    <w:link w:val="BodyText3Char"/>
    <w:uiPriority w:val="99"/>
    <w:unhideWhenUsed/>
    <w:rsid w:val="00885F3C"/>
    <w:pPr>
      <w:bidi w:val="0"/>
      <w:spacing w:after="120"/>
      <w:ind w:firstLine="720"/>
    </w:pPr>
    <w:rPr>
      <w:rFonts w:eastAsiaTheme="minorEastAsia"/>
      <w:color w:val="000000"/>
      <w:kern w:val="0"/>
      <w:sz w:val="16"/>
      <w:szCs w:val="16"/>
      <w14:ligatures w14:val="none"/>
    </w:rPr>
  </w:style>
  <w:style w:type="character" w:customStyle="1" w:styleId="BodyText3Char">
    <w:name w:val="Body Text 3 Char"/>
    <w:basedOn w:val="DefaultParagraphFont"/>
    <w:link w:val="BodyText3"/>
    <w:uiPriority w:val="99"/>
    <w:rsid w:val="00885F3C"/>
    <w:rPr>
      <w:rFonts w:ascii="Times New Roman" w:eastAsiaTheme="minorEastAsia" w:hAnsi="Times New Roman"/>
      <w:color w:val="000000"/>
      <w:kern w:val="0"/>
      <w:sz w:val="16"/>
      <w:szCs w:val="16"/>
      <w14:ligatures w14:val="none"/>
    </w:rPr>
  </w:style>
  <w:style w:type="paragraph" w:styleId="List">
    <w:name w:val="List"/>
    <w:basedOn w:val="Normal"/>
    <w:uiPriority w:val="99"/>
    <w:unhideWhenUsed/>
    <w:rsid w:val="00885F3C"/>
    <w:pPr>
      <w:bidi w:val="0"/>
      <w:ind w:left="360" w:hanging="360"/>
      <w:contextualSpacing/>
    </w:pPr>
    <w:rPr>
      <w:rFonts w:eastAsiaTheme="minorEastAsia"/>
      <w:color w:val="000000"/>
      <w:kern w:val="0"/>
      <w:szCs w:val="22"/>
      <w14:ligatures w14:val="none"/>
    </w:rPr>
  </w:style>
  <w:style w:type="paragraph" w:styleId="List2">
    <w:name w:val="List 2"/>
    <w:basedOn w:val="Normal"/>
    <w:uiPriority w:val="99"/>
    <w:unhideWhenUsed/>
    <w:rsid w:val="00885F3C"/>
    <w:pPr>
      <w:bidi w:val="0"/>
      <w:ind w:left="720" w:hanging="360"/>
      <w:contextualSpacing/>
    </w:pPr>
    <w:rPr>
      <w:rFonts w:eastAsiaTheme="minorEastAsia"/>
      <w:color w:val="000000"/>
      <w:kern w:val="0"/>
      <w:szCs w:val="22"/>
      <w14:ligatures w14:val="none"/>
    </w:rPr>
  </w:style>
  <w:style w:type="paragraph" w:styleId="List3">
    <w:name w:val="List 3"/>
    <w:basedOn w:val="Normal"/>
    <w:uiPriority w:val="99"/>
    <w:unhideWhenUsed/>
    <w:rsid w:val="00885F3C"/>
    <w:pPr>
      <w:bidi w:val="0"/>
      <w:ind w:left="1080" w:hanging="360"/>
      <w:contextualSpacing/>
    </w:pPr>
    <w:rPr>
      <w:rFonts w:eastAsiaTheme="minorEastAsia"/>
      <w:color w:val="000000"/>
      <w:kern w:val="0"/>
      <w:szCs w:val="22"/>
      <w14:ligatures w14:val="none"/>
    </w:rPr>
  </w:style>
  <w:style w:type="paragraph" w:styleId="ListBullet">
    <w:name w:val="List Bullet"/>
    <w:basedOn w:val="Normal"/>
    <w:uiPriority w:val="99"/>
    <w:unhideWhenUsed/>
    <w:rsid w:val="00885F3C"/>
    <w:pPr>
      <w:numPr>
        <w:numId w:val="1"/>
      </w:numPr>
      <w:tabs>
        <w:tab w:val="clear" w:pos="360"/>
      </w:tabs>
      <w:bidi w:val="0"/>
      <w:ind w:left="0" w:firstLine="0"/>
      <w:contextualSpacing/>
    </w:pPr>
    <w:rPr>
      <w:rFonts w:eastAsiaTheme="minorEastAsia"/>
      <w:color w:val="000000"/>
      <w:kern w:val="0"/>
      <w:szCs w:val="22"/>
      <w14:ligatures w14:val="none"/>
    </w:rPr>
  </w:style>
  <w:style w:type="paragraph" w:styleId="ListBullet2">
    <w:name w:val="List Bullet 2"/>
    <w:basedOn w:val="Normal"/>
    <w:uiPriority w:val="99"/>
    <w:unhideWhenUsed/>
    <w:rsid w:val="00885F3C"/>
    <w:pPr>
      <w:numPr>
        <w:numId w:val="2"/>
      </w:numPr>
      <w:tabs>
        <w:tab w:val="clear" w:pos="720"/>
      </w:tabs>
      <w:bidi w:val="0"/>
      <w:ind w:left="0" w:firstLine="0"/>
      <w:contextualSpacing/>
    </w:pPr>
    <w:rPr>
      <w:rFonts w:eastAsiaTheme="minorEastAsia"/>
      <w:color w:val="000000"/>
      <w:kern w:val="0"/>
      <w:szCs w:val="22"/>
      <w14:ligatures w14:val="none"/>
    </w:rPr>
  </w:style>
  <w:style w:type="paragraph" w:styleId="ListBullet3">
    <w:name w:val="List Bullet 3"/>
    <w:basedOn w:val="Normal"/>
    <w:uiPriority w:val="99"/>
    <w:unhideWhenUsed/>
    <w:rsid w:val="00885F3C"/>
    <w:pPr>
      <w:numPr>
        <w:numId w:val="3"/>
      </w:numPr>
      <w:tabs>
        <w:tab w:val="clear" w:pos="1080"/>
      </w:tabs>
      <w:bidi w:val="0"/>
      <w:ind w:left="0" w:firstLine="0"/>
      <w:contextualSpacing/>
    </w:pPr>
    <w:rPr>
      <w:rFonts w:eastAsiaTheme="minorEastAsia"/>
      <w:color w:val="000000"/>
      <w:kern w:val="0"/>
      <w:szCs w:val="22"/>
      <w14:ligatures w14:val="none"/>
    </w:rPr>
  </w:style>
  <w:style w:type="paragraph" w:styleId="ListNumber">
    <w:name w:val="List Number"/>
    <w:basedOn w:val="Normal"/>
    <w:uiPriority w:val="99"/>
    <w:unhideWhenUsed/>
    <w:rsid w:val="00885F3C"/>
    <w:pPr>
      <w:numPr>
        <w:numId w:val="5"/>
      </w:numPr>
      <w:tabs>
        <w:tab w:val="clear" w:pos="360"/>
      </w:tabs>
      <w:bidi w:val="0"/>
      <w:ind w:left="0" w:firstLine="0"/>
      <w:contextualSpacing/>
    </w:pPr>
    <w:rPr>
      <w:rFonts w:eastAsiaTheme="minorEastAsia"/>
      <w:color w:val="000000"/>
      <w:kern w:val="0"/>
      <w:szCs w:val="22"/>
      <w14:ligatures w14:val="none"/>
    </w:rPr>
  </w:style>
  <w:style w:type="paragraph" w:styleId="ListNumber2">
    <w:name w:val="List Number 2"/>
    <w:basedOn w:val="Normal"/>
    <w:uiPriority w:val="99"/>
    <w:unhideWhenUsed/>
    <w:rsid w:val="00885F3C"/>
    <w:pPr>
      <w:numPr>
        <w:numId w:val="6"/>
      </w:numPr>
      <w:tabs>
        <w:tab w:val="clear" w:pos="720"/>
      </w:tabs>
      <w:bidi w:val="0"/>
      <w:ind w:left="0" w:firstLine="0"/>
      <w:contextualSpacing/>
    </w:pPr>
    <w:rPr>
      <w:rFonts w:eastAsiaTheme="minorEastAsia"/>
      <w:color w:val="000000"/>
      <w:kern w:val="0"/>
      <w:szCs w:val="22"/>
      <w14:ligatures w14:val="none"/>
    </w:rPr>
  </w:style>
  <w:style w:type="paragraph" w:styleId="ListNumber3">
    <w:name w:val="List Number 3"/>
    <w:basedOn w:val="Normal"/>
    <w:uiPriority w:val="99"/>
    <w:unhideWhenUsed/>
    <w:rsid w:val="00885F3C"/>
    <w:pPr>
      <w:numPr>
        <w:numId w:val="7"/>
      </w:numPr>
      <w:tabs>
        <w:tab w:val="clear" w:pos="1080"/>
      </w:tabs>
      <w:bidi w:val="0"/>
      <w:ind w:left="0" w:firstLine="0"/>
      <w:contextualSpacing/>
    </w:pPr>
    <w:rPr>
      <w:rFonts w:eastAsiaTheme="minorEastAsia"/>
      <w:color w:val="000000"/>
      <w:kern w:val="0"/>
      <w:szCs w:val="22"/>
      <w14:ligatures w14:val="none"/>
    </w:rPr>
  </w:style>
  <w:style w:type="paragraph" w:styleId="ListContinue">
    <w:name w:val="List Continue"/>
    <w:basedOn w:val="Normal"/>
    <w:uiPriority w:val="99"/>
    <w:unhideWhenUsed/>
    <w:rsid w:val="00885F3C"/>
    <w:pPr>
      <w:bidi w:val="0"/>
      <w:spacing w:after="120"/>
      <w:ind w:left="360" w:firstLine="720"/>
      <w:contextualSpacing/>
    </w:pPr>
    <w:rPr>
      <w:rFonts w:eastAsiaTheme="minorEastAsia"/>
      <w:color w:val="000000"/>
      <w:kern w:val="0"/>
      <w:szCs w:val="22"/>
      <w14:ligatures w14:val="none"/>
    </w:rPr>
  </w:style>
  <w:style w:type="paragraph" w:styleId="ListContinue2">
    <w:name w:val="List Continue 2"/>
    <w:basedOn w:val="Normal"/>
    <w:uiPriority w:val="99"/>
    <w:unhideWhenUsed/>
    <w:rsid w:val="00885F3C"/>
    <w:pPr>
      <w:bidi w:val="0"/>
      <w:spacing w:after="120"/>
      <w:ind w:left="720" w:firstLine="720"/>
      <w:contextualSpacing/>
    </w:pPr>
    <w:rPr>
      <w:rFonts w:eastAsiaTheme="minorEastAsia"/>
      <w:color w:val="000000"/>
      <w:kern w:val="0"/>
      <w:szCs w:val="22"/>
      <w14:ligatures w14:val="none"/>
    </w:rPr>
  </w:style>
  <w:style w:type="paragraph" w:styleId="ListContinue3">
    <w:name w:val="List Continue 3"/>
    <w:basedOn w:val="Normal"/>
    <w:uiPriority w:val="99"/>
    <w:unhideWhenUsed/>
    <w:rsid w:val="00885F3C"/>
    <w:pPr>
      <w:bidi w:val="0"/>
      <w:spacing w:after="120"/>
      <w:ind w:left="1080" w:firstLine="720"/>
      <w:contextualSpacing/>
    </w:pPr>
    <w:rPr>
      <w:rFonts w:eastAsiaTheme="minorEastAsia"/>
      <w:color w:val="000000"/>
      <w:kern w:val="0"/>
      <w:szCs w:val="22"/>
      <w14:ligatures w14:val="none"/>
    </w:rPr>
  </w:style>
  <w:style w:type="paragraph" w:styleId="MacroText">
    <w:name w:val="macro"/>
    <w:link w:val="MacroTextChar"/>
    <w:uiPriority w:val="99"/>
    <w:unhideWhenUsed/>
    <w:rsid w:val="00885F3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14:ligatures w14:val="none"/>
    </w:rPr>
  </w:style>
  <w:style w:type="character" w:customStyle="1" w:styleId="MacroTextChar">
    <w:name w:val="Macro Text Char"/>
    <w:basedOn w:val="DefaultParagraphFont"/>
    <w:link w:val="MacroText"/>
    <w:uiPriority w:val="99"/>
    <w:rsid w:val="00885F3C"/>
    <w:rPr>
      <w:rFonts w:ascii="Courier" w:eastAsiaTheme="minorEastAsia" w:hAnsi="Courier"/>
      <w:kern w:val="0"/>
      <w:sz w:val="20"/>
      <w:szCs w:val="20"/>
      <w14:ligatures w14:val="none"/>
    </w:rPr>
  </w:style>
  <w:style w:type="paragraph" w:styleId="Caption">
    <w:name w:val="caption"/>
    <w:basedOn w:val="Normal"/>
    <w:next w:val="Normal"/>
    <w:uiPriority w:val="35"/>
    <w:semiHidden/>
    <w:unhideWhenUsed/>
    <w:qFormat/>
    <w:rsid w:val="00885F3C"/>
    <w:pPr>
      <w:bidi w:val="0"/>
      <w:spacing w:line="240" w:lineRule="auto"/>
      <w:ind w:firstLine="720"/>
    </w:pPr>
    <w:rPr>
      <w:rFonts w:eastAsiaTheme="minorEastAsia"/>
      <w:b/>
      <w:bCs/>
      <w:color w:val="156082" w:themeColor="accent1"/>
      <w:kern w:val="0"/>
      <w:sz w:val="18"/>
      <w:szCs w:val="18"/>
      <w14:ligatures w14:val="none"/>
    </w:rPr>
  </w:style>
  <w:style w:type="character" w:styleId="Strong">
    <w:name w:val="Strong"/>
    <w:basedOn w:val="DefaultParagraphFont"/>
    <w:uiPriority w:val="22"/>
    <w:qFormat/>
    <w:rsid w:val="00885F3C"/>
    <w:rPr>
      <w:b/>
      <w:bCs/>
    </w:rPr>
  </w:style>
  <w:style w:type="character" w:styleId="Emphasis">
    <w:name w:val="Emphasis"/>
    <w:basedOn w:val="DefaultParagraphFont"/>
    <w:uiPriority w:val="20"/>
    <w:qFormat/>
    <w:rsid w:val="00885F3C"/>
    <w:rPr>
      <w:i/>
      <w:iCs/>
    </w:rPr>
  </w:style>
  <w:style w:type="character" w:styleId="SubtleEmphasis">
    <w:name w:val="Subtle Emphasis"/>
    <w:basedOn w:val="DefaultParagraphFont"/>
    <w:uiPriority w:val="19"/>
    <w:qFormat/>
    <w:rsid w:val="00885F3C"/>
    <w:rPr>
      <w:i/>
      <w:iCs/>
      <w:color w:val="808080" w:themeColor="text1" w:themeTint="7F"/>
    </w:rPr>
  </w:style>
  <w:style w:type="character" w:styleId="SubtleReference">
    <w:name w:val="Subtle Reference"/>
    <w:basedOn w:val="DefaultParagraphFont"/>
    <w:uiPriority w:val="31"/>
    <w:qFormat/>
    <w:rsid w:val="00885F3C"/>
    <w:rPr>
      <w:smallCaps/>
      <w:color w:val="E97132" w:themeColor="accent2"/>
      <w:u w:val="single"/>
    </w:rPr>
  </w:style>
  <w:style w:type="character" w:styleId="BookTitle">
    <w:name w:val="Book Title"/>
    <w:basedOn w:val="DefaultParagraphFont"/>
    <w:uiPriority w:val="33"/>
    <w:qFormat/>
    <w:rsid w:val="00885F3C"/>
    <w:rPr>
      <w:b/>
      <w:bCs/>
      <w:smallCaps/>
      <w:spacing w:val="5"/>
    </w:rPr>
  </w:style>
  <w:style w:type="paragraph" w:styleId="TOCHeading">
    <w:name w:val="TOC Heading"/>
    <w:basedOn w:val="Heading1"/>
    <w:next w:val="Normal"/>
    <w:uiPriority w:val="39"/>
    <w:semiHidden/>
    <w:unhideWhenUsed/>
    <w:qFormat/>
    <w:rsid w:val="00885F3C"/>
    <w:pPr>
      <w:outlineLvl w:val="9"/>
    </w:pPr>
    <w:rPr>
      <w:b w:val="0"/>
      <w:bCs w:val="0"/>
      <w:kern w:val="0"/>
      <w:sz w:val="28"/>
      <w:szCs w:val="28"/>
      <w14:ligatures w14:val="none"/>
    </w:rPr>
  </w:style>
  <w:style w:type="table" w:styleId="TableGrid">
    <w:name w:val="Table Grid"/>
    <w:basedOn w:val="TableNormal"/>
    <w:uiPriority w:val="59"/>
    <w:rsid w:val="00885F3C"/>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885F3C"/>
    <w:pPr>
      <w:spacing w:after="0" w:line="240" w:lineRule="auto"/>
    </w:pPr>
    <w:rPr>
      <w:rFonts w:eastAsiaTheme="minorEastAsia"/>
      <w:color w:val="000000" w:themeColor="text1" w:themeShade="BF"/>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85F3C"/>
    <w:pPr>
      <w:spacing w:after="0" w:line="240" w:lineRule="auto"/>
    </w:pPr>
    <w:rPr>
      <w:rFonts w:eastAsiaTheme="minorEastAsia"/>
      <w:color w:val="0F4761" w:themeColor="accent1" w:themeShade="BF"/>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885F3C"/>
    <w:pPr>
      <w:spacing w:after="0" w:line="240" w:lineRule="auto"/>
    </w:pPr>
    <w:rPr>
      <w:rFonts w:eastAsiaTheme="minorEastAsia"/>
      <w:color w:val="BF4E14" w:themeColor="accent2" w:themeShade="BF"/>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885F3C"/>
    <w:pPr>
      <w:spacing w:after="0" w:line="240" w:lineRule="auto"/>
    </w:pPr>
    <w:rPr>
      <w:rFonts w:eastAsiaTheme="minorEastAsia"/>
      <w:color w:val="124F1A" w:themeColor="accent3" w:themeShade="BF"/>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885F3C"/>
    <w:pPr>
      <w:spacing w:after="0" w:line="240" w:lineRule="auto"/>
    </w:pPr>
    <w:rPr>
      <w:rFonts w:eastAsiaTheme="minorEastAsia"/>
      <w:color w:val="0B769F" w:themeColor="accent4" w:themeShade="BF"/>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885F3C"/>
    <w:pPr>
      <w:spacing w:after="0" w:line="240" w:lineRule="auto"/>
    </w:pPr>
    <w:rPr>
      <w:rFonts w:eastAsiaTheme="minorEastAsia"/>
      <w:color w:val="77206D" w:themeColor="accent5" w:themeShade="BF"/>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885F3C"/>
    <w:pPr>
      <w:spacing w:after="0" w:line="240" w:lineRule="auto"/>
    </w:pPr>
    <w:rPr>
      <w:rFonts w:eastAsiaTheme="minorEastAsia"/>
      <w:color w:val="3A7C22" w:themeColor="accent6" w:themeShade="BF"/>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85F3C"/>
    <w:pPr>
      <w:spacing w:after="0" w:line="240" w:lineRule="auto"/>
    </w:pPr>
    <w:rPr>
      <w:rFonts w:eastAsiaTheme="minorEastAsia"/>
      <w:kern w:val="0"/>
      <w:sz w:val="22"/>
      <w:szCs w:val="22"/>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85F3C"/>
    <w:pPr>
      <w:spacing w:after="0" w:line="240" w:lineRule="auto"/>
    </w:pPr>
    <w:rPr>
      <w:rFonts w:asciiTheme="majorHAnsi" w:eastAsiaTheme="majorEastAsia" w:hAnsiTheme="majorHAnsi" w:cstheme="majorBidi"/>
      <w:color w:val="000000" w:themeColor="text1"/>
      <w:kern w:val="0"/>
      <w:sz w:val="22"/>
      <w:szCs w:val="22"/>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885F3C"/>
    <w:pPr>
      <w:spacing w:after="0" w:line="240" w:lineRule="auto"/>
    </w:pPr>
    <w:rPr>
      <w:rFonts w:eastAsiaTheme="minorEastAsia"/>
      <w:kern w:val="0"/>
      <w:sz w:val="22"/>
      <w:szCs w:val="22"/>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885F3C"/>
    <w:pPr>
      <w:spacing w:after="0" w:line="240" w:lineRule="auto"/>
    </w:pPr>
    <w:rPr>
      <w:rFonts w:eastAsiaTheme="minorEastAsia"/>
      <w:color w:val="FFFFFF" w:themeColor="background1"/>
      <w:kern w:val="0"/>
      <w:sz w:val="22"/>
      <w:szCs w:val="22"/>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885F3C"/>
    <w:pPr>
      <w:spacing w:after="0" w:line="240" w:lineRule="auto"/>
    </w:pPr>
    <w:rPr>
      <w:rFonts w:eastAsiaTheme="minorEastAsia"/>
      <w:color w:val="000000" w:themeColor="text1"/>
      <w:kern w:val="0"/>
      <w:sz w:val="22"/>
      <w:szCs w:val="22"/>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885F3C"/>
    <w:pPr>
      <w:spacing w:after="0" w:line="240" w:lineRule="auto"/>
    </w:pPr>
    <w:rPr>
      <w:rFonts w:eastAsiaTheme="minorEastAsia"/>
      <w:color w:val="000000" w:themeColor="text1"/>
      <w:kern w:val="0"/>
      <w:sz w:val="22"/>
      <w:szCs w:val="22"/>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styleId="Hyperlink">
    <w:name w:val="Hyperlink"/>
    <w:basedOn w:val="DefaultParagraphFont"/>
    <w:uiPriority w:val="99"/>
    <w:unhideWhenUsed/>
    <w:rsid w:val="00EB6E9C"/>
    <w:rPr>
      <w:color w:val="467886" w:themeColor="hyperlink"/>
      <w:u w:val="single"/>
    </w:rPr>
  </w:style>
  <w:style w:type="character" w:styleId="UnresolvedMention">
    <w:name w:val="Unresolved Mention"/>
    <w:basedOn w:val="DefaultParagraphFont"/>
    <w:uiPriority w:val="99"/>
    <w:semiHidden/>
    <w:unhideWhenUsed/>
    <w:rsid w:val="00EB6E9C"/>
    <w:rPr>
      <w:color w:val="605E5C"/>
      <w:shd w:val="clear" w:color="auto" w:fill="E1DFDD"/>
    </w:rPr>
  </w:style>
  <w:style w:type="paragraph" w:styleId="TOC1">
    <w:name w:val="toc 1"/>
    <w:basedOn w:val="Normal"/>
    <w:next w:val="Normal"/>
    <w:autoRedefine/>
    <w:uiPriority w:val="39"/>
    <w:unhideWhenUsed/>
    <w:rsid w:val="00BD6279"/>
    <w:pPr>
      <w:tabs>
        <w:tab w:val="right" w:leader="dot" w:pos="8630"/>
      </w:tabs>
      <w:bidi w:val="0"/>
      <w:spacing w:after="100" w:line="240" w:lineRule="auto"/>
    </w:pPr>
  </w:style>
  <w:style w:type="paragraph" w:styleId="TOC2">
    <w:name w:val="toc 2"/>
    <w:basedOn w:val="Normal"/>
    <w:next w:val="Normal"/>
    <w:autoRedefine/>
    <w:uiPriority w:val="39"/>
    <w:unhideWhenUsed/>
    <w:rsid w:val="00BD6279"/>
    <w:pPr>
      <w:spacing w:after="100"/>
      <w:ind w:left="240"/>
    </w:pPr>
  </w:style>
  <w:style w:type="paragraph" w:styleId="Revision">
    <w:name w:val="Revision"/>
    <w:hidden/>
    <w:uiPriority w:val="99"/>
    <w:semiHidden/>
    <w:rsid w:val="009E1D3B"/>
    <w:pPr>
      <w:spacing w:after="0" w:line="240" w:lineRule="auto"/>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86E4F"/>
    <w:rPr>
      <w:sz w:val="16"/>
      <w:szCs w:val="16"/>
    </w:rPr>
  </w:style>
  <w:style w:type="paragraph" w:styleId="CommentText">
    <w:name w:val="annotation text"/>
    <w:basedOn w:val="Normal"/>
    <w:link w:val="CommentTextChar"/>
    <w:uiPriority w:val="99"/>
    <w:semiHidden/>
    <w:unhideWhenUsed/>
    <w:rsid w:val="00886E4F"/>
    <w:pPr>
      <w:spacing w:line="240" w:lineRule="auto"/>
    </w:pPr>
    <w:rPr>
      <w:sz w:val="20"/>
      <w:szCs w:val="20"/>
    </w:rPr>
  </w:style>
  <w:style w:type="character" w:customStyle="1" w:styleId="CommentTextChar">
    <w:name w:val="Comment Text Char"/>
    <w:basedOn w:val="DefaultParagraphFont"/>
    <w:link w:val="CommentText"/>
    <w:uiPriority w:val="99"/>
    <w:semiHidden/>
    <w:rsid w:val="00886E4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6E4F"/>
    <w:rPr>
      <w:b/>
      <w:bCs/>
    </w:rPr>
  </w:style>
  <w:style w:type="character" w:customStyle="1" w:styleId="CommentSubjectChar">
    <w:name w:val="Comment Subject Char"/>
    <w:basedOn w:val="CommentTextChar"/>
    <w:link w:val="CommentSubject"/>
    <w:uiPriority w:val="99"/>
    <w:semiHidden/>
    <w:rsid w:val="00886E4F"/>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42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135910457000100301" TargetMode="External"/><Relationship Id="rId21" Type="http://schemas.openxmlformats.org/officeDocument/2006/relationships/image" Target="media/image12.png"/><Relationship Id="rId42" Type="http://schemas.openxmlformats.org/officeDocument/2006/relationships/hyperlink" Target="https://doi.org/10.2307/249008" TargetMode="External"/><Relationship Id="rId47" Type="http://schemas.openxmlformats.org/officeDocument/2006/relationships/hyperlink" Target="https://doi.org/10.11648/j.ajtas.20160501.11" TargetMode="External"/><Relationship Id="rId63" Type="http://schemas.openxmlformats.org/officeDocument/2006/relationships/hyperlink" Target="https://doi.org/10.1177/001316447003000308" TargetMode="External"/><Relationship Id="rId68" Type="http://schemas.openxmlformats.org/officeDocument/2006/relationships/hyperlink" Target="https://doi.org/10.47263/JASEM.4(2)01" TargetMode="External"/><Relationship Id="rId84" Type="http://schemas.openxmlformats.org/officeDocument/2006/relationships/hyperlink" Target="https://doi.org/10.1111/j.1540-5915.2008.00192.x" TargetMode="External"/><Relationship Id="rId89" Type="http://schemas.openxmlformats.org/officeDocument/2006/relationships/hyperlink" Target="https://worldpopulationreview.com/cities/saudi-arabia" TargetMode="External"/><Relationship Id="rId16" Type="http://schemas.openxmlformats.org/officeDocument/2006/relationships/image" Target="media/image7.png"/><Relationship Id="rId11" Type="http://schemas.openxmlformats.org/officeDocument/2006/relationships/header" Target="header2.xml"/><Relationship Id="rId32" Type="http://schemas.openxmlformats.org/officeDocument/2006/relationships/hyperlink" Target="https://doi.org/10.1037/1040-3590.7.3.309" TargetMode="External"/><Relationship Id="rId37" Type="http://schemas.openxmlformats.org/officeDocument/2006/relationships/hyperlink" Target="https://doi.org/10.1017/CBO9780511499371" TargetMode="External"/><Relationship Id="rId53" Type="http://schemas.openxmlformats.org/officeDocument/2006/relationships/hyperlink" Target="https://www.stats.gov.sa/documents/20117/2435273/Population+Estimates+Statistics+2024+EN.pdf" TargetMode="External"/><Relationship Id="rId58" Type="http://schemas.openxmlformats.org/officeDocument/2006/relationships/hyperlink" Target="https://doi.org/10.1177/109467050134006" TargetMode="External"/><Relationship Id="rId74" Type="http://schemas.openxmlformats.org/officeDocument/2006/relationships/hyperlink" Target="https://doi.org/10.3758/BRM.40.3.879" TargetMode="External"/><Relationship Id="rId79" Type="http://schemas.openxmlformats.org/officeDocument/2006/relationships/hyperlink" Target="https://doi.org/10.1186/s40561-023-00237-x" TargetMode="External"/><Relationship Id="rId5" Type="http://schemas.openxmlformats.org/officeDocument/2006/relationships/webSettings" Target="webSettings.xml"/><Relationship Id="rId90" Type="http://schemas.openxmlformats.org/officeDocument/2006/relationships/hyperlink" Target="https://doi.org/10.1177/0011000006288127" TargetMode="External"/><Relationship Id="rId95" Type="http://schemas.openxmlformats.org/officeDocument/2006/relationships/header" Target="header3.xml"/><Relationship Id="rId22" Type="http://schemas.openxmlformats.org/officeDocument/2006/relationships/hyperlink" Target="https://www.ands.org.au" TargetMode="External"/><Relationship Id="rId27" Type="http://schemas.openxmlformats.org/officeDocument/2006/relationships/hyperlink" Target="https://www.bera.ac.uk" TargetMode="External"/><Relationship Id="rId43" Type="http://schemas.openxmlformats.org/officeDocument/2006/relationships/hyperlink" Target="https://doi.org/10.1177/147078530805000106" TargetMode="External"/><Relationship Id="rId48" Type="http://schemas.openxmlformats.org/officeDocument/2006/relationships/hyperlink" Target="https://doi.org/10.1108/IntR-03-2018-0089" TargetMode="External"/><Relationship Id="rId64" Type="http://schemas.openxmlformats.org/officeDocument/2006/relationships/hyperlink" Target="https://doi.org/10.1038/sj.ebd.6400375" TargetMode="External"/><Relationship Id="rId69" Type="http://schemas.openxmlformats.org/officeDocument/2006/relationships/hyperlink" Target="https://moe.gov.sa" TargetMode="External"/><Relationship Id="rId80" Type="http://schemas.openxmlformats.org/officeDocument/2006/relationships/hyperlink" Target="https://doi.org/10.1080/03057920601024891" TargetMode="External"/><Relationship Id="rId85" Type="http://schemas.openxmlformats.org/officeDocument/2006/relationships/hyperlink" Target="https://doi.org/10.1287/mnsc.46.2.186.11926"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doi.org/10.1016/j.dr.2013.08.003" TargetMode="External"/><Relationship Id="rId33" Type="http://schemas.openxmlformats.org/officeDocument/2006/relationships/hyperlink" Target="https://www.colliers.com/en-sa/news/riyadh/k12-market-in-kingdom-of-saudi-arabia" TargetMode="External"/><Relationship Id="rId38" Type="http://schemas.openxmlformats.org/officeDocument/2006/relationships/hyperlink" Target="https://doi.org/10.1186/s41239-023-00392-8" TargetMode="External"/><Relationship Id="rId46" Type="http://schemas.openxmlformats.org/officeDocument/2006/relationships/hyperlink" Target="https://doi.org/10.1001/jama.283.20.2701" TargetMode="External"/><Relationship Id="rId59" Type="http://schemas.openxmlformats.org/officeDocument/2006/relationships/hyperlink" Target="https://doi.org/10.1177/1094670517752459" TargetMode="External"/><Relationship Id="rId67" Type="http://schemas.openxmlformats.org/officeDocument/2006/relationships/hyperlink" Target="https://doi.org/10.1023/A:1026595011371" TargetMode="External"/><Relationship Id="rId20" Type="http://schemas.openxmlformats.org/officeDocument/2006/relationships/image" Target="media/image11.png"/><Relationship Id="rId41" Type="http://schemas.openxmlformats.org/officeDocument/2006/relationships/hyperlink" Target="https://doi.org/10.1007/s11747-019-00696-0" TargetMode="External"/><Relationship Id="rId54" Type="http://schemas.openxmlformats.org/officeDocument/2006/relationships/hyperlink" Target="https://www.stats.gov.sa" TargetMode="External"/><Relationship Id="rId62" Type="http://schemas.openxmlformats.org/officeDocument/2006/relationships/hyperlink" Target="https://doi.org/10.1177/001316447403400115" TargetMode="External"/><Relationship Id="rId70" Type="http://schemas.openxmlformats.org/officeDocument/2006/relationships/hyperlink" Target="https://www.mordorintelligence.com/industry-reports/ksa-private-k12-education-market" TargetMode="External"/><Relationship Id="rId75" Type="http://schemas.openxmlformats.org/officeDocument/2006/relationships/hyperlink" Target="https://doi.org/10.1037/a0022658" TargetMode="External"/><Relationship Id="rId83" Type="http://schemas.openxmlformats.org/officeDocument/2006/relationships/hyperlink" Target="https://doi.org/10.1027/1016-9040.1.2.89" TargetMode="External"/><Relationship Id="rId88" Type="http://schemas.openxmlformats.org/officeDocument/2006/relationships/hyperlink" Target="https://doi.org/10.1001/jama.2013.281053" TargetMode="External"/><Relationship Id="rId91" Type="http://schemas.openxmlformats.org/officeDocument/2006/relationships/hyperlink" Target="https://doi.org/10.1186/s41239-019-0171-0"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doi.org/10.1002/0471725153" TargetMode="External"/><Relationship Id="rId28" Type="http://schemas.openxmlformats.org/officeDocument/2006/relationships/hyperlink" Target="https://doi.org/10.1108/03090560210430818" TargetMode="External"/><Relationship Id="rId36" Type="http://schemas.openxmlformats.org/officeDocument/2006/relationships/hyperlink" Target="https://cioms.ch" TargetMode="External"/><Relationship Id="rId49" Type="http://schemas.openxmlformats.org/officeDocument/2006/relationships/hyperlink" Target="https://doi.org/10.3758/BRM.41.4.1149" TargetMode="External"/><Relationship Id="rId57" Type="http://schemas.openxmlformats.org/officeDocument/2006/relationships/hyperlink" Target="https://doi.org/10.1108/09513550610669176" TargetMode="External"/><Relationship Id="rId10" Type="http://schemas.openxmlformats.org/officeDocument/2006/relationships/header" Target="header1.xml"/><Relationship Id="rId31" Type="http://schemas.openxmlformats.org/officeDocument/2006/relationships/hyperlink" Target="https://doi.org/10.1177/0092070306286934" TargetMode="External"/><Relationship Id="rId44" Type="http://schemas.openxmlformats.org/officeDocument/2006/relationships/hyperlink" Target="https://doi.org/10.1016/j.ijinfomgt.2019.01.021" TargetMode="External"/><Relationship Id="rId52" Type="http://schemas.openxmlformats.org/officeDocument/2006/relationships/hyperlink" Target="https://doi.org/10.1111/j.1467-9280.2007.01882.x" TargetMode="External"/><Relationship Id="rId60" Type="http://schemas.openxmlformats.org/officeDocument/2006/relationships/hyperlink" Target="https://doi.org/10.3758/s13428-015-0624-x" TargetMode="External"/><Relationship Id="rId65" Type="http://schemas.openxmlformats.org/officeDocument/2006/relationships/hyperlink" Target="https://doi.org/10.1037/1082-989X.7.1.19" TargetMode="External"/><Relationship Id="rId73" Type="http://schemas.openxmlformats.org/officeDocument/2006/relationships/hyperlink" Target="https://doi.org/10.1080/07481756.2003.12069076" TargetMode="External"/><Relationship Id="rId78" Type="http://schemas.openxmlformats.org/officeDocument/2006/relationships/hyperlink" Target="https://doi.org/10.1016/S0022-4359(01)00041-0" TargetMode="External"/><Relationship Id="rId81" Type="http://schemas.openxmlformats.org/officeDocument/2006/relationships/hyperlink" Target="https://doi.org/10.3102/00346543070004547" TargetMode="External"/><Relationship Id="rId86" Type="http://schemas.openxmlformats.org/officeDocument/2006/relationships/hyperlink" Target="https://doi.org/10.2307/30036540" TargetMode="External"/><Relationship Id="rId94" Type="http://schemas.openxmlformats.org/officeDocument/2006/relationships/hyperlink" Target="https://doi.org/10.1177/002224298504900203" TargetMode="Externa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doi.org/10.1007/BF02310555" TargetMode="External"/><Relationship Id="rId34" Type="http://schemas.openxmlformats.org/officeDocument/2006/relationships/hyperlink" Target="https://www.consultancy-me.com/news/3757/the-primary-secondary-and-tertiary-education-sector-in-saudi-arabia" TargetMode="External"/><Relationship Id="rId50" Type="http://schemas.openxmlformats.org/officeDocument/2006/relationships/hyperlink" Target="https://doi.org/10.1037/a0015808" TargetMode="External"/><Relationship Id="rId55" Type="http://schemas.openxmlformats.org/officeDocument/2006/relationships/hyperlink" Target="https://doi.org/10.1016/S0148-2963(01)00295-8" TargetMode="External"/><Relationship Id="rId76" Type="http://schemas.openxmlformats.org/officeDocument/2006/relationships/hyperlink" Target="https://doi.org/10.1509/jmkr.45.3.261"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177/002224299405800302" TargetMode="External"/><Relationship Id="rId92" Type="http://schemas.openxmlformats.org/officeDocument/2006/relationships/hyperlink" Target="https://doi.org/10.1177/002224298805200302" TargetMode="External"/><Relationship Id="rId2" Type="http://schemas.openxmlformats.org/officeDocument/2006/relationships/numbering" Target="numbering.xml"/><Relationship Id="rId29" Type="http://schemas.openxmlformats.org/officeDocument/2006/relationships/hyperlink" Target="https://doi.org/10.1207/s15327906mbr0102_10" TargetMode="External"/><Relationship Id="rId24" Type="http://schemas.openxmlformats.org/officeDocument/2006/relationships/hyperlink" Target="https://doi.org/10.1136/bmj.310.6973.170" TargetMode="External"/><Relationship Id="rId40" Type="http://schemas.openxmlformats.org/officeDocument/2006/relationships/hyperlink" Target="https://doi.org/10.1177/002224299205600304" TargetMode="External"/><Relationship Id="rId45" Type="http://schemas.openxmlformats.org/officeDocument/2006/relationships/hyperlink" Target="https://doi.org/10.1016/j.ijinfomgt.2023.102642" TargetMode="External"/><Relationship Id="rId66" Type="http://schemas.openxmlformats.org/officeDocument/2006/relationships/hyperlink" Target="https://doi.org/10.2307/23044045" TargetMode="External"/><Relationship Id="rId87" Type="http://schemas.openxmlformats.org/officeDocument/2006/relationships/hyperlink" Target="https://doi.org/10.1037/0022-0167.34.4.372" TargetMode="External"/><Relationship Id="rId61" Type="http://schemas.openxmlformats.org/officeDocument/2006/relationships/hyperlink" Target="https://doi.org/10.1007/BF02291575" TargetMode="External"/><Relationship Id="rId82" Type="http://schemas.openxmlformats.org/officeDocument/2006/relationships/hyperlink" Target="https://ukdataservice.ac.uk" TargetMode="Externa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hyperlink" Target="https://doi.org/10.1002/mar.10076" TargetMode="External"/><Relationship Id="rId35" Type="http://schemas.openxmlformats.org/officeDocument/2006/relationships/hyperlink" Target="https://doi.org/10.7275/jyj1-4868" TargetMode="External"/><Relationship Id="rId56" Type="http://schemas.openxmlformats.org/officeDocument/2006/relationships/hyperlink" Target="https://doi.org/10.1037/1040-3590.7.3.238" TargetMode="External"/><Relationship Id="rId77" Type="http://schemas.openxmlformats.org/officeDocument/2006/relationships/hyperlink" Target="https://www.sacm.org/ksa/education-in-saudi-arabia/public-school" TargetMode="External"/><Relationship Id="rId8" Type="http://schemas.openxmlformats.org/officeDocument/2006/relationships/image" Target="media/image1.emf"/><Relationship Id="rId51" Type="http://schemas.openxmlformats.org/officeDocument/2006/relationships/hyperlink" Target="https://doi.org/10.1177/002224378101800104" TargetMode="External"/><Relationship Id="rId72" Type="http://schemas.openxmlformats.org/officeDocument/2006/relationships/hyperlink" Target="https://doi.org/10.1007/s11135-006-9018-6" TargetMode="External"/><Relationship Id="rId93" Type="http://schemas.openxmlformats.org/officeDocument/2006/relationships/hyperlink" Target="https://doi.org/10.1177/002224299606000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1A6DCCF-9CD7-464F-B396-93BC83E74E44}">
  <we:reference id="wa200000368" version="1.0.0.0" store="en-US" storeType="OMEX"/>
  <we:alternateReferences>
    <we:reference id="WA200000368" version="1.0.0.0" store="" storeType="OMEX"/>
  </we:alternateReferences>
  <we:properties>
    <we:property name="documentId" value="&quot;d6897ef486e90bd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C2FC3-B084-4159-B951-1A7477571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8632</TotalTime>
  <Pages>183</Pages>
  <Words>47194</Words>
  <Characters>259570</Characters>
  <Application>Microsoft Office Word</Application>
  <DocSecurity>0</DocSecurity>
  <Lines>2163</Lines>
  <Paragraphs>612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رفيق النجاح</dc:creator>
  <cp:keywords/>
  <dc:description/>
  <cp:lastModifiedBy>Stephen Harrison</cp:lastModifiedBy>
  <cp:revision>1</cp:revision>
  <dcterms:created xsi:type="dcterms:W3CDTF">2026-06-11T09:45:00Z</dcterms:created>
  <dcterms:modified xsi:type="dcterms:W3CDTF">2026-09-17T16:25:00Z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50d30152-99c5-46ce-8b89-781759df0f6f</vt:lpwstr>
  </property>
</Properties>
</file>