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after="120"/>
        <w:jc w:val="center"/>
      </w:pPr>
      <w:r>
        <w:rPr>
          <w:rFonts w:ascii="Times New Roman" w:hAnsi="Times New Roman"/>
          <w:b/>
          <w:color w:val="000000"/>
          <w:sz w:val="36"/>
        </w:rPr>
        <w:t>CUSTOMER SERVICE IN A CHURCH CONTEXT</w:t>
      </w:r>
    </w:p>
    <w:p>
      <w:pPr>
        <w:spacing w:line="360" w:lineRule="auto" w:after="120"/>
        <w:jc w:val="center"/>
      </w:pPr>
    </w:p>
    <w:p>
      <w:pPr>
        <w:spacing w:line="360" w:lineRule="auto" w:after="120"/>
        <w:jc w:val="center"/>
      </w:pPr>
      <w:r>
        <w:rPr>
          <w:rFonts w:ascii="Times New Roman" w:hAnsi="Times New Roman"/>
          <w:b w:val="0"/>
          <w:color w:val="000000"/>
          <w:sz w:val="24"/>
        </w:rPr>
        <w:t>A dissertation presented by</w:t>
      </w:r>
    </w:p>
    <w:p>
      <w:pPr>
        <w:spacing w:line="360" w:lineRule="auto" w:after="120"/>
        <w:jc w:val="center"/>
      </w:pPr>
      <w:r>
        <w:rPr>
          <w:rFonts w:ascii="Times New Roman" w:hAnsi="Times New Roman"/>
          <w:b/>
          <w:color w:val="000000"/>
          <w:sz w:val="24"/>
        </w:rPr>
        <w:t>Helgard Terblanche</w:t>
      </w:r>
    </w:p>
    <w:p>
      <w:pPr>
        <w:spacing w:line="360" w:lineRule="auto" w:after="120"/>
        <w:jc w:val="center"/>
      </w:pPr>
    </w:p>
    <w:p>
      <w:pPr>
        <w:spacing w:line="360" w:lineRule="auto" w:after="120"/>
        <w:jc w:val="center"/>
      </w:pPr>
      <w:r>
        <w:rPr>
          <w:rFonts w:ascii="Times New Roman" w:hAnsi="Times New Roman"/>
          <w:b w:val="0"/>
          <w:color w:val="000000"/>
          <w:sz w:val="24"/>
        </w:rPr>
        <w:t>Submitted to the Swiss School of Business Research</w:t>
      </w:r>
    </w:p>
    <w:p>
      <w:pPr>
        <w:spacing w:line="360" w:lineRule="auto" w:after="120"/>
        <w:jc w:val="center"/>
      </w:pPr>
      <w:r>
        <w:rPr>
          <w:rFonts w:ascii="Times New Roman" w:hAnsi="Times New Roman"/>
          <w:b w:val="0"/>
          <w:color w:val="000000"/>
          <w:sz w:val="24"/>
        </w:rPr>
        <w:t>in partial fulfilment of the requirements for the degree of</w:t>
      </w:r>
    </w:p>
    <w:p>
      <w:pPr>
        <w:spacing w:line="360" w:lineRule="auto" w:after="120"/>
        <w:jc w:val="center"/>
      </w:pPr>
      <w:r>
        <w:rPr>
          <w:rFonts w:ascii="Times New Roman" w:hAnsi="Times New Roman"/>
          <w:b/>
          <w:color w:val="000000"/>
          <w:sz w:val="28"/>
        </w:rPr>
        <w:t>DOCTOR OF PHILOSOPHY IN MANAGEMENT</w:t>
      </w:r>
    </w:p>
    <w:p>
      <w:pPr>
        <w:spacing w:line="360" w:lineRule="auto" w:after="120"/>
        <w:jc w:val="center"/>
      </w:pPr>
      <w:r>
        <w:rPr>
          <w:rFonts w:ascii="Times New Roman" w:hAnsi="Times New Roman"/>
          <w:b w:val="0"/>
          <w:color w:val="000000"/>
          <w:sz w:val="24"/>
        </w:rPr>
        <w:t>(PhD)</w:t>
      </w:r>
    </w:p>
    <w:p>
      <w:pPr>
        <w:spacing w:line="360" w:lineRule="auto" w:after="120"/>
        <w:jc w:val="center"/>
      </w:pPr>
    </w:p>
    <w:p>
      <w:pPr>
        <w:spacing w:line="360" w:lineRule="auto" w:after="120"/>
        <w:jc w:val="center"/>
      </w:pPr>
      <w:r>
        <w:t>Expanded master dissertation for professor review</w:t>
      </w:r>
    </w:p>
    <w:p>
      <w:pPr>
        <w:pStyle w:val="Heading1"/>
        <w:pageBreakBefore/>
      </w:pPr>
      <w:r>
        <w:rPr>
          <w:rFonts w:ascii="Times New Roman" w:hAnsi="Times New Roman"/>
          <w:b/>
          <w:color w:val="000000"/>
          <w:sz w:val="32"/>
        </w:rPr>
        <w:t>DEDICATION</w:t>
      </w:r>
    </w:p>
    <w:p>
      <w:pPr>
        <w:spacing w:line="360" w:lineRule="auto" w:after="120"/>
      </w:pPr>
      <w:r>
        <w:rPr>
          <w:rFonts w:ascii="Times New Roman" w:hAnsi="Times New Roman"/>
          <w:color w:val="000000"/>
          <w:sz w:val="24"/>
        </w:rPr>
        <w:t>To Sebastiaan Terblanche, my chief motivator and inspiration.</w:t>
      </w:r>
    </w:p>
    <w:p>
      <w:pPr>
        <w:spacing w:line="360" w:lineRule="auto" w:after="120"/>
      </w:pPr>
      <w:r>
        <w:rPr>
          <w:rFonts w:ascii="Times New Roman" w:hAnsi="Times New Roman"/>
          <w:color w:val="000000"/>
          <w:sz w:val="24"/>
        </w:rPr>
        <w:t>To Venus of Kuila, my silent inspiration.</w:t>
      </w:r>
    </w:p>
    <w:p>
      <w:pPr>
        <w:spacing w:line="360" w:lineRule="auto" w:after="120"/>
      </w:pPr>
      <w:r>
        <w:rPr>
          <w:rFonts w:ascii="Times New Roman" w:hAnsi="Times New Roman"/>
          <w:color w:val="000000"/>
          <w:sz w:val="24"/>
        </w:rPr>
        <w:t>To Stephen Harrison, for all the help and inspiration.</w:t>
      </w:r>
    </w:p>
    <w:p>
      <w:pPr>
        <w:pStyle w:val="Heading1"/>
        <w:pageBreakBefore/>
      </w:pPr>
      <w:r>
        <w:rPr>
          <w:rFonts w:ascii="Times New Roman" w:hAnsi="Times New Roman"/>
          <w:b/>
          <w:color w:val="000000"/>
          <w:sz w:val="32"/>
        </w:rPr>
        <w:t>ACKNOWLEDGMENTS</w:t>
      </w:r>
    </w:p>
    <w:p>
      <w:pPr>
        <w:spacing w:line="360" w:lineRule="auto" w:after="120"/>
      </w:pPr>
      <w:r>
        <w:rPr>
          <w:rFonts w:ascii="Times New Roman" w:hAnsi="Times New Roman"/>
          <w:color w:val="000000"/>
          <w:sz w:val="24"/>
        </w:rPr>
        <w:t>My thanks to Dr Stephen Harrison for the financial support and assistance.</w:t>
      </w:r>
    </w:p>
    <w:p>
      <w:pPr>
        <w:pStyle w:val="Heading1"/>
        <w:pageBreakBefore/>
      </w:pPr>
      <w:r>
        <w:rPr>
          <w:rFonts w:ascii="Times New Roman" w:hAnsi="Times New Roman"/>
          <w:color w:val="000000"/>
        </w:rPr>
        <w:t>ABSTRACT</w:t>
      </w:r>
    </w:p>
    <w:p>
      <w:pPr>
        <w:spacing w:line="276" w:lineRule="auto" w:after="120"/>
      </w:pPr>
      <w:r>
        <w:rPr>
          <w:rFonts w:ascii="Times New Roman" w:hAnsi="Times New Roman"/>
          <w:color w:val="000000"/>
          <w:sz w:val="24"/>
        </w:rPr>
        <w:t>This dissertation examines selected service priorities, reported experiences and attitudes towards business-like practices in church organisational life. Christian churches in the United States form the intended context, but the available records do not independently establish geographic coverage or national representativeness. Service-management, hospitality and nonprofit literature provides contextual comparisons rather than an objective sector benchmark.</w:t>
      </w:r>
    </w:p>
    <w:p>
      <w:pPr>
        <w:spacing w:line="276" w:lineRule="auto" w:after="120"/>
      </w:pPr>
      <w:r>
        <w:rPr>
          <w:rFonts w:ascii="Times New Roman" w:hAnsi="Times New Roman"/>
          <w:color w:val="000000"/>
          <w:sz w:val="24"/>
        </w:rPr>
        <w:t>A descriptive survey study analysed 100 congregant records and 140 separate staff or volunteer records. Closed responses were summarised using item-specific denominators. Contradictory staff answers were excluded from the affected items only, leaving 116 valid records for concerns and 117 for monitoring. Three congregant written-response fields were examined through descriptive thematic content analysis prepared with AI assistance for researcher review. The 300 nonempty entries included 22 explicit non-suggestions. The two questionnaire groups were not linked by church or treated as 240 verified unique people.</w:t>
      </w:r>
    </w:p>
    <w:p>
      <w:pPr>
        <w:spacing w:line="276" w:lineRule="auto" w:after="120"/>
      </w:pPr>
      <w:r>
        <w:rPr>
          <w:rFonts w:ascii="Times New Roman" w:hAnsi="Times New Roman"/>
          <w:color w:val="000000"/>
          <w:sz w:val="24"/>
        </w:rPr>
        <w:t>Welcome received the highest mean importance rating among six specified attributes, at 4.32 out of 5, followed by feeling valued and recognised at 4.23. Seventy-eight congregants identified room for improvement and 60 supported adopting business-like practices. Overlapping reason codes identified practical benefit in 74 records, protection of spiritual purpose in 49 and conditional adoption in 39. Listening and acting on feedback was the most frequent final-practice category. Staff reports also identified budget, volunteer fatigue and training constraints.</w:t>
      </w:r>
    </w:p>
    <w:p>
      <w:pPr>
        <w:spacing w:line="276" w:lineRule="auto" w:after="120"/>
      </w:pPr>
      <w:r>
        <w:rPr>
          <w:rFonts w:ascii="Times New Roman" w:hAnsi="Times New Roman"/>
          <w:color w:val="000000"/>
          <w:sz w:val="24"/>
        </w:rPr>
        <w:t>The findings support an interpretation of conditional usefulness: practical service improvements can be valued while their acceptance remains qualified by religious purpose and commercial concerns. Recommendations address feedback, welcome, volunteer support, communication, inclusion and digital provision, subject to local evaluation. Recruitment and transcription limitations, brief repeated text and unlinked measures constrain inference. The study does not validate a service-quality instrument or establish causal effects on retention, overall satisfaction or spiritual growth.</w:t>
      </w:r>
    </w:p>
    <w:p>
      <w:pPr>
        <w:spacing w:line="276" w:lineRule="auto" w:after="120"/>
      </w:pPr>
      <w:r>
        <w:rPr>
          <w:rFonts w:ascii="Times New Roman" w:hAnsi="Times New Roman"/>
          <w:color w:val="000000"/>
          <w:sz w:val="24"/>
        </w:rPr>
        <w:t>Keywords: church service; congregant priorities; adoption attitudes; descriptive survey; qualitative content analysis</w:t>
      </w:r>
    </w:p>
    <w:p>
      <w:pPr>
        <w:pStyle w:val="Heading1"/>
        <w:pageBreakBefore/>
      </w:pPr>
      <w:r>
        <w:t>CONTENTS</w:t>
      </w:r>
    </w:p>
    <w:p>
      <w:pPr>
        <w:pStyle w:val="AssemblyContents"/>
        <w:ind w:left="0"/>
      </w:pPr>
      <w:hyperlink w:anchor="m1">
        <w:r>
          <w:rPr>
            <w:color w:val="000000"/>
          </w:rPr>
          <w:t>CHAPTER 1  INTRODUCTION</w:t>
        </w:r>
      </w:hyperlink>
      <w:r>
        <w:tab/>
        <w:t>9</w:t>
      </w:r>
    </w:p>
    <w:p>
      <w:pPr>
        <w:pStyle w:val="AssemblyContents"/>
        <w:ind w:left="230"/>
      </w:pPr>
      <w:hyperlink w:anchor="m2">
        <w:r>
          <w:rPr>
            <w:color w:val="000000"/>
          </w:rPr>
          <w:t>1.1 Framing the Study: Customer Service in a Church Context</w:t>
        </w:r>
      </w:hyperlink>
      <w:r>
        <w:tab/>
        <w:t>9</w:t>
      </w:r>
    </w:p>
    <w:p>
      <w:pPr>
        <w:pStyle w:val="AssemblyContents"/>
        <w:ind w:left="230"/>
      </w:pPr>
      <w:hyperlink w:anchor="m6">
        <w:r>
          <w:rPr>
            <w:color w:val="000000"/>
          </w:rPr>
          <w:t>1.2 Contextual Background and Justification for the Study</w:t>
        </w:r>
      </w:hyperlink>
      <w:r>
        <w:tab/>
        <w:t>11</w:t>
      </w:r>
    </w:p>
    <w:p>
      <w:pPr>
        <w:pStyle w:val="AssemblyContents"/>
        <w:ind w:left="230"/>
      </w:pPr>
      <w:hyperlink w:anchor="m10">
        <w:r>
          <w:rPr>
            <w:color w:val="000000"/>
          </w:rPr>
          <w:t>1.3 Statement of the Research Problem</w:t>
        </w:r>
      </w:hyperlink>
      <w:r>
        <w:tab/>
        <w:t>15</w:t>
      </w:r>
    </w:p>
    <w:p>
      <w:pPr>
        <w:pStyle w:val="AssemblyContents"/>
        <w:ind w:left="230"/>
      </w:pPr>
      <w:hyperlink w:anchor="m14">
        <w:r>
          <w:rPr>
            <w:color w:val="000000"/>
          </w:rPr>
          <w:t>1.4 Research Aim and Objectives</w:t>
        </w:r>
      </w:hyperlink>
      <w:r>
        <w:tab/>
        <w:t>17</w:t>
      </w:r>
    </w:p>
    <w:p>
      <w:pPr>
        <w:pStyle w:val="AssemblyContents"/>
        <w:ind w:left="230"/>
      </w:pPr>
      <w:hyperlink w:anchor="m18">
        <w:r>
          <w:rPr>
            <w:color w:val="000000"/>
          </w:rPr>
          <w:t>1.5 Definition of Key Terms</w:t>
        </w:r>
      </w:hyperlink>
      <w:r>
        <w:tab/>
        <w:t>20</w:t>
      </w:r>
    </w:p>
    <w:p>
      <w:pPr>
        <w:pStyle w:val="AssemblyContents"/>
        <w:ind w:left="230"/>
      </w:pPr>
      <w:hyperlink w:anchor="m19">
        <w:r>
          <w:rPr>
            <w:color w:val="000000"/>
          </w:rPr>
          <w:t>1.6 Significance of the Study</w:t>
        </w:r>
      </w:hyperlink>
      <w:r>
        <w:tab/>
        <w:t>21</w:t>
      </w:r>
    </w:p>
    <w:p>
      <w:pPr>
        <w:pStyle w:val="AssemblyContents"/>
        <w:ind w:left="230"/>
      </w:pPr>
      <w:hyperlink w:anchor="m22">
        <w:r>
          <w:rPr>
            <w:color w:val="000000"/>
          </w:rPr>
          <w:t>1.7 Theoretical Framework</w:t>
        </w:r>
      </w:hyperlink>
      <w:r>
        <w:tab/>
        <w:t>22</w:t>
      </w:r>
    </w:p>
    <w:p>
      <w:pPr>
        <w:pStyle w:val="AssemblyContents"/>
        <w:ind w:left="230"/>
      </w:pPr>
      <w:hyperlink w:anchor="m27">
        <w:r>
          <w:rPr>
            <w:color w:val="000000"/>
          </w:rPr>
          <w:t>1.8 Limitations of the Study</w:t>
        </w:r>
      </w:hyperlink>
      <w:r>
        <w:tab/>
        <w:t>24</w:t>
      </w:r>
    </w:p>
    <w:p>
      <w:pPr>
        <w:pStyle w:val="AssemblyContents"/>
        <w:ind w:left="230"/>
      </w:pPr>
      <w:hyperlink w:anchor="m32">
        <w:r>
          <w:rPr>
            <w:color w:val="000000"/>
          </w:rPr>
          <w:t>1.9 Structure of the Dissertation</w:t>
        </w:r>
      </w:hyperlink>
      <w:r>
        <w:tab/>
        <w:t>25</w:t>
      </w:r>
    </w:p>
    <w:p>
      <w:pPr>
        <w:pStyle w:val="AssemblyContents"/>
        <w:ind w:left="0"/>
      </w:pPr>
      <w:hyperlink w:anchor="m33">
        <w:r>
          <w:rPr>
            <w:color w:val="000000"/>
          </w:rPr>
          <w:t>CHAPTER 2  LITERATURE REVIEW</w:t>
        </w:r>
      </w:hyperlink>
      <w:r>
        <w:tab/>
        <w:t>27</w:t>
      </w:r>
    </w:p>
    <w:p>
      <w:pPr>
        <w:pStyle w:val="AssemblyContents"/>
        <w:ind w:left="230"/>
      </w:pPr>
      <w:hyperlink w:anchor="m34">
        <w:r>
          <w:rPr>
            <w:color w:val="000000"/>
          </w:rPr>
          <w:t>2.1 Introduction</w:t>
        </w:r>
      </w:hyperlink>
      <w:r>
        <w:tab/>
        <w:t>27</w:t>
      </w:r>
    </w:p>
    <w:p>
      <w:pPr>
        <w:pStyle w:val="AssemblyContents"/>
        <w:ind w:left="230"/>
      </w:pPr>
      <w:hyperlink w:anchor="m35">
        <w:r>
          <w:rPr>
            <w:color w:val="000000"/>
          </w:rPr>
          <w:t>2.2 Aim and Objectives of the Literature Review</w:t>
        </w:r>
      </w:hyperlink>
      <w:r>
        <w:tab/>
        <w:t>30</w:t>
      </w:r>
    </w:p>
    <w:p>
      <w:pPr>
        <w:pStyle w:val="AssemblyContents"/>
        <w:ind w:left="230"/>
      </w:pPr>
      <w:hyperlink w:anchor="m36">
        <w:r>
          <w:rPr>
            <w:color w:val="000000"/>
          </w:rPr>
          <w:t>2.3 Scope and Structure of the Literature Review</w:t>
        </w:r>
      </w:hyperlink>
      <w:r>
        <w:tab/>
        <w:t>31</w:t>
      </w:r>
    </w:p>
    <w:p>
      <w:pPr>
        <w:pStyle w:val="AssemblyContents"/>
        <w:ind w:left="230"/>
      </w:pPr>
      <w:hyperlink w:anchor="m37">
        <w:r>
          <w:rPr>
            <w:color w:val="000000"/>
          </w:rPr>
          <w:t>2.4 Conceptualising Customer Service and Service Quality in Churches</w:t>
        </w:r>
      </w:hyperlink>
      <w:r>
        <w:tab/>
        <w:t>34</w:t>
      </w:r>
    </w:p>
    <w:p>
      <w:pPr>
        <w:pStyle w:val="AssemblyContents"/>
        <w:ind w:left="230"/>
      </w:pPr>
      <w:hyperlink w:anchor="m41">
        <w:r>
          <w:rPr>
            <w:color w:val="000000"/>
          </w:rPr>
          <w:t>2.5 Theoretical Models of Service Quality</w:t>
        </w:r>
      </w:hyperlink>
      <w:r>
        <w:tab/>
        <w:t>39</w:t>
      </w:r>
    </w:p>
    <w:p>
      <w:pPr>
        <w:pStyle w:val="AssemblyContents"/>
        <w:ind w:left="230"/>
      </w:pPr>
      <w:hyperlink w:anchor="m47">
        <w:r>
          <w:rPr>
            <w:color w:val="000000"/>
          </w:rPr>
          <w:t>2.6 Customer Experience, Relationship Management, and Customer Success</w:t>
        </w:r>
      </w:hyperlink>
      <w:r>
        <w:tab/>
        <w:t>46</w:t>
      </w:r>
    </w:p>
    <w:p>
      <w:pPr>
        <w:pStyle w:val="AssemblyContents"/>
        <w:ind w:left="230"/>
      </w:pPr>
      <w:hyperlink w:anchor="m54">
        <w:r>
          <w:rPr>
            <w:color w:val="000000"/>
          </w:rPr>
          <w:t>2.7 Service Quality in Hospitality and Nonprofit Organisations</w:t>
        </w:r>
      </w:hyperlink>
      <w:r>
        <w:tab/>
        <w:t>54</w:t>
      </w:r>
    </w:p>
    <w:p>
      <w:pPr>
        <w:pStyle w:val="AssemblyContents"/>
        <w:ind w:left="230"/>
      </w:pPr>
      <w:hyperlink w:anchor="m64">
        <w:r>
          <w:rPr>
            <w:color w:val="000000"/>
          </w:rPr>
          <w:t>2.8 Customer Service Dynamics in U.S. Churches</w:t>
        </w:r>
      </w:hyperlink>
      <w:r>
        <w:tab/>
        <w:t>62</w:t>
      </w:r>
    </w:p>
    <w:p>
      <w:pPr>
        <w:pStyle w:val="AssemblyContents"/>
        <w:ind w:left="230"/>
      </w:pPr>
      <w:hyperlink w:anchor="m73">
        <w:r>
          <w:rPr>
            <w:color w:val="000000"/>
          </w:rPr>
          <w:t>2.9 Digital Transformation and the Church Service Experience</w:t>
        </w:r>
      </w:hyperlink>
      <w:r>
        <w:tab/>
        <w:t>71</w:t>
      </w:r>
    </w:p>
    <w:p>
      <w:pPr>
        <w:pStyle w:val="AssemblyContents"/>
        <w:ind w:left="230"/>
      </w:pPr>
      <w:hyperlink w:anchor="m82">
        <w:r>
          <w:rPr>
            <w:color w:val="000000"/>
          </w:rPr>
          <w:t>2.10 Barriers to the Adoption of Service-Management Practices in Churches</w:t>
        </w:r>
      </w:hyperlink>
      <w:r>
        <w:tab/>
        <w:t>78</w:t>
      </w:r>
    </w:p>
    <w:p>
      <w:pPr>
        <w:pStyle w:val="AssemblyContents"/>
        <w:ind w:left="230"/>
      </w:pPr>
      <w:hyperlink w:anchor="m92">
        <w:r>
          <w:rPr>
            <w:color w:val="000000"/>
          </w:rPr>
          <w:t>2.11 Critical Synthesis and Research Gaps</w:t>
        </w:r>
      </w:hyperlink>
      <w:r>
        <w:tab/>
        <w:t>85</w:t>
      </w:r>
    </w:p>
    <w:p>
      <w:pPr>
        <w:pStyle w:val="AssemblyContents"/>
        <w:ind w:left="230"/>
      </w:pPr>
      <w:hyperlink w:anchor="m105">
        <w:r>
          <w:rPr>
            <w:color w:val="000000"/>
          </w:rPr>
          <w:t>2.12 Conceptual Positioning of the Present Study</w:t>
        </w:r>
      </w:hyperlink>
      <w:r>
        <w:tab/>
        <w:t>93</w:t>
      </w:r>
    </w:p>
    <w:p>
      <w:pPr>
        <w:pStyle w:val="AssemblyContents"/>
        <w:ind w:left="230"/>
      </w:pPr>
      <w:hyperlink w:anchor="m109">
        <w:r>
          <w:rPr>
            <w:color w:val="000000"/>
          </w:rPr>
          <w:t>2.13 Chapter Conclusion</w:t>
        </w:r>
      </w:hyperlink>
      <w:r>
        <w:tab/>
        <w:t>96</w:t>
      </w:r>
    </w:p>
    <w:p>
      <w:pPr>
        <w:pStyle w:val="AssemblyContents"/>
        <w:ind w:left="0"/>
      </w:pPr>
      <w:hyperlink w:anchor="m110">
        <w:r>
          <w:rPr>
            <w:color w:val="000000"/>
          </w:rPr>
          <w:t>CHAPTER 3  METHODOLOGY</w:t>
        </w:r>
      </w:hyperlink>
      <w:r>
        <w:tab/>
        <w:t>98</w:t>
      </w:r>
    </w:p>
    <w:p>
      <w:pPr>
        <w:pStyle w:val="AssemblyContents"/>
        <w:ind w:left="230"/>
      </w:pPr>
      <w:hyperlink w:anchor="m111">
        <w:r>
          <w:rPr>
            <w:color w:val="000000"/>
          </w:rPr>
          <w:t>3.1 Philosophical Foundations</w:t>
        </w:r>
      </w:hyperlink>
      <w:r>
        <w:tab/>
        <w:t>98</w:t>
      </w:r>
    </w:p>
    <w:p>
      <w:pPr>
        <w:pStyle w:val="AssemblyContents"/>
        <w:ind w:left="230"/>
      </w:pPr>
      <w:hyperlink w:anchor="m116">
        <w:r>
          <w:rPr>
            <w:color w:val="000000"/>
          </w:rPr>
          <w:t>3.2 Research Design</w:t>
        </w:r>
      </w:hyperlink>
      <w:r>
        <w:tab/>
        <w:t>101</w:t>
      </w:r>
    </w:p>
    <w:p>
      <w:pPr>
        <w:pStyle w:val="AssemblyContents"/>
        <w:ind w:left="230"/>
      </w:pPr>
      <w:hyperlink w:anchor="m121">
        <w:r>
          <w:rPr>
            <w:color w:val="000000"/>
          </w:rPr>
          <w:t>3.3 Sampling Strategy and Sample Size</w:t>
        </w:r>
      </w:hyperlink>
      <w:r>
        <w:tab/>
        <w:t>103</w:t>
      </w:r>
    </w:p>
    <w:p>
      <w:pPr>
        <w:pStyle w:val="AssemblyContents"/>
        <w:ind w:left="230"/>
      </w:pPr>
      <w:hyperlink w:anchor="m127">
        <w:r>
          <w:rPr>
            <w:color w:val="000000"/>
          </w:rPr>
          <w:t>3.4 Data Collection and Measurement</w:t>
        </w:r>
      </w:hyperlink>
      <w:r>
        <w:tab/>
        <w:t>106</w:t>
      </w:r>
    </w:p>
    <w:p>
      <w:pPr>
        <w:pStyle w:val="AssemblyContents"/>
        <w:ind w:left="230"/>
      </w:pPr>
      <w:hyperlink w:anchor="m133">
        <w:r>
          <w:rPr>
            <w:color w:val="000000"/>
          </w:rPr>
          <w:t>3.5 Data Preparation and Analysis</w:t>
        </w:r>
      </w:hyperlink>
      <w:r>
        <w:tab/>
        <w:t>110</w:t>
      </w:r>
    </w:p>
    <w:p>
      <w:pPr>
        <w:pStyle w:val="AssemblyContents"/>
        <w:ind w:left="230"/>
      </w:pPr>
      <w:hyperlink w:anchor="m146">
        <w:r>
          <w:rPr>
            <w:color w:val="000000"/>
          </w:rPr>
          <w:t>3.6 Reliability Validity and Analytical Quality</w:t>
        </w:r>
      </w:hyperlink>
      <w:r>
        <w:tab/>
        <w:t>120</w:t>
      </w:r>
    </w:p>
    <w:p>
      <w:pPr>
        <w:pStyle w:val="AssemblyContents"/>
        <w:ind w:left="230"/>
      </w:pPr>
      <w:hyperlink w:anchor="m151">
        <w:r>
          <w:rPr>
            <w:color w:val="000000"/>
          </w:rPr>
          <w:t>3.7 Ethical Considerations and Remaining Limitations</w:t>
        </w:r>
      </w:hyperlink>
      <w:r>
        <w:tab/>
        <w:t>124</w:t>
      </w:r>
    </w:p>
    <w:p>
      <w:pPr>
        <w:pStyle w:val="AssemblyContents"/>
        <w:ind w:left="230"/>
      </w:pPr>
      <w:hyperlink w:anchor="m158">
        <w:r>
          <w:rPr>
            <w:color w:val="000000"/>
          </w:rPr>
          <w:t>3.8 Methodological Alignment and Chapter Summary</w:t>
        </w:r>
      </w:hyperlink>
      <w:r>
        <w:tab/>
        <w:t>128</w:t>
      </w:r>
    </w:p>
    <w:p>
      <w:pPr>
        <w:pStyle w:val="AssemblyContents"/>
        <w:ind w:left="0"/>
      </w:pPr>
      <w:hyperlink w:anchor="m159">
        <w:r>
          <w:rPr>
            <w:color w:val="000000"/>
          </w:rPr>
          <w:t>CHAPTER 4  QUANTITATIVE FINDINGS</w:t>
        </w:r>
      </w:hyperlink>
      <w:r>
        <w:tab/>
        <w:t>130</w:t>
      </w:r>
    </w:p>
    <w:p>
      <w:pPr>
        <w:pStyle w:val="AssemblyContents"/>
        <w:ind w:left="230"/>
      </w:pPr>
      <w:hyperlink w:anchor="m160">
        <w:r>
          <w:rPr>
            <w:color w:val="000000"/>
          </w:rPr>
          <w:t>4.1 Scope of the Results</w:t>
        </w:r>
      </w:hyperlink>
      <w:r>
        <w:tab/>
        <w:t>130</w:t>
      </w:r>
    </w:p>
    <w:p>
      <w:pPr>
        <w:pStyle w:val="AssemblyContents"/>
        <w:ind w:left="230"/>
      </w:pPr>
      <w:hyperlink w:anchor="m164">
        <w:r>
          <w:rPr>
            <w:color w:val="000000"/>
          </w:rPr>
          <w:t>4.2 Respondent Characteristics</w:t>
        </w:r>
      </w:hyperlink>
      <w:r>
        <w:tab/>
        <w:t>132</w:t>
      </w:r>
    </w:p>
    <w:p>
      <w:pPr>
        <w:pStyle w:val="AssemblyContents"/>
        <w:ind w:left="230"/>
      </w:pPr>
      <w:hyperlink w:anchor="m170">
        <w:r>
          <w:rPr>
            <w:color w:val="000000"/>
          </w:rPr>
          <w:t>4.3 Importance of Service Attributes</w:t>
        </w:r>
      </w:hyperlink>
      <w:r>
        <w:tab/>
        <w:t>134</w:t>
      </w:r>
    </w:p>
    <w:p>
      <w:pPr>
        <w:pStyle w:val="AssemblyContents"/>
        <w:ind w:left="230"/>
      </w:pPr>
      <w:hyperlink w:anchor="m179">
        <w:r>
          <w:rPr>
            <w:color w:val="000000"/>
          </w:rPr>
          <w:t>4.4 Comparison and Adoption Attitudes</w:t>
        </w:r>
      </w:hyperlink>
      <w:r>
        <w:tab/>
        <w:t>139</w:t>
      </w:r>
    </w:p>
    <w:p>
      <w:pPr>
        <w:pStyle w:val="AssemblyContents"/>
        <w:ind w:left="230"/>
      </w:pPr>
      <w:hyperlink w:anchor="m185">
        <w:r>
          <w:rPr>
            <w:color w:val="000000"/>
          </w:rPr>
          <w:t>4.5 Improvement and Perceived Responsiveness</w:t>
        </w:r>
      </w:hyperlink>
      <w:r>
        <w:tab/>
        <w:t>142</w:t>
      </w:r>
    </w:p>
    <w:p>
      <w:pPr>
        <w:pStyle w:val="AssemblyContents"/>
        <w:ind w:left="230"/>
      </w:pPr>
      <w:hyperlink w:anchor="m191">
        <w:r>
          <w:rPr>
            <w:color w:val="000000"/>
          </w:rPr>
          <w:t>4.6 Access to Support and Emotional Engagement</w:t>
        </w:r>
      </w:hyperlink>
      <w:r>
        <w:tab/>
        <w:t>144</w:t>
      </w:r>
    </w:p>
    <w:p>
      <w:pPr>
        <w:pStyle w:val="AssemblyContents"/>
        <w:ind w:left="230"/>
      </w:pPr>
      <w:hyperlink w:anchor="m196">
        <w:r>
          <w:rPr>
            <w:color w:val="000000"/>
          </w:rPr>
          <w:t>4.7 Digital Engagement and Feedback Channels</w:t>
        </w:r>
      </w:hyperlink>
      <w:r>
        <w:tab/>
        <w:t>146</w:t>
      </w:r>
    </w:p>
    <w:p>
      <w:pPr>
        <w:pStyle w:val="AssemblyContents"/>
        <w:ind w:left="230"/>
      </w:pPr>
      <w:hyperlink w:anchor="m203">
        <w:r>
          <w:rPr>
            <w:color w:val="000000"/>
          </w:rPr>
          <w:t>4.8 Staff and Volunteer Feedback Practices and Tools</w:t>
        </w:r>
      </w:hyperlink>
      <w:r>
        <w:tab/>
        <w:t>149</w:t>
      </w:r>
    </w:p>
    <w:p>
      <w:pPr>
        <w:pStyle w:val="AssemblyContents"/>
        <w:ind w:left="230"/>
      </w:pPr>
      <w:hyperlink w:anchor="m210">
        <w:r>
          <w:rPr>
            <w:color w:val="000000"/>
          </w:rPr>
          <w:t>4.9 Compatibility and Leadership Support</w:t>
        </w:r>
      </w:hyperlink>
      <w:r>
        <w:tab/>
        <w:t>152</w:t>
      </w:r>
    </w:p>
    <w:p>
      <w:pPr>
        <w:pStyle w:val="AssemblyContents"/>
        <w:ind w:left="230"/>
      </w:pPr>
      <w:hyperlink w:anchor="m216">
        <w:r>
          <w:rPr>
            <w:color w:val="000000"/>
          </w:rPr>
          <w:t>4.10 Spiritual Authenticity and Specific Concerns</w:t>
        </w:r>
      </w:hyperlink>
      <w:r>
        <w:tab/>
        <w:t>155</w:t>
      </w:r>
    </w:p>
    <w:p>
      <w:pPr>
        <w:pStyle w:val="AssemblyContents"/>
        <w:ind w:left="230"/>
      </w:pPr>
      <w:hyperlink w:anchor="m224">
        <w:r>
          <w:rPr>
            <w:color w:val="000000"/>
          </w:rPr>
          <w:t>4.11 Monitoring Practices</w:t>
        </w:r>
      </w:hyperlink>
      <w:r>
        <w:tab/>
        <w:t>158</w:t>
      </w:r>
    </w:p>
    <w:p>
      <w:pPr>
        <w:pStyle w:val="AssemblyContents"/>
        <w:ind w:left="230"/>
      </w:pPr>
      <w:hyperlink w:anchor="m228">
        <w:r>
          <w:rPr>
            <w:color w:val="000000"/>
          </w:rPr>
          <w:t>4.12 Practical Barriers to Service Improvement</w:t>
        </w:r>
      </w:hyperlink>
      <w:r>
        <w:tab/>
        <w:t>160</w:t>
      </w:r>
    </w:p>
    <w:p>
      <w:pPr>
        <w:pStyle w:val="AssemblyContents"/>
        <w:ind w:left="230"/>
      </w:pPr>
      <w:hyperlink w:anchor="m232">
        <w:r>
          <w:rPr>
            <w:color w:val="000000"/>
          </w:rPr>
          <w:t>4.13 Findings Against the Research Questions</w:t>
        </w:r>
      </w:hyperlink>
      <w:r>
        <w:tab/>
        <w:t>162</w:t>
      </w:r>
    </w:p>
    <w:p>
      <w:pPr>
        <w:pStyle w:val="AssemblyContents"/>
        <w:ind w:left="230"/>
      </w:pPr>
      <w:hyperlink w:anchor="m239">
        <w:r>
          <w:rPr>
            <w:color w:val="000000"/>
          </w:rPr>
          <w:t>4.14 Written Responses and the Transition to Qualitative Analysis</w:t>
        </w:r>
      </w:hyperlink>
      <w:r>
        <w:tab/>
        <w:t>165</w:t>
      </w:r>
    </w:p>
    <w:p>
      <w:pPr>
        <w:pStyle w:val="AssemblyContents"/>
        <w:ind w:left="230"/>
      </w:pPr>
      <w:hyperlink w:anchor="m241">
        <w:r>
          <w:rPr>
            <w:color w:val="000000"/>
          </w:rPr>
          <w:t>4.15 Analytical Limits and Preparation Audit</w:t>
        </w:r>
      </w:hyperlink>
      <w:r>
        <w:tab/>
        <w:t>165</w:t>
      </w:r>
    </w:p>
    <w:p>
      <w:pPr>
        <w:pStyle w:val="AssemblyContents"/>
        <w:ind w:left="230"/>
      </w:pPr>
      <w:hyperlink w:anchor="m243">
        <w:r>
          <w:rPr>
            <w:color w:val="000000"/>
          </w:rPr>
          <w:t>4.16 Chapter Summary</w:t>
        </w:r>
      </w:hyperlink>
      <w:r>
        <w:tab/>
        <w:t>166</w:t>
      </w:r>
    </w:p>
    <w:p>
      <w:pPr>
        <w:pStyle w:val="AssemblyContents"/>
        <w:ind w:left="0"/>
      </w:pPr>
      <w:hyperlink w:anchor="m244">
        <w:r>
          <w:rPr>
            <w:color w:val="000000"/>
          </w:rPr>
          <w:t>CHAPTER 5  QUALITATIVE FINDINGS</w:t>
        </w:r>
      </w:hyperlink>
      <w:r>
        <w:tab/>
        <w:t>168</w:t>
      </w:r>
    </w:p>
    <w:p>
      <w:pPr>
        <w:pStyle w:val="AssemblyContents"/>
        <w:ind w:left="230"/>
      </w:pPr>
      <w:hyperlink w:anchor="m245">
        <w:r>
          <w:rPr>
            <w:color w:val="000000"/>
          </w:rPr>
          <w:t>5.1 Scope and Interpretation of the Written Responses</w:t>
        </w:r>
      </w:hyperlink>
      <w:r>
        <w:tab/>
        <w:t>168</w:t>
      </w:r>
    </w:p>
    <w:p>
      <w:pPr>
        <w:pStyle w:val="AssemblyContents"/>
        <w:ind w:left="230"/>
      </w:pPr>
      <w:hyperlink w:anchor="m249">
        <w:r>
          <w:rPr>
            <w:color w:val="000000"/>
          </w:rPr>
          <w:t>5.2 Practical Value and Conditional Usefulness</w:t>
        </w:r>
      </w:hyperlink>
      <w:r>
        <w:tab/>
        <w:t>170</w:t>
      </w:r>
    </w:p>
    <w:p>
      <w:pPr>
        <w:pStyle w:val="AssemblyContents"/>
        <w:ind w:left="230"/>
      </w:pPr>
      <w:hyperlink w:anchor="m255">
        <w:r>
          <w:rPr>
            <w:color w:val="000000"/>
          </w:rPr>
          <w:t>5.3 Conditions and Boundaries of Acceptance</w:t>
        </w:r>
      </w:hyperlink>
      <w:r>
        <w:tab/>
        <w:t>173</w:t>
      </w:r>
    </w:p>
    <w:p>
      <w:pPr>
        <w:pStyle w:val="AssemblyContents"/>
        <w:ind w:left="230"/>
      </w:pPr>
      <w:hyperlink w:anchor="m261">
        <w:r>
          <w:rPr>
            <w:color w:val="000000"/>
          </w:rPr>
          <w:t>5.4 Suggestions for Improvement</w:t>
        </w:r>
      </w:hyperlink>
      <w:r>
        <w:tab/>
        <w:t>176</w:t>
      </w:r>
    </w:p>
    <w:p>
      <w:pPr>
        <w:pStyle w:val="AssemblyContents"/>
        <w:ind w:left="230"/>
      </w:pPr>
      <w:hyperlink w:anchor="m265">
        <w:r>
          <w:rPr>
            <w:color w:val="000000"/>
          </w:rPr>
          <w:t>5.5 Personal Welcome and Pastoral Connection</w:t>
        </w:r>
      </w:hyperlink>
      <w:r>
        <w:tab/>
        <w:t>178</w:t>
      </w:r>
    </w:p>
    <w:p>
      <w:pPr>
        <w:pStyle w:val="AssemblyContents"/>
        <w:ind w:left="230"/>
      </w:pPr>
      <w:hyperlink w:anchor="m269">
        <w:r>
          <w:rPr>
            <w:color w:val="000000"/>
          </w:rPr>
          <w:t>5.6 Volunteer Preparation and Coordination</w:t>
        </w:r>
      </w:hyperlink>
      <w:r>
        <w:tab/>
        <w:t>180</w:t>
      </w:r>
    </w:p>
    <w:p>
      <w:pPr>
        <w:pStyle w:val="AssemblyContents"/>
        <w:ind w:left="230"/>
      </w:pPr>
      <w:hyperlink w:anchor="m273">
        <w:r>
          <w:rPr>
            <w:color w:val="000000"/>
          </w:rPr>
          <w:t>5.7 Communication and Information</w:t>
        </w:r>
      </w:hyperlink>
      <w:r>
        <w:tab/>
        <w:t>181</w:t>
      </w:r>
    </w:p>
    <w:p>
      <w:pPr>
        <w:pStyle w:val="AssemblyContents"/>
        <w:ind w:left="230"/>
      </w:pPr>
      <w:hyperlink w:anchor="m277">
        <w:r>
          <w:rPr>
            <w:color w:val="000000"/>
          </w:rPr>
          <w:t>5.8 Listening and Responding to Feedback</w:t>
        </w:r>
      </w:hyperlink>
      <w:r>
        <w:tab/>
        <w:t>183</w:t>
      </w:r>
    </w:p>
    <w:p>
      <w:pPr>
        <w:pStyle w:val="AssemblyContents"/>
        <w:ind w:left="230"/>
      </w:pPr>
      <w:hyperlink w:anchor="m281">
        <w:r>
          <w:rPr>
            <w:color w:val="000000"/>
          </w:rPr>
          <w:t>5.9 Accessibility and Wider Participation</w:t>
        </w:r>
      </w:hyperlink>
      <w:r>
        <w:tab/>
        <w:t>184</w:t>
      </w:r>
    </w:p>
    <w:p>
      <w:pPr>
        <w:pStyle w:val="AssemblyContents"/>
        <w:ind w:left="230"/>
      </w:pPr>
      <w:hyperlink w:anchor="m284">
        <w:r>
          <w:rPr>
            <w:color w:val="000000"/>
          </w:rPr>
          <w:t>5.10 Family Provision and Opportunities for Community</w:t>
        </w:r>
      </w:hyperlink>
      <w:r>
        <w:tab/>
        <w:t>186</w:t>
      </w:r>
    </w:p>
    <w:p>
      <w:pPr>
        <w:pStyle w:val="AssemblyContents"/>
        <w:ind w:left="230"/>
      </w:pPr>
      <w:hyperlink w:anchor="m288">
        <w:r>
          <w:rPr>
            <w:color w:val="000000"/>
          </w:rPr>
          <w:t>5.11 Fundraising Concerns and Religious Purpose</w:t>
        </w:r>
      </w:hyperlink>
      <w:r>
        <w:tab/>
        <w:t>188</w:t>
      </w:r>
    </w:p>
    <w:p>
      <w:pPr>
        <w:pStyle w:val="AssemblyContents"/>
        <w:ind w:left="230"/>
      </w:pPr>
      <w:hyperlink w:anchor="m292">
        <w:r>
          <w:rPr>
            <w:color w:val="000000"/>
          </w:rPr>
          <w:t>5.12 Worship and the Experience of Engagement</w:t>
        </w:r>
      </w:hyperlink>
      <w:r>
        <w:tab/>
        <w:t>190</w:t>
      </w:r>
    </w:p>
    <w:p>
      <w:pPr>
        <w:pStyle w:val="AssemblyContents"/>
        <w:ind w:left="230"/>
      </w:pPr>
      <w:hyperlink w:anchor="m295">
        <w:r>
          <w:rPr>
            <w:color w:val="000000"/>
          </w:rPr>
          <w:t>5.13 Outreach and the Boundaries of Improvement</w:t>
        </w:r>
      </w:hyperlink>
      <w:r>
        <w:tab/>
        <w:t>191</w:t>
      </w:r>
    </w:p>
    <w:p>
      <w:pPr>
        <w:pStyle w:val="AssemblyContents"/>
        <w:ind w:left="230"/>
      </w:pPr>
      <w:hyperlink w:anchor="m298">
        <w:r>
          <w:rPr>
            <w:color w:val="000000"/>
          </w:rPr>
          <w:t>5.14 Suggested Practices</w:t>
        </w:r>
      </w:hyperlink>
      <w:r>
        <w:tab/>
        <w:t>192</w:t>
      </w:r>
    </w:p>
    <w:p>
      <w:pPr>
        <w:pStyle w:val="AssemblyContents"/>
        <w:ind w:left="230"/>
      </w:pPr>
      <w:hyperlink w:anchor="m304">
        <w:r>
          <w:rPr>
            <w:color w:val="000000"/>
          </w:rPr>
          <w:t>5.15 Synthesis Across the Written Responses</w:t>
        </w:r>
      </w:hyperlink>
      <w:r>
        <w:tab/>
        <w:t>195</w:t>
      </w:r>
    </w:p>
    <w:p>
      <w:pPr>
        <w:pStyle w:val="AssemblyContents"/>
        <w:ind w:left="230"/>
      </w:pPr>
      <w:hyperlink w:anchor="m308">
        <w:r>
          <w:rPr>
            <w:color w:val="000000"/>
          </w:rPr>
          <w:t>5.16 Analytical Limits and the Strength of the Evidence</w:t>
        </w:r>
      </w:hyperlink>
      <w:r>
        <w:tab/>
        <w:t>197</w:t>
      </w:r>
    </w:p>
    <w:p>
      <w:pPr>
        <w:pStyle w:val="AssemblyContents"/>
        <w:ind w:left="230"/>
      </w:pPr>
      <w:hyperlink w:anchor="m312">
        <w:r>
          <w:rPr>
            <w:color w:val="000000"/>
          </w:rPr>
          <w:t>5.17 Chapter Summary</w:t>
        </w:r>
      </w:hyperlink>
      <w:r>
        <w:tab/>
        <w:t>199</w:t>
      </w:r>
    </w:p>
    <w:p>
      <w:pPr>
        <w:pStyle w:val="AssemblyContents"/>
        <w:ind w:left="0"/>
      </w:pPr>
      <w:hyperlink w:anchor="m313">
        <w:r>
          <w:rPr>
            <w:color w:val="000000"/>
          </w:rPr>
          <w:t>CHAPTER 6  DISCUSSION</w:t>
        </w:r>
      </w:hyperlink>
      <w:r>
        <w:tab/>
        <w:t>201</w:t>
      </w:r>
    </w:p>
    <w:p>
      <w:pPr>
        <w:pStyle w:val="AssemblyContents"/>
        <w:ind w:left="230"/>
      </w:pPr>
      <w:hyperlink w:anchor="m314">
        <w:r>
          <w:rPr>
            <w:color w:val="000000"/>
          </w:rPr>
          <w:t>6.1 Introduction and Basis of the Discussion</w:t>
        </w:r>
      </w:hyperlink>
      <w:r>
        <w:tab/>
        <w:t>201</w:t>
      </w:r>
    </w:p>
    <w:p>
      <w:pPr>
        <w:pStyle w:val="AssemblyContents"/>
        <w:ind w:left="230"/>
      </w:pPr>
      <w:hyperlink w:anchor="m317">
        <w:r>
          <w:rPr>
            <w:color w:val="000000"/>
          </w:rPr>
          <w:t>6.2 Service Priorities and the Meaning of Organisational Care</w:t>
        </w:r>
      </w:hyperlink>
      <w:r>
        <w:tab/>
        <w:t>202</w:t>
      </w:r>
    </w:p>
    <w:p>
      <w:pPr>
        <w:pStyle w:val="AssemblyContents"/>
        <w:ind w:left="230"/>
      </w:pPr>
      <w:hyperlink w:anchor="m321">
        <w:r>
          <w:rPr>
            <w:color w:val="000000"/>
          </w:rPr>
          <w:t>6.3 Conditional Usefulness and the Acceptability of Service Practices</w:t>
        </w:r>
      </w:hyperlink>
      <w:r>
        <w:tab/>
        <w:t>204</w:t>
      </w:r>
    </w:p>
    <w:p>
      <w:pPr>
        <w:pStyle w:val="AssemblyContents"/>
        <w:ind w:left="230"/>
      </w:pPr>
      <w:hyperlink w:anchor="m327">
        <w:r>
          <w:rPr>
            <w:color w:val="000000"/>
          </w:rPr>
          <w:t>6.4 Positive Experiences and Requests for Improvement</w:t>
        </w:r>
      </w:hyperlink>
      <w:r>
        <w:tab/>
        <w:t>208</w:t>
      </w:r>
    </w:p>
    <w:p>
      <w:pPr>
        <w:pStyle w:val="AssemblyContents"/>
        <w:ind w:left="230"/>
      </w:pPr>
      <w:hyperlink w:anchor="m331">
        <w:r>
          <w:rPr>
            <w:color w:val="000000"/>
          </w:rPr>
          <w:t>6.5 Business Comparisons and the Transfer of Service Concepts</w:t>
        </w:r>
      </w:hyperlink>
      <w:r>
        <w:tab/>
        <w:t>210</w:t>
      </w:r>
    </w:p>
    <w:p>
      <w:pPr>
        <w:pStyle w:val="AssemblyContents"/>
        <w:ind w:left="230"/>
      </w:pPr>
      <w:hyperlink w:anchor="m335">
        <w:r>
          <w:rPr>
            <w:color w:val="000000"/>
          </w:rPr>
          <w:t>6.6 Feedback and Visible Organisational Response</w:t>
        </w:r>
      </w:hyperlink>
      <w:r>
        <w:tab/>
        <w:t>212</w:t>
      </w:r>
    </w:p>
    <w:p>
      <w:pPr>
        <w:pStyle w:val="AssemblyContents"/>
        <w:ind w:left="230"/>
      </w:pPr>
      <w:hyperlink w:anchor="m341">
        <w:r>
          <w:rPr>
            <w:color w:val="000000"/>
          </w:rPr>
          <w:t>6.7 Organisational Capacity and Adoption</w:t>
        </w:r>
      </w:hyperlink>
      <w:r>
        <w:tab/>
        <w:t>216</w:t>
      </w:r>
    </w:p>
    <w:p>
      <w:pPr>
        <w:pStyle w:val="AssemblyContents"/>
        <w:ind w:left="230"/>
      </w:pPr>
      <w:hyperlink w:anchor="m345">
        <w:r>
          <w:rPr>
            <w:color w:val="000000"/>
          </w:rPr>
          <w:t>6.8 Compatibility and Concerns About Spiritual Authenticity</w:t>
        </w:r>
      </w:hyperlink>
      <w:r>
        <w:tab/>
        <w:t>218</w:t>
      </w:r>
    </w:p>
    <w:p>
      <w:pPr>
        <w:pStyle w:val="AssemblyContents"/>
        <w:ind w:left="230"/>
      </w:pPr>
      <w:hyperlink w:anchor="m349">
        <w:r>
          <w:rPr>
            <w:color w:val="000000"/>
          </w:rPr>
          <w:t>6.9 Resource Barriers and Sustainable Service Improvement</w:t>
        </w:r>
      </w:hyperlink>
      <w:r>
        <w:tab/>
        <w:t>220</w:t>
      </w:r>
    </w:p>
    <w:p>
      <w:pPr>
        <w:pStyle w:val="AssemblyContents"/>
        <w:ind w:left="230"/>
      </w:pPr>
      <w:hyperlink w:anchor="m354">
        <w:r>
          <w:rPr>
            <w:color w:val="000000"/>
          </w:rPr>
          <w:t>6.10 Digital Provision and Emotional Experience</w:t>
        </w:r>
      </w:hyperlink>
      <w:r>
        <w:tab/>
        <w:t>223</w:t>
      </w:r>
    </w:p>
    <w:p>
      <w:pPr>
        <w:pStyle w:val="AssemblyContents"/>
        <w:ind w:left="230"/>
      </w:pPr>
      <w:hyperlink w:anchor="m358">
        <w:r>
          <w:rPr>
            <w:color w:val="000000"/>
          </w:rPr>
          <w:t>6.11 The Study’s Contribution</w:t>
        </w:r>
      </w:hyperlink>
      <w:r>
        <w:tab/>
        <w:t>225</w:t>
      </w:r>
    </w:p>
    <w:p>
      <w:pPr>
        <w:pStyle w:val="AssemblyContents"/>
        <w:ind w:left="230"/>
      </w:pPr>
      <w:hyperlink w:anchor="m362">
        <w:r>
          <w:rPr>
            <w:color w:val="000000"/>
          </w:rPr>
          <w:t>6.12 Synthesis Against the Research Questions</w:t>
        </w:r>
      </w:hyperlink>
      <w:r>
        <w:tab/>
        <w:t>227</w:t>
      </w:r>
    </w:p>
    <w:p>
      <w:pPr>
        <w:pStyle w:val="AssemblyContents"/>
        <w:ind w:left="230"/>
      </w:pPr>
      <w:hyperlink w:anchor="m366">
        <w:r>
          <w:rPr>
            <w:color w:val="000000"/>
          </w:rPr>
          <w:t>6.13 Limitations of the Integrated Interpretation</w:t>
        </w:r>
      </w:hyperlink>
      <w:r>
        <w:tab/>
        <w:t>229</w:t>
      </w:r>
    </w:p>
    <w:p>
      <w:pPr>
        <w:pStyle w:val="AssemblyContents"/>
        <w:ind w:left="230"/>
      </w:pPr>
      <w:hyperlink w:anchor="m370">
        <w:r>
          <w:rPr>
            <w:color w:val="000000"/>
          </w:rPr>
          <w:t>6.14 Chapter Conclusion</w:t>
        </w:r>
      </w:hyperlink>
      <w:r>
        <w:tab/>
        <w:t>230</w:t>
      </w:r>
    </w:p>
    <w:p>
      <w:pPr>
        <w:pStyle w:val="AssemblyContents"/>
        <w:ind w:left="0"/>
      </w:pPr>
      <w:hyperlink w:anchor="m371">
        <w:r>
          <w:rPr>
            <w:color w:val="000000"/>
          </w:rPr>
          <w:t>CHAPTER 7  CONCLUSIONS AND RECOMMENDATIONS</w:t>
        </w:r>
      </w:hyperlink>
      <w:r>
        <w:tab/>
        <w:t>231</w:t>
      </w:r>
    </w:p>
    <w:p>
      <w:pPr>
        <w:pStyle w:val="AssemblyContents"/>
        <w:ind w:left="230"/>
      </w:pPr>
      <w:hyperlink w:anchor="m372">
        <w:r>
          <w:rPr>
            <w:color w:val="000000"/>
          </w:rPr>
          <w:t>7.1 Introduction</w:t>
        </w:r>
      </w:hyperlink>
      <w:r>
        <w:tab/>
        <w:t>231</w:t>
      </w:r>
    </w:p>
    <w:p>
      <w:pPr>
        <w:pStyle w:val="AssemblyContents"/>
        <w:ind w:left="230"/>
      </w:pPr>
      <w:hyperlink w:anchor="m375">
        <w:r>
          <w:rPr>
            <w:color w:val="000000"/>
          </w:rPr>
          <w:t>7.2 Conclusions in Relation to the Research Questions</w:t>
        </w:r>
      </w:hyperlink>
      <w:r>
        <w:tab/>
        <w:t>232</w:t>
      </w:r>
    </w:p>
    <w:p>
      <w:pPr>
        <w:pStyle w:val="AssemblyContents"/>
        <w:ind w:left="230"/>
      </w:pPr>
      <w:hyperlink w:anchor="m382">
        <w:r>
          <w:rPr>
            <w:color w:val="000000"/>
          </w:rPr>
          <w:t>7.3 Contributions of the Study</w:t>
        </w:r>
      </w:hyperlink>
      <w:r>
        <w:tab/>
        <w:t>236</w:t>
      </w:r>
    </w:p>
    <w:p>
      <w:pPr>
        <w:pStyle w:val="AssemblyContents"/>
        <w:ind w:left="230"/>
      </w:pPr>
      <w:hyperlink w:anchor="m386">
        <w:r>
          <w:rPr>
            <w:color w:val="000000"/>
          </w:rPr>
          <w:t>7.4 Recommendations Grounded in the Findings</w:t>
        </w:r>
      </w:hyperlink>
      <w:r>
        <w:tab/>
        <w:t>238</w:t>
      </w:r>
    </w:p>
    <w:p>
      <w:pPr>
        <w:pStyle w:val="AssemblyContents"/>
        <w:ind w:left="230"/>
      </w:pPr>
      <w:hyperlink w:anchor="m396">
        <w:r>
          <w:rPr>
            <w:color w:val="000000"/>
          </w:rPr>
          <w:t>7.5 Communication, Accessibility and Wider Participation</w:t>
        </w:r>
      </w:hyperlink>
      <w:r>
        <w:tab/>
        <w:t>245</w:t>
      </w:r>
    </w:p>
    <w:p>
      <w:pPr>
        <w:pStyle w:val="AssemblyContents"/>
        <w:ind w:left="230"/>
      </w:pPr>
      <w:hyperlink w:anchor="m407">
        <w:r>
          <w:rPr>
            <w:color w:val="000000"/>
          </w:rPr>
          <w:t>7.6 Implementation and Evaluation</w:t>
        </w:r>
      </w:hyperlink>
      <w:r>
        <w:tab/>
        <w:t>253</w:t>
      </w:r>
    </w:p>
    <w:p>
      <w:pPr>
        <w:pStyle w:val="AssemblyContents"/>
        <w:ind w:left="230"/>
      </w:pPr>
      <w:hyperlink w:anchor="m413">
        <w:r>
          <w:rPr>
            <w:color w:val="000000"/>
          </w:rPr>
          <w:t>7.7 Limitations and the Boundaries of the Conclusions</w:t>
        </w:r>
      </w:hyperlink>
      <w:r>
        <w:tab/>
        <w:t>256</w:t>
      </w:r>
    </w:p>
    <w:p>
      <w:pPr>
        <w:pStyle w:val="AssemblyContents"/>
        <w:ind w:left="230"/>
      </w:pPr>
      <w:hyperlink w:anchor="m417">
        <w:r>
          <w:rPr>
            <w:color w:val="000000"/>
          </w:rPr>
          <w:t>7.8 Directions for Further Research</w:t>
        </w:r>
      </w:hyperlink>
      <w:r>
        <w:tab/>
        <w:t>258</w:t>
      </w:r>
    </w:p>
    <w:p>
      <w:pPr>
        <w:pStyle w:val="AssemblyContents"/>
        <w:ind w:left="230"/>
      </w:pPr>
      <w:hyperlink w:anchor="m422">
        <w:r>
          <w:rPr>
            <w:color w:val="000000"/>
          </w:rPr>
          <w:t>7.9 Final Conclusion</w:t>
        </w:r>
      </w:hyperlink>
      <w:r>
        <w:tab/>
        <w:t>260</w:t>
      </w:r>
    </w:p>
    <w:p>
      <w:pPr>
        <w:pStyle w:val="AssemblyContents"/>
        <w:ind w:left="0"/>
      </w:pPr>
      <w:hyperlink w:anchor="m423">
        <w:r>
          <w:rPr>
            <w:color w:val="000000"/>
          </w:rPr>
          <w:t>REFERENCES</w:t>
        </w:r>
      </w:hyperlink>
      <w:r>
        <w:tab/>
        <w:t>262</w:t>
      </w:r>
    </w:p>
    <w:p>
      <w:pPr>
        <w:pStyle w:val="AssemblyContents"/>
        <w:ind w:left="0"/>
      </w:pPr>
      <w:hyperlink w:anchor="m424">
        <w:r>
          <w:rPr>
            <w:color w:val="000000"/>
          </w:rPr>
          <w:t>APPENDIX A — QUANTITATIVE PREPARATION AUDIT</w:t>
        </w:r>
      </w:hyperlink>
      <w:r>
        <w:tab/>
        <w:t>264</w:t>
      </w:r>
    </w:p>
    <w:p>
      <w:pPr>
        <w:pStyle w:val="AssemblyContents"/>
        <w:ind w:left="0"/>
      </w:pPr>
      <w:hyperlink w:anchor="m425">
        <w:r>
          <w:rPr>
            <w:color w:val="000000"/>
          </w:rPr>
          <w:t>APPENDIX B — QUALITATIVE CODEBOOK AND CODING AUDIT</w:t>
        </w:r>
      </w:hyperlink>
      <w:r>
        <w:tab/>
        <w:t>265</w:t>
      </w:r>
    </w:p>
    <w:p>
      <w:pPr>
        <w:pStyle w:val="Heading1"/>
        <w:pageBreakBefore/>
      </w:pPr>
      <w:r>
        <w:t>LIST OF TABLES</w:t>
      </w:r>
    </w:p>
    <w:p>
      <w:pPr>
        <w:pStyle w:val="AssemblyTableList"/>
        <w:ind w:left="0"/>
      </w:pPr>
      <w:hyperlink w:anchor="m162">
        <w:r>
          <w:rPr>
            <w:color w:val="000000"/>
          </w:rPr>
          <w:t>Table 4.1  Analysis bases</w:t>
        </w:r>
      </w:hyperlink>
      <w:r>
        <w:tab/>
        <w:t>131</w:t>
      </w:r>
    </w:p>
    <w:p>
      <w:pPr>
        <w:pStyle w:val="AssemblyTableList"/>
        <w:ind w:left="0"/>
      </w:pPr>
      <w:hyperlink w:anchor="m166">
        <w:r>
          <w:rPr>
            <w:color w:val="000000"/>
          </w:rPr>
          <w:t>Table 4.2  Congregant church involvement</w:t>
        </w:r>
      </w:hyperlink>
      <w:r>
        <w:tab/>
        <w:t>132</w:t>
      </w:r>
    </w:p>
    <w:p>
      <w:pPr>
        <w:pStyle w:val="AssemblyTableList"/>
        <w:ind w:left="0"/>
      </w:pPr>
      <w:hyperlink w:anchor="m168">
        <w:r>
          <w:rPr>
            <w:color w:val="000000"/>
          </w:rPr>
          <w:t>Table 4.3  Recorded denominational background</w:t>
        </w:r>
      </w:hyperlink>
      <w:r>
        <w:tab/>
        <w:t>133</w:t>
      </w:r>
    </w:p>
    <w:p>
      <w:pPr>
        <w:pStyle w:val="AssemblyTableList"/>
        <w:ind w:left="0"/>
      </w:pPr>
      <w:hyperlink w:anchor="m172">
        <w:r>
          <w:rPr>
            <w:color w:val="000000"/>
          </w:rPr>
          <w:t>Table 4.4  Importance rating distributions</w:t>
        </w:r>
      </w:hyperlink>
      <w:r>
        <w:tab/>
        <w:t>135</w:t>
      </w:r>
    </w:p>
    <w:p>
      <w:pPr>
        <w:pStyle w:val="AssemblyTableList"/>
        <w:ind w:left="0"/>
      </w:pPr>
      <w:hyperlink w:anchor="m177">
        <w:r>
          <w:rPr>
            <w:color w:val="000000"/>
          </w:rPr>
          <w:t>Table 4.5  Importance rating summaries</w:t>
        </w:r>
      </w:hyperlink>
      <w:r>
        <w:tab/>
        <w:t>138</w:t>
      </w:r>
    </w:p>
    <w:p>
      <w:pPr>
        <w:pStyle w:val="AssemblyTableList"/>
        <w:ind w:left="0"/>
      </w:pPr>
      <w:hyperlink w:anchor="m181">
        <w:r>
          <w:rPr>
            <w:color w:val="000000"/>
          </w:rPr>
          <w:t>Table 4.6  Church service compared with businesses</w:t>
        </w:r>
      </w:hyperlink>
      <w:r>
        <w:tab/>
        <w:t>139</w:t>
      </w:r>
    </w:p>
    <w:p>
      <w:pPr>
        <w:pStyle w:val="AssemblyTableList"/>
        <w:ind w:left="0"/>
      </w:pPr>
      <w:hyperlink w:anchor="m183">
        <w:r>
          <w:rPr>
            <w:color w:val="000000"/>
          </w:rPr>
          <w:t>Table 4.7  Support for adopting business-like service practices</w:t>
        </w:r>
      </w:hyperlink>
      <w:r>
        <w:tab/>
        <w:t>140</w:t>
      </w:r>
    </w:p>
    <w:p>
      <w:pPr>
        <w:pStyle w:val="AssemblyTableList"/>
        <w:ind w:left="0"/>
      </w:pPr>
      <w:hyperlink w:anchor="m187">
        <w:r>
          <w:rPr>
            <w:color w:val="000000"/>
          </w:rPr>
          <w:t>Table 4.8  Scope for church improvement</w:t>
        </w:r>
      </w:hyperlink>
      <w:r>
        <w:tab/>
        <w:t>142</w:t>
      </w:r>
    </w:p>
    <w:p>
      <w:pPr>
        <w:pStyle w:val="AssemblyTableList"/>
        <w:ind w:left="0"/>
      </w:pPr>
      <w:hyperlink w:anchor="m190">
        <w:r>
          <w:rPr>
            <w:color w:val="000000"/>
          </w:rPr>
          <w:t>Table 4.9  Perceived responsiveness</w:t>
        </w:r>
      </w:hyperlink>
      <w:r>
        <w:tab/>
        <w:t>143</w:t>
      </w:r>
    </w:p>
    <w:p>
      <w:pPr>
        <w:pStyle w:val="AssemblyTableList"/>
        <w:ind w:left="0"/>
      </w:pPr>
      <w:hyperlink w:anchor="m193">
        <w:r>
          <w:rPr>
            <w:color w:val="000000"/>
          </w:rPr>
          <w:t>Table 4.10  Access to leadership and pastoral support</w:t>
        </w:r>
      </w:hyperlink>
      <w:r>
        <w:tab/>
        <w:t>144</w:t>
      </w:r>
    </w:p>
    <w:p>
      <w:pPr>
        <w:pStyle w:val="AssemblyTableList"/>
        <w:ind w:left="0"/>
      </w:pPr>
      <w:hyperlink w:anchor="m195">
        <w:r>
          <w:rPr>
            <w:color w:val="000000"/>
          </w:rPr>
          <w:t>Table 4.11  Emotional engagement</w:t>
        </w:r>
      </w:hyperlink>
      <w:r>
        <w:tab/>
        <w:t>145</w:t>
      </w:r>
    </w:p>
    <w:p>
      <w:pPr>
        <w:pStyle w:val="AssemblyTableList"/>
        <w:ind w:left="0"/>
      </w:pPr>
      <w:hyperlink w:anchor="m198">
        <w:r>
          <w:rPr>
            <w:color w:val="000000"/>
          </w:rPr>
          <w:t>Table 4.12  Effectiveness of digital engagement</w:t>
        </w:r>
      </w:hyperlink>
      <w:r>
        <w:tab/>
        <w:t>146</w:t>
      </w:r>
    </w:p>
    <w:p>
      <w:pPr>
        <w:pStyle w:val="AssemblyTableList"/>
        <w:ind w:left="0"/>
      </w:pPr>
      <w:hyperlink w:anchor="m200">
        <w:r>
          <w:rPr>
            <w:color w:val="000000"/>
          </w:rPr>
          <w:t>Table 4.13  Satisfaction with feedback channels</w:t>
        </w:r>
      </w:hyperlink>
      <w:r>
        <w:tab/>
        <w:t>147</w:t>
      </w:r>
    </w:p>
    <w:p>
      <w:pPr>
        <w:pStyle w:val="AssemblyTableList"/>
        <w:ind w:left="0"/>
      </w:pPr>
      <w:hyperlink w:anchor="m206">
        <w:r>
          <w:rPr>
            <w:color w:val="000000"/>
          </w:rPr>
          <w:t>Table 4.14  Reported feedback collection methods</w:t>
        </w:r>
      </w:hyperlink>
      <w:r>
        <w:tab/>
        <w:t>149</w:t>
      </w:r>
    </w:p>
    <w:p>
      <w:pPr>
        <w:pStyle w:val="AssemblyTableList"/>
        <w:ind w:left="0"/>
      </w:pPr>
      <w:hyperlink w:anchor="m209">
        <w:r>
          <w:rPr>
            <w:color w:val="000000"/>
          </w:rPr>
          <w:t>Table 4.15  Reported use of service tools</w:t>
        </w:r>
      </w:hyperlink>
      <w:r>
        <w:tab/>
        <w:t>151</w:t>
      </w:r>
    </w:p>
    <w:p>
      <w:pPr>
        <w:pStyle w:val="AssemblyTableList"/>
        <w:ind w:left="0"/>
      </w:pPr>
      <w:hyperlink w:anchor="m212">
        <w:r>
          <w:rPr>
            <w:color w:val="000000"/>
          </w:rPr>
          <w:t>Table 4.16  Perceived compatibility</w:t>
        </w:r>
      </w:hyperlink>
      <w:r>
        <w:tab/>
        <w:t>152</w:t>
      </w:r>
    </w:p>
    <w:p>
      <w:pPr>
        <w:pStyle w:val="AssemblyTableList"/>
        <w:ind w:left="0"/>
      </w:pPr>
      <w:hyperlink w:anchor="m215">
        <w:r>
          <w:rPr>
            <w:color w:val="000000"/>
          </w:rPr>
          <w:t>Table 4.17  Reported leadership response</w:t>
        </w:r>
      </w:hyperlink>
      <w:r>
        <w:tab/>
        <w:t>154</w:t>
      </w:r>
    </w:p>
    <w:p>
      <w:pPr>
        <w:pStyle w:val="AssemblyTableList"/>
        <w:ind w:left="0"/>
      </w:pPr>
      <w:hyperlink w:anchor="m218">
        <w:r>
          <w:rPr>
            <w:color w:val="000000"/>
          </w:rPr>
          <w:t>Table 4.18  Perceived risk to spiritual authenticity</w:t>
        </w:r>
      </w:hyperlink>
      <w:r>
        <w:tab/>
        <w:t>155</w:t>
      </w:r>
    </w:p>
    <w:p>
      <w:pPr>
        <w:pStyle w:val="AssemblyTableList"/>
        <w:ind w:left="0"/>
      </w:pPr>
      <w:hyperlink w:anchor="m221">
        <w:r>
          <w:rPr>
            <w:color w:val="000000"/>
          </w:rPr>
          <w:t>Table 4.19  Specific concerns and sensitivity to exclusions</w:t>
        </w:r>
      </w:hyperlink>
      <w:r>
        <w:tab/>
        <w:t>156</w:t>
      </w:r>
    </w:p>
    <w:p>
      <w:pPr>
        <w:pStyle w:val="AssemblyTableList"/>
        <w:ind w:left="0"/>
      </w:pPr>
      <w:hyperlink w:anchor="m226">
        <w:r>
          <w:rPr>
            <w:color w:val="000000"/>
          </w:rPr>
          <w:t>Table 4.20  Monitoring practices and sensitivity to exclusions</w:t>
        </w:r>
      </w:hyperlink>
      <w:r>
        <w:tab/>
        <w:t>158</w:t>
      </w:r>
    </w:p>
    <w:p>
      <w:pPr>
        <w:pStyle w:val="AssemblyTableList"/>
        <w:ind w:left="0"/>
      </w:pPr>
      <w:hyperlink w:anchor="m230">
        <w:r>
          <w:rPr>
            <w:color w:val="000000"/>
          </w:rPr>
          <w:t>Table 4.21  Practical barriers to improvement</w:t>
        </w:r>
      </w:hyperlink>
      <w:r>
        <w:tab/>
        <w:t>160</w:t>
      </w:r>
    </w:p>
    <w:p>
      <w:pPr>
        <w:pStyle w:val="AssemblyTableList"/>
        <w:ind w:left="0"/>
      </w:pPr>
      <w:hyperlink w:anchor="m240">
        <w:r>
          <w:rPr>
            <w:color w:val="000000"/>
          </w:rPr>
          <w:t>Table 4.22  Availability of written responses</w:t>
        </w:r>
      </w:hyperlink>
      <w:r>
        <w:tab/>
        <w:t>165</w:t>
      </w:r>
    </w:p>
    <w:p>
      <w:pPr>
        <w:pStyle w:val="AssemblyTableList"/>
        <w:ind w:left="0"/>
      </w:pPr>
      <w:hyperlink w:anchor="m242">
        <w:r>
          <w:rPr>
            <w:color w:val="000000"/>
          </w:rPr>
          <w:t>Table 4.23  Item level preparation audit</w:t>
        </w:r>
      </w:hyperlink>
      <w:r>
        <w:tab/>
        <w:t>165</w:t>
      </w:r>
    </w:p>
    <w:p>
      <w:pPr>
        <w:pStyle w:val="AssemblyTableList"/>
        <w:ind w:left="0"/>
      </w:pPr>
      <w:hyperlink w:anchor="m251">
        <w:r>
          <w:rPr>
            <w:color w:val="000000"/>
          </w:rPr>
          <w:t>Table 5.1  Categories in the adoption reasons</w:t>
        </w:r>
      </w:hyperlink>
      <w:r>
        <w:tab/>
        <w:t>170</w:t>
      </w:r>
    </w:p>
    <w:p>
      <w:pPr>
        <w:pStyle w:val="AssemblyTableList"/>
        <w:ind w:left="0"/>
      </w:pPr>
      <w:hyperlink w:anchor="m263">
        <w:r>
          <w:rPr>
            <w:color w:val="000000"/>
          </w:rPr>
          <w:t>Table 5.2  Categories in the improvement suggestions</w:t>
        </w:r>
      </w:hyperlink>
      <w:r>
        <w:tab/>
        <w:t>176</w:t>
      </w:r>
    </w:p>
    <w:p>
      <w:pPr>
        <w:pStyle w:val="AssemblyTableList"/>
        <w:ind w:left="0"/>
      </w:pPr>
      <w:hyperlink w:anchor="m300">
        <w:r>
          <w:rPr>
            <w:color w:val="000000"/>
          </w:rPr>
          <w:t>Table 5.3  Categories in the final suggested practices</w:t>
        </w:r>
      </w:hyperlink>
      <w:r>
        <w:tab/>
        <w:t>193</w:t>
      </w:r>
    </w:p>
    <w:p>
      <w:bookmarkStart w:id="1" w:name="m1"/>
      <w:pPr>
        <w:pStyle w:val="Heading1"/>
        <w:pageBreakBefore/>
      </w:pPr>
      <w:r>
        <w:t>CHAPTER 1</w:t>
        <w:br/>
        <w:t>INTRODUCTION</w:t>
      </w:r>
      <w:bookmarkEnd w:id="1"/>
    </w:p>
    <w:p>
      <w:bookmarkStart w:id="2" w:name="m2"/>
      <w:pPr>
        <w:pStyle w:val="Heading2"/>
        <w:pageBreakBefore w:val="0"/>
      </w:pPr>
      <w:r>
        <w:t>1.1 Framing the Study: Customer Service in a Church Context</w:t>
      </w:r>
      <w:bookmarkEnd w:id="2"/>
    </w:p>
    <w:p>
      <w:bookmarkStart w:id="3" w:name="m3"/>
      <w:pPr>
        <w:pStyle w:val="Heading3"/>
        <w:pageBreakBefore w:val="0"/>
      </w:pPr>
      <w:r>
        <w:t>1.1.1 Organisational service within religious life</w:t>
      </w:r>
      <w:bookmarkEnd w:id="3"/>
    </w:p>
    <w:p>
      <w:pPr>
        <w:pageBreakBefore w:val="0"/>
      </w:pPr>
      <w:r>
        <w:t>This dissertation examines how selected organisational aspects of church life are experienced and evaluated, and how respondents understand the suitability of business-informed service practices. Its concern is the practical interaction between congregants and church organisations: receiving information, finding assistance, communicating needs and participating in activities. These interactions provide a legitimate subject for management research because they involve decisions about responsibilities, resources and responses to people. Their religious setting also requires attention to the purposes that organisational practices are intended to serve.</w:t>
      </w:r>
    </w:p>
    <w:p>
      <w:pPr>
        <w:pageBreakBefore w:val="0"/>
      </w:pPr>
      <w:r>
        <w:t>The term customer service requires particular care in this context. Within this dissertation, it refers to the organisational and interpersonal provision through which churches welcome, communicate with and assist people. This working definition establishes an area of inquiry without assigning congregants the status of purchasers of religious benefits. Religious commitments, worship and doctrine cannot be evaluated adequately through measures of convenience or preference alone. The study therefore examines how practical attentiveness can be considered alongside religious purpose, while recognising that respondents may interpret this relationship differently.</w:t>
      </w:r>
    </w:p>
    <w:p>
      <w:pPr>
        <w:pageBreakBefore w:val="0"/>
      </w:pPr>
      <w:r>
        <w:t>A distinction between organisational provision and religious purpose is useful analytically, although the two may be closely connected in experience. An unanswered request for information concerns an administrative process, but someone seeking support may interpret the absence of a response as a sign of personal disregard. Conversely, an efficient procedure may feel impersonal if it fails to recognise the circumstances of the person using it. These are illustrative possibilities, rather than findings established for particular churches. They explain why the study considers both reported experiences and the meanings expressed in written responses.</w:t>
      </w:r>
    </w:p>
    <w:p>
      <w:pPr>
        <w:pageBreakBefore w:val="0"/>
      </w:pPr>
      <w:r>
        <w:t>Congregants can also contribute to the activities they experience. The available records include people describing themselves as regular attenders, former attenders and participants with leadership or volunteer involvement. A person may therefore encounter a church as someone seeking assistance while also helping to provide it. Treating these positions as equivalent to a simple relationship between seller and buyer would obscure the responsibilities and relationships involved. The study uses service concepts to investigate organisational interactions while leaving room for forms of participation that commercial terminology may describe incompletely.</w:t>
      </w:r>
    </w:p>
    <w:p>
      <w:bookmarkStart w:id="4" w:name="m4"/>
      <w:pPr>
        <w:pStyle w:val="Heading3"/>
        <w:pageBreakBefore w:val="0"/>
      </w:pPr>
      <w:r>
        <w:t>1.1.2 Service improvement and the question of purpose</w:t>
      </w:r>
      <w:bookmarkEnd w:id="4"/>
    </w:p>
    <w:p>
      <w:pPr>
        <w:pageBreakBefore w:val="0"/>
      </w:pPr>
      <w:r>
        <w:t>The practical value of a service practice and the acceptability of its underlying assumptions are separate questions. A respondent may welcome clearer communication while objecting to language that presents religious participation as a transaction. Another may support volunteer training but question whether commercial performance targets suit pastoral responsibilities. These distinctions matter because a broad question about adopting business-like practices can bring together several different judgments. Agreement may concern a particular administrative benefit, whereas disagreement may concern the meaning attached to the proposal.</w:t>
      </w:r>
    </w:p>
    <w:p>
      <w:pPr>
        <w:pageBreakBefore w:val="0"/>
      </w:pPr>
      <w:r>
        <w:t>The dissertation develops the interpretation of conditional usefulness to examine this distinction. The term describes recognition of practical benefit accompanied by qualifications concerning religious purpose, commercialisation or the conditions of implementation. It arises from the analysis of the supplied reasons and is developed through the findings and discussion chapters. The available records contain no validated measure of this construct, and the introduction does not present it as an established theory. Its value lies in directing attention to what respondents accept, what they qualify and how those positions can coexist.</w:t>
      </w:r>
    </w:p>
    <w:p>
      <w:pPr>
        <w:pageBreakBefore w:val="0"/>
      </w:pPr>
      <w:r>
        <w:t>This interpretation makes the content of a response important alongside its direction. A supportive rating does not reveal whether support is unrestricted, selective or dependent on a practice serving ministry. Equally, a critical statement need not imply rejection of communication, accessibility or organisational care. Examining closed answers alongside written reasons allows the study to investigate these distinctions within the same congregant records. Such analysis remains interpretive: it does not provide access to unrecorded motives or establish why every respondent chose a particular answer.</w:t>
      </w:r>
    </w:p>
    <w:p>
      <w:bookmarkStart w:id="5" w:name="m5"/>
      <w:pPr>
        <w:pStyle w:val="Heading3"/>
        <w:pageBreakBefore w:val="0"/>
      </w:pPr>
      <w:r>
        <w:t>1.1.3 Intended setting and empirical focus</w:t>
      </w:r>
      <w:bookmarkEnd w:id="5"/>
    </w:p>
    <w:p>
      <w:pPr>
        <w:pageBreakBefore w:val="0"/>
      </w:pPr>
      <w:r>
        <w:t>Christian churches in the United States form the intended substantive context of the dissertation. The available transcription, however, does not independently establish geographic eligibility, recruitment coverage or a verified number of participating churches. The empirical analysis consequently concerns 100 congregant records and 140 separate staff or volunteer records. These totals define the material available for examination; they do not establish a representative national sample or a verified count of 240 unique individuals. This distinction preserves the intended research context while limiting the population claims that can follow from the evidence.</w:t>
      </w:r>
    </w:p>
    <w:p>
      <w:pPr>
        <w:pageBreakBefore w:val="0"/>
      </w:pPr>
      <w:r>
        <w:t>The two questionnaires provide different perspectives. Congregant responses describe selected priorities, experiences and attitudes, together with reasons and suggestions. Staff or volunteer responses describe reported practices and organisational conditions. Because records are unlinked by church, the latter cannot be used to explain the experience of a particular congregant. Their contribution is complementary: they allow the dissertation to consider personal evaluations alongside reports of implementation conditions, while preserving the separation between the two sources of evidence.</w:t>
      </w:r>
    </w:p>
    <w:p>
      <w:bookmarkStart w:id="6" w:name="m6"/>
      <w:pPr>
        <w:pStyle w:val="Heading2"/>
        <w:pageBreakBefore w:val="0"/>
      </w:pPr>
      <w:r>
        <w:t>1.2 Contextual Background and Justification for the Study</w:t>
      </w:r>
      <w:bookmarkEnd w:id="6"/>
    </w:p>
    <w:p>
      <w:bookmarkStart w:id="7" w:name="m7"/>
      <w:pPr>
        <w:pStyle w:val="Heading3"/>
        <w:pageBreakBefore w:val="0"/>
      </w:pPr>
      <w:r>
        <w:t>1.2.1 Service quality as a starting point</w:t>
      </w:r>
      <w:bookmarkEnd w:id="7"/>
    </w:p>
    <w:p>
      <w:pPr>
        <w:pageBreakBefore w:val="0"/>
      </w:pPr>
      <w:r>
        <w:t>Service-quality research supplies a vocabulary for distinguishing aspects of organisational experience. Parasuraman et al. (1988) developed SERVQUAL around dimensions including reliability, responsiveness and empathy, using expectation and perception statements. Cronin and Taylor (1992) examined an alternative based on performance measurement. These contributions identify different ways of approaching service evaluation and provide a theoretical starting point for the present inquiry. They also demonstrate why researchers must specify what their questions measure before interpreting the resulting scores.</w:t>
      </w:r>
    </w:p>
    <w:p>
      <w:pPr>
        <w:pageBreakBefore w:val="0"/>
      </w:pPr>
      <w:r>
        <w:t>The present questionnaire asks congregants to rate the importance of six specified attributes, including welcome, communication and feeling valued. Importance identifies a priority assigned to an attribute; it does not establish how well a church delivered that attribute. Separate questions address selected experiences, such as responsiveness and access to support. Maintaining this distinction allows the study to describe what matters to respondents alongside what they report experiencing, without calculating an expectation–performance gap from unrelated items. Conceptual resemblance to a recognised framework does not establish that its measurement procedure has been implemented.</w:t>
      </w:r>
    </w:p>
    <w:p>
      <w:pPr>
        <w:pageBreakBefore w:val="0"/>
      </w:pPr>
      <w:r>
        <w:t>This measurement distinction has practical consequences. A highly valued attribute may already be delivered satisfactorily, or it may represent an area requiring attention. An importance rating alone cannot decide between those possibilities. Similarly, satisfaction with feedback channels cannot stand for overall satisfaction with church life. The justification for examining several items is therefore to preserve differences between evaluations that could otherwise disappear within a general judgment of service quality. The study interprets each item within its wording and treats broader connections as questions requiring supporting evidence.</w:t>
      </w:r>
    </w:p>
    <w:p>
      <w:bookmarkStart w:id="8" w:name="m8"/>
      <w:pPr>
        <w:pStyle w:val="Heading3"/>
        <w:pageBreakBefore w:val="0"/>
      </w:pPr>
      <w:r>
        <w:t>1.2.2 Church-specific scholarship and contextual comparison</w:t>
      </w:r>
      <w:bookmarkEnd w:id="8"/>
    </w:p>
    <w:p>
      <w:pPr>
        <w:pageBreakBefore w:val="0"/>
      </w:pPr>
      <w:r>
        <w:t>Church-specific research provides grounds for examining organisational service without assuming that commercial frameworks transfer unchanged. Santos and Mathews (2001) identify responsiveness, credibility and commitment as important in religious services. Their findings direct attention to qualities through which practical provision may acquire relational meaning. Vuokko (2000), examining customer-oriented thinking within the Finnish Lutheran Church, considers information and coordination alongside attitudes towards responsiveness. These studies support the relevance of organisational questions in religious settings, while retaining the contexts and measures through which their conclusions were reached.</w:t>
      </w:r>
    </w:p>
    <w:p>
      <w:pPr>
        <w:pageBreakBefore w:val="0"/>
      </w:pPr>
      <w:r>
        <w:t>Mulyanegara et al. (2010) report an association between market orientation and church participation in an Australian denominational setting. Mulyanegara et al. (2011) examine perceived benefits and participation in related church marketing research. These articles make contextual application a substantive research issue: ideas associated with markets can be investigated within religious organisations, but their meaning and implications require examination. The articles do not establish equivalent relationships in the present records, and they should not be treated as independent replications without verification of their underlying samples.</w:t>
      </w:r>
    </w:p>
    <w:p>
      <w:pPr>
        <w:pageBreakBefore w:val="0"/>
      </w:pPr>
      <w:r>
        <w:t>For this dissertation, the relevance of these studies lies in the questions they help formulate. How do respondents assess organisational attentiveness? Which practical benefits do they recognise, and what reservations accompany them? How does perceived suitability relate to the stated purpose of a practice? These questions connect management concepts with the evidence available here. They avoid assuming that a relationship found in an Australian or Finnish setting has already been demonstrated among respondents in the intended United States context.</w:t>
      </w:r>
    </w:p>
    <w:p>
      <w:pPr>
        <w:pageBreakBefore w:val="0"/>
      </w:pPr>
      <w:r>
        <w:t>The resulting literature gap is specific to the argument developed from the reviewed sources. The dissertation needs an account connecting selected service priorities and experiences with respondents’ explanations of acceptance or reservation. Existing studies offer relevant concepts and contextual findings, but do not answer that question for this questionnaire corpus. This is a reason to investigate the records carefully, rather than a claim that no previous scholarship has considered religious service, contextual adaptation or qualified acceptance. Chapter 2 examines the selected literature and the limits of the resulting gap claim.</w:t>
      </w:r>
    </w:p>
    <w:p>
      <w:bookmarkStart w:id="9" w:name="m9"/>
      <w:pPr>
        <w:pStyle w:val="Heading3"/>
        <w:pageBreakBefore w:val="0"/>
      </w:pPr>
      <w:r>
        <w:t>1.2.3 Hospitality and nonprofit comparisons</w:t>
      </w:r>
      <w:bookmarkEnd w:id="9"/>
    </w:p>
    <w:p>
      <w:pPr>
        <w:pageBreakBefore w:val="0"/>
      </w:pPr>
      <w:r>
        <w:t>Hospitality and nonprofit literature offers comparative perspectives on welcome, communication and organisational interaction. Such comparisons are useful where they clarify a practical question, for example how information helps someone navigate an unfamiliar setting. Their usefulness does not depend on churches sharing the commercial objectives of hospitality organisations. The dissertation treats comparable activities as starting points for inquiry and asks which contextual differences affect their interpretation. It does not assume that similar activities necessarily have the same purpose or consequences across sectors.</w:t>
      </w:r>
    </w:p>
    <w:p>
      <w:pPr>
        <w:pageBreakBefore w:val="0"/>
      </w:pPr>
      <w:r>
        <w:t>Customer-experience scholarship extends attention beyond isolated encounters to interactions across a relationship (Lemon &amp; Verhoef, 2016). This perspective helps explain why a questionnaire can include physical access, communication and digital experience within one organisational inquiry. Hilton et al. (2020) discuss customer success management through attention to customers’ goals and value in use. Their conceptual account raises questions about the purpose of organisational support. Applying those questions here does not equate spiritual development with commercial customer success or demonstrate that the questionnaire tracks a complete congregant journey.</w:t>
      </w:r>
    </w:p>
    <w:p>
      <w:pPr>
        <w:pageBreakBefore w:val="0"/>
      </w:pPr>
      <w:r>
        <w:t>The empirical comparison with businesses is narrower than the literature-based comparison. Respondents give their own assessments of church service relative to businesses; the study contains no matched hospitality or nonprofit sample evaluated through a common instrument. Those answers can reveal perceived comparison, but cannot rank sector performance against an independent standard. Distinguishing these two forms of comparison allows the dissertation to use cross-sector scholarship critically while retaining the actual meaning of the questionnaire evidence.</w:t>
      </w:r>
    </w:p>
    <w:p>
      <w:pPr>
        <w:pageBreakBefore w:val="0"/>
      </w:pPr>
      <w:r>
        <w:t>The practical justification also concerns how improvement priorities are selected. Choosing an action solely because it receives the largest number of mentions could overlook a concern affecting fewer people, such as access to facilities or information. Frequency describes the distribution of responses; it does not establish the seriousness of every difficulty or determine which needs deserve attention. Equally, introducing a formal process without considering responsibility and available time could create expectations that an organisation cannot sustain. These are considerations for interpreting recommendations, rather than additional outcomes measured by the survey. They explain why the study combines attention to congregants’ stated priorities with staff reports of organisational conditions. The resulting recommendations should identify what a proposed action is intended to address, whose experience it concerns and what evidence would be needed to judge its effect. This gives the descriptive inquiry a practical purpose without assuming that prevalence, feasibility and value are interchangeable.</w:t>
      </w:r>
    </w:p>
    <w:p>
      <w:bookmarkStart w:id="10" w:name="m10"/>
      <w:pPr>
        <w:pStyle w:val="Heading2"/>
        <w:pageBreakBefore w:val="0"/>
      </w:pPr>
      <w:r>
        <w:t>1.3 Statement of the Research Problem</w:t>
      </w:r>
      <w:bookmarkEnd w:id="10"/>
    </w:p>
    <w:p>
      <w:bookmarkStart w:id="11" w:name="m11"/>
      <w:pPr>
        <w:pStyle w:val="Heading3"/>
        <w:pageBreakBefore w:val="0"/>
      </w:pPr>
      <w:r>
        <w:t>1.3.1 Distinguishing priorities, experiences and acceptance</w:t>
      </w:r>
      <w:bookmarkEnd w:id="11"/>
    </w:p>
    <w:p>
      <w:pPr>
        <w:pageBreakBefore w:val="0"/>
      </w:pPr>
      <w:r>
        <w:t>The central research problem is how to interpret service priorities, reported experiences and acceptance of organisational practices together while preserving their differences. A respondent can attach substantial importance to welcome, report a favourable interaction and still identify an improvement. These positions are logically compatible because they concern different evaluations. Collapsing them into a single judgment would make it difficult to explain whether a finding concerns valued attributes, an existing experience or a proposed change. The study addresses this problem by keeping the measures separate throughout description and interpretation.</w:t>
      </w:r>
    </w:p>
    <w:p>
      <w:pPr>
        <w:pageBreakBefore w:val="0"/>
      </w:pPr>
      <w:r>
        <w:t>A related difficulty concerns the breadth of the phrase business-like practices. Respondents may understand it to include administrative systems, patterns of interpersonal conduct or a wider commercial approach. The available records do not establish that everyone evaluated an identical intervention. Written reasons are therefore important because they reveal some of the qualifications attached to the response. They support a closer reading of expressed positions, although their brevity limits how confidently the analysis can reconstruct a respondent’s full understanding of the question.</w:t>
      </w:r>
    </w:p>
    <w:p>
      <w:pPr>
        <w:pageBreakBefore w:val="0"/>
      </w:pPr>
      <w:r>
        <w:t>The research problem is consequently interpretive as well as descriptive. Frequencies establish how recorded answers are distributed, but the categories alone may conceal differences within support or opposition. Connecting an adoption rating with its accompanying reason allows the dissertation to examine those differences without assigning intentions that respondents did not express. This is the empirical basis for developing conditional usefulness as an interpretation. Its credibility depends on the consistency of coding, attention to contrary statements and a clear connection between the interpretation and the supplied text.</w:t>
      </w:r>
    </w:p>
    <w:p>
      <w:bookmarkStart w:id="12" w:name="m12"/>
      <w:pPr>
        <w:pStyle w:val="Heading3"/>
        <w:pageBreakBefore w:val="0"/>
      </w:pPr>
      <w:r>
        <w:t>1.3.2 Organisational conditions and competing explanations</w:t>
      </w:r>
      <w:bookmarkEnd w:id="12"/>
    </w:p>
    <w:p>
      <w:pPr>
        <w:pageBreakBefore w:val="0"/>
      </w:pPr>
      <w:r>
        <w:t>Acceptance is also distinct from the ability to implement a practice. A respondent may regard an approach as suitable while reporting limited resources, training needs or volunteer fatigue. Conversely, the availability of a tool does not demonstrate that it is appropriate or effective. The staff questionnaire makes these distinctions relevant by recording adoption, compatibility, leadership responses and barriers separately. Examining their distributions can describe the conditions respondents report, while further comparisons require explicit calculations and attention to the limits of the available measures.</w:t>
      </w:r>
    </w:p>
    <w:p>
      <w:pPr>
        <w:pageBreakBefore w:val="0"/>
      </w:pPr>
      <w:r>
        <w:t>These distinctions prevent an overly simple explanation of organisational change. Reported resistance might concern religious purpose, resource demands, the proposed method or several considerations together. The survey does not establish the relative causal influence of those possibilities. The analytical task is to examine the expressed concerns and avoid converting their frequency into proof of what determines adoption. Likewise, staff reports of constraints cannot be matched to congregants’ experiences without organisational links between their records. Explanation must remain proportionate to the relationships actually observed.</w:t>
      </w:r>
    </w:p>
    <w:p>
      <w:bookmarkStart w:id="13" w:name="m13"/>
      <w:pPr>
        <w:pStyle w:val="Heading3"/>
        <w:pageBreakBefore w:val="0"/>
      </w:pPr>
      <w:r>
        <w:t>1.3.3 The problem addressed by this dissertation</w:t>
      </w:r>
      <w:bookmarkEnd w:id="13"/>
    </w:p>
    <w:p>
      <w:pPr>
        <w:pageBreakBefore w:val="0"/>
      </w:pPr>
      <w:r>
        <w:t>Taken together, these issues define a study of how organisational service is valued, experienced and qualified within the available church questionnaire material. The problem is not premised on a demonstrated national failure of church service or on a proven relationship between service practices and declining attendance. It concerns the interpretation of selected evidence that can inform management questions while respecting the religious setting. This approach permits critical attention to practical provision without treating organisational efficiency as a comprehensive measure of a church’s purpose.</w:t>
      </w:r>
    </w:p>
    <w:p>
      <w:pPr>
        <w:pageBreakBefore w:val="0"/>
      </w:pPr>
      <w:r>
        <w:t>The study’s contribution is developed through the relationship between measurement and interpretation. Descriptive findings establish the response patterns; written reasons help explain the conditions expressed within attitudes; comparison with literature examines what those patterns might mean in a wider scholarly discussion. Each stage has a different evidential function. Recommendations follow from their combined consideration and require evaluation in practice. They cannot be presented as interventions already shown by this research to improve retention, spiritual growth or overall congregational satisfaction.</w:t>
      </w:r>
    </w:p>
    <w:p>
      <w:pPr>
        <w:pageBreakBefore w:val="0"/>
      </w:pPr>
      <w:r>
        <w:t>This formulation provides the foundation for the research aim and objectives that follow. It requires questions answerable through the actual instruments, a methodological account that makes analytical decisions visible, and conclusions that distinguish supported interpretation from proposals for further investigation. The resulting inquiry can examine conditional usefulness closely while leaving its wider applicability open to subsequent research. The strength of the argument therefore depends on the quality of its explanation and engagement with evidence, rather than on the breadth of outcomes claimed.</w:t>
      </w:r>
    </w:p>
    <w:p>
      <w:bookmarkStart w:id="14" w:name="m14"/>
      <w:pPr>
        <w:pStyle w:val="Heading2"/>
        <w:pageBreakBefore w:val="0"/>
      </w:pPr>
      <w:r>
        <w:t>1.4 Research Aim and Objectives</w:t>
      </w:r>
      <w:bookmarkEnd w:id="14"/>
    </w:p>
    <w:p>
      <w:bookmarkStart w:id="15" w:name="m15"/>
      <w:pPr>
        <w:pStyle w:val="Heading3"/>
        <w:pageBreakBefore w:val="0"/>
      </w:pPr>
      <w:r>
        <w:t>1.4.1 Research aim</w:t>
      </w:r>
      <w:bookmarkEnd w:id="15"/>
    </w:p>
    <w:p>
      <w:pPr>
        <w:pageBreakBefore w:val="0"/>
      </w:pPr>
      <w:r>
        <w:t>The aim of this study is to describe and interpret selected service priorities, reported experiences, organisational practices and adoption attitudes in the available church questionnaire records, and to develop recommendations for consideration and evaluation. The inquiry connects congregant evaluations and written explanations with separate staff or volunteer accounts. Service-management and church-related literature supports interpretation of these perspectives, with particular attention to the conditions under which practical usefulness is recognised alongside reservations about commercialisation or religious purpose.</w:t>
      </w:r>
    </w:p>
    <w:p>
      <w:pPr>
        <w:pageBreakBefore w:val="0"/>
      </w:pPr>
      <w:r>
        <w:t>This aim places the interpretation of evidence at the centre of the study. Describing a distribution establishes what respondents recorded; explaining its possible meaning requires attention to question wording, accompanying reasons and alternative interpretations. Recommendations emerge from that analysis and remain proposals for local evaluation. The study consequently distinguishes an expressed preference from a demonstrated organisational need, and an apparently useful practice from an intervention whose effectiveness has been established.</w:t>
      </w:r>
    </w:p>
    <w:p>
      <w:bookmarkStart w:id="16" w:name="m16"/>
      <w:pPr>
        <w:pStyle w:val="Heading3"/>
        <w:pageBreakBefore w:val="0"/>
      </w:pPr>
      <w:r>
        <w:t>1.4.2 Research objectives</w:t>
      </w:r>
      <w:bookmarkEnd w:id="16"/>
    </w:p>
    <w:p>
      <w:pPr>
        <w:pageBreakBefore w:val="0"/>
      </w:pPr>
      <w:r>
        <w:t>Six objectives translate the aim into areas of investigation:</w:t>
      </w:r>
    </w:p>
    <w:p>
      <w:pPr>
        <w:pageBreakBefore w:val="0"/>
      </w:pPr>
      <w:r>
        <w:t>1. Describe the importance assigned by congregant respondents to the six specified service attributes and summarise their selected reported experiences and evaluations.</w:t>
      </w:r>
    </w:p>
    <w:p>
      <w:pPr>
        <w:pageBreakBefore w:val="0"/>
      </w:pPr>
      <w:r>
        <w:t>2. Examine congregants’ subjective comparisons of church service with businesses and interpret their relevance alongside the cross-sector literature, without treating them as objective sector benchmarks.</w:t>
      </w:r>
    </w:p>
    <w:p>
      <w:pPr>
        <w:pageBreakBefore w:val="0"/>
      </w:pPr>
      <w:r>
        <w:t>3. Describe staff or volunteer reports of feedback methods, use of business or nonprofit tools, monitoring practices and leadership responses.</w:t>
      </w:r>
    </w:p>
    <w:p>
      <w:pPr>
        <w:pageBreakBefore w:val="0"/>
      </w:pPr>
      <w:r>
        <w:t>4. Examine congregant adoption attitudes and their written reasons, alongside the separate staff reports of compatibility and perceived risk to spiritual authenticity.</w:t>
      </w:r>
    </w:p>
    <w:p>
      <w:pPr>
        <w:pageBreakBefore w:val="0"/>
      </w:pPr>
      <w:r>
        <w:t>5. Describe the reported concerns and practical barriers that may be relevant to adoption, without estimating causal determinants or linking unpaired staff and congregant records.</w:t>
      </w:r>
    </w:p>
    <w:p>
      <w:pPr>
        <w:pageBreakBefore w:val="0"/>
      </w:pPr>
      <w:r>
        <w:t>6. Develop recommendations grounded in the questionnaire findings, written suggestions and supported literature, identifying their scope and need for local evaluation.</w:t>
      </w:r>
    </w:p>
    <w:p>
      <w:pPr>
        <w:pageBreakBefore w:val="0"/>
      </w:pPr>
      <w:r>
        <w:t>These objectives preserve distinctions between the respondent groups and between the instruments’ measures. They guide the revised analysis rather than being presented as a prospectively registered protocol. Their sequence moves from description of priorities and practices towards interpretation of acceptance and consideration of possible action. This sequence also establishes the basis for connecting findings with conclusions.</w:t>
      </w:r>
    </w:p>
    <w:p>
      <w:bookmarkStart w:id="17" w:name="m17"/>
      <w:pPr>
        <w:pStyle w:val="Heading3"/>
        <w:pageBreakBefore w:val="0"/>
      </w:pPr>
      <w:r>
        <w:t>1.4.3 Research questions and evidence alignment</w:t>
      </w:r>
      <w:bookmarkEnd w:id="17"/>
    </w:p>
    <w:p>
      <w:pPr>
        <w:pageBreakBefore w:val="0"/>
      </w:pPr>
      <w:r>
        <w:t>The following questions correspond to the six objectives.</w:t>
      </w:r>
    </w:p>
    <w:p>
      <w:pPr>
        <w:pageBreakBefore w:val="0"/>
      </w:pPr>
      <w:r>
        <w:t>Research question 1: What importance do congregant respondents assign to the specified service attributes, and how do they report the selected aspects of their church experience?</w:t>
      </w:r>
    </w:p>
    <w:p>
      <w:pPr>
        <w:pageBreakBefore w:val="0"/>
      </w:pPr>
      <w:r>
        <w:t>The six importance items and separate experience questions provide the evidence. Analysis concerns the attributes specified by the questionnaire, rather than discovery of every possible dimension of church service. Their relationship is considered without treating importance as delivered performance.</w:t>
      </w:r>
    </w:p>
    <w:p>
      <w:pPr>
        <w:pageBreakBefore w:val="0"/>
      </w:pPr>
      <w:r>
        <w:t>Research question 2: How do congregant respondents compare church service with businesses, and what bounded comparisons can be made with the hospitality and nonprofit literature?</w:t>
      </w:r>
    </w:p>
    <w:p>
      <w:pPr>
        <w:pageBreakBefore w:val="0"/>
      </w:pPr>
      <w:r>
        <w:t>The questionnaire establishes respondents’ subjective comparisons. Literature provides an interpretive context for discussing comparable activities and differing purposes. Because there is no matched sector sample, these two sources cannot produce an independent ranking of church, hospitality or nonprofit performance.</w:t>
      </w:r>
    </w:p>
    <w:p>
      <w:pPr>
        <w:pageBreakBefore w:val="0"/>
      </w:pPr>
      <w:r>
        <w:t>Research question 3: What service-related practices do staff or volunteer respondents report, including feedback collection, tools, monitoring and leadership responses?</w:t>
      </w:r>
    </w:p>
    <w:p>
      <w:pPr>
        <w:pageBreakBefore w:val="0"/>
      </w:pPr>
      <w:r>
        <w:t>The staff questionnaire records the presence or use of selected practices as reported by respondents. It does not establish how consistently those practices operate or how many distinct churches they represent. Monitoring methods are distinguished from measured organisational outcomes.</w:t>
      </w:r>
    </w:p>
    <w:p>
      <w:pPr>
        <w:pageBreakBefore w:val="0"/>
      </w:pPr>
      <w:r>
        <w:t>Research question 4: How do respondents evaluate the adoption and compatibility of business-like practices, and what qualifications appear in congregants’ written reasons?</w:t>
      </w:r>
    </w:p>
    <w:p>
      <w:pPr>
        <w:pageBreakBefore w:val="0"/>
      </w:pPr>
      <w:r>
        <w:t>Congregant ratings and reasons permit examination of qualifications within expressed attitudes. Staff compatibility and spiritual-risk responses offer a separate perspective. The analysis distinguishes recognition of practical benefit from endorsement of a commercial model, while treating theological suitability as a reported judgment.</w:t>
      </w:r>
    </w:p>
    <w:p>
      <w:pPr>
        <w:pageBreakBefore w:val="0"/>
      </w:pPr>
      <w:r>
        <w:t>Research question 5: What concerns and resource or organisational barriers do staff or volunteer respondents report as relevant to service improvement and adoption?</w:t>
      </w:r>
    </w:p>
    <w:p>
      <w:pPr>
        <w:pageBreakBefore w:val="0"/>
      </w:pPr>
      <w:r>
        <w:t>Concern and barrier items describe perceived conditions. Their frequency does not measure causal influence, and staff responses cannot be assigned to particular congregants without links between their records. Interpretation must also respect the item-specific rules for conflicting selections.</w:t>
      </w:r>
    </w:p>
    <w:p>
      <w:pPr>
        <w:pageBreakBefore w:val="0"/>
      </w:pPr>
      <w:r>
        <w:t>Research question 6: What context-sensitive improvements can be proposed from the findings, and how could their implementation be evaluated?</w:t>
      </w:r>
    </w:p>
    <w:p>
      <w:pPr>
        <w:pageBreakBefore w:val="0"/>
      </w:pPr>
      <w:r>
        <w:t>The written suggestions, quantitative patterns and literature inform possible actions. Recommendations must explain the issue addressed and how a local evaluation could examine the proposed response. Their justification remains distinct from proof that implementing them will produce a particular outcome.</w:t>
      </w:r>
    </w:p>
    <w:p>
      <w:bookmarkStart w:id="18" w:name="m18"/>
      <w:pPr>
        <w:pStyle w:val="Heading2"/>
        <w:pageBreakBefore w:val="0"/>
      </w:pPr>
      <w:r>
        <w:t>1.5 Definition of Key Terms</w:t>
      </w:r>
      <w:bookmarkEnd w:id="18"/>
    </w:p>
    <w:p>
      <w:pPr>
        <w:pageBreakBefore w:val="0"/>
      </w:pPr>
      <w:r>
        <w:t>Customer service refers here to the organisational and interpersonal provision through which churches welcome, communicate with and assist people. The term identifies practical interactions for examination. It does not establish that religious participation constitutes a commercial purchase or that individual preference determines religious purpose.</w:t>
      </w:r>
    </w:p>
    <w:p>
      <w:pPr>
        <w:pageBreakBefore w:val="0"/>
      </w:pPr>
      <w:r>
        <w:t>A congregant respondent is a record in the congregant questionnaire group. This includes regular attenders, former attenders and people identifying leadership or volunteer involvement. A staff or volunteer respondent belongs to the separate organisational questionnaire group. These labels describe recorded positions; overlap between groups and formal membership have not been independently established.</w:t>
      </w:r>
    </w:p>
    <w:p>
      <w:pPr>
        <w:pageBreakBefore w:val="0"/>
      </w:pPr>
      <w:r>
        <w:t>Service importance is the priority assigned to an attribute on the questionnaire’s five-point scale. Reported experience refers to an answer concerning a specified interaction or evaluation, including responsiveness, support access, emotional engagement, digital effectiveness or feedback-channel satisfaction. Neither term represents a validated overall service-quality score in this study.</w:t>
      </w:r>
    </w:p>
    <w:p>
      <w:pPr>
        <w:pageBreakBefore w:val="0"/>
      </w:pPr>
      <w:r>
        <w:t>Business-like practices denotes the approaches considered in the adoption questions and reasons. It is a broad respondent-facing category, rather than a single intervention. Perceived compatibility and spiritual-authenticity risk refer to respondents’ evaluations of suitability and possible harm to religious purpose. They are not independent measurements of theological validity or spiritual outcomes.</w:t>
      </w:r>
    </w:p>
    <w:p>
      <w:pPr>
        <w:pageBreakBefore w:val="0"/>
      </w:pPr>
      <w:r>
        <w:t>Conditional usefulness is the interpretation that practical benefits may be recognised while acceptance remains qualified. It connects ratings with the explicit content of reasons. A recommendation is a proposal derived from the evidence for consideration and evaluation. Using these terms consistently prevents an interpretation, attitude or proposal from acquiring the status of a demonstrated effect.</w:t>
      </w:r>
    </w:p>
    <w:p>
      <w:bookmarkStart w:id="19" w:name="m19"/>
      <w:pPr>
        <w:pStyle w:val="Heading2"/>
        <w:pageBreakBefore w:val="0"/>
      </w:pPr>
      <w:r>
        <w:t>1.6 Significance of the Study</w:t>
      </w:r>
      <w:bookmarkEnd w:id="19"/>
    </w:p>
    <w:p>
      <w:bookmarkStart w:id="20" w:name="m20"/>
      <w:pPr>
        <w:pStyle w:val="Heading3"/>
        <w:pageBreakBefore w:val="0"/>
      </w:pPr>
      <w:r>
        <w:t>1.6.1 Empirical and conceptual significance</w:t>
      </w:r>
      <w:bookmarkEnd w:id="20"/>
    </w:p>
    <w:p>
      <w:pPr>
        <w:pageBreakBefore w:val="0"/>
      </w:pPr>
      <w:r>
        <w:t>The empirical significance lies in examining several kinds of response within a defined corpus. Numerical summaries show the distribution of selected evaluations, while written reasons reveal qualifications that broad categories can conceal. The contribution therefore depends on explaining how these forms of evidence inform one another. Retaining minority positions and contradictory statements is essential because a majority response cannot represent every meaning expressed within the records.</w:t>
      </w:r>
    </w:p>
    <w:p>
      <w:pPr>
        <w:pageBreakBefore w:val="0"/>
      </w:pPr>
      <w:r>
        <w:t>Conceptually, the study examines the distinction between usefulness, acceptability and effectiveness. A practice can be regarded as useful without attracting unrestricted acceptance; acceptance can occur without evidence that the practice works. Conditional usefulness offers a way to interpret the first relationship. Its wider value depends on comparison with existing scholarship and subsequent investigation, rather than an assumption that naming the interpretation establishes a new theory.</w:t>
      </w:r>
    </w:p>
    <w:p>
      <w:pPr>
        <w:pageBreakBefore w:val="0"/>
      </w:pPr>
      <w:r>
        <w:t>A useful conceptual account must accommodate cases that qualify its central interpretation. Some respondents may support a practice without stating a condition, while others may reject commercial approaches despite recognising a practical benefit. The discussion must examine these positions rather than placing every response within one explanatory category. This approach makes conditional usefulness a proposition whose scope can be questioned. Its potential contribution is to clarify the relationship between benefit and acceptance in this corpus, while identifying what further evidence would be required to establish its relevance elsewhere.</w:t>
      </w:r>
    </w:p>
    <w:p>
      <w:bookmarkStart w:id="21" w:name="m21"/>
      <w:pPr>
        <w:pStyle w:val="Heading3"/>
        <w:pageBreakBefore w:val="0"/>
      </w:pPr>
      <w:r>
        <w:t>1.6.2 Practical significance</w:t>
      </w:r>
      <w:bookmarkEnd w:id="21"/>
    </w:p>
    <w:p>
      <w:pPr>
        <w:pageBreakBefore w:val="0"/>
      </w:pPr>
      <w:r>
        <w:t>For management practice, the study provides questions that can guide deliberation about organisational care. Which difficulty is a proposed change intended to address? What reservations do participants express? Who would carry responsibility, and how would its consequences be assessed? These questions translate findings into considerations for action while leaving local decisions accountable to the church’s purpose and circumstances.</w:t>
      </w:r>
    </w:p>
    <w:p>
      <w:pPr>
        <w:pageBreakBefore w:val="0"/>
      </w:pPr>
      <w:r>
        <w:t>Practical significance also requires attention to implementation burden. A recommendation may appear modest yet require time, training or coordination. Staff accounts provide reasons to consider such demands, although they do not establish the resources of a particular church. Recommendations should therefore identify conditions for implementation and review, including the possibility that an action should be adapted or discontinued if it creates avoidable burdens.</w:t>
      </w:r>
    </w:p>
    <w:p>
      <w:bookmarkStart w:id="22" w:name="m22"/>
      <w:pPr>
        <w:pStyle w:val="Heading2"/>
        <w:pageBreakBefore w:val="0"/>
      </w:pPr>
      <w:r>
        <w:t>1.7 Theoretical Framework</w:t>
      </w:r>
      <w:bookmarkEnd w:id="22"/>
    </w:p>
    <w:p>
      <w:bookmarkStart w:id="23" w:name="m23"/>
      <w:pPr>
        <w:pStyle w:val="Heading3"/>
        <w:pageBreakBefore w:val="0"/>
      </w:pPr>
      <w:r>
        <w:t>1.7.1 Service quality and measurement boundaries</w:t>
      </w:r>
      <w:bookmarkEnd w:id="23"/>
    </w:p>
    <w:p>
      <w:pPr>
        <w:pageBreakBefore w:val="0"/>
      </w:pPr>
      <w:r>
        <w:t>SERVQUAL and performance-based service research provide starting points for examining organisational interaction (Parasuraman et al., 1988; Cronin &amp; Taylor, 1992). The framework draws on distinctions among service attributes while preserving the measurement boundaries described earlier. The questionnaire does not implement a complete SERVQUAL or SERVPERF instrument. Its importance ratings and separate experience questions therefore support item-level interpretation, without establishing a validated composite or an expectation–performance gap.</w:t>
      </w:r>
    </w:p>
    <w:p>
      <w:pPr>
        <w:pageBreakBefore w:val="0"/>
      </w:pPr>
      <w:r>
        <w:t>Church-specific scholarship strengthens the contextual relevance of this approach. Santos and Mathews (2001) identify responsiveness, credibility and commitment as important in religious services. Their findings suggest questions about how organisational conduct is evaluated in a religious setting. They do not authorise treating the present questionnaire as a replication, because its wording, constructs and population differ from those of the earlier study.</w:t>
      </w:r>
    </w:p>
    <w:p>
      <w:bookmarkStart w:id="24" w:name="m24"/>
      <w:pPr>
        <w:pStyle w:val="Heading3"/>
        <w:pageBreakBefore w:val="0"/>
      </w:pPr>
      <w:r>
        <w:t>1.7.2 Customer experience and organisational support</w:t>
      </w:r>
      <w:bookmarkEnd w:id="24"/>
    </w:p>
    <w:p>
      <w:pPr>
        <w:pageBreakBefore w:val="0"/>
      </w:pPr>
      <w:r>
        <w:t>Customer-experience scholarship considers interactions across a relationship, providing a perspective for connecting physical, interpersonal and digital encounters (Lemon &amp; Verhoef, 2016). Hilton et al. (2020) discuss support for customers’ goals through customer success management. Here these perspectives help frame questions about what organisational support enables and how it is experienced. The study does not track a complete congregant journey or treat spiritual development as a commercial success measure.</w:t>
      </w:r>
    </w:p>
    <w:p>
      <w:bookmarkStart w:id="25" w:name="m25"/>
      <w:pPr>
        <w:pStyle w:val="Heading3"/>
        <w:pageBreakBefore w:val="0"/>
      </w:pPr>
      <w:r>
        <w:t>1.7.3 Organisational conditions</w:t>
      </w:r>
      <w:bookmarkEnd w:id="25"/>
    </w:p>
    <w:p>
      <w:pPr>
        <w:pageBreakBefore w:val="0"/>
      </w:pPr>
      <w:r>
        <w:t>The framework includes reported practices and constraints because service provision requires organisational arrangements. Vuokko’s (2000) examination of customer-oriented thinking in the Finnish Lutheran Church provides a contextual comparison concerning information and coordination. Staff reports of tools, leadership responses and resource barriers extend the present inquiry beyond individual evaluations. They remain perceptions and reported practices, rather than independently observed measures of organisational capacity.</w:t>
      </w:r>
    </w:p>
    <w:p>
      <w:pPr>
        <w:pageBreakBefore w:val="0"/>
      </w:pPr>
      <w:r>
        <w:t>A reported feedback mechanism illustrates the distinction between organisational arrangements and their effects. The existence of a survey, suggestion box or informal conversation does not establish whether concerns receive a response. Evaluating that process would require information about access, follow-through and participants’ experience of the outcome. The present framework therefore separates reports of collecting feedback from evaluations of feedback channels. This distinction helps identify a practical question for further investigation without treating the two questionnaires as measurements of the same process within a shared church.</w:t>
      </w:r>
    </w:p>
    <w:p>
      <w:bookmarkStart w:id="26" w:name="m26"/>
      <w:pPr>
        <w:pStyle w:val="Heading3"/>
        <w:pageBreakBefore w:val="0"/>
      </w:pPr>
      <w:r>
        <w:t>1.7.4 Religious purpose and acceptance</w:t>
      </w:r>
      <w:bookmarkEnd w:id="26"/>
    </w:p>
    <w:p>
      <w:pPr>
        <w:pageBreakBefore w:val="0"/>
      </w:pPr>
      <w:r>
        <w:t>Religious purpose enters the framework through respondents’ expressed judgments about compatibility, authenticity and commercialisation. It is examined as part of the interpretation of organisational practices, not resolved through a comprehensive theological assessment. The Australian studies of Mulyanegara et al. (2010, 2011) provide contextual comparisons concerning market orientation and participation. Their findings require attention to differing measures and settings when brought into discussion with these records.</w:t>
      </w:r>
    </w:p>
    <w:p>
      <w:pPr>
        <w:pageBreakBefore w:val="0"/>
      </w:pPr>
      <w:r>
        <w:t>Together, these perspectives organise the evidence around service priorities, selected experiences, acceptance and organisational conditions. Conditional usefulness connects the recognition of practical benefit with qualifications expressed about adoption. The framework guides interpretation of those relationships without presenting them as a tested causal sequence. Its adequacy is judged by how clearly it accounts for the evidence and acknowledges explanations the instruments cannot distinguish.</w:t>
      </w:r>
    </w:p>
    <w:p>
      <w:bookmarkStart w:id="27" w:name="m27"/>
      <w:pPr>
        <w:pStyle w:val="Heading2"/>
        <w:pageBreakBefore w:val="0"/>
      </w:pPr>
      <w:r>
        <w:t>1.8 Limitations of the Study</w:t>
      </w:r>
      <w:bookmarkEnd w:id="27"/>
    </w:p>
    <w:p>
      <w:bookmarkStart w:id="28" w:name="m28"/>
      <w:pPr>
        <w:pStyle w:val="Heading3"/>
        <w:pageBreakBefore w:val="0"/>
      </w:pPr>
      <w:r>
        <w:t>1.8.1 Methodological limitations</w:t>
      </w:r>
      <w:bookmarkEnd w:id="28"/>
    </w:p>
    <w:p>
      <w:pPr>
        <w:pageBreakBefore w:val="0"/>
      </w:pPr>
      <w:r>
        <w:t>The analysis uses supplied questionnaire transcriptions confirmed by the researcher as originating from completed questionnaires. That confirmation does not independently authenticate the original wording or transcription process. Three congregant text fields contain 300 nonempty entries, including 22 explicit non-suggestions. The remaining 278 substantive entries come from 100 congregant records and must not be represented as 278 independent respondents.</w:t>
      </w:r>
    </w:p>
    <w:p>
      <w:pPr>
        <w:pageBreakBefore w:val="0"/>
      </w:pPr>
      <w:r>
        <w:t>Brief and repeated wording limits interpretive depth. The descriptive content analysis was prepared with AI assistance for researcher review; independent second coding and thematic saturation are not claimed. The supplied text is treated as transcription material rather than verified verbatim interview speech. An audit trail supports traceability of coding, but cannot recover meanings or contextual details absent from the records.</w:t>
      </w:r>
    </w:p>
    <w:p>
      <w:pPr>
        <w:pageBreakBefore w:val="0"/>
      </w:pPr>
      <w:r>
        <w:t>Conflicting staff selections require item-level exclusions. Concerns use 116 valid records and monitoring uses 117, compared with 140 staff records overall. Forty-four distinct records are affected across these items, with three appearing in both exclusion sets. These decisions improve consistency within the affected tables; they do not determine what the contradictory responses originally meant. Unaffected items retain their appropriate denominators.</w:t>
      </w:r>
    </w:p>
    <w:p>
      <w:bookmarkStart w:id="29" w:name="m29"/>
      <w:pPr>
        <w:pStyle w:val="Heading3"/>
        <w:pageBreakBefore w:val="0"/>
      </w:pPr>
      <w:r>
        <w:t>1.8.2 Sampling and contextual constraints</w:t>
      </w:r>
      <w:bookmarkEnd w:id="29"/>
    </w:p>
    <w:p>
      <w:pPr>
        <w:pageBreakBefore w:val="0"/>
      </w:pPr>
      <w:r>
        <w:t>Recruitment procedures, eligibility, collection dates, geographic coverage and church-level links remain undocumented in the material available for this revision. The earlier additional 210 congregant records have not been reconciled. They cannot be classified as documented exclusions or reconstructed as data. The study therefore uses the available 100 congregant and 140 staff or volunteer records, with no defensible national response rate or representative population estimate.</w:t>
      </w:r>
    </w:p>
    <w:p>
      <w:pPr>
        <w:pageBreakBefore w:val="0"/>
      </w:pPr>
      <w:r>
        <w:t>The absence of linked church identifiers also limits integration between groups. Staff perceptions cannot explain an individual congregant’s report, and the combined record count does not verify unique people. Neither former attendance nor a negative evaluation establishes why someone left a church. No longitudinal observations, interview corpus or intervention evaluation supports claims about changes in retention or spiritual outcomes.</w:t>
      </w:r>
    </w:p>
    <w:p>
      <w:bookmarkStart w:id="30" w:name="m30"/>
      <w:pPr>
        <w:pStyle w:val="Heading3"/>
        <w:pageBreakBefore w:val="0"/>
      </w:pPr>
      <w:r>
        <w:t>1.8.3 Theological and denominational diversity</w:t>
      </w:r>
      <w:bookmarkEnd w:id="30"/>
    </w:p>
    <w:p>
      <w:pPr>
        <w:pageBreakBefore w:val="0"/>
      </w:pPr>
      <w:r>
        <w:t>Denominational categories provide limited descriptors and cannot stand for a complete account of belief, governance or local practice. Respondents within the same category may understand religious purpose differently. A reported concern about authenticity therefore requires interpretation as a personal evaluation. Small categories and uncertain selection further restrict comparisons, particularly any attempt to rank denominations or generalise about their service practices.</w:t>
      </w:r>
    </w:p>
    <w:p>
      <w:bookmarkStart w:id="31" w:name="m31"/>
      <w:pPr>
        <w:pStyle w:val="Heading3"/>
        <w:pageBreakBefore w:val="0"/>
      </w:pPr>
      <w:r>
        <w:t>1.8.4 Researcher positionality and ethics</w:t>
      </w:r>
      <w:bookmarkEnd w:id="31"/>
    </w:p>
    <w:p>
      <w:pPr>
        <w:pageBreakBefore w:val="0"/>
      </w:pPr>
      <w:r>
        <w:t>Selecting concepts and assigning codes involves researcher judgment. Particular attention is needed to the possibility that management terminology privileges efficiency or that concern for religious distinctiveness discourages examination of avoidable organisational difficulties. Reflexivity requires explaining interpretive choices, considering contrary accounts and distinguishing the researcher’s conclusions from respondents’ words. AI assistance increases the importance of checking each interpretation against its source text.</w:t>
      </w:r>
    </w:p>
    <w:p>
      <w:pPr>
        <w:pageBreakBefore w:val="0"/>
      </w:pPr>
      <w:r>
        <w:t>Ethics approval or exemption, consent procedures and original data-handling arrangements remain unverified from the available documentation. Respondent codes alone do not establish that these requirements were satisfied. The methodology must describe substantiated procedures and identify unresolved matters without inventing an approval history. These limits remain relevant when deciding how extracts are presented and what claims can responsibly be made from the material.</w:t>
      </w:r>
    </w:p>
    <w:p>
      <w:bookmarkStart w:id="32" w:name="m32"/>
      <w:pPr>
        <w:pStyle w:val="Heading2"/>
        <w:pageBreakBefore w:val="0"/>
      </w:pPr>
      <w:r>
        <w:t>1.9 Structure of the Dissertation</w:t>
      </w:r>
      <w:bookmarkEnd w:id="32"/>
    </w:p>
    <w:p>
      <w:pPr>
        <w:pageBreakBefore w:val="0"/>
      </w:pPr>
      <w:r>
        <w:t>The dissertation comprises seven substantive chapters. Chapter 1 establishes the problem, aim, objectives and questions, and defines the inquiry’s scope. Chapter 2 critically reviews the selected literature and develops its contextual relevance. Chapter 3 explains the design, measures, sample reconciliation and analytical procedures, distinguishing documented analysis from unverified collection details.</w:t>
      </w:r>
    </w:p>
    <w:p>
      <w:pPr>
        <w:pageBreakBefore w:val="0"/>
      </w:pPr>
      <w:r>
        <w:t>Chapter 4 presents quantitative findings with explicit denominators and treatment of conflicting answers. Chapter 5 examines congregants’ reasons and suggestions, including contrasting positions and the basis of the coding. Chapter 6 interprets the findings alongside supported literature and develops the study’s contribution, particularly conditional usefulness. Chapter 7 answers the research questions and presents conclusions, recommendations and proposals for evaluation and further research. References and appendices provide supporting documentation, including the quantitative preparation audit and qualitative coding record.</w:t>
      </w:r>
    </w:p>
    <w:p>
      <w:bookmarkStart w:id="33" w:name="m33"/>
      <w:pPr>
        <w:pStyle w:val="Heading1"/>
        <w:pageBreakBefore/>
      </w:pPr>
      <w:r>
        <w:t>CHAPTER 2</w:t>
        <w:br/>
        <w:t>LITERATURE REVIEW</w:t>
      </w:r>
      <w:bookmarkEnd w:id="33"/>
    </w:p>
    <w:p>
      <w:bookmarkStart w:id="34" w:name="m34"/>
      <w:pPr>
        <w:pStyle w:val="Heading2"/>
        <w:pageBreakBefore w:val="0"/>
        <w:widowControl/>
      </w:pPr>
      <w:r>
        <w:rPr>
          <w:rFonts w:ascii="Times New Roman" w:hAnsi="Times New Roman"/>
          <w:b/>
          <w:color w:val="000000"/>
          <w:sz w:val="26"/>
        </w:rPr>
        <w:t>2.1 Introduction</w:t>
      </w:r>
      <w:bookmarkEnd w:id="34"/>
    </w:p>
    <w:p>
      <w:pPr>
        <w:widowControl/>
        <w:spacing w:line="360" w:lineRule="auto" w:after="120"/>
      </w:pPr>
      <w:r>
        <w:rPr>
          <w:rFonts w:ascii="Times New Roman" w:hAnsi="Times New Roman"/>
          <w:color w:val="000000"/>
          <w:sz w:val="24"/>
        </w:rPr>
        <w:t>The quality of the interactions between an organisation and the people it serves has become an established area of inquiry within service management, marketing, hospitality, public administration, and nonprofit management. Concepts including service quality, customer experience, relationship management, and customer success have consequently generated extensive theoretical and empirical literature. Far less attention, however, has been directed towards the applicability of these concepts within religious organisations and, more specifically, Christian churches.</w:t>
      </w:r>
    </w:p>
    <w:p>
      <w:pPr>
        <w:widowControl/>
        <w:spacing w:line="360" w:lineRule="auto" w:after="120"/>
      </w:pPr>
      <w:r>
        <w:rPr>
          <w:rFonts w:ascii="Times New Roman" w:hAnsi="Times New Roman"/>
          <w:color w:val="000000"/>
          <w:sz w:val="24"/>
        </w:rPr>
        <w:t>Churches occupy an unusual position within service research. They are not commercial organisations and their primary purposes are spiritual, pastoral, and communal rather than transactional or profit-driven. Nevertheless, churches provide a range of identifiable services and experiences to members and visitors, including worship, pastoral care, communication, education, community activities, counselling, hospitality, and practical support. The manner in which these activities are organised and delivered inevitably shapes the experiences of those who participate in church life.</w:t>
      </w:r>
    </w:p>
    <w:p>
      <w:pPr>
        <w:widowControl/>
        <w:spacing w:line="360" w:lineRule="auto" w:after="120"/>
      </w:pPr>
      <w:r>
        <w:rPr>
          <w:rFonts w:ascii="Times New Roman" w:hAnsi="Times New Roman"/>
          <w:color w:val="000000"/>
          <w:sz w:val="24"/>
        </w:rPr>
        <w:t>The application of the term customer service to this context is therefore potentially useful but also conceptually problematic. Treating congregants literally as commercial customers risks importing assumptions concerning exchange, competition, entitlement, and consumption that may be inconsistent with the theological purpose of a church. Conversely, rejecting service-management concepts solely because they originated in commercial settings may overlook potentially useful insights concerning responsiveness, reliability, communication, empathy, accessibility, and organisational care.</w:t>
      </w:r>
    </w:p>
    <w:p>
      <w:pPr>
        <w:widowControl/>
        <w:spacing w:line="360" w:lineRule="auto" w:after="120"/>
      </w:pPr>
      <w:r>
        <w:rPr>
          <w:rFonts w:ascii="Times New Roman" w:hAnsi="Times New Roman"/>
          <w:color w:val="000000"/>
          <w:sz w:val="24"/>
        </w:rPr>
        <w:t>This tension is central to the present study. The relevant question is not whether churches should become businesses or whether congregants should be regarded simply as consumers. Rather, it is whether established knowledge concerning service quality and customer experience can assist in understanding how members and visitors experience the organisational and interpersonal aspects of church participation, and whether such knowledge can be adapted without compromising the distinctive mission and values of religious organisations.</w:t>
      </w:r>
    </w:p>
    <w:p>
      <w:pPr>
        <w:widowControl/>
        <w:spacing w:line="360" w:lineRule="auto" w:after="120"/>
      </w:pPr>
      <w:r>
        <w:rPr>
          <w:rFonts w:ascii="Times New Roman" w:hAnsi="Times New Roman"/>
          <w:color w:val="000000"/>
          <w:sz w:val="24"/>
        </w:rPr>
        <w:t>Existing research provides some justification for investigating this issue. Santos and Mathews (2001), for example, applied service-quality measurement within a religious context and identified responsiveness, credibility, and commitment as particularly important dimensions for church attendees. Their findings suggest that congregants evaluate aspects of their church experience that resemble recognised dimensions of service quality, even where the purpose and setting differ substantially from commercial services. Vuokko (2000), examining customer-oriented thinking within the Finnish Lutheran Church, similarly identified potential value in an orientation towards understanding and responding to members' needs, while highlighting weaknesses concerning information, coordination, and cooperation with laypeople.</w:t>
      </w:r>
    </w:p>
    <w:p>
      <w:pPr>
        <w:widowControl/>
        <w:spacing w:line="360" w:lineRule="auto" w:after="120"/>
      </w:pPr>
      <w:r>
        <w:rPr>
          <w:rFonts w:ascii="Times New Roman" w:hAnsi="Times New Roman"/>
          <w:color w:val="000000"/>
          <w:sz w:val="24"/>
        </w:rPr>
        <w:t>Research into church participation suggests that organisational responsiveness may be associated with members’ engagement. Mulyanegara et al. (2010), using 344 usable questionnaires from an Australian church denomination, reported a significant relationship between market orientation and church participation. Their findings support attention to members’ needs and coordination within the organisation, while cautioning against treating ministries as competitive tools against other churches. These associations do not establish causation.</w:t>
      </w:r>
    </w:p>
    <w:p>
      <w:pPr>
        <w:widowControl/>
        <w:spacing w:line="360" w:lineRule="auto" w:after="120"/>
      </w:pPr>
      <w:r>
        <w:rPr>
          <w:rFonts w:ascii="Times New Roman" w:hAnsi="Times New Roman"/>
          <w:color w:val="000000"/>
          <w:sz w:val="24"/>
        </w:rPr>
        <w:t>Such findings suggest that concepts originating in service and marketing research may be relevant to church organisations. However, Mulyanegara et al. (2010, 2011) concern Australian denominational settings. These studies can inform concepts and questions, but they do not provide direct evidence of how diverse adult populations in U.S. churches understand and evaluate service quality.</w:t>
      </w:r>
    </w:p>
    <w:p>
      <w:pPr>
        <w:widowControl/>
        <w:spacing w:line="360" w:lineRule="auto" w:after="120"/>
      </w:pPr>
      <w:r>
        <w:rPr>
          <w:rFonts w:ascii="Times New Roman" w:hAnsi="Times New Roman"/>
          <w:color w:val="000000"/>
          <w:sz w:val="24"/>
        </w:rPr>
        <w:t>The wider service-management literature is substantially more developed. The SERVQUAL framework of Parasuraman, Zeithaml, and Berry (1988), for example, conceptualises service quality in terms of the relationship between expectations and perceptions across dimensions including tangibles, reliability, responsiveness, assurance, and empathy. Alternative approaches such as SERVPERF concentrate more directly on perceived performance, while the Kano model distinguishes between different types of service attributes according to their relationship with satisfaction. More recent literature has extended the discussion from individual service encounters towards the broader customer journey, customer experience, engagement, value co-creation, and Customer Success Management.</w:t>
      </w:r>
    </w:p>
    <w:p>
      <w:pPr>
        <w:widowControl/>
        <w:spacing w:line="360" w:lineRule="auto" w:after="120"/>
      </w:pPr>
      <w:r>
        <w:rPr>
          <w:rFonts w:ascii="Times New Roman" w:hAnsi="Times New Roman"/>
          <w:color w:val="000000"/>
          <w:sz w:val="24"/>
        </w:rPr>
        <w:t>These developments create an opportunity for cross-sector analysis. Churches share important characteristics with nonprofit organisations because they are mission-driven and frequently dependent upon volunteers, donations, and stakeholder commitment. They also share some characteristics with hospitality organisations because welcome, interpersonal interaction, physical environment, attentiveness, and emotional experience can significantly influence how an individual perceives an encounter. These similarities do not mean that practices developed for hotels, businesses, or charities can simply be transferred to churches. They do, however, provide theoretical and practical comparisons through which church service experiences can be examined more critically.</w:t>
      </w:r>
    </w:p>
    <w:p>
      <w:pPr>
        <w:widowControl/>
        <w:spacing w:line="360" w:lineRule="auto" w:after="120"/>
      </w:pPr>
      <w:r>
        <w:rPr>
          <w:rFonts w:ascii="Times New Roman" w:hAnsi="Times New Roman"/>
          <w:color w:val="000000"/>
          <w:sz w:val="24"/>
        </w:rPr>
        <w:t>Digital transformation has made this issue increasingly complex. Church participation is no longer restricted to physical attendance. Websites, live-streamed worship, social media, mobile applications, online prayer, digital communication, and virtual communities have created additional points of contact between churches and congregants. Consequently, accessibility, responsiveness, communication quality, and experience increasingly encompass both physical and digital environments.</w:t>
      </w:r>
    </w:p>
    <w:p>
      <w:pPr>
        <w:widowControl/>
        <w:spacing w:line="360" w:lineRule="auto" w:after="120"/>
      </w:pPr>
      <w:r>
        <w:rPr>
          <w:rFonts w:ascii="Times New Roman" w:hAnsi="Times New Roman"/>
          <w:color w:val="000000"/>
          <w:sz w:val="24"/>
        </w:rPr>
        <w:t>Against this background, this literature review examines the intersection between service-quality scholarship and the organisational realities of churches. It considers what is already known, where commercial and nonprofit frameworks may or may not be transferable, what empirical evidence exists specifically within religious organisations, and where significant gaps remain. The objective is not to demonstrate in advance that customer-service models should be adopted by churches. Rather, the review establishes the theoretical and empirical basis from which their relevance, limitations, and potential adaptation can be investigated.</w:t>
      </w:r>
    </w:p>
    <w:p>
      <w:pPr>
        <w:widowControl/>
        <w:spacing w:line="360" w:lineRule="auto" w:after="120"/>
      </w:pPr>
      <w:r>
        <w:rPr>
          <w:rFonts w:ascii="Times New Roman" w:hAnsi="Times New Roman"/>
          <w:color w:val="000000"/>
          <w:sz w:val="24"/>
        </w:rPr>
        <w:t>The chapter ultimately argues that the central scholarly problem is one of transferability and contextualisation. A substantial body of knowledge exists concerning how individuals evaluate service experiences, but considerably less is known about whether these principles operate in the same manner within churches, how congregants themselves interpret them, and how service-oriented practices interact with theological and organisational considerations. Establishing this gap provides the foundation for the empirical investigation undertaken in this dissertation.</w:t>
      </w:r>
    </w:p>
    <w:p>
      <w:bookmarkStart w:id="35" w:name="m35"/>
      <w:pPr>
        <w:pStyle w:val="Heading2"/>
        <w:pageBreakBefore w:val="0"/>
        <w:widowControl/>
      </w:pPr>
      <w:r>
        <w:rPr>
          <w:rFonts w:ascii="Times New Roman" w:hAnsi="Times New Roman"/>
          <w:b/>
          <w:color w:val="000000"/>
          <w:sz w:val="26"/>
        </w:rPr>
        <w:t>2.2 Aim and Objectives of the Literature Review</w:t>
      </w:r>
      <w:bookmarkEnd w:id="35"/>
    </w:p>
    <w:p>
      <w:pPr>
        <w:widowControl/>
        <w:spacing w:line="360" w:lineRule="auto" w:after="120"/>
      </w:pPr>
      <w:r>
        <w:rPr>
          <w:rFonts w:ascii="Times New Roman" w:hAnsi="Times New Roman"/>
          <w:color w:val="000000"/>
          <w:sz w:val="24"/>
        </w:rPr>
        <w:t>The principal aim of this literature review is to establish the theoretical and empirical foundation for investigating customer service and service quality within U.S.-based churches. In doing so, the review critically evaluates whether concepts and frameworks developed primarily in commercial, hospitality, public-service, and nonprofit environments can appropriately inform research within faith-based organisations.</w:t>
      </w:r>
    </w:p>
    <w:p>
      <w:pPr>
        <w:widowControl/>
        <w:spacing w:line="360" w:lineRule="auto" w:after="120"/>
      </w:pPr>
      <w:r>
        <w:rPr>
          <w:rFonts w:ascii="Times New Roman" w:hAnsi="Times New Roman"/>
          <w:color w:val="000000"/>
          <w:sz w:val="24"/>
        </w:rPr>
        <w:t>Four related objectives guide the review.</w:t>
      </w:r>
    </w:p>
    <w:p>
      <w:pPr>
        <w:widowControl/>
        <w:spacing w:line="360" w:lineRule="auto" w:after="120"/>
      </w:pPr>
      <w:r>
        <w:rPr>
          <w:rFonts w:ascii="Times New Roman" w:hAnsi="Times New Roman"/>
          <w:color w:val="000000"/>
          <w:sz w:val="24"/>
        </w:rPr>
        <w:t>First, the review examines how customer service and service quality can be conceptualised within a church setting. This requires consideration not only of conventional service-management definitions but also of the conceptual and theological difficulties associated with describing congregants as customers. The intention is therefore to distinguish between treating church members as commercial consumers and using service-orientation concepts to examine such matters as communication, welcome, pastoral responsiveness, accessibility, reliability, and care.</w:t>
      </w:r>
    </w:p>
    <w:p>
      <w:pPr>
        <w:widowControl/>
        <w:spacing w:line="360" w:lineRule="auto" w:after="120"/>
      </w:pPr>
      <w:r>
        <w:rPr>
          <w:rFonts w:ascii="Times New Roman" w:hAnsi="Times New Roman"/>
          <w:color w:val="000000"/>
          <w:sz w:val="24"/>
        </w:rPr>
        <w:t>Second, the review considers how service priorities and reported experiences can inform the study of church interactions. The expectation–perception approach associated with SERVQUAL (Parasuraman et al., 1988) provides relevant theoretical background. However, the present questionnaire records importance ratings and selected experiences rather than matched expectation and performance ratings. The review therefore distinguishes the broader theory of service-quality gaps from the measures available in this study.</w:t>
      </w:r>
    </w:p>
    <w:p>
      <w:pPr>
        <w:widowControl/>
        <w:spacing w:line="360" w:lineRule="auto" w:after="120"/>
      </w:pPr>
      <w:r>
        <w:rPr>
          <w:rFonts w:ascii="Times New Roman" w:hAnsi="Times New Roman"/>
          <w:color w:val="000000"/>
          <w:sz w:val="24"/>
        </w:rPr>
        <w:t>Third, the review evaluates the applicability of established service-quality and customer-experience frameworks to church organisations. Particular attention is given to SERVQUAL, SERVPERF, and the Kano model, together with the broader development of Customer Relationship Management (CRM), Customer Experience Management (CEM), customer engagement, and Customer Success Management (CSM). The purpose is to identify what these models can contribute to the study of church experiences while recognising the modifications that may be necessary in a mission-driven and theologically defined context.</w:t>
      </w:r>
    </w:p>
    <w:p>
      <w:pPr>
        <w:widowControl/>
        <w:spacing w:line="360" w:lineRule="auto" w:after="120"/>
      </w:pPr>
      <w:r>
        <w:rPr>
          <w:rFonts w:ascii="Times New Roman" w:hAnsi="Times New Roman"/>
          <w:color w:val="000000"/>
          <w:sz w:val="24"/>
        </w:rPr>
        <w:t>Fourth, the review considers cross-sector evidence from nonprofit and hospitality organisations. These sectors provide useful points of comparison because nonprofit organisations share the mission orientation, stakeholder complexity, and frequent reliance on volunteers characteristic of many churches, while hospitality research has developed extensive knowledge concerning welcome, interpersonal interaction, responsiveness, experience, and relationship cultivation. The review critically assesses the extent to which such knowledge may be transferable rather than presuming that practices effective in secular organisations will produce equivalent outcomes in churches.</w:t>
      </w:r>
    </w:p>
    <w:p>
      <w:pPr>
        <w:widowControl/>
        <w:spacing w:line="360" w:lineRule="auto" w:after="120"/>
      </w:pPr>
      <w:r>
        <w:rPr>
          <w:rFonts w:ascii="Times New Roman" w:hAnsi="Times New Roman"/>
          <w:color w:val="000000"/>
          <w:sz w:val="24"/>
        </w:rPr>
        <w:t>Taken together, these objectives allow the literature to be examined around a central question: to what extent can established service-management theory help explain and evaluate the experiences of church congregants, and where does the distinctive nature of the church require those theories to be modified, extended, or rejected?</w:t>
      </w:r>
    </w:p>
    <w:p>
      <w:pPr>
        <w:widowControl/>
        <w:spacing w:line="360" w:lineRule="auto" w:after="120"/>
      </w:pPr>
      <w:r>
        <w:rPr>
          <w:rFonts w:ascii="Times New Roman" w:hAnsi="Times New Roman"/>
          <w:color w:val="000000"/>
          <w:sz w:val="24"/>
        </w:rPr>
        <w:t>This question also provides the organising principle for identifying the research gap. Existing literature demonstrates that service quality is extensively studied outside religious contexts and that a smaller body of research has established its potential relevance to churches. What remains substantially less developed is empirical evidence concerning how these principles are experienced by congregants in U.S. churches, which dimensions are considered important, which selected experiences respondents report, and how service-management practices can be reconciled with the theological identity of the organisation.</w:t>
      </w:r>
    </w:p>
    <w:p>
      <w:bookmarkStart w:id="36" w:name="m36"/>
      <w:pPr>
        <w:pStyle w:val="Heading2"/>
        <w:pageBreakBefore w:val="0"/>
        <w:widowControl/>
      </w:pPr>
      <w:r>
        <w:rPr>
          <w:rFonts w:ascii="Times New Roman" w:hAnsi="Times New Roman"/>
          <w:b/>
          <w:color w:val="000000"/>
          <w:sz w:val="26"/>
        </w:rPr>
        <w:t>2.3 Scope and Structure of the Literature Review</w:t>
      </w:r>
      <w:bookmarkEnd w:id="36"/>
    </w:p>
    <w:p>
      <w:pPr>
        <w:widowControl/>
        <w:spacing w:line="360" w:lineRule="auto" w:after="120"/>
      </w:pPr>
      <w:r>
        <w:rPr>
          <w:rFonts w:ascii="Times New Roman" w:hAnsi="Times New Roman"/>
          <w:color w:val="000000"/>
          <w:sz w:val="24"/>
        </w:rPr>
        <w:t>This review draws upon several interconnected bodies of literature rather than treating church customer service as an isolated field. This approach is necessary because the direct empirical literature on service quality within churches remains comparatively limited. The analysis therefore proceeds from established service-management theory towards progressively more context-specific evidence.</w:t>
      </w:r>
    </w:p>
    <w:p>
      <w:pPr>
        <w:widowControl/>
        <w:spacing w:line="360" w:lineRule="auto" w:after="120"/>
      </w:pPr>
      <w:r>
        <w:rPr>
          <w:rFonts w:ascii="Times New Roman" w:hAnsi="Times New Roman"/>
          <w:color w:val="000000"/>
          <w:sz w:val="24"/>
        </w:rPr>
        <w:t>The first substantive area concerns customer service and service quality. It considers whether responsiveness, reliability, assurance, empathy and satisfaction remain meaningful when the organisation is a church. Church-specific studies by Santos and Mathews (2001), Vuokko (2000), and Mulyanegara et al. (2010, 2011) provide contextual evidence, subject to their different populations and measures.</w:t>
      </w:r>
    </w:p>
    <w:p>
      <w:pPr>
        <w:widowControl/>
        <w:spacing w:line="360" w:lineRule="auto" w:after="120"/>
      </w:pPr>
      <w:r>
        <w:rPr>
          <w:rFonts w:ascii="Times New Roman" w:hAnsi="Times New Roman"/>
          <w:color w:val="000000"/>
          <w:sz w:val="24"/>
        </w:rPr>
        <w:t>The second area examines the principal theoretical models of service quality, particularly SERVQUAL, SERVPERF, and the Kano model. These frameworks offer different ways of conceptualising and measuring service experience. SERVQUAL emphasises discrepancies between expectations and perceptions; SERVPERF concentrates upon perceived service performance; and the Kano model distinguishes between basic, performance-related, and potentially attractive service attributes. Their respective strengths and weaknesses are considered in relation to the particular characteristics of churches.</w:t>
      </w:r>
    </w:p>
    <w:p>
      <w:pPr>
        <w:widowControl/>
        <w:spacing w:line="360" w:lineRule="auto" w:after="120"/>
      </w:pPr>
      <w:r>
        <w:rPr>
          <w:rFonts w:ascii="Times New Roman" w:hAnsi="Times New Roman"/>
          <w:color w:val="000000"/>
          <w:sz w:val="24"/>
        </w:rPr>
        <w:t>The third area broadens the discussion to customer experience, relationship management, engagement, and Customer Success Management. Service research has progressively moved beyond isolated transactions towards understanding the complete customer journey and the long-term relationship between an organisation and those it serves. Concepts including touchpoints, engagement, co-creation, and desired outcomes may have relevance to churches, particularly when participation is understood as a continuing relationship rather than a single service encounter. However, the applicability of these concepts must be critically evaluated because spiritual growth, belonging, and pastoral care cannot simply be equated with commercial customer outcomes.</w:t>
      </w:r>
    </w:p>
    <w:p>
      <w:pPr>
        <w:widowControl/>
        <w:spacing w:line="360" w:lineRule="auto" w:after="120"/>
      </w:pPr>
      <w:r>
        <w:rPr>
          <w:rFonts w:ascii="Times New Roman" w:hAnsi="Times New Roman"/>
          <w:color w:val="000000"/>
          <w:sz w:val="24"/>
        </w:rPr>
        <w:t>The fourth area examines hospitality and nonprofit-sector research. The comparison with hospitality provides insight into the management of welcome, interpersonal interaction, physical environment, expectations, and emotional experience. Nonprofit research is relevant because it deals more directly with organisations whose success is defined by mission rather than profit and whose relationships may involve beneficiaries, members, volunteers, donors, and other stakeholders. Evidence from these sectors is examined as comparative material rather than as direct proof of what will occur in churches.</w:t>
      </w:r>
    </w:p>
    <w:p>
      <w:pPr>
        <w:widowControl/>
        <w:spacing w:line="360" w:lineRule="auto" w:after="120"/>
      </w:pPr>
      <w:r>
        <w:rPr>
          <w:rFonts w:ascii="Times New Roman" w:hAnsi="Times New Roman"/>
          <w:color w:val="000000"/>
          <w:sz w:val="24"/>
        </w:rPr>
        <w:t>The fifth area focuses specifically upon the organisational context of churches, including member experience, volunteer-based service delivery, feedback mechanisms, pastoral care, and the tensions that can arise when business-derived language or practices enter religious settings. This part of the review also considers the diversity of churches and the limitations of treating congregations as organisationally homogeneous.</w:t>
      </w:r>
    </w:p>
    <w:p>
      <w:pPr>
        <w:widowControl/>
        <w:spacing w:line="360" w:lineRule="auto" w:after="120"/>
      </w:pPr>
      <w:r>
        <w:rPr>
          <w:rFonts w:ascii="Times New Roman" w:hAnsi="Times New Roman"/>
          <w:color w:val="000000"/>
          <w:sz w:val="24"/>
        </w:rPr>
        <w:t>A sixth area concerns digital transformation. The expansion of online worship, digital communication, social media, church-management systems, and hybrid forms of participation has extended the range of experiences through which congregants interact with churches. These developments require service quality to be considered across both physical and digital touchpoints and raise additional issues concerning accessibility, engagement, community, privacy, and technological reliability.</w:t>
      </w:r>
    </w:p>
    <w:p>
      <w:pPr>
        <w:widowControl/>
        <w:spacing w:line="360" w:lineRule="auto" w:after="120"/>
      </w:pPr>
      <w:r>
        <w:rPr>
          <w:rFonts w:ascii="Times New Roman" w:hAnsi="Times New Roman"/>
          <w:color w:val="000000"/>
          <w:sz w:val="24"/>
        </w:rPr>
        <w:t>The chapter then brings these bodies of literature together through a critical synthesis. Rather than assuming that models developed elsewhere are transferable to churches, the synthesis identifies areas of convergence, areas of tension, limitations in the available evidence, and questions that remain unresolved. Particular attention is paid to the limited amount of empirical research directly testing service-management concepts within church environments; the scarcity of cross-sector studies; the lack of well-established church-specific experience measures; and the limited integration between service-management scholarship and theological considerations.</w:t>
      </w:r>
    </w:p>
    <w:p>
      <w:pPr>
        <w:widowControl/>
        <w:spacing w:line="360" w:lineRule="auto" w:after="120"/>
      </w:pPr>
      <w:r>
        <w:rPr>
          <w:rFonts w:ascii="Times New Roman" w:hAnsi="Times New Roman"/>
          <w:color w:val="000000"/>
          <w:sz w:val="24"/>
        </w:rPr>
        <w:t>The final sections use this synthesis to position the present study within the existing literature and to establish the conceptual basis for the methodology that follows. In this way, the literature review moves from general service theory through sector-specific evidence to the precise empirical problem investigated by the dissertation.</w:t>
      </w:r>
    </w:p>
    <w:p>
      <w:bookmarkStart w:id="37" w:name="m37"/>
      <w:pPr>
        <w:pStyle w:val="Heading2"/>
        <w:pageBreakBefore w:val="0"/>
        <w:widowControl/>
      </w:pPr>
      <w:r>
        <w:rPr>
          <w:rFonts w:ascii="Times New Roman" w:hAnsi="Times New Roman"/>
          <w:b/>
          <w:color w:val="000000"/>
          <w:sz w:val="26"/>
        </w:rPr>
        <w:t>2.4 Conceptualising Customer Service and Service Quality in Churches</w:t>
      </w:r>
      <w:bookmarkEnd w:id="37"/>
    </w:p>
    <w:p>
      <w:bookmarkStart w:id="38" w:name="m38"/>
      <w:pPr>
        <w:pStyle w:val="Heading3"/>
        <w:pageBreakBefore w:val="0"/>
        <w:widowControl/>
      </w:pPr>
      <w:r>
        <w:rPr>
          <w:rFonts w:ascii="Times New Roman" w:hAnsi="Times New Roman"/>
          <w:b/>
          <w:color w:val="000000"/>
          <w:sz w:val="24"/>
        </w:rPr>
        <w:t>2.4.1 Customer Service as an Organisational Concept</w:t>
      </w:r>
      <w:bookmarkEnd w:id="38"/>
    </w:p>
    <w:p>
      <w:pPr>
        <w:widowControl/>
        <w:spacing w:line="360" w:lineRule="auto" w:after="120"/>
      </w:pPr>
      <w:r>
        <w:rPr>
          <w:rFonts w:ascii="Times New Roman" w:hAnsi="Times New Roman"/>
          <w:color w:val="000000"/>
          <w:sz w:val="24"/>
        </w:rPr>
        <w:t>Customer service is conventionally concerned with the ways in which organisations respond to the needs and expectations of those they serve. Within commercial settings, the concept commonly encompasses the interactions occurring before, during, and after the delivery of a product or service and is closely associated with satisfaction, relationship quality, loyalty, and organisational performance. The application of this terminology to churches, however, requires greater conceptual caution.</w:t>
      </w:r>
    </w:p>
    <w:p>
      <w:pPr>
        <w:widowControl/>
        <w:spacing w:line="360" w:lineRule="auto" w:after="120"/>
      </w:pPr>
      <w:r>
        <w:rPr>
          <w:rFonts w:ascii="Times New Roman" w:hAnsi="Times New Roman"/>
          <w:color w:val="000000"/>
          <w:sz w:val="24"/>
        </w:rPr>
        <w:t>A church is not principally a commercial service provider, and a congregant does not enter into the same type of exchange relationship as a customer purchasing a commercial service. Participation in a church may involve worship, spiritual formation, pastoral relationships, community membership, volunteering, charitable activity, and religious commitment. These activities cannot adequately be understood solely through conventional notions of customer satisfaction or consumption. Nevertheless, churches are organisations in which people encounter systems, processes, facilities, communications, leaders, employees, and volunteers. These dimensions of church participation create experiences that can be examined using concepts developed within the service-quality literature.</w:t>
      </w:r>
    </w:p>
    <w:p>
      <w:pPr>
        <w:widowControl/>
        <w:spacing w:line="360" w:lineRule="auto" w:after="120"/>
      </w:pPr>
      <w:r>
        <w:rPr>
          <w:rFonts w:ascii="Times New Roman" w:hAnsi="Times New Roman"/>
          <w:color w:val="000000"/>
          <w:sz w:val="24"/>
        </w:rPr>
        <w:t>For the purposes of this study, therefore, customer service is not used to suggest that congregants are equivalent to commercial consumers. Rather, the term refers to the organisational and interpersonal ways in which a church welcomes, communicates with, assists, responds to, and cares for its members and visitors. Such an operational definition enables service-management concepts to be investigated without assuming that the commercial meaning of the customer-provider relationship transfers unchanged into a religious setting.</w:t>
      </w:r>
    </w:p>
    <w:p>
      <w:pPr>
        <w:widowControl/>
        <w:spacing w:line="360" w:lineRule="auto" w:after="120"/>
      </w:pPr>
      <w:r>
        <w:rPr>
          <w:rFonts w:ascii="Times New Roman" w:hAnsi="Times New Roman"/>
          <w:color w:val="000000"/>
          <w:sz w:val="24"/>
        </w:rPr>
        <w:t>This dissertation distinguishes attentiveness to people's organisational and interpersonal needs from the commercialisation of religious purpose. This is the study's conceptual position: evaluating communication, welcome or accessibility does not itself determine doctrine, worship or the mission of a church.</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Vuokko's (2000) examination of the Finnish Lutheran Church provides further support for this distinction. The study identified generally positive attitudes towards customer orientation but also found weaknesses in information, organisational coordination, and cooperation with laypeople. The importance of this work lies not in demonstrating that churches should become market-driven organisations, but in showing that a service orientation can involve organisational responsiveness without necessarily requiring the adoption of commercial assumptions concerning competition or exchange.</w:t>
      </w:r>
    </w:p>
    <w:p>
      <w:pPr>
        <w:widowControl/>
        <w:spacing w:line="360" w:lineRule="auto" w:after="120"/>
      </w:pPr>
      <w:r>
        <w:rPr>
          <w:rFonts w:ascii="Times New Roman" w:hAnsi="Times New Roman"/>
          <w:color w:val="000000"/>
          <w:sz w:val="24"/>
        </w:rPr>
        <w:t>This distinction is particularly significant to the present research because resistance to the language of customer service may itself influence how church organisations approach service quality. Church leaders or congregants may reject the terminology while simultaneously placing considerable importance on characteristics such as hospitality, responsiveness, pastoral care, trustworthiness, communication, and empathy. The conceptual issue is therefore not simply whether congregants regard themselves as customers. It is whether service-related dimensions influence their experience of a church, regardless of the terminology used to describe those dimensions.</w:t>
      </w:r>
    </w:p>
    <w:p>
      <w:bookmarkStart w:id="39" w:name="m39"/>
      <w:pPr>
        <w:pStyle w:val="Heading3"/>
        <w:pageBreakBefore w:val="0"/>
        <w:widowControl/>
      </w:pPr>
      <w:r>
        <w:rPr>
          <w:rFonts w:ascii="Times New Roman" w:hAnsi="Times New Roman"/>
          <w:b/>
          <w:color w:val="000000"/>
          <w:sz w:val="24"/>
        </w:rPr>
        <w:t>2.4.2 From Customer Service to Service Quality</w:t>
      </w:r>
      <w:bookmarkEnd w:id="39"/>
    </w:p>
    <w:p>
      <w:pPr>
        <w:widowControl/>
        <w:spacing w:line="360" w:lineRule="auto" w:after="120"/>
      </w:pPr>
      <w:r>
        <w:rPr>
          <w:rFonts w:ascii="Times New Roman" w:hAnsi="Times New Roman"/>
          <w:color w:val="000000"/>
          <w:sz w:val="24"/>
        </w:rPr>
        <w:t>The concept of service quality provides a more specific theoretical basis for examining these experiences. Service-quality scholarship developed substantially during the growth of the service economy and sought to explain how individuals assess services whose quality is not always easily determined through objective measures. Unlike tangible goods, services frequently involve interpersonal encounters, variable performance, intangible outcomes, and simultaneous production and consumption. Consequently, perceptions of quality can depend not only upon what is delivered but also upon how it is delivered.</w:t>
      </w:r>
    </w:p>
    <w:p>
      <w:pPr>
        <w:widowControl/>
        <w:spacing w:line="360" w:lineRule="auto" w:after="120"/>
      </w:pPr>
      <w:r>
        <w:rPr>
          <w:rFonts w:ascii="Times New Roman" w:hAnsi="Times New Roman"/>
          <w:color w:val="000000"/>
          <w:sz w:val="24"/>
        </w:rPr>
        <w:t>Parasuraman, Zeithaml, and Berry's work during the 1980s became particularly influential in conceptualising service quality as a relationship between expectations and perceptions. Their later SERVQUAL instrument organised service quality into five dimensions: tangibles, reliability, responsiveness, assurance, and empathy (Parasuraman et al., 1988).</w:t>
      </w:r>
    </w:p>
    <w:p>
      <w:pPr>
        <w:widowControl/>
        <w:spacing w:line="360" w:lineRule="auto" w:after="120"/>
      </w:pPr>
      <w:r>
        <w:rPr>
          <w:rFonts w:ascii="Times New Roman" w:hAnsi="Times New Roman"/>
          <w:color w:val="000000"/>
          <w:sz w:val="24"/>
        </w:rPr>
        <w:t>Tangibles concern the visible and physical aspects of service delivery, including facilities, equipment, materials, and the appearance of those providing the service.</w:t>
      </w:r>
    </w:p>
    <w:p>
      <w:pPr>
        <w:widowControl/>
        <w:spacing w:line="360" w:lineRule="auto" w:after="120"/>
      </w:pPr>
      <w:r>
        <w:rPr>
          <w:rFonts w:ascii="Times New Roman" w:hAnsi="Times New Roman"/>
          <w:color w:val="000000"/>
          <w:sz w:val="24"/>
        </w:rPr>
        <w:t>Reliability concerns the ability of an organisation to provide what has been promised accurately and consistently.</w:t>
      </w:r>
    </w:p>
    <w:p>
      <w:pPr>
        <w:widowControl/>
        <w:spacing w:line="360" w:lineRule="auto" w:after="120"/>
      </w:pPr>
      <w:r>
        <w:rPr>
          <w:rFonts w:ascii="Times New Roman" w:hAnsi="Times New Roman"/>
          <w:color w:val="000000"/>
          <w:sz w:val="24"/>
        </w:rPr>
        <w:t>Responsiveness concerns willingness and ability to assist people promptly and appropriately.</w:t>
      </w:r>
    </w:p>
    <w:p>
      <w:pPr>
        <w:widowControl/>
        <w:spacing w:line="360" w:lineRule="auto" w:after="120"/>
      </w:pPr>
      <w:r>
        <w:rPr>
          <w:rFonts w:ascii="Times New Roman" w:hAnsi="Times New Roman"/>
          <w:color w:val="000000"/>
          <w:sz w:val="24"/>
        </w:rPr>
        <w:t>Assurance relates to knowledge, courtesy, competence, credibility, and the capacity to create trust and confidence.</w:t>
      </w:r>
    </w:p>
    <w:p>
      <w:pPr>
        <w:widowControl/>
        <w:spacing w:line="360" w:lineRule="auto" w:after="120"/>
      </w:pPr>
      <w:r>
        <w:rPr>
          <w:rFonts w:ascii="Times New Roman" w:hAnsi="Times New Roman"/>
          <w:color w:val="000000"/>
          <w:sz w:val="24"/>
        </w:rPr>
        <w:t>Empathy concerns individualised attention, care, and understanding of the needs of those being served.</w:t>
      </w:r>
    </w:p>
    <w:p>
      <w:pPr>
        <w:widowControl/>
        <w:spacing w:line="360" w:lineRule="auto" w:after="120"/>
      </w:pPr>
      <w:r>
        <w:rPr>
          <w:rFonts w:ascii="Times New Roman" w:hAnsi="Times New Roman"/>
          <w:color w:val="000000"/>
          <w:sz w:val="24"/>
        </w:rPr>
        <w:t>These categories were developed primarily within commercial services, but their underlying concepts have potential relevance to churches. Tangibles may include the physical environment through which congregants encounter the organisation. Reliability may encompass the consistency of communications, activities, and organisational commitments. Responsiveness may involve follow-up, accessibility, and responses to requests for assistance. Assurance may relate particularly to trust and perceptions of leadership integrity, while empathy has evident parallels with pastoral care and individual attention.</w:t>
      </w:r>
    </w:p>
    <w:p>
      <w:pPr>
        <w:widowControl/>
        <w:spacing w:line="360" w:lineRule="auto" w:after="120"/>
      </w:pPr>
      <w:r>
        <w:rPr>
          <w:rFonts w:ascii="Times New Roman" w:hAnsi="Times New Roman"/>
          <w:color w:val="000000"/>
          <w:sz w:val="24"/>
        </w:rPr>
        <w:t>However, the translation is not straightforward. Religious participation includes theological, communal, symbolic, and spiritual dimensions that extend beyond conventional service performance. An individual's assessment of a worship experience, for example, may include beliefs concerning authenticity, spiritual significance, doctrine, community, and belonging, none of which is fully represented by the five conventional SERVQUAL dimensions. Consequently, established service frameworks should be regarded as potential foundations for investigation rather than complete models of church experience.</w:t>
      </w:r>
    </w:p>
    <w:p>
      <w:pPr>
        <w:widowControl/>
        <w:spacing w:line="360" w:lineRule="auto" w:after="120"/>
      </w:pPr>
      <w:r>
        <w:rPr>
          <w:rFonts w:ascii="Times New Roman" w:hAnsi="Times New Roman"/>
          <w:color w:val="000000"/>
          <w:sz w:val="24"/>
        </w:rPr>
        <w:t>Church-specific evidence supports this need for adaptation. Santos and Mathews (2001) developed a measurement approach tailored to religious services and found responsiveness, credibility, and commitment to be particularly important to church attendees. The significance of credibility and commitment is especially noteworthy. Credibility appeared within earlier formulations of service quality but is not retained as a separate dimension in the standard five-dimensional SERVQUAL structure, while commitment is even more clearly associated with the relational and values-based character of religious organisations.</w:t>
      </w:r>
    </w:p>
    <w:p>
      <w:pPr>
        <w:widowControl/>
        <w:spacing w:line="360" w:lineRule="auto" w:after="120"/>
      </w:pPr>
      <w:r>
        <w:rPr>
          <w:rFonts w:ascii="Times New Roman" w:hAnsi="Times New Roman"/>
          <w:color w:val="000000"/>
          <w:sz w:val="24"/>
        </w:rPr>
        <w:t>These findings suggest that congregants may evaluate not merely whether church personnel are courteous or responsive but whether leaders are perceived to be trustworthy and genuinely committed to the people and mission they serve. In a faith-based environment, such dimensions may carry particular significance because organisational and interpersonal credibility may be intertwined with perceptions of moral and spiritual leadership.</w:t>
      </w:r>
    </w:p>
    <w:p>
      <w:pPr>
        <w:widowControl/>
        <w:spacing w:line="360" w:lineRule="auto" w:after="120"/>
      </w:pPr>
      <w:r>
        <w:rPr>
          <w:rFonts w:ascii="Times New Roman" w:hAnsi="Times New Roman"/>
          <w:color w:val="000000"/>
          <w:sz w:val="24"/>
        </w:rPr>
        <w:t>Church experience may involve several distinct evaluations, including practical access, interpersonal treatment and spiritual meaning. The present study therefore interprets its separate questionnaire items on their own terms rather than treating them as an established overall satisfaction scale.</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Mulyanegara et al. (2010) examined market orientation and church participation using 344 usable questionnaires from an Australian church denomination and reported a significant relationship between them. They cautioned against interpreting ministries primarily as competitive tools. In a separate article, Mulyanegara et al. (2011) reported a positive association between market orientation and perceived benefits, with indirect effects on church participation. Both articles concern Australian church settings; neither establishes that these relationships apply to U.S. churches.</w:t>
      </w:r>
    </w:p>
    <w:p>
      <w:pPr>
        <w:widowControl/>
        <w:spacing w:line="360" w:lineRule="auto" w:after="120"/>
      </w:pPr>
      <w:r>
        <w:rPr>
          <w:rFonts w:ascii="Times New Roman" w:hAnsi="Times New Roman"/>
          <w:color w:val="000000"/>
          <w:sz w:val="24"/>
        </w:rPr>
        <w:t>Population and context limit transferability. The studies by Mulyanegara et al. (2010, 2011) concern Australian denominational settings. Their findings cannot be assumed to describe adult congregants across diverse churches in the United States.</w:t>
      </w:r>
    </w:p>
    <w:p>
      <w:pPr>
        <w:widowControl/>
        <w:spacing w:line="360" w:lineRule="auto" w:after="120"/>
      </w:pPr>
      <w:r>
        <w:rPr>
          <w:rFonts w:ascii="Times New Roman" w:hAnsi="Times New Roman"/>
          <w:color w:val="000000"/>
          <w:sz w:val="24"/>
        </w:rPr>
        <w:t>The literature therefore supports two simultaneous conclusions. First, service quality provides a legitimate conceptual lens through which aspects of church experience can be investigated. Second, commercial service models cannot simply be transferred without contextual adaptation and empirical testing. This tension provides an important foundation for the present study.</w:t>
      </w:r>
    </w:p>
    <w:p>
      <w:bookmarkStart w:id="40" w:name="m40"/>
      <w:pPr>
        <w:pStyle w:val="Heading3"/>
        <w:pageBreakBefore w:val="0"/>
        <w:widowControl/>
      </w:pPr>
      <w:r>
        <w:rPr>
          <w:rFonts w:ascii="Times New Roman" w:hAnsi="Times New Roman"/>
          <w:b/>
          <w:color w:val="000000"/>
          <w:sz w:val="24"/>
        </w:rPr>
        <w:t>2.4.3 Expectations, Experience, and Satisfaction</w:t>
      </w:r>
      <w:bookmarkEnd w:id="40"/>
    </w:p>
    <w:p>
      <w:pPr>
        <w:widowControl/>
        <w:spacing w:line="360" w:lineRule="auto" w:after="120"/>
      </w:pPr>
      <w:r>
        <w:rPr>
          <w:rFonts w:ascii="Times New Roman" w:hAnsi="Times New Roman"/>
          <w:color w:val="000000"/>
          <w:sz w:val="24"/>
        </w:rPr>
        <w:t>An important theme in service-quality research is the relationship between what individuals expect and what they subsequently experience. This provides theoretical background because church participation can create expectations concerning a range of organisational and interpersonal experiences.</w:t>
      </w:r>
    </w:p>
    <w:p>
      <w:pPr>
        <w:widowControl/>
        <w:spacing w:line="360" w:lineRule="auto" w:after="120"/>
      </w:pPr>
      <w:r>
        <w:rPr>
          <w:rFonts w:ascii="Times New Roman" w:hAnsi="Times New Roman"/>
          <w:color w:val="000000"/>
          <w:sz w:val="24"/>
        </w:rPr>
        <w:t>Expectations may concern relatively functional matters, such as obtaining information, receiving a response to an enquiry, accessibility of church activities, or the clarity of communication. They may also concern relational issues, including whether newcomers feel welcome, whether existing members receive appropriate pastoral attention, whether leaders are perceived as trustworthy, and whether members experience a meaningful sense of community.</w:t>
      </w:r>
    </w:p>
    <w:p>
      <w:pPr>
        <w:widowControl/>
        <w:spacing w:line="360" w:lineRule="auto" w:after="120"/>
      </w:pPr>
      <w:r>
        <w:rPr>
          <w:rFonts w:ascii="Times New Roman" w:hAnsi="Times New Roman"/>
          <w:color w:val="000000"/>
          <w:sz w:val="24"/>
        </w:rPr>
        <w:t>The SERVQUAL tradition proposes that perceptions of quality are influenced by the relationship between expectations and experienced performance. Where performance falls below expectations, the individual experiences a negative service-quality gap; where experience meets or exceeds expectations, evaluations are more positive.</w:t>
      </w:r>
    </w:p>
    <w:p>
      <w:pPr>
        <w:widowControl/>
        <w:spacing w:line="360" w:lineRule="auto" w:after="120"/>
      </w:pPr>
      <w:r>
        <w:rPr>
          <w:rFonts w:ascii="Times New Roman" w:hAnsi="Times New Roman"/>
          <w:color w:val="000000"/>
          <w:sz w:val="24"/>
        </w:rPr>
        <w:t>This approach has potential relevance to churches precisely because expectations may exist even where participants do not describe themselves as customers. A person contacting a church during a personal difficulty may expect a response. A newcomer may expect basic information and a welcoming environment. An established member may expect organisational commitments to be honoured and communications to be reliable. These are service expectations in a broad sense even if they arise within a fundamentally non-commercial relationship.</w:t>
      </w:r>
    </w:p>
    <w:p>
      <w:pPr>
        <w:widowControl/>
        <w:spacing w:line="360" w:lineRule="auto" w:after="120"/>
      </w:pPr>
      <w:r>
        <w:rPr>
          <w:rFonts w:ascii="Times New Roman" w:hAnsi="Times New Roman"/>
          <w:color w:val="000000"/>
          <w:sz w:val="24"/>
        </w:rPr>
        <w:t>Santos and Mathews (2001) found that more frequent church attendees assigned greater importance to service-quality dimensions. This is particularly relevant because it suggests that greater participation does not necessarily reduce expectations. On the contrary, individuals with stronger relationships to an organisation may become increasingly attentive to how reliably and responsively it operates.</w:t>
      </w:r>
    </w:p>
    <w:p>
      <w:pPr>
        <w:widowControl/>
        <w:spacing w:line="360" w:lineRule="auto" w:after="120"/>
      </w:pPr>
      <w:r>
        <w:rPr>
          <w:rFonts w:ascii="Times New Roman" w:hAnsi="Times New Roman"/>
          <w:color w:val="000000"/>
          <w:sz w:val="24"/>
        </w:rPr>
        <w:t>At the same time, the causal relationship between service quality, satisfaction, participation, loyalty, and church retention should not be assumed. Commercial literature frequently associates higher service quality with satisfaction and continued patronage, but church participation is influenced by additional variables, including doctrine, faith commitments, family and community relationships, denominational identity, geography, leadership, and personal spiritual considerations. Relationships identified in commercial environments therefore cannot automatically be interpreted as causal mechanisms in churches.</w:t>
      </w:r>
    </w:p>
    <w:p>
      <w:pPr>
        <w:widowControl/>
        <w:spacing w:line="360" w:lineRule="auto" w:after="120"/>
      </w:pPr>
      <w:r>
        <w:rPr>
          <w:rFonts w:ascii="Times New Roman" w:hAnsi="Times New Roman"/>
          <w:color w:val="000000"/>
          <w:sz w:val="24"/>
        </w:rPr>
        <w:t>The distinction between association and causation is especially important for this dissertation. The literature motivates attention to service priorities and experiences, but the questionnaire does not establish effects on attendance, retention or spiritual outcomes. The empirical analysis describes the specific responses collected; it does not test an expectation–performance gap or a causal model of church participation.</w:t>
      </w:r>
    </w:p>
    <w:p>
      <w:pPr>
        <w:widowControl/>
        <w:spacing w:line="360" w:lineRule="auto" w:after="120"/>
      </w:pPr>
      <w:r>
        <w:rPr>
          <w:rFonts w:ascii="Times New Roman" w:hAnsi="Times New Roman"/>
          <w:color w:val="000000"/>
          <w:sz w:val="24"/>
        </w:rPr>
        <w:t>The present study therefore examines the importance attached to selected service attributes and separately reported experiences. These measures provide a limited account of organisational service as perceived by respondents, without imposing a commercial definition of religious success.</w:t>
      </w:r>
    </w:p>
    <w:p>
      <w:bookmarkStart w:id="41" w:name="m41"/>
      <w:pPr>
        <w:pStyle w:val="Heading2"/>
        <w:pageBreakBefore w:val="0"/>
        <w:widowControl/>
      </w:pPr>
      <w:r>
        <w:rPr>
          <w:rFonts w:ascii="Times New Roman" w:hAnsi="Times New Roman"/>
          <w:b/>
          <w:color w:val="000000"/>
          <w:sz w:val="26"/>
        </w:rPr>
        <w:t>2.5 Theoretical Models of Service Quality</w:t>
      </w:r>
      <w:bookmarkEnd w:id="41"/>
    </w:p>
    <w:p>
      <w:bookmarkStart w:id="42" w:name="m42"/>
      <w:pPr>
        <w:pStyle w:val="Heading3"/>
        <w:pageBreakBefore w:val="0"/>
        <w:widowControl/>
      </w:pPr>
      <w:r>
        <w:rPr>
          <w:rFonts w:ascii="Times New Roman" w:hAnsi="Times New Roman"/>
          <w:b/>
          <w:color w:val="000000"/>
          <w:sz w:val="24"/>
        </w:rPr>
        <w:t>2.5.1 SERVQUAL and the Service-Quality Gap Model</w:t>
      </w:r>
      <w:bookmarkEnd w:id="42"/>
    </w:p>
    <w:p>
      <w:pPr>
        <w:widowControl/>
        <w:spacing w:line="360" w:lineRule="auto" w:after="120"/>
      </w:pPr>
      <w:r>
        <w:rPr>
          <w:rFonts w:ascii="Times New Roman" w:hAnsi="Times New Roman"/>
          <w:color w:val="000000"/>
          <w:sz w:val="24"/>
        </w:rPr>
        <w:t>SERVQUAL, developed by Parasuraman, Zeithaml, and Berry (1988), remains one of the most influential frameworks in service-quality research. Its central proposition is that service quality can be investigated by comparing what individuals expect from a service with what they perceive they have received.</w:t>
      </w:r>
    </w:p>
    <w:p>
      <w:pPr>
        <w:widowControl/>
        <w:spacing w:line="360" w:lineRule="auto" w:after="120"/>
      </w:pPr>
      <w:r>
        <w:rPr>
          <w:rFonts w:ascii="Times New Roman" w:hAnsi="Times New Roman"/>
          <w:color w:val="000000"/>
          <w:sz w:val="24"/>
        </w:rPr>
        <w:t>The model operationalises service quality through the five dimensions outlined previously: tangibles, reliability, responsiveness, assurance, and empathy. Respondents typically evaluate both expected and perceived performance across items representing those dimensions. The difference between expectations and perceptions generates a gap score that can be used to identify areas in which delivery is perceived to fall below, meet, or exceed expectations.</w:t>
      </w:r>
    </w:p>
    <w:p>
      <w:pPr>
        <w:widowControl/>
        <w:spacing w:line="360" w:lineRule="auto" w:after="120"/>
      </w:pPr>
      <w:r>
        <w:rPr>
          <w:rFonts w:ascii="Times New Roman" w:hAnsi="Times New Roman"/>
          <w:color w:val="000000"/>
          <w:sz w:val="24"/>
        </w:rPr>
        <w:t>An important strength of SERVQUAL is therefore its diagnostic character. An overall satisfaction measure may establish whether respondents are broadly satisfied or dissatisfied but reveal comparatively little about the source of their evaluation. A multidimensional gap analysis can identify whether dissatisfaction is associated primarily with, for example, reliability, responsiveness, empathy, or the physical service environment.</w:t>
      </w:r>
    </w:p>
    <w:p>
      <w:pPr>
        <w:widowControl/>
        <w:spacing w:line="360" w:lineRule="auto" w:after="120"/>
      </w:pPr>
      <w:r>
        <w:rPr>
          <w:rFonts w:ascii="Times New Roman" w:hAnsi="Times New Roman"/>
          <w:color w:val="000000"/>
          <w:sz w:val="24"/>
        </w:rPr>
        <w:t>This feature makes the model potentially useful to research involving churches. If congregants regard a church as highly empathetic but insufficiently responsive, or consider its physical environment satisfactory while expressing concerns regarding communication reliability, an aggregate satisfaction score would conceal potentially important differences. The dimensional structure therefore provides a systematic framework through which church experiences can be disaggregated and examined.</w:t>
      </w:r>
    </w:p>
    <w:p>
      <w:pPr>
        <w:widowControl/>
        <w:spacing w:line="360" w:lineRule="auto" w:after="120"/>
      </w:pPr>
      <w:r>
        <w:rPr>
          <w:rFonts w:ascii="Times New Roman" w:hAnsi="Times New Roman"/>
          <w:color w:val="000000"/>
          <w:sz w:val="24"/>
        </w:rPr>
        <w:t>There are nevertheless significant conceptual limitations. The measurement of expectations has been criticised because expectations are not necessarily stable or unambiguous. Respondents may interpret an expectation question differently, and expectations can change as individuals gain experience of an organisation or compare it with alternatives. Calculating quality through the subtraction of expectation scores from perception scores may consequently introduce measurement difficulties.</w:t>
      </w:r>
    </w:p>
    <w:p>
      <w:pPr>
        <w:widowControl/>
        <w:spacing w:line="360" w:lineRule="auto" w:after="120"/>
      </w:pPr>
      <w:r>
        <w:rPr>
          <w:rFonts w:ascii="Times New Roman" w:hAnsi="Times New Roman"/>
          <w:color w:val="000000"/>
          <w:sz w:val="24"/>
        </w:rPr>
        <w:t>A second limitation concerns dimensional universality. The five SERVQUAL dimensions are intentionally broad, but this does not mean that they capture every aspect of quality in every setting. Santos and Mathews' (2001) church research is important in this respect because dimensions such as credibility and commitment emerged as particularly significant. This implies that a standard SERVQUAL instrument could omit aspects of religious organisational experience that congregants themselves regard as important.</w:t>
      </w:r>
    </w:p>
    <w:p>
      <w:pPr>
        <w:widowControl/>
        <w:spacing w:line="360" w:lineRule="auto" w:after="120"/>
      </w:pPr>
      <w:r>
        <w:rPr>
          <w:rFonts w:ascii="Times New Roman" w:hAnsi="Times New Roman"/>
          <w:color w:val="000000"/>
          <w:sz w:val="24"/>
        </w:rPr>
        <w:t>Adaptation is therefore essential. SERVQUAL offers a theoretical vocabulary for considering several aspects of service, but this study does not implement its matched expectation–perception measurement procedure. The questionnaire’s importance ratings cannot be interpreted as a complete SERVQUAL scale or as performance ratings.</w:t>
      </w:r>
    </w:p>
    <w:p>
      <w:pPr>
        <w:widowControl/>
        <w:spacing w:line="360" w:lineRule="auto" w:after="120"/>
      </w:pPr>
      <w:r>
        <w:rPr>
          <w:rFonts w:ascii="Times New Roman" w:hAnsi="Times New Roman"/>
          <w:color w:val="000000"/>
          <w:sz w:val="24"/>
        </w:rPr>
        <w:t>This distinction also protects against inappropriate conceptual transfer. For example, assurance in a commercial service may largely concern employee competence and confidence. In a church context, perceptions of assurance may also involve trust in leadership, integrity, or spiritual credibility. Empathy may extend beyond courteous personal attention to forms of pastoral care. Reliability may concern not merely administrative accuracy but consistency in organisational communication and the fulfilment of pastoral or ministry commitments.</w:t>
      </w:r>
    </w:p>
    <w:p>
      <w:pPr>
        <w:widowControl/>
        <w:spacing w:line="360" w:lineRule="auto" w:after="120"/>
      </w:pPr>
      <w:r>
        <w:rPr>
          <w:rFonts w:ascii="Times New Roman" w:hAnsi="Times New Roman"/>
          <w:color w:val="000000"/>
          <w:sz w:val="24"/>
        </w:rPr>
        <w:t>SERVQUAL therefore provides a useful starting point, but church-specific operationalisation needs to be informed by the religious context and by empirical evidence rather than by mechanically replacing commercial terminology with religious terminology.</w:t>
      </w:r>
    </w:p>
    <w:p>
      <w:bookmarkStart w:id="43" w:name="m43"/>
      <w:pPr>
        <w:pStyle w:val="Heading3"/>
        <w:pageBreakBefore w:val="0"/>
        <w:widowControl/>
      </w:pPr>
      <w:r>
        <w:rPr>
          <w:rFonts w:ascii="Times New Roman" w:hAnsi="Times New Roman"/>
          <w:b/>
          <w:color w:val="000000"/>
          <w:sz w:val="24"/>
        </w:rPr>
        <w:t>2.5.2 SERVPERF and Performance-Based Measurement</w:t>
      </w:r>
      <w:bookmarkEnd w:id="43"/>
    </w:p>
    <w:p>
      <w:pPr>
        <w:widowControl/>
        <w:spacing w:line="360" w:lineRule="auto" w:after="120"/>
      </w:pPr>
      <w:r>
        <w:rPr>
          <w:rFonts w:ascii="Times New Roman" w:hAnsi="Times New Roman"/>
          <w:color w:val="000000"/>
          <w:sz w:val="24"/>
        </w:rPr>
        <w:t>SERVPERF emerged partly from criticism of SERVQUAL's expectation-perception gap approach. Cronin and Taylor (1992) proposed that service quality could be measured effectively through perceived performance alone rather than through separate assessments of expectations and perceptions.</w:t>
      </w:r>
    </w:p>
    <w:p>
      <w:pPr>
        <w:widowControl/>
        <w:spacing w:line="360" w:lineRule="auto" w:after="120"/>
      </w:pPr>
      <w:r>
        <w:rPr>
          <w:rFonts w:ascii="Times New Roman" w:hAnsi="Times New Roman"/>
          <w:color w:val="000000"/>
          <w:sz w:val="24"/>
        </w:rPr>
        <w:t>The performance-based approach uses broadly similar dimensions to SERVQUAL but removes the requirement to calculate a gap between two sets of responses. The theoretical rationale is that a respondent's assessment of actual service performance already incorporates, at least implicitly, the standards against which the experience is being judged.</w:t>
      </w:r>
    </w:p>
    <w:p>
      <w:pPr>
        <w:widowControl/>
        <w:spacing w:line="360" w:lineRule="auto" w:after="120"/>
      </w:pPr>
      <w:r>
        <w:rPr>
          <w:rFonts w:ascii="Times New Roman" w:hAnsi="Times New Roman"/>
          <w:color w:val="000000"/>
          <w:sz w:val="24"/>
        </w:rPr>
        <w:t>Cronin and Taylor (1992) reported that a performance-based approach may improve service-quality measurement and distinguished service quality, satisfaction and purchase intentions. Their findings do not establish the universal superiority of performance-only measures or validate the present questionnaire. Babakus and Boller (1992) also examined SERVQUAL empirically; no detailed psychometric conclusion from that article is relied upon here.</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This presents an important methodological distinction for church research. If the principal objective is to identify explicit differences between what congregants expect and what they believe they receive, SERVQUAL has an evident advantage because both sides of the relationship are measured. If, however, the principal objective is to determine how congregants evaluate current performance across defined dimensions, a SERVPERF-type approach may be simpler.</w:t>
      </w:r>
    </w:p>
    <w:p>
      <w:pPr>
        <w:widowControl/>
        <w:spacing w:line="360" w:lineRule="auto" w:after="120"/>
      </w:pPr>
      <w:r>
        <w:rPr>
          <w:rFonts w:ascii="Times New Roman" w:hAnsi="Times New Roman"/>
          <w:color w:val="000000"/>
          <w:sz w:val="24"/>
        </w:rPr>
        <w:t>The distinction is not merely administrative. It corresponds to different research questions. A performance score can identify whether respondents perceive pastoral responsiveness as high or low. An expectation-perception design can additionally identify whether that level of responsiveness is substantially different from what congregants consider appropriate or desirable.</w:t>
      </w:r>
    </w:p>
    <w:p>
      <w:pPr>
        <w:widowControl/>
        <w:spacing w:line="360" w:lineRule="auto" w:after="120"/>
      </w:pPr>
      <w:r>
        <w:rPr>
          <w:rFonts w:ascii="Times New Roman" w:hAnsi="Times New Roman"/>
          <w:color w:val="000000"/>
          <w:sz w:val="24"/>
        </w:rPr>
        <w:t>For the present study, this debate clarifies the distinction between theoretical perspectives and measurement procedures. The questionnaire combines service-importance ratings with separate questions about selected experiences; it implements neither a complete SERVQUAL gap design nor a complete SERVPERF performance scale.</w:t>
      </w:r>
    </w:p>
    <w:p>
      <w:pPr>
        <w:widowControl/>
        <w:spacing w:line="360" w:lineRule="auto" w:after="120"/>
      </w:pPr>
      <w:r>
        <w:rPr>
          <w:rFonts w:ascii="Times New Roman" w:hAnsi="Times New Roman"/>
          <w:color w:val="000000"/>
          <w:sz w:val="24"/>
        </w:rPr>
        <w:t>Both frameworks also share an important limitation when transported into church research: their central dimensions were not developed specifically from theological or congregational environments. Whether reliability, responsiveness, assurance, empathy, and tangibles adequately represent church experiences is therefore an empirical question. The finding of Santos and Mathews (2001) that credibility and commitment were highly salient reinforces the need for context-sensitive measurement rather than unquestioned adoption of a standard instrument.</w:t>
      </w:r>
    </w:p>
    <w:p>
      <w:bookmarkStart w:id="44" w:name="m44"/>
      <w:pPr>
        <w:pStyle w:val="Heading3"/>
        <w:pageBreakBefore w:val="0"/>
        <w:widowControl/>
      </w:pPr>
      <w:r>
        <w:rPr>
          <w:rFonts w:ascii="Times New Roman" w:hAnsi="Times New Roman"/>
          <w:b/>
          <w:color w:val="000000"/>
          <w:sz w:val="24"/>
        </w:rPr>
        <w:t>2.5.3 The Kano Model</w:t>
      </w:r>
      <w:bookmarkEnd w:id="44"/>
    </w:p>
    <w:p>
      <w:pPr>
        <w:widowControl/>
        <w:spacing w:line="360" w:lineRule="auto" w:after="120"/>
      </w:pPr>
      <w:r>
        <w:rPr>
          <w:rFonts w:ascii="Times New Roman" w:hAnsi="Times New Roman"/>
          <w:color w:val="000000"/>
          <w:sz w:val="24"/>
        </w:rPr>
        <w:t>The Kano model (Kano et al., 1984) approaches service quality from a different theoretical perspective. Whereas SERVQUAL and SERVPERF principally examine the level of perceived quality across dimensions, the Kano model asks whether different attributes have different types of relationships with satisfaction.</w:t>
      </w:r>
    </w:p>
    <w:p>
      <w:pPr>
        <w:widowControl/>
        <w:spacing w:line="360" w:lineRule="auto" w:after="120"/>
      </w:pPr>
      <w:r>
        <w:rPr>
          <w:rFonts w:ascii="Times New Roman" w:hAnsi="Times New Roman"/>
          <w:color w:val="000000"/>
          <w:sz w:val="24"/>
        </w:rPr>
        <w:t>The model distinguishes particularly between must-be, one-dimensional, and attractive attributes. Must-be attributes are basic requirements whose absence produces dissatisfaction but whose adequate provision does not necessarily generate correspondingly high satisfaction. One-dimensional or performance attributes have a more direct relationship with satisfaction: improved performance is associated with increased satisfaction, while poorer performance is associated with decreased satisfaction. Attractive attributes are those that may produce disproportionately positive responses when present even though their absence does not necessarily cause dissatisfaction.</w:t>
      </w:r>
    </w:p>
    <w:p>
      <w:pPr>
        <w:widowControl/>
        <w:spacing w:line="360" w:lineRule="auto" w:after="120"/>
      </w:pPr>
      <w:r>
        <w:rPr>
          <w:rFonts w:ascii="Times New Roman" w:hAnsi="Times New Roman"/>
          <w:color w:val="000000"/>
          <w:sz w:val="24"/>
        </w:rPr>
        <w:t>This distinction challenges the implicit assumption that every improvement in service quality produces an equivalent improvement in satisfaction. Some aspects of a service may be regarded as minimum requirements. Investment beyond an acceptable threshold may consequently generate little additional benefit. Other attributes may exert a more continuous influence on evaluation, while others may create positive experiences precisely because they exceed prior expectations.</w:t>
      </w:r>
    </w:p>
    <w:p>
      <w:pPr>
        <w:widowControl/>
        <w:spacing w:line="360" w:lineRule="auto" w:after="120"/>
      </w:pPr>
      <w:r>
        <w:rPr>
          <w:rFonts w:ascii="Times New Roman" w:hAnsi="Times New Roman"/>
          <w:color w:val="000000"/>
          <w:sz w:val="24"/>
        </w:rPr>
        <w:t>Basfirinci and Mitra (2015) studied the integration of SERVQUAL and the Kano model in airline service quality. This provides a cross-sector example of combining approaches, but does not establish that the combination is valid for churches. The present study does not implement Kano classification.</w:t>
      </w:r>
    </w:p>
    <w:p>
      <w:pPr>
        <w:widowControl/>
        <w:spacing w:line="360" w:lineRule="auto" w:after="120"/>
      </w:pPr>
      <w:r>
        <w:rPr>
          <w:rFonts w:ascii="Times New Roman" w:hAnsi="Times New Roman"/>
          <w:color w:val="000000"/>
          <w:sz w:val="24"/>
        </w:rPr>
        <w:t>Its relevance to church research is potentially significant but should presently be regarded as exploratory. The existing literature reviewed for this dissertation does not establish which aspects of church experience should be classified as must-be, performance, or attractive attributes. Assertions that particular church practices belong to particular Kano categories would therefore constitute hypotheses rather than established findings.</w:t>
      </w:r>
    </w:p>
    <w:p>
      <w:pPr>
        <w:widowControl/>
        <w:spacing w:line="360" w:lineRule="auto" w:after="120"/>
      </w:pPr>
      <w:r>
        <w:rPr>
          <w:rFonts w:ascii="Times New Roman" w:hAnsi="Times New Roman"/>
          <w:color w:val="000000"/>
          <w:sz w:val="24"/>
        </w:rPr>
        <w:t>The theoretical value of Kano lies instead in drawing attention to the possibility that congregants may not evaluate every aspect of church service in the same manner. Some expectations may function as minimum standards; others may have a more direct relationship with satisfaction; and some experiences may exceed what participants anticipated. Determining whether such categories actually exist within congregational experience would require empirical testing.</w:t>
      </w:r>
    </w:p>
    <w:p>
      <w:pPr>
        <w:widowControl/>
        <w:spacing w:line="360" w:lineRule="auto" w:after="120"/>
      </w:pPr>
      <w:r>
        <w:rPr>
          <w:rFonts w:ascii="Times New Roman" w:hAnsi="Times New Roman"/>
          <w:color w:val="000000"/>
          <w:sz w:val="24"/>
        </w:rPr>
        <w:t>The model also introduces an important temporal dimension. Attributes can change category as expectations evolve. Features initially perceived as exceptional may eventually become normal expectations. This principle may be especially relevant in areas influenced by technological and social change, where expectations concerning websites, digital communication, live streaming, online accessibility, and response times have developed rapidly.</w:t>
      </w:r>
    </w:p>
    <w:p>
      <w:pPr>
        <w:widowControl/>
        <w:spacing w:line="360" w:lineRule="auto" w:after="120"/>
      </w:pPr>
      <w:r>
        <w:rPr>
          <w:rFonts w:ascii="Times New Roman" w:hAnsi="Times New Roman"/>
          <w:color w:val="000000"/>
          <w:sz w:val="24"/>
        </w:rPr>
        <w:t>The Kano model therefore contributes a useful conceptual insight to the literature review: service quality may be nonlinear, and not all service attributes should necessarily be assumed to make equivalent contributions to satisfaction.</w:t>
      </w:r>
    </w:p>
    <w:p>
      <w:bookmarkStart w:id="45" w:name="m45"/>
      <w:pPr>
        <w:pStyle w:val="Heading3"/>
        <w:pageBreakBefore w:val="0"/>
        <w:widowControl/>
      </w:pPr>
      <w:r>
        <w:rPr>
          <w:rFonts w:ascii="Times New Roman" w:hAnsi="Times New Roman"/>
          <w:b/>
          <w:color w:val="000000"/>
          <w:sz w:val="24"/>
        </w:rPr>
        <w:t>2.5.4 Comparative Evaluation of SERVQUAL, SERVPERF, and Kano</w:t>
      </w:r>
      <w:bookmarkEnd w:id="45"/>
    </w:p>
    <w:p>
      <w:pPr>
        <w:widowControl/>
        <w:spacing w:line="360" w:lineRule="auto" w:after="120"/>
      </w:pPr>
      <w:r>
        <w:rPr>
          <w:rFonts w:ascii="Times New Roman" w:hAnsi="Times New Roman"/>
          <w:color w:val="000000"/>
          <w:sz w:val="24"/>
        </w:rPr>
        <w:t>The three models illuminate different aspects of service quality and should therefore not be treated as interchangeable.</w:t>
      </w:r>
    </w:p>
    <w:p>
      <w:pPr>
        <w:widowControl/>
        <w:spacing w:line="360" w:lineRule="auto" w:after="120"/>
      </w:pPr>
      <w:r>
        <w:rPr>
          <w:rFonts w:ascii="Times New Roman" w:hAnsi="Times New Roman"/>
          <w:color w:val="000000"/>
          <w:sz w:val="24"/>
        </w:rPr>
        <w:t>SERVQUAL is particularly useful where the research question concerns discrepancies between expected and experienced service. Its multidimensional structure provides a means of identifying where such gaps occur. Its principal limitations concern the measurement of expectations and the assumption that its standard dimensions adequately represent quality across contexts.</w:t>
      </w:r>
    </w:p>
    <w:p>
      <w:pPr>
        <w:widowControl/>
        <w:spacing w:line="360" w:lineRule="auto" w:after="120"/>
      </w:pPr>
      <w:r>
        <w:rPr>
          <w:rFonts w:ascii="Times New Roman" w:hAnsi="Times New Roman"/>
          <w:color w:val="000000"/>
          <w:sz w:val="24"/>
        </w:rPr>
        <w:t>SERVPERF offers a more parsimonious alternative by concentrating on experienced performance. This can simplify data collection and may provide strong measurement of perceived service quality, but it does not directly reveal the size or nature of an expectation-performance gap.</w:t>
      </w:r>
    </w:p>
    <w:p>
      <w:pPr>
        <w:widowControl/>
        <w:spacing w:line="360" w:lineRule="auto" w:after="120"/>
      </w:pPr>
      <w:r>
        <w:rPr>
          <w:rFonts w:ascii="Times New Roman" w:hAnsi="Times New Roman"/>
          <w:color w:val="000000"/>
          <w:sz w:val="24"/>
        </w:rPr>
        <w:t>The Kano model examines a different question. Rather than primarily asking how well an attribute is performed, it considers whether different attributes relate differently to satisfaction. Its contribution is therefore particularly conceptual and diagnostic, highlighting potential nonlinearity in the relationship between service provision and individual evaluation.</w:t>
      </w:r>
    </w:p>
    <w:p>
      <w:pPr>
        <w:widowControl/>
        <w:spacing w:line="360" w:lineRule="auto" w:after="120"/>
      </w:pPr>
      <w:r>
        <w:rPr>
          <w:rFonts w:ascii="Times New Roman" w:hAnsi="Times New Roman"/>
          <w:color w:val="000000"/>
          <w:sz w:val="24"/>
        </w:rPr>
        <w:t>For church research, none of these frameworks can be accepted without modification. SERVQUAL and SERVPERF originated outside religious organisations, while the Kano model was initially developed within product-quality management. The fact that these models have proved adaptable across multiple industries demonstrates their flexibility but does not itself demonstrate their validity within churches.</w:t>
      </w:r>
    </w:p>
    <w:p>
      <w:pPr>
        <w:widowControl/>
        <w:spacing w:line="360" w:lineRule="auto" w:after="120"/>
      </w:pPr>
      <w:r>
        <w:rPr>
          <w:rFonts w:ascii="Times New Roman" w:hAnsi="Times New Roman"/>
          <w:color w:val="000000"/>
          <w:sz w:val="24"/>
        </w:rPr>
        <w:t>Church-specific evidence actually suggests why adaptation is necessary. Santos and Mathews (2001) identified responsiveness, credibility, and commitment as particularly significant in religious-service evaluation. Credibility and commitment point towards values-based and relational considerations that are not wholly represented in conventional service instruments. Furthermore, church participation includes spiritual, theological, communal, and voluntary dimensions that have no direct commercial equivalent.</w:t>
      </w:r>
    </w:p>
    <w:p>
      <w:pPr>
        <w:widowControl/>
        <w:spacing w:line="360" w:lineRule="auto" w:after="120"/>
      </w:pPr>
      <w:r>
        <w:rPr>
          <w:rFonts w:ascii="Times New Roman" w:hAnsi="Times New Roman"/>
          <w:color w:val="000000"/>
          <w:sz w:val="24"/>
        </w:rPr>
        <w:t>The most defensible conclusion is therefore that established service-quality models provide analytical frameworks rather than ready-made church measurement instruments. They identify concepts that can guide investigation, but the relevance and meaning of those concepts must be established empirically within the population under study.</w:t>
      </w:r>
    </w:p>
    <w:p>
      <w:pPr>
        <w:widowControl/>
        <w:spacing w:line="360" w:lineRule="auto" w:after="120"/>
      </w:pPr>
      <w:r>
        <w:rPr>
          <w:rFonts w:ascii="Times New Roman" w:hAnsi="Times New Roman"/>
          <w:color w:val="000000"/>
          <w:sz w:val="24"/>
        </w:rPr>
        <w:t>This distinction is central to the present dissertation. SERVQUAL, SERVPERF and Kano provide theoretical perspectives for interpreting service priorities and reported experiences. The available items do not support validation of these models, identification of a complete set of church service-quality dimensions, or classification of attributes into Kano categories.</w:t>
      </w:r>
    </w:p>
    <w:p>
      <w:bookmarkStart w:id="46" w:name="m46"/>
      <w:pPr>
        <w:pStyle w:val="Heading3"/>
        <w:pageBreakBefore w:val="0"/>
        <w:widowControl/>
      </w:pPr>
      <w:r>
        <w:rPr>
          <w:rFonts w:ascii="Times New Roman" w:hAnsi="Times New Roman"/>
          <w:b/>
          <w:color w:val="000000"/>
          <w:sz w:val="24"/>
        </w:rPr>
        <w:t>2.5.5 Implications of Service-Quality Theory for the Present Study</w:t>
      </w:r>
      <w:bookmarkEnd w:id="46"/>
    </w:p>
    <w:p>
      <w:pPr>
        <w:widowControl/>
        <w:spacing w:line="360" w:lineRule="auto" w:after="120"/>
      </w:pPr>
      <w:r>
        <w:rPr>
          <w:rFonts w:ascii="Times New Roman" w:hAnsi="Times New Roman"/>
          <w:color w:val="000000"/>
          <w:sz w:val="24"/>
        </w:rPr>
        <w:t>Several propositions emerge from the theoretical literature without needing to be treated as predetermined hypotheses.</w:t>
      </w:r>
    </w:p>
    <w:p>
      <w:pPr>
        <w:widowControl/>
        <w:spacing w:line="360" w:lineRule="auto" w:after="120"/>
      </w:pPr>
      <w:r>
        <w:rPr>
          <w:rFonts w:ascii="Times New Roman" w:hAnsi="Times New Roman"/>
          <w:color w:val="000000"/>
          <w:sz w:val="24"/>
        </w:rPr>
        <w:t>First, service experience is likely to be multidimensional. Existing models consistently distinguish between different aspects of service rather than treating quality as a single undifferentiated construct.</w:t>
      </w:r>
    </w:p>
    <w:p>
      <w:pPr>
        <w:widowControl/>
        <w:spacing w:line="360" w:lineRule="auto" w:after="120"/>
      </w:pPr>
      <w:r>
        <w:rPr>
          <w:rFonts w:ascii="Times New Roman" w:hAnsi="Times New Roman"/>
          <w:color w:val="000000"/>
          <w:sz w:val="24"/>
        </w:rPr>
        <w:t>Second, expectations may matter independently of performance. The same organisational performance could be evaluated differently by individuals with different prior expectations.</w:t>
      </w:r>
    </w:p>
    <w:p>
      <w:pPr>
        <w:widowControl/>
        <w:spacing w:line="360" w:lineRule="auto" w:after="120"/>
      </w:pPr>
      <w:r>
        <w:rPr>
          <w:rFonts w:ascii="Times New Roman" w:hAnsi="Times New Roman"/>
          <w:color w:val="000000"/>
          <w:sz w:val="24"/>
        </w:rPr>
        <w:t>Third, the dimensions established in commercial research may not completely describe church experience. Church-specific evidence concerning credibility and commitment suggests that context-sensitive factors require consideration.</w:t>
      </w:r>
    </w:p>
    <w:p>
      <w:pPr>
        <w:widowControl/>
        <w:spacing w:line="360" w:lineRule="auto" w:after="120"/>
      </w:pPr>
      <w:r>
        <w:rPr>
          <w:rFonts w:ascii="Times New Roman" w:hAnsi="Times New Roman"/>
          <w:color w:val="000000"/>
          <w:sz w:val="24"/>
        </w:rPr>
        <w:t>Fourth, the relationship between individual service attributes and overall experience may not be linear. The Kano model demonstrates theoretically why failure in one fundamental area might have a greater negative effect than equivalent improvement elsewhere has a positive effect.</w:t>
      </w:r>
    </w:p>
    <w:p>
      <w:pPr>
        <w:widowControl/>
        <w:spacing w:line="360" w:lineRule="auto" w:after="120"/>
      </w:pPr>
      <w:r>
        <w:rPr>
          <w:rFonts w:ascii="Times New Roman" w:hAnsi="Times New Roman"/>
          <w:color w:val="000000"/>
          <w:sz w:val="24"/>
        </w:rPr>
        <w:t>Finally, service quality should not automatically be equated with church effectiveness. Congregational participation and spiritual outcomes are influenced by factors extending substantially beyond organisational service delivery. Service-quality theory can therefore explain one component of the church experience but should not be elevated into a complete theory of religious participation.</w:t>
      </w:r>
    </w:p>
    <w:p>
      <w:pPr>
        <w:widowControl/>
        <w:spacing w:line="360" w:lineRule="auto" w:after="120"/>
      </w:pPr>
      <w:r>
        <w:rPr>
          <w:rFonts w:ascii="Times New Roman" w:hAnsi="Times New Roman"/>
          <w:color w:val="000000"/>
          <w:sz w:val="24"/>
        </w:rPr>
        <w:t>These considerations support a contextual examination of service priorities and selected experiences. They also require caution when interpreting questions informed by commercial service concepts within religious environments.</w:t>
      </w:r>
    </w:p>
    <w:p>
      <w:pPr>
        <w:widowControl/>
        <w:spacing w:line="360" w:lineRule="auto" w:after="120"/>
      </w:pPr>
      <w:r>
        <w:rPr>
          <w:rFonts w:ascii="Times New Roman" w:hAnsi="Times New Roman"/>
          <w:color w:val="000000"/>
          <w:sz w:val="24"/>
        </w:rPr>
        <w:t>The next area of literature extends this discussion beyond individual service-quality encounters towards the longer-term relationship between an organisation and those it serves. This development is reflected in the progression from Customer Relationship Management to Customer Experience Management, customer engagement, value co-creation, and Customer Success Management.</w:t>
      </w:r>
    </w:p>
    <w:p>
      <w:bookmarkStart w:id="47" w:name="m47"/>
      <w:pPr>
        <w:pStyle w:val="Heading2"/>
        <w:pageBreakBefore w:val="0"/>
        <w:widowControl/>
      </w:pPr>
      <w:r>
        <w:rPr>
          <w:rFonts w:ascii="Times New Roman" w:hAnsi="Times New Roman"/>
          <w:b/>
          <w:color w:val="000000"/>
          <w:sz w:val="26"/>
        </w:rPr>
        <w:t>2.6 Customer Experience, Relationship Management, and Customer Success</w:t>
      </w:r>
      <w:bookmarkEnd w:id="47"/>
    </w:p>
    <w:p>
      <w:bookmarkStart w:id="48" w:name="m48"/>
      <w:pPr>
        <w:pStyle w:val="Heading3"/>
        <w:pageBreakBefore w:val="0"/>
        <w:widowControl/>
      </w:pPr>
      <w:r>
        <w:rPr>
          <w:rFonts w:ascii="Times New Roman" w:hAnsi="Times New Roman"/>
          <w:b/>
          <w:color w:val="000000"/>
          <w:sz w:val="24"/>
        </w:rPr>
        <w:t>2.6.1 From Service Encounters to Customer Experience</w:t>
      </w:r>
      <w:bookmarkEnd w:id="48"/>
    </w:p>
    <w:p>
      <w:pPr>
        <w:widowControl/>
        <w:spacing w:line="360" w:lineRule="auto" w:after="120"/>
      </w:pPr>
      <w:r>
        <w:rPr>
          <w:rFonts w:ascii="Times New Roman" w:hAnsi="Times New Roman"/>
          <w:color w:val="000000"/>
          <w:sz w:val="24"/>
        </w:rPr>
        <w:t>Traditional service-quality frameworks such as SERVQUAL and SERVPERF concentrate primarily upon the evaluation of service attributes and individual service encounters. More recent service-management research has increasingly adopted a broader perspective, recognising that individuals form perceptions of organisations through a sequence of interactions occurring over time rather than through isolated encounters.</w:t>
      </w:r>
    </w:p>
    <w:p>
      <w:pPr>
        <w:widowControl/>
        <w:spacing w:line="360" w:lineRule="auto" w:after="120"/>
      </w:pPr>
      <w:r>
        <w:rPr>
          <w:rFonts w:ascii="Times New Roman" w:hAnsi="Times New Roman"/>
          <w:color w:val="000000"/>
          <w:sz w:val="24"/>
        </w:rPr>
        <w:t>This development is reflected in the growth of Customer Relationship Management (CRM), Customer Experience Management (CEM), customer engagement, and, more recently, Customer Success Management (CSM). Although these concepts developed primarily within commercial settings, they provide potentially useful perspectives for examining how relationships develop between churches and congregants.</w:t>
      </w:r>
    </w:p>
    <w:p>
      <w:pPr>
        <w:widowControl/>
        <w:spacing w:line="360" w:lineRule="auto" w:after="120"/>
      </w:pPr>
      <w:r>
        <w:rPr>
          <w:rFonts w:ascii="Times New Roman" w:hAnsi="Times New Roman"/>
          <w:color w:val="000000"/>
          <w:sz w:val="24"/>
        </w:rPr>
        <w:t>Customer Experience Management shifts attention from an individual transaction towards the totality of interactions or touchpoints through which an individual encounters an organisation. Lemon and Verhoef (2016) describe customer experience as encompassing the customer's wider journey and the multiple interactions that contribute to an overall perception of the organisation. Such an approach recognises that evaluation may be cumulative. A person's perception of an organisation can be influenced by experiences occurring before, during, and after the principal service encounter.</w:t>
      </w:r>
    </w:p>
    <w:p>
      <w:pPr>
        <w:widowControl/>
        <w:spacing w:line="360" w:lineRule="auto" w:after="120"/>
      </w:pPr>
      <w:r>
        <w:rPr>
          <w:rFonts w:ascii="Times New Roman" w:hAnsi="Times New Roman"/>
          <w:color w:val="000000"/>
          <w:sz w:val="24"/>
        </w:rPr>
        <w:t>This concept has potential relevance within churches because church participation rarely consists of a single encounter. A person's experience may begin before physically entering a church. A prospective visitor may first encounter the organisation through a website, social-media page, recommendation from another person, telephone enquiry, or online worship service. The subsequent experience may include parking, signage, greeting, worship, communication, interaction with clergy or volunteers, childcare, fellowship, pastoral follow-up, small groups, and digital communication after attendance.</w:t>
      </w:r>
    </w:p>
    <w:p>
      <w:pPr>
        <w:widowControl/>
        <w:spacing w:line="360" w:lineRule="auto" w:after="120"/>
      </w:pPr>
      <w:r>
        <w:rPr>
          <w:rFonts w:ascii="Times New Roman" w:hAnsi="Times New Roman"/>
          <w:color w:val="000000"/>
          <w:sz w:val="24"/>
        </w:rPr>
        <w:t>From this perspective, congregational experience can be understood as a journey containing multiple organisational and interpersonal touchpoints. A positive experience at one point may coexist with dissatisfaction at another. For example, an individual may appreciate the quality of a worship service while experiencing difficulty obtaining information or receiving a response to a pastoral enquiry. A single global measure of satisfaction could conceal these distinctions.</w:t>
      </w:r>
    </w:p>
    <w:p>
      <w:pPr>
        <w:widowControl/>
        <w:spacing w:line="360" w:lineRule="auto" w:after="120"/>
      </w:pPr>
      <w:r>
        <w:rPr>
          <w:rFonts w:ascii="Times New Roman" w:hAnsi="Times New Roman"/>
          <w:color w:val="000000"/>
          <w:sz w:val="24"/>
        </w:rPr>
        <w:t>The customer-experience perspective therefore complements service-quality theory. SERVQUAL and SERVPERF provide frameworks for evaluating particular dimensions of service, while CEM encourages consideration of when and where those dimensions are encountered throughout a longer relationship.</w:t>
      </w:r>
    </w:p>
    <w:p>
      <w:pPr>
        <w:widowControl/>
        <w:spacing w:line="360" w:lineRule="auto" w:after="120"/>
      </w:pPr>
      <w:r>
        <w:rPr>
          <w:rFonts w:ascii="Times New Roman" w:hAnsi="Times New Roman"/>
          <w:color w:val="000000"/>
          <w:sz w:val="24"/>
        </w:rPr>
        <w:t>However, the concept requires adaptation in a church context. A commercial customer journey is typically organised around acquisition, purchase, use, retention, and potentially repurchase. Church participation involves substantially different meanings and motivations. Attendance, membership, worship, discipleship, volunteering, pastoral relationships, and spiritual development cannot be reduced to commercial lifecycle stages.</w:t>
      </w:r>
    </w:p>
    <w:p>
      <w:pPr>
        <w:widowControl/>
        <w:spacing w:line="360" w:lineRule="auto" w:after="120"/>
      </w:pPr>
      <w:r>
        <w:rPr>
          <w:rFonts w:ascii="Times New Roman" w:hAnsi="Times New Roman"/>
          <w:color w:val="000000"/>
          <w:sz w:val="24"/>
        </w:rPr>
        <w:t>The relevance of customer-experience theory therefore lies primarily in its emphasis on continuity and interconnected touchpoints, rather than in the direct adoption of commercial customer-journey terminology. The theoretical question is whether the accumulated quality of interactions with a church contributes to an individual's wider perception of belonging, care, accessibility, and organisational effectiveness.</w:t>
      </w:r>
    </w:p>
    <w:p>
      <w:bookmarkStart w:id="49" w:name="m49"/>
      <w:pPr>
        <w:pStyle w:val="Heading3"/>
        <w:pageBreakBefore w:val="0"/>
        <w:widowControl/>
      </w:pPr>
      <w:r>
        <w:rPr>
          <w:rFonts w:ascii="Times New Roman" w:hAnsi="Times New Roman"/>
          <w:b/>
          <w:color w:val="000000"/>
          <w:sz w:val="24"/>
        </w:rPr>
        <w:t>2.6.2 Customer Relationship Management</w:t>
      </w:r>
      <w:bookmarkEnd w:id="49"/>
    </w:p>
    <w:p>
      <w:pPr>
        <w:widowControl/>
        <w:spacing w:line="360" w:lineRule="auto" w:after="120"/>
      </w:pPr>
      <w:r>
        <w:rPr>
          <w:rFonts w:ascii="Times New Roman" w:hAnsi="Times New Roman"/>
          <w:color w:val="000000"/>
          <w:sz w:val="24"/>
        </w:rPr>
        <w:t>Customer Relationship Management developed as organisations increasingly sought to coordinate information concerning customer interactions and maintain relationships over time. Although CRM is frequently associated with software systems, its conceptual significance is broader. At its core, CRM concerns the systematic management of organisational relationships and the information needed to support them.</w:t>
      </w:r>
    </w:p>
    <w:p>
      <w:pPr>
        <w:widowControl/>
        <w:spacing w:line="360" w:lineRule="auto" w:after="120"/>
      </w:pPr>
      <w:r>
        <w:rPr>
          <w:rFonts w:ascii="Times New Roman" w:hAnsi="Times New Roman"/>
          <w:color w:val="000000"/>
          <w:sz w:val="24"/>
        </w:rPr>
        <w:t>The potential relevance to churches is evident because pastoral and congregational relationships also extend over time. Churches may need to maintain information concerning membership, attendance, participation in activities, pastoral needs, volunteer responsibilities, and communication preferences. The organisational challenge is therefore not simply to provide a positive experience at a worship service but also to maintain continuity of communication and care.</w:t>
      </w:r>
    </w:p>
    <w:p>
      <w:pPr>
        <w:widowControl/>
        <w:spacing w:line="360" w:lineRule="auto" w:after="120"/>
      </w:pPr>
      <w:r>
        <w:rPr>
          <w:rFonts w:ascii="Times New Roman" w:hAnsi="Times New Roman"/>
          <w:color w:val="000000"/>
          <w:sz w:val="24"/>
        </w:rPr>
        <w:t>The analogy should nevertheless be treated carefully. In commercial CRM, relationship management may ultimately be directed towards customer retention, revenue, cross-selling, or profitability. Such objectives are inappropriate as direct models for church relationships. A church's purpose in maintaining information about its members is potentially pastoral, administrative, communal, or ministerial rather than commercial.</w:t>
      </w:r>
    </w:p>
    <w:p>
      <w:pPr>
        <w:widowControl/>
        <w:spacing w:line="360" w:lineRule="auto" w:after="120"/>
      </w:pPr>
      <w:r>
        <w:rPr>
          <w:rFonts w:ascii="Times New Roman" w:hAnsi="Times New Roman"/>
          <w:color w:val="000000"/>
          <w:sz w:val="24"/>
        </w:rPr>
        <w:t>Despite this difference, the organisational principle remains relevant. Relationships can fail not because an organisation lacks good intentions but because information is not communicated, responsibilities are unclear, or individual needs are not followed up. Vuokko's (2000) findings concerning weaknesses in information and coordination within a church context illustrate this point. The value of relationship-management thinking in churches therefore lies primarily in improving continuity and coordination rather than in commercialising the relationship.</w:t>
      </w:r>
    </w:p>
    <w:p>
      <w:pPr>
        <w:widowControl/>
        <w:spacing w:line="360" w:lineRule="auto" w:after="120"/>
      </w:pPr>
      <w:r>
        <w:rPr>
          <w:rFonts w:ascii="Times New Roman" w:hAnsi="Times New Roman"/>
          <w:color w:val="000000"/>
          <w:sz w:val="24"/>
        </w:rPr>
        <w:t>This distinction is especially important for organisations dependent upon multiple volunteers or ministry teams. Where responsibility for congregant contact is dispersed, the absence of systematic information can result in duplicated effort in some areas and neglected needs in others. Theoretical insights from CRM therefore reinforce the relevance of organisational coordination as part of service quality.</w:t>
      </w:r>
    </w:p>
    <w:p>
      <w:bookmarkStart w:id="50" w:name="m50"/>
      <w:pPr>
        <w:pStyle w:val="Heading3"/>
        <w:pageBreakBefore w:val="0"/>
        <w:widowControl/>
      </w:pPr>
      <w:r>
        <w:rPr>
          <w:rFonts w:ascii="Times New Roman" w:hAnsi="Times New Roman"/>
          <w:b/>
          <w:color w:val="000000"/>
          <w:sz w:val="24"/>
        </w:rPr>
        <w:t>2.6.3 Customer Engagement</w:t>
      </w:r>
      <w:bookmarkEnd w:id="50"/>
    </w:p>
    <w:p>
      <w:pPr>
        <w:widowControl/>
        <w:spacing w:line="360" w:lineRule="auto" w:after="120"/>
      </w:pPr>
      <w:r>
        <w:rPr>
          <w:rFonts w:ascii="Times New Roman" w:hAnsi="Times New Roman"/>
          <w:color w:val="000000"/>
          <w:sz w:val="24"/>
        </w:rPr>
        <w:t>Customer-engagement research further extends the service perspective by recognising that individuals are not always passive recipients of organisational offerings. Engagement may involve psychological attachment, participation, interaction, advocacy, and contribution.</w:t>
      </w:r>
    </w:p>
    <w:p>
      <w:pPr>
        <w:widowControl/>
        <w:spacing w:line="360" w:lineRule="auto" w:after="120"/>
      </w:pPr>
      <w:r>
        <w:rPr>
          <w:rFonts w:ascii="Times New Roman" w:hAnsi="Times New Roman"/>
          <w:color w:val="000000"/>
          <w:sz w:val="24"/>
        </w:rPr>
        <w:t>Bowden (2009) proposed a conceptual framework distinguishing the psychological processes associated with new and repeat service-brand customers, with commitment, involvement, and trust central to engagement and loyalty. Although this framework originates in commercial service contexts, the distinction between initial contact and developing involvement offers a theoretical parallel for churches. Its applicability to congregants requires investigation.</w:t>
      </w:r>
    </w:p>
    <w:p>
      <w:pPr>
        <w:widowControl/>
        <w:spacing w:line="360" w:lineRule="auto" w:after="120"/>
      </w:pPr>
      <w:r>
        <w:rPr>
          <w:rFonts w:ascii="Times New Roman" w:hAnsi="Times New Roman"/>
          <w:color w:val="000000"/>
          <w:sz w:val="24"/>
        </w:rPr>
        <w:t>Church participation is inherently participatory. Congregants may move from initial attendance towards membership, small-group participation, volunteering, ministry leadership, financial support, or other forms of involvement. Unlike the traditional commercial customer, a church member may simultaneously receive services and contribute to their provision. A member may attend worship while also serving as a volunteer, organising activities, supporting other members, or participating in community outreach.</w:t>
      </w:r>
    </w:p>
    <w:p>
      <w:pPr>
        <w:widowControl/>
        <w:spacing w:line="360" w:lineRule="auto" w:after="120"/>
      </w:pPr>
      <w:r>
        <w:rPr>
          <w:rFonts w:ascii="Times New Roman" w:hAnsi="Times New Roman"/>
          <w:color w:val="000000"/>
          <w:sz w:val="24"/>
        </w:rPr>
        <w:t>This characteristic complicates any straightforward customer analogy. Congregants are not merely recipients of value created by the organisation; they may also participate directly in creating the communal experience. The relationship is therefore closer to a participatory community than to a conventional provider-customer arrangement.</w:t>
      </w:r>
    </w:p>
    <w:p>
      <w:pPr>
        <w:widowControl/>
        <w:spacing w:line="360" w:lineRule="auto" w:after="120"/>
      </w:pPr>
      <w:r>
        <w:rPr>
          <w:rFonts w:ascii="Times New Roman" w:hAnsi="Times New Roman"/>
          <w:color w:val="000000"/>
          <w:sz w:val="24"/>
        </w:rPr>
        <w:t>This feature has important theoretical implications. Satisfaction and engagement may influence one another, but their relationship should not be assumed to operate in the same manner as commercial loyalty. Santos and Mathews (2001), for example, found that more frequent church attendees placed greater importance on service-quality dimensions. Increased involvement may therefore be associated with stronger expectations rather than simply greater tolerance of organisational weaknesses.</w:t>
      </w:r>
    </w:p>
    <w:p>
      <w:pPr>
        <w:widowControl/>
        <w:spacing w:line="360" w:lineRule="auto" w:after="120"/>
      </w:pPr>
      <w:r>
        <w:rPr>
          <w:rFonts w:ascii="Times New Roman" w:hAnsi="Times New Roman"/>
          <w:color w:val="000000"/>
          <w:sz w:val="24"/>
        </w:rPr>
        <w:t>Engagement theory is useful because it draws attention to this dynamic relationship. It suggests that individuals who become more deeply involved may evaluate the organisation from increasingly informed and relational perspectives. They may also become contributors to the very service environment being evaluated.</w:t>
      </w:r>
    </w:p>
    <w:p>
      <w:pPr>
        <w:widowControl/>
        <w:spacing w:line="360" w:lineRule="auto" w:after="120"/>
      </w:pPr>
      <w:r>
        <w:rPr>
          <w:rFonts w:ascii="Times New Roman" w:hAnsi="Times New Roman"/>
          <w:color w:val="000000"/>
          <w:sz w:val="24"/>
        </w:rPr>
        <w:t>Accordingly, the present research should distinguish between congregants' roles as recipients of organisational service and their roles as participants in the creation of church community.</w:t>
      </w:r>
    </w:p>
    <w:p>
      <w:bookmarkStart w:id="51" w:name="m51"/>
      <w:pPr>
        <w:pStyle w:val="Heading3"/>
        <w:pageBreakBefore w:val="0"/>
        <w:widowControl/>
      </w:pPr>
      <w:r>
        <w:rPr>
          <w:rFonts w:ascii="Times New Roman" w:hAnsi="Times New Roman"/>
          <w:b/>
          <w:color w:val="000000"/>
          <w:sz w:val="24"/>
        </w:rPr>
        <w:t>2.6.4 Customer Success Management</w:t>
      </w:r>
      <w:bookmarkEnd w:id="51"/>
    </w:p>
    <w:p>
      <w:pPr>
        <w:widowControl/>
        <w:spacing w:line="360" w:lineRule="auto" w:after="120"/>
      </w:pPr>
      <w:r>
        <w:rPr>
          <w:rFonts w:ascii="Times New Roman" w:hAnsi="Times New Roman"/>
          <w:color w:val="000000"/>
          <w:sz w:val="24"/>
        </w:rPr>
        <w:t>Hilton et al. (2020) develop a conceptual account of Customer Success Management as proactive support for customers' goals and value in use. Their review connects CSM with CRM, customer experience and engagement, and draws on goal, stakeholder and learning management. It proposes a research agenda and uses business illustrations; it is not an empirical test of CSM in churches.</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The following discussion uses proactive support, attention to outcomes, developing relationships and participation as comparative concepts. These are interpretive connections to church life, rather than dimensions validated by the present questionnaire.</w:t>
      </w:r>
    </w:p>
    <w:p>
      <w:pPr>
        <w:widowControl/>
        <w:spacing w:line="360" w:lineRule="auto" w:after="120"/>
      </w:pPr>
      <w:r>
        <w:rPr>
          <w:rFonts w:ascii="Times New Roman" w:hAnsi="Times New Roman"/>
          <w:color w:val="000000"/>
          <w:sz w:val="24"/>
        </w:rPr>
        <w:t>Proactive engagement involves anticipating needs and maintaining contact rather than responding solely to complaints or problems. Hochstein et al. (2021) emphasise proactive action, including educating, preparing, and engaging customers throughout the service relationship.</w:t>
      </w:r>
    </w:p>
    <w:p>
      <w:pPr>
        <w:widowControl/>
        <w:spacing w:line="360" w:lineRule="auto" w:after="120"/>
      </w:pPr>
      <w:r>
        <w:rPr>
          <w:rFonts w:ascii="Times New Roman" w:hAnsi="Times New Roman"/>
          <w:color w:val="000000"/>
          <w:sz w:val="24"/>
        </w:rPr>
        <w:t>Outcome orientation shifts attention from whether the provider has completed a transaction towards whether the individual has achieved the intended outcome. This represents an important distinction between simply delivering a service and evaluating whether that service has produced value for the recipient.</w:t>
      </w:r>
    </w:p>
    <w:p>
      <w:pPr>
        <w:widowControl/>
        <w:spacing w:line="360" w:lineRule="auto" w:after="120"/>
      </w:pPr>
      <w:r>
        <w:rPr>
          <w:rFonts w:ascii="Times New Roman" w:hAnsi="Times New Roman"/>
          <w:color w:val="000000"/>
          <w:sz w:val="24"/>
        </w:rPr>
        <w:t>Lifecycle orientation recognises that relationships develop over time and that needs may change at different stages of involvement.</w:t>
      </w:r>
    </w:p>
    <w:p>
      <w:pPr>
        <w:widowControl/>
        <w:spacing w:line="360" w:lineRule="auto" w:after="120"/>
      </w:pPr>
      <w:r>
        <w:rPr>
          <w:rFonts w:ascii="Times New Roman" w:hAnsi="Times New Roman"/>
          <w:color w:val="000000"/>
          <w:sz w:val="24"/>
        </w:rPr>
        <w:t>Prohl-Schwenke and Kleinaltenkamp (2021) examine how business customers evaluate suppliers' CSM activities and the value they perceive from them. This customer perspective offers a comparison for considering recipients' experiences, but the business-to-business setting differs from a congregation. Hochstein et al. (2021) likewise address proactive value co-creation in a commercial context.</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These concepts have apparent parallels with church life. Churches frequently seek long-term relationships with members rather than isolated encounters. Pastoral care is often proactive rather than purely reactive. Congregants may be encouraged to develop through different stages of participation, and church activities frequently depend upon active contribution from members.</w:t>
      </w:r>
    </w:p>
    <w:p>
      <w:pPr>
        <w:widowControl/>
        <w:spacing w:line="360" w:lineRule="auto" w:after="120"/>
      </w:pPr>
      <w:r>
        <w:rPr>
          <w:rFonts w:ascii="Times New Roman" w:hAnsi="Times New Roman"/>
          <w:color w:val="000000"/>
          <w:sz w:val="24"/>
        </w:rPr>
        <w:t>Nevertheless, the concept of success requires particularly careful treatment within a religious setting. In commercial CSM, desired outcomes may include effective product use, financial return, renewal, or business performance. Churches may define desired outcomes in spiritual, communal, pastoral, or developmental terms. These outcomes are inherently more difficult to specify and measure and may vary substantially between denominations and individuals.</w:t>
      </w:r>
    </w:p>
    <w:p>
      <w:pPr>
        <w:widowControl/>
        <w:spacing w:line="360" w:lineRule="auto" w:after="120"/>
      </w:pPr>
      <w:r>
        <w:rPr>
          <w:rFonts w:ascii="Times New Roman" w:hAnsi="Times New Roman"/>
          <w:color w:val="000000"/>
          <w:sz w:val="24"/>
        </w:rPr>
        <w:t>It would therefore be inappropriate to assume that spiritual development can simply be treated as the religious equivalent of customer success. Such an approach could reduce complex theological and personal processes to organisational performance indicators.</w:t>
      </w:r>
    </w:p>
    <w:p>
      <w:pPr>
        <w:widowControl/>
        <w:spacing w:line="360" w:lineRule="auto" w:after="120"/>
      </w:pPr>
      <w:r>
        <w:rPr>
          <w:rFonts w:ascii="Times New Roman" w:hAnsi="Times New Roman"/>
          <w:color w:val="000000"/>
          <w:sz w:val="24"/>
        </w:rPr>
        <w:t>The more defensible contribution of CSM to church research is conceptual. It raises the question of whether churches perceive service as complete when an activity has been delivered or whether they also consider what happens to individuals over the longer term. It also highlights the potential distinction between reactive and proactive organisational care.</w:t>
      </w:r>
    </w:p>
    <w:p>
      <w:pPr>
        <w:widowControl/>
        <w:spacing w:line="360" w:lineRule="auto" w:after="120"/>
      </w:pPr>
      <w:r>
        <w:rPr>
          <w:rFonts w:ascii="Times New Roman" w:hAnsi="Times New Roman"/>
          <w:color w:val="000000"/>
          <w:sz w:val="24"/>
        </w:rPr>
        <w:t>The relevance of these ideas to pastoral and organisational care is a proposed analogy in this dissertation. The sources used here do not establish CSM as an empirically validated model of church management.</w:t>
      </w:r>
    </w:p>
    <w:p>
      <w:pPr>
        <w:widowControl/>
        <w:spacing w:line="360" w:lineRule="auto" w:after="120"/>
      </w:pPr>
      <w:r>
        <w:rPr>
          <w:rFonts w:ascii="Times New Roman" w:hAnsi="Times New Roman"/>
          <w:color w:val="000000"/>
          <w:sz w:val="24"/>
        </w:rPr>
        <w:t>Consequently, CSM should be treated in this dissertation as a comparative framework rather than as an established model of church management.</w:t>
      </w:r>
    </w:p>
    <w:p>
      <w:bookmarkStart w:id="52" w:name="m52"/>
      <w:pPr>
        <w:pStyle w:val="Heading3"/>
        <w:pageBreakBefore w:val="0"/>
        <w:widowControl/>
      </w:pPr>
      <w:r>
        <w:rPr>
          <w:rFonts w:ascii="Times New Roman" w:hAnsi="Times New Roman"/>
          <w:b/>
          <w:color w:val="000000"/>
          <w:sz w:val="24"/>
        </w:rPr>
        <w:t>2.6.5 Value Co-Creation and the Participatory Nature of Churches</w:t>
      </w:r>
      <w:bookmarkEnd w:id="52"/>
    </w:p>
    <w:p>
      <w:pPr>
        <w:widowControl/>
        <w:spacing w:line="360" w:lineRule="auto" w:after="120"/>
      </w:pPr>
      <w:r>
        <w:rPr>
          <w:rFonts w:ascii="Times New Roman" w:hAnsi="Times New Roman"/>
          <w:color w:val="000000"/>
          <w:sz w:val="24"/>
        </w:rPr>
        <w:t>Of the concepts associated with CSM, value co-creation may have particular relevance to churches because religious communities depend substantially upon participation.</w:t>
      </w:r>
    </w:p>
    <w:p>
      <w:pPr>
        <w:widowControl/>
        <w:spacing w:line="360" w:lineRule="auto" w:after="120"/>
      </w:pPr>
      <w:r>
        <w:rPr>
          <w:rFonts w:ascii="Times New Roman" w:hAnsi="Times New Roman"/>
          <w:color w:val="000000"/>
          <w:sz w:val="24"/>
        </w:rPr>
        <w:t>In conventional service models, value may be conceptualised as something delivered by an organisation to a customer. Service-dominant and co-creation perspectives challenge this assumption by recognising that individuals frequently participate in producing the outcome they experience.</w:t>
      </w:r>
    </w:p>
    <w:p>
      <w:pPr>
        <w:widowControl/>
        <w:spacing w:line="360" w:lineRule="auto" w:after="120"/>
      </w:pPr>
      <w:r>
        <w:rPr>
          <w:rFonts w:ascii="Times New Roman" w:hAnsi="Times New Roman"/>
          <w:color w:val="000000"/>
          <w:sz w:val="24"/>
        </w:rPr>
        <w:t>Churches provide a particularly clear example of this complexity. The atmosphere of a congregation, the strength of community relationships, the functioning of ministries, and many elements of hospitality depend not only upon clergy or employees but also upon members themselves. Volunteers may welcome visitors, provide music, teach children, lead groups, organise activities, or provide pastoral support.</w:t>
      </w:r>
    </w:p>
    <w:p>
      <w:pPr>
        <w:widowControl/>
        <w:spacing w:line="360" w:lineRule="auto" w:after="120"/>
      </w:pPr>
      <w:r>
        <w:rPr>
          <w:rFonts w:ascii="Times New Roman" w:hAnsi="Times New Roman"/>
          <w:color w:val="000000"/>
          <w:sz w:val="24"/>
        </w:rPr>
        <w:t>Consequently, congregants may simultaneously be beneficiaries, participants, volunteers, and contributors. The quality of the church experience is therefore partly produced through interaction between organisational structures and congregational participation.</w:t>
      </w:r>
    </w:p>
    <w:p>
      <w:pPr>
        <w:widowControl/>
        <w:spacing w:line="360" w:lineRule="auto" w:after="120"/>
      </w:pPr>
      <w:r>
        <w:rPr>
          <w:rFonts w:ascii="Times New Roman" w:hAnsi="Times New Roman"/>
          <w:color w:val="000000"/>
          <w:sz w:val="24"/>
        </w:rPr>
        <w:t>This differs considerably from a conventional commercial service relationship and is another reason why business-derived customer models require adaptation.</w:t>
      </w:r>
    </w:p>
    <w:p>
      <w:pPr>
        <w:widowControl/>
        <w:spacing w:line="360" w:lineRule="auto" w:after="120"/>
      </w:pPr>
      <w:r>
        <w:rPr>
          <w:rFonts w:ascii="Times New Roman" w:hAnsi="Times New Roman"/>
          <w:color w:val="000000"/>
          <w:sz w:val="24"/>
        </w:rPr>
        <w:t>The concept of co-creation nevertheless provides a useful theoretical language for examining this phenomenon. Rather than treating church members as passive consumers, it recognises their potential role in creating community and service experiences. This interpretation is also more compatible with the theological and communal character of church participation than a narrow customer-provider model.</w:t>
      </w:r>
    </w:p>
    <w:p>
      <w:pPr>
        <w:widowControl/>
        <w:spacing w:line="360" w:lineRule="auto" w:after="120"/>
      </w:pPr>
      <w:r>
        <w:rPr>
          <w:rFonts w:ascii="Times New Roman" w:hAnsi="Times New Roman"/>
          <w:color w:val="000000"/>
          <w:sz w:val="24"/>
        </w:rPr>
        <w:t>At the same time, co-creation should not be used to transfer responsibility for poor organisational performance onto congregants. An organisation may depend upon volunteers and participation while still retaining responsibility for leadership, coordination, communication, safeguarding, training, and appropriate support.</w:t>
      </w:r>
    </w:p>
    <w:p>
      <w:pPr>
        <w:widowControl/>
        <w:spacing w:line="360" w:lineRule="auto" w:after="120"/>
      </w:pPr>
      <w:r>
        <w:rPr>
          <w:rFonts w:ascii="Times New Roman" w:hAnsi="Times New Roman"/>
          <w:color w:val="000000"/>
          <w:sz w:val="24"/>
        </w:rPr>
        <w:t>The significance of value co-creation for this study is therefore twofold. It helps explain why church service experience cannot be understood purely from the perspective of organisational delivery, while also drawing attention to the ways organisational structures enable or constrain member participation.</w:t>
      </w:r>
    </w:p>
    <w:p>
      <w:bookmarkStart w:id="53" w:name="m53"/>
      <w:pPr>
        <w:pStyle w:val="Heading3"/>
        <w:pageBreakBefore w:val="0"/>
        <w:widowControl/>
      </w:pPr>
      <w:r>
        <w:rPr>
          <w:rFonts w:ascii="Times New Roman" w:hAnsi="Times New Roman"/>
          <w:b/>
          <w:color w:val="000000"/>
          <w:sz w:val="24"/>
        </w:rPr>
        <w:t>2.6.6 Critical Evaluation of CRM, CEM, and CSM in Church Contexts</w:t>
      </w:r>
      <w:bookmarkEnd w:id="53"/>
    </w:p>
    <w:p>
      <w:pPr>
        <w:widowControl/>
        <w:spacing w:line="360" w:lineRule="auto" w:after="120"/>
      </w:pPr>
      <w:r>
        <w:rPr>
          <w:rFonts w:ascii="Times New Roman" w:hAnsi="Times New Roman"/>
          <w:color w:val="000000"/>
          <w:sz w:val="24"/>
        </w:rPr>
        <w:t>CRM, CEM, engagement theory, and CSM broaden the theoretical perspective beyond isolated service encounters. Collectively, they emphasise continuity, relationships, multiple touchpoints, proactive communication, participation, and long-term outcomes.</w:t>
      </w:r>
    </w:p>
    <w:p>
      <w:pPr>
        <w:widowControl/>
        <w:spacing w:line="360" w:lineRule="auto" w:after="120"/>
      </w:pPr>
      <w:r>
        <w:rPr>
          <w:rFonts w:ascii="Times New Roman" w:hAnsi="Times New Roman"/>
          <w:color w:val="000000"/>
          <w:sz w:val="24"/>
        </w:rPr>
        <w:t>These concepts appear relevant to church organisations because church participation itself is relational and longitudinal. However, their commercial origins require continuing caution.</w:t>
      </w:r>
    </w:p>
    <w:p>
      <w:pPr>
        <w:widowControl/>
        <w:spacing w:line="360" w:lineRule="auto" w:after="120"/>
      </w:pPr>
      <w:r>
        <w:rPr>
          <w:rFonts w:ascii="Times New Roman" w:hAnsi="Times New Roman"/>
          <w:color w:val="000000"/>
          <w:sz w:val="24"/>
        </w:rPr>
        <w:t>First, the objectives differ. Commercial relationship management may be concerned ultimately with retention, profitability, repeat purchase, or lifetime customer value. Church relationships involve spiritual, pastoral, social, and communal purposes that cannot be reduced to equivalent metrics.</w:t>
      </w:r>
    </w:p>
    <w:p>
      <w:pPr>
        <w:widowControl/>
        <w:spacing w:line="360" w:lineRule="auto" w:after="120"/>
      </w:pPr>
      <w:r>
        <w:rPr>
          <w:rFonts w:ascii="Times New Roman" w:hAnsi="Times New Roman"/>
          <w:color w:val="000000"/>
          <w:sz w:val="24"/>
        </w:rPr>
        <w:t>Second, the nature of participation differs. Congregants may simultaneously receive and provide services, whereas conventional customer-management models frequently assume clearer separation between provider and recipient.</w:t>
      </w:r>
    </w:p>
    <w:p>
      <w:pPr>
        <w:widowControl/>
        <w:spacing w:line="360" w:lineRule="auto" w:after="120"/>
      </w:pPr>
      <w:r>
        <w:rPr>
          <w:rFonts w:ascii="Times New Roman" w:hAnsi="Times New Roman"/>
          <w:color w:val="000000"/>
          <w:sz w:val="24"/>
        </w:rPr>
        <w:t>Third, desired outcomes are less easily defined. Commercial customer success may often be specified in relatively concrete terms, while concepts such as belonging, spiritual formation, pastoral wellbeing, or meaningful participation are multidimensional and potentially contested.</w:t>
      </w:r>
    </w:p>
    <w:p>
      <w:pPr>
        <w:widowControl/>
        <w:spacing w:line="360" w:lineRule="auto" w:after="120"/>
      </w:pPr>
      <w:r>
        <w:rPr>
          <w:rFonts w:ascii="Times New Roman" w:hAnsi="Times New Roman"/>
          <w:color w:val="000000"/>
          <w:sz w:val="24"/>
        </w:rPr>
        <w:t>Fourth, church relationships contain ethical and theological considerations that commercial models do not necessarily address. The pursuit of engagement or retention cannot automatically be regarded as desirable if achieved through practices inconsistent with the organisation's beliefs or obligations.</w:t>
      </w:r>
    </w:p>
    <w:p>
      <w:pPr>
        <w:widowControl/>
        <w:spacing w:line="360" w:lineRule="auto" w:after="120"/>
      </w:pPr>
      <w:r>
        <w:rPr>
          <w:rFonts w:ascii="Times New Roman" w:hAnsi="Times New Roman"/>
          <w:color w:val="000000"/>
          <w:sz w:val="24"/>
        </w:rPr>
        <w:t>The theoretical value of these frameworks therefore lies not in providing a managerial prescription but in identifying questions for investigation. They suggest that congregational experience may develop across multiple touchpoints, that relationships require coordination, that proactive care may differ from reactive service, and that congregants themselves participate in the creation of value.</w:t>
      </w:r>
    </w:p>
    <w:p>
      <w:pPr>
        <w:widowControl/>
        <w:spacing w:line="360" w:lineRule="auto" w:after="120"/>
      </w:pPr>
      <w:r>
        <w:rPr>
          <w:rFonts w:ascii="Times New Roman" w:hAnsi="Times New Roman"/>
          <w:color w:val="000000"/>
          <w:sz w:val="24"/>
        </w:rPr>
        <w:t>These insights extend the service-quality models discussed previously and provide a basis for examining the broader organisational context within which church experiences occur.</w:t>
      </w:r>
    </w:p>
    <w:p>
      <w:bookmarkStart w:id="54" w:name="m54"/>
      <w:pPr>
        <w:pStyle w:val="Heading2"/>
        <w:pageBreakBefore w:val="0"/>
        <w:widowControl/>
      </w:pPr>
      <w:r>
        <w:rPr>
          <w:rFonts w:ascii="Times New Roman" w:hAnsi="Times New Roman"/>
          <w:b/>
          <w:color w:val="000000"/>
          <w:sz w:val="26"/>
        </w:rPr>
        <w:t>2.7 Service Quality in Hospitality and Nonprofit Organisations</w:t>
      </w:r>
      <w:bookmarkEnd w:id="54"/>
    </w:p>
    <w:p>
      <w:bookmarkStart w:id="55" w:name="m55"/>
      <w:pPr>
        <w:pStyle w:val="Heading3"/>
        <w:pageBreakBefore w:val="0"/>
        <w:widowControl/>
      </w:pPr>
      <w:r>
        <w:rPr>
          <w:rFonts w:ascii="Times New Roman" w:hAnsi="Times New Roman"/>
          <w:b/>
          <w:color w:val="000000"/>
          <w:sz w:val="24"/>
        </w:rPr>
        <w:t>2.7.1 Rationale for Cross-Sector Comparison</w:t>
      </w:r>
      <w:bookmarkEnd w:id="55"/>
    </w:p>
    <w:p>
      <w:pPr>
        <w:widowControl/>
        <w:spacing w:line="360" w:lineRule="auto" w:after="120"/>
      </w:pPr>
      <w:r>
        <w:rPr>
          <w:rFonts w:ascii="Times New Roman" w:hAnsi="Times New Roman"/>
          <w:color w:val="000000"/>
          <w:sz w:val="24"/>
        </w:rPr>
        <w:t>Direct empirical literature on customer service within churches remains limited. It is therefore useful to examine sectors that share relevant characteristics with religious organisations.</w:t>
      </w:r>
    </w:p>
    <w:p>
      <w:pPr>
        <w:widowControl/>
        <w:spacing w:line="360" w:lineRule="auto" w:after="120"/>
      </w:pPr>
      <w:r>
        <w:rPr>
          <w:rFonts w:ascii="Times New Roman" w:hAnsi="Times New Roman"/>
          <w:color w:val="000000"/>
          <w:sz w:val="24"/>
        </w:rPr>
        <w:t>Two sectors are particularly pertinent: hospitality and nonprofit organisations.</w:t>
      </w:r>
    </w:p>
    <w:p>
      <w:pPr>
        <w:widowControl/>
        <w:spacing w:line="360" w:lineRule="auto" w:after="120"/>
      </w:pPr>
      <w:r>
        <w:rPr>
          <w:rFonts w:ascii="Times New Roman" w:hAnsi="Times New Roman"/>
          <w:color w:val="000000"/>
          <w:sz w:val="24"/>
        </w:rPr>
        <w:t>Hospitality research is relevant because it has extensively examined welcome, emotional experience, responsiveness, physical environment, interpersonal interaction, relationship development, and repeat engagement. Churches likewise contain experiential and interpersonal elements, particularly in relation to visitors and regular participants.</w:t>
      </w:r>
    </w:p>
    <w:p>
      <w:pPr>
        <w:widowControl/>
        <w:spacing w:line="360" w:lineRule="auto" w:after="120"/>
      </w:pPr>
      <w:r>
        <w:rPr>
          <w:rFonts w:ascii="Times New Roman" w:hAnsi="Times New Roman"/>
          <w:color w:val="000000"/>
          <w:sz w:val="24"/>
        </w:rPr>
        <w:t>Nonprofit research provides a different form of comparison. Like churches, nonprofit organisations are primarily mission-driven rather than profit-driven and may depend extensively upon volunteers, donors, and stakeholder commitment. Their effectiveness can therefore involve balancing organisational mission with the experiences and needs of the people they serve.</w:t>
      </w:r>
    </w:p>
    <w:p>
      <w:pPr>
        <w:widowControl/>
        <w:spacing w:line="360" w:lineRule="auto" w:after="120"/>
      </w:pPr>
      <w:r>
        <w:rPr>
          <w:rFonts w:ascii="Times New Roman" w:hAnsi="Times New Roman"/>
          <w:color w:val="000000"/>
          <w:sz w:val="24"/>
        </w:rPr>
        <w:t>Neither sector provides a direct model for churches. The purpose of cross-sector comparison is instead to identify potentially transferable principles, while also clarifying where contextual differences limit transferability.</w:t>
      </w:r>
    </w:p>
    <w:p>
      <w:bookmarkStart w:id="56" w:name="m56"/>
      <w:pPr>
        <w:pStyle w:val="Heading3"/>
        <w:pageBreakBefore w:val="0"/>
        <w:widowControl/>
      </w:pPr>
      <w:r>
        <w:rPr>
          <w:rFonts w:ascii="Times New Roman" w:hAnsi="Times New Roman"/>
          <w:b/>
          <w:color w:val="000000"/>
          <w:sz w:val="24"/>
        </w:rPr>
        <w:t>2.7.2 Service Expectations and Physical Environments</w:t>
      </w:r>
      <w:bookmarkEnd w:id="56"/>
    </w:p>
    <w:p>
      <w:pPr>
        <w:widowControl/>
        <w:spacing w:line="360" w:lineRule="auto" w:after="120"/>
      </w:pPr>
      <w:r>
        <w:rPr>
          <w:rFonts w:ascii="Times New Roman" w:hAnsi="Times New Roman"/>
          <w:color w:val="000000"/>
          <w:sz w:val="24"/>
        </w:rPr>
        <w:t>Service encounters provide a useful basis for thinking about welcome, communication and physical access. These comparisons require clarity about the sector studied and whether a source offers a conceptual argument or empirical findings.</w:t>
      </w:r>
    </w:p>
    <w:p>
      <w:pPr>
        <w:widowControl/>
        <w:spacing w:line="360" w:lineRule="auto" w:after="120"/>
      </w:pPr>
      <w:r>
        <w:rPr>
          <w:rFonts w:ascii="Times New Roman" w:hAnsi="Times New Roman"/>
          <w:color w:val="000000"/>
          <w:sz w:val="24"/>
        </w:rPr>
        <w:t>For this study, the initial encounter with a church is a possible point of evaluation. Accessibility, information and interpersonal treatment may matter to a visitor, but their effects cannot be inferred from an unrelated service sector.</w:t>
      </w:r>
    </w:p>
    <w:p>
      <w:pPr>
        <w:widowControl/>
        <w:spacing w:line="360" w:lineRule="auto" w:after="120"/>
      </w:pPr>
      <w:r>
        <w:rPr>
          <w:rFonts w:ascii="Times New Roman" w:hAnsi="Times New Roman"/>
          <w:color w:val="000000"/>
          <w:sz w:val="24"/>
        </w:rPr>
        <w:t>Leventhal (2008) discusses expectations in aged care, where patients, relatives and other stakeholders complicate the service relationship. This is an aged-care argument about expectations and satisfaction, not hospitality evidence or a test in churches. Its relevance here is the possibility that different participants bring different expectations to the same organisation.</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Church visitors likewise arrive with expectations, although those expectations may vary substantially. They may concern practical questions such as where to go, what will happen, how children are accommodated, or whether someone will acknowledge them. They may also concern less tangible matters such as warmth, acceptance, anonymity, dignity, or belonging.</w:t>
      </w:r>
    </w:p>
    <w:p>
      <w:pPr>
        <w:widowControl/>
        <w:spacing w:line="360" w:lineRule="auto" w:after="120"/>
      </w:pPr>
      <w:r>
        <w:rPr>
          <w:rFonts w:ascii="Times New Roman" w:hAnsi="Times New Roman"/>
          <w:color w:val="000000"/>
          <w:sz w:val="24"/>
        </w:rPr>
        <w:t>The comparison directs attention to early interactions as a subject for investigation. It does not establish that a particular welcome system improves congregational outcomes.</w:t>
      </w:r>
    </w:p>
    <w:p>
      <w:pPr>
        <w:widowControl/>
        <w:spacing w:line="360" w:lineRule="auto" w:after="120"/>
      </w:pPr>
      <w:r>
        <w:rPr>
          <w:rFonts w:ascii="Times New Roman" w:hAnsi="Times New Roman"/>
          <w:color w:val="000000"/>
          <w:sz w:val="24"/>
        </w:rPr>
        <w:t>Bitner (1992) develops a conceptual servicescape framework and propositions about how physical surroundings may affect customers and employees. It supplies a theoretical perspective on service environments, rather than direct empirical evidence about church facilities or retention.</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Such insights are potentially relevant to churches because physical surroundings can facilitate or obstruct participation. Signage may influence whether a visitor can locate facilities. Accessibility may determine whether individuals with mobility limitations can participate comfortably. Layout can affect how easily newcomers understand where to go.</w:t>
      </w:r>
    </w:p>
    <w:p>
      <w:pPr>
        <w:widowControl/>
        <w:spacing w:line="360" w:lineRule="auto" w:after="120"/>
      </w:pPr>
      <w:r>
        <w:rPr>
          <w:rFonts w:ascii="Times New Roman" w:hAnsi="Times New Roman"/>
          <w:color w:val="000000"/>
          <w:sz w:val="24"/>
        </w:rPr>
        <w:t>However, the symbolic and spiritual meaning of church environments means that servicescape concepts cannot be applied mechanistically. A church building may intentionally emphasise tradition, simplicity, sacredness, community, or particular liturgical practices rather than commercial comfort. Evaluation must therefore distinguish between functional accessibility and aesthetic assumptions imported from hospitality settings.</w:t>
      </w:r>
    </w:p>
    <w:p>
      <w:pPr>
        <w:widowControl/>
        <w:spacing w:line="360" w:lineRule="auto" w:after="120"/>
      </w:pPr>
      <w:r>
        <w:rPr>
          <w:rFonts w:ascii="Times New Roman" w:hAnsi="Times New Roman"/>
          <w:color w:val="000000"/>
          <w:sz w:val="24"/>
        </w:rPr>
        <w:t>Emotional connection may be relevant to loyalty in hospitality, but this study does not assume that evidence from hospitality transfers directly to church settings. Relational and emotional experiences therefore provide a rationale for examining congregants’ reported experiences; they are not treated here as established determinants of congregational loyalty.</w:t>
      </w:r>
    </w:p>
    <w:p>
      <w:pPr>
        <w:widowControl/>
        <w:spacing w:line="360" w:lineRule="auto" w:after="120"/>
      </w:pPr>
      <w:r>
        <w:rPr>
          <w:rFonts w:ascii="Times New Roman" w:hAnsi="Times New Roman"/>
          <w:color w:val="000000"/>
          <w:sz w:val="24"/>
        </w:rPr>
        <w:t>The present study can describe reported emotional experiences. It cannot establish that emotional bonding causes church retention or that commercial loyalty measures are equivalent to religious commitment.</w:t>
      </w:r>
    </w:p>
    <w:p>
      <w:pPr>
        <w:widowControl/>
        <w:spacing w:line="360" w:lineRule="auto" w:after="120"/>
      </w:pPr>
      <w:r>
        <w:rPr>
          <w:rFonts w:ascii="Times New Roman" w:hAnsi="Times New Roman"/>
          <w:color w:val="000000"/>
          <w:sz w:val="24"/>
        </w:rPr>
        <w:t>The contribution of hospitality research is therefore conceptual rather than deterministic. It demonstrates that service experiences involve functional, environmental, interpersonal, and emotional dimensions and that these dimensions can shape organisational evaluations. Whether they operate similarly in churches requires empirical examination.</w:t>
      </w:r>
    </w:p>
    <w:p>
      <w:bookmarkStart w:id="57" w:name="m57"/>
      <w:pPr>
        <w:pStyle w:val="Heading3"/>
        <w:pageBreakBefore w:val="0"/>
        <w:widowControl/>
      </w:pPr>
      <w:r>
        <w:rPr>
          <w:rFonts w:ascii="Times New Roman" w:hAnsi="Times New Roman"/>
          <w:b/>
          <w:color w:val="000000"/>
          <w:sz w:val="24"/>
        </w:rPr>
        <w:t>2.7.3 Onboarding and First Encounters</w:t>
      </w:r>
      <w:bookmarkEnd w:id="57"/>
    </w:p>
    <w:p>
      <w:pPr>
        <w:widowControl/>
        <w:spacing w:line="360" w:lineRule="auto" w:after="120"/>
      </w:pPr>
      <w:r>
        <w:rPr>
          <w:rFonts w:ascii="Times New Roman" w:hAnsi="Times New Roman"/>
          <w:color w:val="000000"/>
          <w:sz w:val="24"/>
        </w:rPr>
        <w:t>The hospitality literature frequently treats the beginning of a service relationship as particularly important because unfamiliar individuals have limited prior experience on which to base expectations.</w:t>
      </w:r>
    </w:p>
    <w:p>
      <w:pPr>
        <w:widowControl/>
        <w:spacing w:line="360" w:lineRule="auto" w:after="120"/>
      </w:pPr>
      <w:r>
        <w:rPr>
          <w:rFonts w:ascii="Times New Roman" w:hAnsi="Times New Roman"/>
          <w:color w:val="000000"/>
          <w:sz w:val="24"/>
        </w:rPr>
        <w:t>Bowden’s (2009) conceptual framework distinguishes the psychological processes associated with new and repeat customers. This provides a theoretical parallel for churches because first-time visitors and long-term members may interpret the same organisational practices differently. This application is an interpretation of the framework, rather than a finding about churches.</w:t>
      </w:r>
    </w:p>
    <w:p>
      <w:pPr>
        <w:widowControl/>
        <w:spacing w:line="360" w:lineRule="auto" w:after="120"/>
      </w:pPr>
      <w:r>
        <w:rPr>
          <w:rFonts w:ascii="Times New Roman" w:hAnsi="Times New Roman"/>
          <w:color w:val="000000"/>
          <w:sz w:val="24"/>
        </w:rPr>
        <w:t>A new visitor may be especially dependent upon visible information, clear processes, and interpersonal guidance because established members possess knowledge that newcomers do not. What seems obvious to an existing congregation may therefore be confusing to someone encountering the organisation for the first time.</w:t>
      </w:r>
    </w:p>
    <w:p>
      <w:pPr>
        <w:widowControl/>
        <w:spacing w:line="360" w:lineRule="auto" w:after="120"/>
      </w:pPr>
      <w:r>
        <w:t>Welcome teams, information points, follow-up processes and newcomer programmes are possible ways of structuring first encounters. This review treats these practices as examples for consideration, rather than documented evidence of their prevalence or effectiveness in churches.</w:t>
      </w:r>
    </w:p>
    <w:p>
      <w:pPr>
        <w:widowControl/>
        <w:spacing w:line="360" w:lineRule="auto" w:after="120"/>
      </w:pPr>
      <w:r>
        <w:rPr>
          <w:rFonts w:ascii="Times New Roman" w:hAnsi="Times New Roman"/>
          <w:color w:val="000000"/>
          <w:sz w:val="24"/>
        </w:rPr>
        <w:t>However, the existence of these practices does not establish their effectiveness. Much of the evidence concerning specific church hospitality techniques remains practitioner-based rather than derived from controlled or comparative research.</w:t>
      </w:r>
    </w:p>
    <w:p>
      <w:pPr>
        <w:widowControl/>
        <w:spacing w:line="360" w:lineRule="auto" w:after="120"/>
      </w:pPr>
      <w:r>
        <w:rPr>
          <w:rFonts w:ascii="Times New Roman" w:hAnsi="Times New Roman"/>
          <w:color w:val="000000"/>
          <w:sz w:val="24"/>
        </w:rPr>
        <w:t>This distinction is important. Hospitality theory supports the proposition that first encounters merit investigation, but it does not establish that any particular church practice will improve satisfaction, participation, or retention.</w:t>
      </w:r>
    </w:p>
    <w:p>
      <w:pPr>
        <w:widowControl/>
        <w:spacing w:line="360" w:lineRule="auto" w:after="120"/>
      </w:pPr>
      <w:r>
        <w:rPr>
          <w:rFonts w:ascii="Times New Roman" w:hAnsi="Times New Roman"/>
          <w:color w:val="000000"/>
          <w:sz w:val="24"/>
        </w:rPr>
        <w:t>The present study can therefore investigate aspects of welcome and first impressions without assuming that established commercial or megachurch approaches constitute best practice.</w:t>
      </w:r>
    </w:p>
    <w:p>
      <w:bookmarkStart w:id="58" w:name="m58"/>
      <w:pPr>
        <w:pStyle w:val="Heading3"/>
        <w:pageBreakBefore w:val="0"/>
        <w:widowControl/>
      </w:pPr>
      <w:r>
        <w:rPr>
          <w:rFonts w:ascii="Times New Roman" w:hAnsi="Times New Roman"/>
          <w:b/>
          <w:color w:val="000000"/>
          <w:sz w:val="24"/>
        </w:rPr>
        <w:t>2.7.4 Relationship Cultivation and Personalisation</w:t>
      </w:r>
      <w:bookmarkEnd w:id="58"/>
    </w:p>
    <w:p>
      <w:pPr>
        <w:widowControl/>
        <w:spacing w:line="360" w:lineRule="auto" w:after="120"/>
      </w:pPr>
      <w:r>
        <w:rPr>
          <w:rFonts w:ascii="Times New Roman" w:hAnsi="Times New Roman"/>
          <w:color w:val="000000"/>
          <w:sz w:val="24"/>
        </w:rPr>
        <w:t>A second major theme within hospitality is personalisation. Organisations may seek to understand individual preferences, recognise returning customers, and adapt interactions in ways that communicate familiarity and attention.</w:t>
      </w:r>
    </w:p>
    <w:p>
      <w:pPr>
        <w:widowControl/>
        <w:spacing w:line="360" w:lineRule="auto" w:after="120"/>
      </w:pPr>
      <w:r>
        <w:rPr>
          <w:rFonts w:ascii="Times New Roman" w:hAnsi="Times New Roman"/>
          <w:color w:val="000000"/>
          <w:sz w:val="24"/>
        </w:rPr>
        <w:t>Nonprofit organisations display related practices when they maintain relationships with volunteers, beneficiaries, or donors. Personalised communication, recognition, feedback, and acknowledgement can reinforce individuals' sense that their contribution or participation matters.</w:t>
      </w:r>
    </w:p>
    <w:p>
      <w:pPr>
        <w:widowControl/>
        <w:spacing w:line="360" w:lineRule="auto" w:after="120"/>
      </w:pPr>
      <w:r>
        <w:rPr>
          <w:rFonts w:ascii="Times New Roman" w:hAnsi="Times New Roman"/>
          <w:color w:val="000000"/>
          <w:sz w:val="24"/>
        </w:rPr>
        <w:t>The church context contains obvious parallels because pastoral care and community life are inherently relational. Feeling known, acknowledged, or supported may contribute significantly to congregational experience.</w:t>
      </w:r>
    </w:p>
    <w:p>
      <w:pPr>
        <w:widowControl/>
        <w:spacing w:line="360" w:lineRule="auto" w:after="120"/>
      </w:pPr>
      <w:r>
        <w:rPr>
          <w:rFonts w:ascii="Times New Roman" w:hAnsi="Times New Roman"/>
          <w:color w:val="000000"/>
          <w:sz w:val="24"/>
        </w:rPr>
        <w:t>Yet personalisation raises important distinctions. In a hospitality organisation, personalisation may be instrumental: it can be designed deliberately to increase loyalty and commercial value. Within churches, personal recognition may instead be understood as part of community, pastoral responsibility, or spiritual care.</w:t>
      </w:r>
    </w:p>
    <w:p>
      <w:pPr>
        <w:widowControl/>
        <w:spacing w:line="360" w:lineRule="auto" w:after="120"/>
      </w:pPr>
      <w:r>
        <w:rPr>
          <w:rFonts w:ascii="Times New Roman" w:hAnsi="Times New Roman"/>
          <w:color w:val="000000"/>
          <w:sz w:val="24"/>
        </w:rPr>
        <w:t>The observable behaviour may therefore appear similar while its purpose and meaning differ.</w:t>
      </w:r>
    </w:p>
    <w:p>
      <w:pPr>
        <w:widowControl/>
        <w:spacing w:line="360" w:lineRule="auto" w:after="120"/>
      </w:pPr>
      <w:r>
        <w:rPr>
          <w:rFonts w:ascii="Times New Roman" w:hAnsi="Times New Roman"/>
          <w:color w:val="000000"/>
          <w:sz w:val="24"/>
        </w:rPr>
        <w:t>This is precisely why cross-sector comparison is useful. It enables the researcher to identify comparable organisational practices while simultaneously examining whether their meanings differ according to context.</w:t>
      </w:r>
    </w:p>
    <w:p>
      <w:bookmarkStart w:id="59" w:name="m59"/>
      <w:pPr>
        <w:pStyle w:val="Heading3"/>
        <w:pageBreakBefore w:val="0"/>
        <w:widowControl/>
      </w:pPr>
      <w:r>
        <w:rPr>
          <w:rFonts w:ascii="Times New Roman" w:hAnsi="Times New Roman"/>
          <w:b/>
          <w:color w:val="000000"/>
          <w:sz w:val="24"/>
        </w:rPr>
        <w:t>2.7.5 Nonprofit Service Quality</w:t>
      </w:r>
      <w:bookmarkEnd w:id="59"/>
    </w:p>
    <w:p>
      <w:pPr>
        <w:widowControl/>
        <w:spacing w:line="360" w:lineRule="auto" w:after="120"/>
      </w:pPr>
      <w:r>
        <w:rPr>
          <w:rFonts w:ascii="Times New Roman" w:hAnsi="Times New Roman"/>
          <w:color w:val="000000"/>
          <w:sz w:val="24"/>
        </w:rPr>
        <w:t>Nonprofit organisations offer a particularly important comparative setting because their goals are mission-based rather than primarily commercial.</w:t>
      </w:r>
    </w:p>
    <w:p>
      <w:pPr>
        <w:widowControl/>
        <w:spacing w:line="360" w:lineRule="auto" w:after="120"/>
      </w:pPr>
      <w:r>
        <w:rPr>
          <w:rFonts w:ascii="Times New Roman" w:hAnsi="Times New Roman"/>
          <w:color w:val="000000"/>
          <w:sz w:val="24"/>
        </w:rPr>
        <w:t>Church-specific research provides a more direct starting point here: Vuokko (2000) considers customer-oriented thinking in the Finnish Lutheran Church, while Santos and Mathews (2001) examine quality in religious services. These sources support examining organisational experience within religious institutions, with attention to context and to the distinction between importance and performance.</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Nonprofits may also face challenges similar to churches. Financial resources can be constrained, service provision may depend upon volunteers, and organisational goals may prioritise mission outcomes over customer convenience.</w:t>
      </w:r>
    </w:p>
    <w:p>
      <w:pPr>
        <w:widowControl/>
        <w:spacing w:line="360" w:lineRule="auto" w:after="120"/>
      </w:pPr>
      <w:r>
        <w:rPr>
          <w:rFonts w:ascii="Times New Roman" w:hAnsi="Times New Roman"/>
          <w:color w:val="000000"/>
          <w:sz w:val="24"/>
        </w:rPr>
        <w:t>These similarities make nonprofit research potentially more transferable to churches than some forms of purely commercial service research.</w:t>
      </w:r>
    </w:p>
    <w:p>
      <w:pPr>
        <w:widowControl/>
        <w:spacing w:line="360" w:lineRule="auto" w:after="120"/>
      </w:pPr>
      <w:r>
        <w:rPr>
          <w:rFonts w:ascii="Times New Roman" w:hAnsi="Times New Roman"/>
          <w:color w:val="000000"/>
          <w:sz w:val="24"/>
        </w:rPr>
        <w:t>However, the nonprofit sector itself is highly diverse. Hospitals, educational institutions, charities, cultural organisations, advocacy groups, and community organisations have very different stakeholders and service relationships. Findings from one nonprofit setting cannot automatically be generalised to another.</w:t>
      </w:r>
    </w:p>
    <w:p>
      <w:pPr>
        <w:widowControl/>
        <w:spacing w:line="360" w:lineRule="auto" w:after="120"/>
      </w:pPr>
      <w:r>
        <w:rPr>
          <w:rFonts w:ascii="Times New Roman" w:hAnsi="Times New Roman"/>
          <w:color w:val="000000"/>
          <w:sz w:val="24"/>
        </w:rPr>
        <w:t>The value of the literature therefore lies in demonstrating that mission orientation does not eliminate service-quality considerations. An organisation can pursue social, charitable, educational, or spiritual purposes while still being evaluated according to how effectively and respectfully it interacts with people.</w:t>
      </w:r>
    </w:p>
    <w:p>
      <w:pPr>
        <w:widowControl/>
        <w:spacing w:line="360" w:lineRule="auto" w:after="120"/>
      </w:pPr>
      <w:r>
        <w:rPr>
          <w:rFonts w:ascii="Times New Roman" w:hAnsi="Times New Roman"/>
          <w:color w:val="000000"/>
          <w:sz w:val="24"/>
        </w:rPr>
        <w:t>For churches, this suggests that theological mission and service quality need not necessarily be opposing concepts. A church may reject consumerism while still considering whether its systems are accessible, communications reliable, leaders responsive, and interactions empathetic.</w:t>
      </w:r>
    </w:p>
    <w:p>
      <w:bookmarkStart w:id="60" w:name="m60"/>
      <w:pPr>
        <w:pStyle w:val="Heading3"/>
        <w:pageBreakBefore w:val="0"/>
        <w:widowControl/>
      </w:pPr>
      <w:r>
        <w:rPr>
          <w:rFonts w:ascii="Times New Roman" w:hAnsi="Times New Roman"/>
          <w:b/>
          <w:color w:val="000000"/>
          <w:sz w:val="24"/>
        </w:rPr>
        <w:t>2.7.6 Volunteer-Based Service Delivery</w:t>
      </w:r>
      <w:bookmarkEnd w:id="60"/>
    </w:p>
    <w:p>
      <w:pPr>
        <w:widowControl/>
        <w:spacing w:line="360" w:lineRule="auto" w:after="120"/>
      </w:pPr>
      <w:r>
        <w:rPr>
          <w:rFonts w:ascii="Times New Roman" w:hAnsi="Times New Roman"/>
          <w:color w:val="000000"/>
          <w:sz w:val="24"/>
        </w:rPr>
        <w:t>One of the strongest points of comparison between nonprofits and churches is dependence upon volunteers.</w:t>
      </w:r>
    </w:p>
    <w:p>
      <w:pPr>
        <w:widowControl/>
        <w:spacing w:line="360" w:lineRule="auto" w:after="120"/>
      </w:pPr>
      <w:r>
        <w:rPr>
          <w:rFonts w:ascii="Times New Roman" w:hAnsi="Times New Roman"/>
          <w:color w:val="000000"/>
          <w:sz w:val="24"/>
        </w:rPr>
        <w:t>Commercial hospitality organisations typically employ staff whose roles, training, accountability, and working hours are formally defined. By contrast, nonprofit organisations and churches frequently rely upon individuals who provide services voluntarily alongside other commitments.</w:t>
      </w:r>
    </w:p>
    <w:p>
      <w:pPr>
        <w:widowControl/>
        <w:spacing w:line="360" w:lineRule="auto" w:after="120"/>
      </w:pPr>
      <w:r>
        <w:rPr>
          <w:rFonts w:ascii="Times New Roman" w:hAnsi="Times New Roman"/>
          <w:color w:val="000000"/>
          <w:sz w:val="24"/>
        </w:rPr>
        <w:t>This distinction has implications for service quality. Volunteer-based provision may create particular strengths, including authenticity, community participation, commitment to mission, and interpersonal warmth. It may also produce variability in availability, training, consistency, and accountability.</w:t>
      </w:r>
    </w:p>
    <w:p>
      <w:pPr>
        <w:widowControl/>
        <w:spacing w:line="360" w:lineRule="auto" w:after="120"/>
      </w:pPr>
      <w:r>
        <w:rPr>
          <w:rFonts w:ascii="Times New Roman" w:hAnsi="Times New Roman"/>
          <w:color w:val="000000"/>
          <w:sz w:val="24"/>
        </w:rPr>
        <w:t>Churches are especially dependent upon volunteers in roles that directly affect congregational experience, including greeting, children's programmes, music, administration, small groups, pastoral support, and community activities.</w:t>
      </w:r>
    </w:p>
    <w:p>
      <w:pPr>
        <w:widowControl/>
        <w:spacing w:line="360" w:lineRule="auto" w:after="120"/>
      </w:pPr>
      <w:r>
        <w:rPr>
          <w:rFonts w:ascii="Times New Roman" w:hAnsi="Times New Roman"/>
          <w:color w:val="000000"/>
          <w:sz w:val="24"/>
        </w:rPr>
        <w:t>Service-quality models developed around professional employees may therefore require adaptation. Reliability, for example, may be more difficult to maintain where service provision depends upon rotating volunteer teams. Responsiveness may be constrained by availability rather than organisational unwillingness. Training may be informal or uneven.</w:t>
      </w:r>
    </w:p>
    <w:p>
      <w:pPr>
        <w:widowControl/>
        <w:spacing w:line="360" w:lineRule="auto" w:after="120"/>
      </w:pPr>
      <w:r>
        <w:rPr>
          <w:rFonts w:ascii="Times New Roman" w:hAnsi="Times New Roman"/>
          <w:color w:val="000000"/>
          <w:sz w:val="24"/>
        </w:rPr>
        <w:t>These contextual differences reinforce the importance of not treating a church simply as another hospitality business.</w:t>
      </w:r>
    </w:p>
    <w:p>
      <w:pPr>
        <w:widowControl/>
        <w:spacing w:line="360" w:lineRule="auto" w:after="120"/>
      </w:pPr>
      <w:r>
        <w:rPr>
          <w:rFonts w:ascii="Times New Roman" w:hAnsi="Times New Roman"/>
          <w:color w:val="000000"/>
          <w:sz w:val="24"/>
        </w:rPr>
        <w:t>At the same time, they make service-quality research more rather than less relevant. If organisational structure affects the consistency of experience, understanding the relationship between volunteer systems and congregant perceptions becomes an important area of inquiry.</w:t>
      </w:r>
    </w:p>
    <w:p>
      <w:bookmarkStart w:id="61" w:name="m61"/>
      <w:pPr>
        <w:pStyle w:val="Heading3"/>
        <w:pageBreakBefore w:val="0"/>
        <w:widowControl/>
      </w:pPr>
      <w:r>
        <w:rPr>
          <w:rFonts w:ascii="Times New Roman" w:hAnsi="Times New Roman"/>
          <w:b/>
          <w:color w:val="000000"/>
          <w:sz w:val="24"/>
        </w:rPr>
        <w:t>2.7.7 Engagement and Participation Across Sectors</w:t>
      </w:r>
      <w:bookmarkEnd w:id="61"/>
    </w:p>
    <w:p>
      <w:pPr>
        <w:widowControl/>
        <w:spacing w:line="360" w:lineRule="auto" w:after="120"/>
      </w:pPr>
      <w:r>
        <w:rPr>
          <w:rFonts w:ascii="Times New Roman" w:hAnsi="Times New Roman"/>
          <w:color w:val="000000"/>
          <w:sz w:val="24"/>
        </w:rPr>
        <w:t>Hospitality and nonprofit sectors also provide contrasting models of engagement.</w:t>
      </w:r>
    </w:p>
    <w:p>
      <w:pPr>
        <w:widowControl/>
        <w:spacing w:line="360" w:lineRule="auto" w:after="120"/>
      </w:pPr>
      <w:r>
        <w:rPr>
          <w:rFonts w:ascii="Times New Roman" w:hAnsi="Times New Roman"/>
          <w:color w:val="000000"/>
          <w:sz w:val="24"/>
        </w:rPr>
        <w:t>In commercial hospitality, engagement may be encouraged through loyalty programmes, personalised communication, and repeat-service incentives. Nonprofit organisations may seek deeper engagement through volunteering, recurring support, leadership roles, or participation in organisational activities.</w:t>
      </w:r>
    </w:p>
    <w:p>
      <w:pPr>
        <w:widowControl/>
        <w:spacing w:line="360" w:lineRule="auto" w:after="120"/>
      </w:pPr>
      <w:r>
        <w:rPr>
          <w:rFonts w:ascii="Times New Roman" w:hAnsi="Times New Roman"/>
          <w:color w:val="000000"/>
          <w:sz w:val="24"/>
        </w:rPr>
        <w:t>Churches resemble the latter more closely. Increased involvement often means moving from attendance towards participation, service, leadership, or community responsibility rather than simply repeating a transaction.</w:t>
      </w:r>
    </w:p>
    <w:p>
      <w:pPr>
        <w:widowControl/>
        <w:spacing w:line="360" w:lineRule="auto" w:after="120"/>
      </w:pPr>
      <w:r>
        <w:rPr>
          <w:rFonts w:ascii="Times New Roman" w:hAnsi="Times New Roman"/>
          <w:color w:val="000000"/>
          <w:sz w:val="24"/>
        </w:rPr>
        <w:t>Increasing levels of organisational participation can be considered as a ladder of engagement, but this conceptual comparison should not be interpreted literally as a commercial loyalty mechanism.</w:t>
      </w:r>
    </w:p>
    <w:p>
      <w:pPr>
        <w:widowControl/>
        <w:spacing w:line="360" w:lineRule="auto" w:after="120"/>
      </w:pPr>
      <w:r>
        <w:rPr>
          <w:rFonts w:ascii="Times New Roman" w:hAnsi="Times New Roman"/>
          <w:color w:val="000000"/>
          <w:sz w:val="24"/>
        </w:rPr>
        <w:t>The deeper point is that church members may occupy different levels and forms of involvement. These differences may influence expectations and perceptions of service quality. An occasional visitor, regular attendee, active volunteer, and ministry leader may evaluate the same organisation from quite different perspectives.</w:t>
      </w:r>
    </w:p>
    <w:p>
      <w:pPr>
        <w:widowControl/>
        <w:spacing w:line="360" w:lineRule="auto" w:after="120"/>
      </w:pPr>
      <w:r>
        <w:rPr>
          <w:rFonts w:ascii="Times New Roman" w:hAnsi="Times New Roman"/>
          <w:color w:val="000000"/>
          <w:sz w:val="24"/>
        </w:rPr>
        <w:t>Santos and Mathews' (2001) finding that more frequent attendees placed greater importance on service-quality dimensions supports the relevance of this distinction.</w:t>
      </w:r>
    </w:p>
    <w:p>
      <w:pPr>
        <w:widowControl/>
        <w:spacing w:line="360" w:lineRule="auto" w:after="120"/>
      </w:pPr>
      <w:r>
        <w:rPr>
          <w:rFonts w:ascii="Times New Roman" w:hAnsi="Times New Roman"/>
          <w:color w:val="000000"/>
          <w:sz w:val="24"/>
        </w:rPr>
        <w:t>Consequently, level of involvement may be an important contextual variable when interpreting congregational perceptions.</w:t>
      </w:r>
    </w:p>
    <w:p>
      <w:bookmarkStart w:id="62" w:name="m62"/>
      <w:pPr>
        <w:pStyle w:val="Heading3"/>
        <w:pageBreakBefore w:val="0"/>
        <w:widowControl/>
      </w:pPr>
      <w:r>
        <w:rPr>
          <w:rFonts w:ascii="Times New Roman" w:hAnsi="Times New Roman"/>
          <w:b/>
          <w:color w:val="000000"/>
          <w:sz w:val="24"/>
        </w:rPr>
        <w:t>2.7.8 Limits of Cross-Sector Transferability</w:t>
      </w:r>
      <w:bookmarkEnd w:id="62"/>
    </w:p>
    <w:p>
      <w:pPr>
        <w:widowControl/>
        <w:spacing w:line="360" w:lineRule="auto" w:after="120"/>
      </w:pPr>
      <w:r>
        <w:rPr>
          <w:rFonts w:ascii="Times New Roman" w:hAnsi="Times New Roman"/>
          <w:color w:val="000000"/>
          <w:sz w:val="24"/>
        </w:rPr>
        <w:t>Although hospitality and nonprofit literature provides important comparative insight, the limitations of transferability must be made explicit.</w:t>
      </w:r>
    </w:p>
    <w:p>
      <w:pPr>
        <w:widowControl/>
        <w:spacing w:line="360" w:lineRule="auto" w:after="120"/>
      </w:pPr>
      <w:r>
        <w:rPr>
          <w:rFonts w:ascii="Times New Roman" w:hAnsi="Times New Roman"/>
          <w:color w:val="000000"/>
          <w:sz w:val="24"/>
        </w:rPr>
        <w:t>First, organisational purpose differs. Hotels ultimately operate through commercial exchange, whereas churches operate through theological, communal, and pastoral commitments.</w:t>
      </w:r>
    </w:p>
    <w:p>
      <w:pPr>
        <w:widowControl/>
        <w:spacing w:line="360" w:lineRule="auto" w:after="120"/>
      </w:pPr>
      <w:r>
        <w:rPr>
          <w:rFonts w:ascii="Times New Roman" w:hAnsi="Times New Roman"/>
          <w:color w:val="000000"/>
          <w:sz w:val="24"/>
        </w:rPr>
        <w:t>Second, the meaning of retention differs. Repeat patronage is generally desirable within commercial services because it contributes to organisational revenue. Continued church participation may be valued, but the reasons for doing so are spiritual and communal rather than primarily financial.</w:t>
      </w:r>
    </w:p>
    <w:p>
      <w:pPr>
        <w:widowControl/>
        <w:spacing w:line="360" w:lineRule="auto" w:after="120"/>
      </w:pPr>
      <w:r>
        <w:rPr>
          <w:rFonts w:ascii="Times New Roman" w:hAnsi="Times New Roman"/>
          <w:color w:val="000000"/>
          <w:sz w:val="24"/>
        </w:rPr>
        <w:t>Third, the role of the participant differs. Hospitality customers are primarily service recipients, whereas church members may simultaneously receive and provide services.</w:t>
      </w:r>
    </w:p>
    <w:p>
      <w:pPr>
        <w:widowControl/>
        <w:spacing w:line="360" w:lineRule="auto" w:after="120"/>
      </w:pPr>
      <w:r>
        <w:rPr>
          <w:rFonts w:ascii="Times New Roman" w:hAnsi="Times New Roman"/>
          <w:color w:val="000000"/>
          <w:sz w:val="24"/>
        </w:rPr>
        <w:t>Fourth, success differs. Commercial satisfaction can often be linked to measurable behavioural or financial outcomes. Church outcomes may include belonging, spiritual growth, participation, pastoral wellbeing, community involvement, or other dimensions that are more difficult to operationalise.</w:t>
      </w:r>
    </w:p>
    <w:p>
      <w:pPr>
        <w:widowControl/>
        <w:spacing w:line="360" w:lineRule="auto" w:after="120"/>
      </w:pPr>
      <w:r>
        <w:rPr>
          <w:rFonts w:ascii="Times New Roman" w:hAnsi="Times New Roman"/>
          <w:color w:val="000000"/>
          <w:sz w:val="24"/>
        </w:rPr>
        <w:t>Fifth, ethical considerations differ. Strategies deliberately designed to maximise commercial loyalty may be inappropriate if transferred uncritically to religious organisations.</w:t>
      </w:r>
    </w:p>
    <w:p>
      <w:pPr>
        <w:widowControl/>
        <w:spacing w:line="360" w:lineRule="auto" w:after="120"/>
      </w:pPr>
      <w:r>
        <w:rPr>
          <w:rFonts w:ascii="Times New Roman" w:hAnsi="Times New Roman"/>
          <w:color w:val="000000"/>
          <w:sz w:val="24"/>
        </w:rPr>
        <w:t>Cross-sector evidence must therefore be used comparatively rather than prescriptively.</w:t>
      </w:r>
    </w:p>
    <w:p>
      <w:pPr>
        <w:widowControl/>
        <w:spacing w:line="360" w:lineRule="auto" w:after="120"/>
      </w:pPr>
      <w:r>
        <w:rPr>
          <w:rFonts w:ascii="Times New Roman" w:hAnsi="Times New Roman"/>
          <w:color w:val="000000"/>
          <w:sz w:val="24"/>
        </w:rPr>
        <w:t>The appropriate question is not:</w:t>
      </w:r>
    </w:p>
    <w:p>
      <w:pPr>
        <w:widowControl/>
        <w:spacing w:line="360" w:lineRule="auto" w:after="120"/>
      </w:pPr>
      <w:r>
        <w:rPr>
          <w:rFonts w:ascii="Times New Roman" w:hAnsi="Times New Roman"/>
          <w:color w:val="000000"/>
          <w:sz w:val="24"/>
        </w:rPr>
        <w:t>Which hospitality techniques should churches copy?</w:t>
      </w:r>
    </w:p>
    <w:p>
      <w:pPr>
        <w:widowControl/>
        <w:spacing w:line="360" w:lineRule="auto" w:after="120"/>
      </w:pPr>
      <w:r>
        <w:rPr>
          <w:rFonts w:ascii="Times New Roman" w:hAnsi="Times New Roman"/>
          <w:color w:val="000000"/>
          <w:sz w:val="24"/>
        </w:rPr>
        <w:t>It is:</w:t>
      </w:r>
    </w:p>
    <w:p>
      <w:pPr>
        <w:widowControl/>
        <w:spacing w:line="360" w:lineRule="auto" w:after="120"/>
      </w:pPr>
      <w:r>
        <w:rPr>
          <w:rFonts w:ascii="Times New Roman" w:hAnsi="Times New Roman"/>
          <w:color w:val="000000"/>
          <w:sz w:val="24"/>
        </w:rPr>
        <w:t>Which principles identified in service and nonprofit research may help explain congregational experiences, and which require modification because of the distinctive nature of churches?</w:t>
      </w:r>
    </w:p>
    <w:p>
      <w:pPr>
        <w:widowControl/>
        <w:spacing w:line="360" w:lineRule="auto" w:after="120"/>
      </w:pPr>
      <w:r>
        <w:rPr>
          <w:rFonts w:ascii="Times New Roman" w:hAnsi="Times New Roman"/>
          <w:color w:val="000000"/>
          <w:sz w:val="24"/>
        </w:rPr>
        <w:t>This distinction is fundamental to the theoretical position of the dissertation.</w:t>
      </w:r>
    </w:p>
    <w:p>
      <w:bookmarkStart w:id="63" w:name="m63"/>
      <w:pPr>
        <w:pStyle w:val="Heading3"/>
        <w:pageBreakBefore w:val="0"/>
        <w:widowControl/>
      </w:pPr>
      <w:r>
        <w:rPr>
          <w:rFonts w:ascii="Times New Roman" w:hAnsi="Times New Roman"/>
          <w:b/>
          <w:color w:val="000000"/>
          <w:sz w:val="24"/>
        </w:rPr>
        <w:t>2.7.9 Synthesis of Cross-Sector Evidence</w:t>
      </w:r>
      <w:bookmarkEnd w:id="63"/>
    </w:p>
    <w:p>
      <w:pPr>
        <w:widowControl/>
        <w:spacing w:line="360" w:lineRule="auto" w:after="120"/>
      </w:pPr>
      <w:r>
        <w:rPr>
          <w:rFonts w:ascii="Times New Roman" w:hAnsi="Times New Roman"/>
          <w:color w:val="000000"/>
          <w:sz w:val="24"/>
        </w:rPr>
        <w:t>The cross-sector literature identifies several themes with potential relevance to churches.</w:t>
      </w:r>
    </w:p>
    <w:p>
      <w:pPr>
        <w:widowControl/>
        <w:spacing w:line="360" w:lineRule="auto" w:after="120"/>
      </w:pPr>
      <w:r>
        <w:rPr>
          <w:rFonts w:ascii="Times New Roman" w:hAnsi="Times New Roman"/>
          <w:color w:val="000000"/>
          <w:sz w:val="24"/>
        </w:rPr>
        <w:t>First, service experiences are produced through multiple touchpoints rather than one isolated interaction.</w:t>
      </w:r>
    </w:p>
    <w:p>
      <w:pPr>
        <w:widowControl/>
        <w:spacing w:line="360" w:lineRule="auto" w:after="120"/>
      </w:pPr>
      <w:r>
        <w:rPr>
          <w:rFonts w:ascii="Times New Roman" w:hAnsi="Times New Roman"/>
          <w:color w:val="000000"/>
          <w:sz w:val="24"/>
        </w:rPr>
        <w:t>Second, first encounters can be especially influential because newcomers possess limited organisational knowledge.</w:t>
      </w:r>
    </w:p>
    <w:p>
      <w:pPr>
        <w:widowControl/>
        <w:spacing w:line="360" w:lineRule="auto" w:after="120"/>
      </w:pPr>
      <w:r>
        <w:rPr>
          <w:rFonts w:ascii="Times New Roman" w:hAnsi="Times New Roman"/>
          <w:color w:val="000000"/>
          <w:sz w:val="24"/>
        </w:rPr>
        <w:t>Third, relational and emotional dimensions can be important alongside functional service performance.</w:t>
      </w:r>
    </w:p>
    <w:p>
      <w:pPr>
        <w:widowControl/>
        <w:spacing w:line="360" w:lineRule="auto" w:after="120"/>
      </w:pPr>
      <w:r>
        <w:rPr>
          <w:rFonts w:ascii="Times New Roman" w:hAnsi="Times New Roman"/>
          <w:color w:val="000000"/>
          <w:sz w:val="24"/>
        </w:rPr>
        <w:t>Fourth, physical and organisational environments can facilitate or obstruct participation.</w:t>
      </w:r>
    </w:p>
    <w:p>
      <w:pPr>
        <w:widowControl/>
        <w:spacing w:line="360" w:lineRule="auto" w:after="120"/>
      </w:pPr>
      <w:r>
        <w:rPr>
          <w:rFonts w:ascii="Times New Roman" w:hAnsi="Times New Roman"/>
          <w:color w:val="000000"/>
          <w:sz w:val="24"/>
        </w:rPr>
        <w:t>Fifth, mission-driven organisations remain subject to expectations concerning responsiveness, reliability, accessibility, and respectful treatment.</w:t>
      </w:r>
    </w:p>
    <w:p>
      <w:pPr>
        <w:widowControl/>
        <w:spacing w:line="360" w:lineRule="auto" w:after="120"/>
      </w:pPr>
      <w:r>
        <w:rPr>
          <w:rFonts w:ascii="Times New Roman" w:hAnsi="Times New Roman"/>
          <w:color w:val="000000"/>
          <w:sz w:val="24"/>
        </w:rPr>
        <w:t>Sixth, volunteer-based delivery creates distinctive challenges for consistency and coordination.</w:t>
      </w:r>
    </w:p>
    <w:p>
      <w:pPr>
        <w:widowControl/>
        <w:spacing w:line="360" w:lineRule="auto" w:after="120"/>
      </w:pPr>
      <w:r>
        <w:rPr>
          <w:rFonts w:ascii="Times New Roman" w:hAnsi="Times New Roman"/>
          <w:color w:val="000000"/>
          <w:sz w:val="24"/>
        </w:rPr>
        <w:t>Finally, participation can involve co-creation, particularly where individuals simultaneously receive and contribute to organisational services.</w:t>
      </w:r>
    </w:p>
    <w:p>
      <w:pPr>
        <w:widowControl/>
        <w:spacing w:line="360" w:lineRule="auto" w:after="120"/>
      </w:pPr>
      <w:r>
        <w:rPr>
          <w:rFonts w:ascii="Times New Roman" w:hAnsi="Times New Roman"/>
          <w:color w:val="000000"/>
          <w:sz w:val="24"/>
        </w:rPr>
        <w:t>These themes provide useful theoretical propositions, but the existing literature does not establish their precise importance within U.S. churches.</w:t>
      </w:r>
    </w:p>
    <w:p>
      <w:pPr>
        <w:widowControl/>
        <w:spacing w:line="360" w:lineRule="auto" w:after="120"/>
      </w:pPr>
      <w:r>
        <w:rPr>
          <w:rFonts w:ascii="Times New Roman" w:hAnsi="Times New Roman"/>
          <w:color w:val="000000"/>
          <w:sz w:val="24"/>
        </w:rPr>
        <w:t>Indeed, this limitation strengthens the rationale for the present research. Extensive evidence concerning hospitality and nonprofit service exists, but considerably less empirical research has established which dimensions transfer meaningfully into church environments and how congregants themselves understand them.</w:t>
      </w:r>
    </w:p>
    <w:p>
      <w:pPr>
        <w:widowControl/>
        <w:spacing w:line="360" w:lineRule="auto" w:after="120"/>
      </w:pPr>
      <w:r>
        <w:rPr>
          <w:rFonts w:ascii="Times New Roman" w:hAnsi="Times New Roman"/>
          <w:color w:val="000000"/>
          <w:sz w:val="24"/>
        </w:rPr>
        <w:t>The cross-sector literature therefore functions as a comparative foundation for the empirical study rather than as a set of predetermined recommendations.</w:t>
      </w:r>
    </w:p>
    <w:p>
      <w:pPr>
        <w:widowControl/>
        <w:spacing w:line="360" w:lineRule="auto" w:after="120"/>
      </w:pPr>
      <w:r>
        <w:rPr>
          <w:rFonts w:ascii="Times New Roman" w:hAnsi="Times New Roman"/>
          <w:color w:val="000000"/>
          <w:sz w:val="24"/>
        </w:rPr>
        <w:t>The next section narrows the focus further by examining the distinctive organisational and theological context of churches in the United States, including service expectations, volunteer-based structures, communication, feedback systems, and the tensions surrounding the adoption of customer-oriented approaches.</w:t>
      </w:r>
    </w:p>
    <w:p>
      <w:bookmarkStart w:id="64" w:name="m64"/>
      <w:pPr>
        <w:pStyle w:val="Heading2"/>
        <w:pageBreakBefore w:val="0"/>
        <w:widowControl/>
      </w:pPr>
      <w:r>
        <w:rPr>
          <w:rFonts w:ascii="Times New Roman" w:hAnsi="Times New Roman"/>
          <w:b/>
          <w:color w:val="000000"/>
          <w:sz w:val="26"/>
        </w:rPr>
        <w:t>2.8 Customer Service Dynamics in U.S. Churches</w:t>
      </w:r>
      <w:bookmarkEnd w:id="64"/>
    </w:p>
    <w:p>
      <w:bookmarkStart w:id="65" w:name="m65"/>
      <w:pPr>
        <w:pStyle w:val="Heading3"/>
        <w:pageBreakBefore w:val="0"/>
        <w:widowControl/>
      </w:pPr>
      <w:r>
        <w:rPr>
          <w:rFonts w:ascii="Times New Roman" w:hAnsi="Times New Roman"/>
          <w:b/>
          <w:color w:val="000000"/>
          <w:sz w:val="24"/>
        </w:rPr>
        <w:t>2.8.1 The Distinctive Organisational Context of Churches</w:t>
      </w:r>
      <w:bookmarkEnd w:id="65"/>
    </w:p>
    <w:p>
      <w:pPr>
        <w:widowControl/>
        <w:spacing w:line="360" w:lineRule="auto" w:after="120"/>
      </w:pPr>
      <w:r>
        <w:rPr>
          <w:rFonts w:ascii="Times New Roman" w:hAnsi="Times New Roman"/>
          <w:color w:val="000000"/>
          <w:sz w:val="24"/>
        </w:rPr>
        <w:t>Churches occupy a distinctive position within service research because they combine organisational functions with spiritual, pastoral, and communal purposes. They provide identifiable services and experiences, including worship, pastoral care, religious education, ceremonies, communication, community programmes, and practical support, yet their central objectives cannot be reduced to conventional service delivery.</w:t>
      </w:r>
    </w:p>
    <w:p>
      <w:pPr>
        <w:widowControl/>
        <w:spacing w:line="360" w:lineRule="auto" w:after="120"/>
      </w:pPr>
      <w:r>
        <w:rPr>
          <w:rFonts w:ascii="Times New Roman" w:hAnsi="Times New Roman"/>
          <w:color w:val="000000"/>
          <w:sz w:val="24"/>
        </w:rPr>
        <w:t>Santos and Mathews (2001) note that religious services share several characteristics with other service environments. Worship and pastoral care are largely intangible experiences, while tangible aspects such as facilities, accessibility, communication systems, music, and interpersonal interaction can nevertheless influence how individuals experience the organisation.</w:t>
      </w:r>
    </w:p>
    <w:p>
      <w:pPr>
        <w:widowControl/>
        <w:spacing w:line="360" w:lineRule="auto" w:after="120"/>
      </w:pPr>
      <w:r>
        <w:rPr>
          <w:rFonts w:ascii="Times New Roman" w:hAnsi="Times New Roman"/>
          <w:color w:val="000000"/>
          <w:sz w:val="24"/>
        </w:rPr>
        <w:t>Churches also share characteristics with nonprofit organisations. They commonly depend upon donations, volunteers, community participation, and mission-driven leadership rather than commercial revenues. At the same time, their theological identity distinguishes them from both commercial and secular nonprofit organisations.</w:t>
      </w:r>
    </w:p>
    <w:p>
      <w:pPr>
        <w:widowControl/>
        <w:spacing w:line="360" w:lineRule="auto" w:after="120"/>
      </w:pPr>
      <w:r>
        <w:rPr>
          <w:rFonts w:ascii="Times New Roman" w:hAnsi="Times New Roman"/>
          <w:color w:val="000000"/>
          <w:sz w:val="24"/>
        </w:rPr>
        <w:t>The use of customer-service terminology creates a conceptual question for this dissertation: could attention to individual preferences conflict with a church's collective or theological purposes? This possibility is considered as an interpretive issue, rather than an established finding about all churches.</w:t>
      </w:r>
    </w:p>
    <w:p>
      <w:pPr>
        <w:widowControl/>
        <w:spacing w:line="360" w:lineRule="auto" w:after="120"/>
      </w:pPr>
      <w:r>
        <w:rPr>
          <w:rFonts w:ascii="Times New Roman" w:hAnsi="Times New Roman"/>
          <w:color w:val="000000"/>
          <w:sz w:val="24"/>
        </w:rPr>
        <w:t>These objections should not be dismissed simply as resistance to management practice. They represent a legitimate conceptual concern. A church may sometimes be required to challenge rather than satisfy its members. Religious teaching may conflict with individual preferences, and the pursuit of spiritual or ethical commitments may take precedence over convenience or popularity.</w:t>
      </w:r>
    </w:p>
    <w:p>
      <w:pPr>
        <w:widowControl/>
        <w:spacing w:line="360" w:lineRule="auto" w:after="120"/>
      </w:pPr>
      <w:r>
        <w:rPr>
          <w:rFonts w:ascii="Times New Roman" w:hAnsi="Times New Roman"/>
          <w:color w:val="000000"/>
          <w:sz w:val="24"/>
        </w:rPr>
        <w:t>Consequently, congregant satisfaction cannot function as the ultimate measure of church effectiveness in the same way that customer satisfaction can function as an important measure of commercial performance.</w:t>
      </w:r>
    </w:p>
    <w:p>
      <w:pPr>
        <w:widowControl/>
        <w:spacing w:line="360" w:lineRule="auto" w:after="120"/>
      </w:pPr>
      <w:r>
        <w:rPr>
          <w:rFonts w:ascii="Times New Roman" w:hAnsi="Times New Roman"/>
          <w:color w:val="000000"/>
          <w:sz w:val="24"/>
        </w:rPr>
        <w:t>Nevertheless, rejecting commercial terminology does not eliminate the underlying organisational questions. Congregants may reasonably expect communication to be clear, leaders to be trustworthy, enquiries to receive responses, facilities to be accessible, volunteers to behave respectfully, and pastoral needs to be handled appropriately.</w:t>
      </w:r>
    </w:p>
    <w:p>
      <w:pPr>
        <w:widowControl/>
        <w:spacing w:line="360" w:lineRule="auto" w:after="120"/>
      </w:pPr>
      <w:r>
        <w:rPr>
          <w:rFonts w:ascii="Times New Roman" w:hAnsi="Times New Roman"/>
          <w:color w:val="000000"/>
          <w:sz w:val="24"/>
        </w:rPr>
        <w:t>The position adopted here is that attending to practical needs can be considered alongside Christian ministry, while the appropriateness of particular practices remains context-dependent. This is an analytical distinction, not a theological conclusion established by service-management research.</w:t>
      </w:r>
    </w:p>
    <w:p>
      <w:pPr>
        <w:widowControl/>
        <w:spacing w:line="360" w:lineRule="auto" w:after="120"/>
      </w:pPr>
      <w:r>
        <w:rPr>
          <w:rFonts w:ascii="Times New Roman" w:hAnsi="Times New Roman"/>
          <w:color w:val="000000"/>
          <w:sz w:val="24"/>
        </w:rPr>
        <w:t>The relevant analytical distinction is therefore between customer orientation as commercial consumerism and service orientation as organisational responsiveness.</w:t>
      </w:r>
    </w:p>
    <w:p>
      <w:pPr>
        <w:widowControl/>
        <w:spacing w:line="360" w:lineRule="auto" w:after="120"/>
      </w:pPr>
      <w:r>
        <w:rPr>
          <w:rFonts w:ascii="Times New Roman" w:hAnsi="Times New Roman"/>
          <w:color w:val="000000"/>
          <w:sz w:val="24"/>
        </w:rPr>
        <w:t>The present study is concerned principally with the second.</w:t>
      </w:r>
    </w:p>
    <w:p>
      <w:bookmarkStart w:id="66" w:name="m66"/>
      <w:pPr>
        <w:pStyle w:val="Heading3"/>
        <w:pageBreakBefore w:val="0"/>
        <w:widowControl/>
      </w:pPr>
      <w:r>
        <w:rPr>
          <w:rFonts w:ascii="Times New Roman" w:hAnsi="Times New Roman"/>
          <w:b/>
          <w:color w:val="000000"/>
          <w:sz w:val="24"/>
        </w:rPr>
        <w:t>2.8.2 Theological Tensions in Customer-Oriented Church Management</w:t>
      </w:r>
      <w:bookmarkEnd w:id="66"/>
    </w:p>
    <w:p>
      <w:pPr>
        <w:widowControl/>
        <w:spacing w:line="360" w:lineRule="auto" w:after="120"/>
      </w:pPr>
      <w:r>
        <w:rPr>
          <w:rFonts w:ascii="Times New Roman" w:hAnsi="Times New Roman"/>
          <w:color w:val="000000"/>
          <w:sz w:val="24"/>
        </w:rPr>
        <w:t>Theological concerns represent one of the most important differences between churches and other service organisations.</w:t>
      </w:r>
    </w:p>
    <w:p>
      <w:pPr>
        <w:widowControl/>
        <w:spacing w:line="360" w:lineRule="auto" w:after="120"/>
      </w:pPr>
      <w:r>
        <w:rPr>
          <w:rFonts w:ascii="Times New Roman" w:hAnsi="Times New Roman"/>
          <w:color w:val="000000"/>
          <w:sz w:val="24"/>
        </w:rPr>
        <w:t>A conventional commercial organisation ordinarily seeks to satisfy customers because satisfaction contributes to repeat business, loyalty, reputation, and revenue. Churches pursue substantially different ends. Their purposes may include worship, spiritual formation, proclamation, pastoral care, community, charitable activity, and religious teaching.</w:t>
      </w:r>
    </w:p>
    <w:p>
      <w:pPr>
        <w:widowControl/>
        <w:spacing w:line="360" w:lineRule="auto" w:after="120"/>
      </w:pPr>
      <w:r>
        <w:rPr>
          <w:rFonts w:ascii="Times New Roman" w:hAnsi="Times New Roman"/>
          <w:color w:val="000000"/>
          <w:sz w:val="24"/>
        </w:rPr>
        <w:t>This means that the principle that the "customer is always right" is particularly inappropriate within a church context. A congregation cannot necessarily determine doctrine through satisfaction measures, nor should theological or ethical commitments automatically be changed because members find them inconvenient or unpopular.</w:t>
      </w:r>
    </w:p>
    <w:p>
      <w:pPr>
        <w:widowControl/>
        <w:spacing w:line="360" w:lineRule="auto" w:after="120"/>
      </w:pPr>
      <w:r>
        <w:rPr>
          <w:rFonts w:ascii="Times New Roman" w:hAnsi="Times New Roman"/>
          <w:color w:val="000000"/>
          <w:sz w:val="24"/>
        </w:rPr>
        <w:t>The tension is therefore not between service and theology in a simple sense. Rather, it concerns the boundaries within which service-management principles can appropriately operate.</w:t>
      </w:r>
    </w:p>
    <w:p>
      <w:pPr>
        <w:widowControl/>
        <w:spacing w:line="360" w:lineRule="auto" w:after="120"/>
      </w:pPr>
      <w:r>
        <w:rPr>
          <w:rFonts w:ascii="Times New Roman" w:hAnsi="Times New Roman"/>
          <w:color w:val="000000"/>
          <w:sz w:val="24"/>
        </w:rPr>
        <w:t>There are aspects of church experience that are clearly organisational rather than doctrinal. An unanswered enquiry, inaccessible building, confusing communication, poorly managed children's check-in process, or failure to follow up an agreed pastoral commitment cannot easily be defended as theological necessities. These matters concern organisational competence and care.</w:t>
      </w:r>
    </w:p>
    <w:p>
      <w:pPr>
        <w:widowControl/>
        <w:spacing w:line="360" w:lineRule="auto" w:after="120"/>
      </w:pPr>
      <w:r>
        <w:rPr>
          <w:rFonts w:ascii="Times New Roman" w:hAnsi="Times New Roman"/>
          <w:color w:val="000000"/>
          <w:sz w:val="24"/>
        </w:rPr>
        <w:t>By contrast, worship style, doctrine, sacramental practice, moral teaching, and theological priorities may involve beliefs that cannot appropriately be treated as customer preferences.</w:t>
      </w:r>
    </w:p>
    <w:p>
      <w:pPr>
        <w:widowControl/>
        <w:spacing w:line="360" w:lineRule="auto" w:after="120"/>
      </w:pPr>
      <w:r>
        <w:rPr>
          <w:rFonts w:ascii="Times New Roman" w:hAnsi="Times New Roman"/>
          <w:color w:val="000000"/>
          <w:sz w:val="24"/>
        </w:rPr>
        <w:t>A useful conceptual separation can therefore be made between theological substance and organisational delivery. Service-quality theory is potentially strongest when applied to the latter.</w:t>
      </w:r>
    </w:p>
    <w:p>
      <w:pPr>
        <w:widowControl/>
        <w:spacing w:line="360" w:lineRule="auto" w:after="120"/>
      </w:pPr>
      <w:r>
        <w:rPr>
          <w:rFonts w:ascii="Times New Roman" w:hAnsi="Times New Roman"/>
          <w:color w:val="000000"/>
          <w:sz w:val="24"/>
        </w:rPr>
        <w:t>Responsiveness and religious purpose are therefore treated as distinct considerations that may interact. Whether participants see them as compatible is an empirical question for the questionnaire responses, rather than a conclusion assigned to an unverified source.</w:t>
      </w:r>
    </w:p>
    <w:p>
      <w:pPr>
        <w:widowControl/>
        <w:spacing w:line="360" w:lineRule="auto" w:after="120"/>
      </w:pPr>
      <w:r>
        <w:rPr>
          <w:rFonts w:ascii="Times New Roman" w:hAnsi="Times New Roman"/>
          <w:color w:val="000000"/>
          <w:sz w:val="24"/>
        </w:rPr>
        <w:t>The present study therefore does not assume that all dimensions of church life should be evaluated according to customer satisfaction. Instead, it investigates whether identifiable organisational and interpersonal dimensions of congregational experience can be evaluated meaningfully through service-quality concepts.</w:t>
      </w:r>
    </w:p>
    <w:p>
      <w:bookmarkStart w:id="67" w:name="m67"/>
      <w:pPr>
        <w:pStyle w:val="Heading3"/>
        <w:pageBreakBefore w:val="0"/>
        <w:widowControl/>
      </w:pPr>
      <w:r>
        <w:rPr>
          <w:rFonts w:ascii="Times New Roman" w:hAnsi="Times New Roman"/>
          <w:b/>
          <w:color w:val="000000"/>
          <w:sz w:val="24"/>
        </w:rPr>
        <w:t>2.8.3 Expectations and Operational Constraints</w:t>
      </w:r>
      <w:bookmarkEnd w:id="67"/>
    </w:p>
    <w:p>
      <w:pPr>
        <w:widowControl/>
        <w:spacing w:line="360" w:lineRule="auto" w:after="120"/>
      </w:pPr>
      <w:r>
        <w:rPr>
          <w:rFonts w:ascii="Times New Roman" w:hAnsi="Times New Roman"/>
          <w:color w:val="000000"/>
          <w:sz w:val="24"/>
        </w:rPr>
        <w:t>Churches may encounter a substantial gap between desired standards of care and their practical capacity to provide them consistently.</w:t>
      </w:r>
    </w:p>
    <w:p>
      <w:pPr>
        <w:widowControl/>
        <w:spacing w:line="360" w:lineRule="auto" w:after="120"/>
      </w:pPr>
      <w:r>
        <w:rPr>
          <w:rFonts w:ascii="Times New Roman" w:hAnsi="Times New Roman"/>
          <w:color w:val="000000"/>
          <w:sz w:val="24"/>
        </w:rPr>
        <w:t>Santos and Mathews (2001) found responsiveness, credibility, and commitment to be particularly important dimensions of religious service quality. These findings imply that congregants may place considerable importance upon timely assistance, trustworthy leadership, and evidence that an organisation is genuinely committed to those whom it serves.</w:t>
      </w:r>
    </w:p>
    <w:p>
      <w:pPr>
        <w:widowControl/>
        <w:spacing w:line="360" w:lineRule="auto" w:after="120"/>
      </w:pPr>
      <w:r>
        <w:rPr>
          <w:rFonts w:ascii="Times New Roman" w:hAnsi="Times New Roman"/>
          <w:color w:val="000000"/>
          <w:sz w:val="24"/>
        </w:rPr>
        <w:t>The practical delivery of these qualities, however, is influenced by organisational resources.</w:t>
      </w:r>
    </w:p>
    <w:p>
      <w:pPr>
        <w:widowControl/>
        <w:spacing w:line="360" w:lineRule="auto" w:after="120"/>
      </w:pPr>
      <w:r>
        <w:rPr>
          <w:rFonts w:ascii="Times New Roman" w:hAnsi="Times New Roman"/>
          <w:color w:val="000000"/>
          <w:sz w:val="24"/>
        </w:rPr>
        <w:t>Many churches operate with relatively small paid staffs. A pastor may simultaneously undertake preaching, administration, counselling, hospital visits, community activity, leadership, and pastoral care. Smaller congregations may have little or no specialist administrative capacity.</w:t>
      </w:r>
    </w:p>
    <w:p>
      <w:pPr>
        <w:widowControl/>
        <w:spacing w:line="360" w:lineRule="auto" w:after="120"/>
      </w:pPr>
      <w:r>
        <w:rPr>
          <w:rFonts w:ascii="Times New Roman" w:hAnsi="Times New Roman"/>
          <w:color w:val="000000"/>
          <w:sz w:val="24"/>
        </w:rPr>
        <w:t>Under such circumstances, delays in communication or pastoral response may arise not from indifference but from limited organisational capacity.</w:t>
      </w:r>
    </w:p>
    <w:p>
      <w:pPr>
        <w:widowControl/>
        <w:spacing w:line="360" w:lineRule="auto" w:after="120"/>
      </w:pPr>
      <w:r>
        <w:rPr>
          <w:rFonts w:ascii="Times New Roman" w:hAnsi="Times New Roman"/>
          <w:color w:val="000000"/>
          <w:sz w:val="24"/>
        </w:rPr>
        <w:t>Financial limitations can create similar constraints. Unlike commercial organisations, churches cannot normally justify expenditure solely on the basis of increased revenue or customer profitability. Resources must be balanced across worship, ministry, charitable activity, staffing, maintenance, mission, and other priorities.</w:t>
      </w:r>
    </w:p>
    <w:p>
      <w:pPr>
        <w:widowControl/>
        <w:spacing w:line="360" w:lineRule="auto" w:after="120"/>
      </w:pPr>
      <w:r>
        <w:rPr>
          <w:rFonts w:ascii="Times New Roman" w:hAnsi="Times New Roman"/>
          <w:color w:val="000000"/>
          <w:sz w:val="24"/>
        </w:rPr>
        <w:t>Infrastructure that affects congregational experience may therefore compete with other mission priorities for limited resources.</w:t>
      </w:r>
    </w:p>
    <w:p>
      <w:pPr>
        <w:widowControl/>
        <w:spacing w:line="360" w:lineRule="auto" w:after="120"/>
      </w:pPr>
      <w:r>
        <w:rPr>
          <w:rFonts w:ascii="Times New Roman" w:hAnsi="Times New Roman"/>
          <w:color w:val="000000"/>
          <w:sz w:val="24"/>
        </w:rPr>
        <w:t>Governance can add further complexity. Churches may be governed by denominational structures, boards, elders, trustees, congregational voting, or combinations of these. Decisions that would be made rapidly by a commercial manager may therefore involve consultation or formal approval.</w:t>
      </w:r>
    </w:p>
    <w:p>
      <w:pPr>
        <w:widowControl/>
        <w:spacing w:line="360" w:lineRule="auto" w:after="120"/>
      </w:pPr>
      <w:r>
        <w:rPr>
          <w:rFonts w:ascii="Times New Roman" w:hAnsi="Times New Roman"/>
          <w:color w:val="000000"/>
          <w:sz w:val="24"/>
        </w:rPr>
        <w:t>These structural features demonstrate why service models should not interpret every gap between expectation and performance simply as managerial failure.</w:t>
      </w:r>
    </w:p>
    <w:p>
      <w:pPr>
        <w:widowControl/>
        <w:spacing w:line="360" w:lineRule="auto" w:after="120"/>
      </w:pPr>
      <w:r>
        <w:rPr>
          <w:rFonts w:ascii="Times New Roman" w:hAnsi="Times New Roman"/>
          <w:color w:val="000000"/>
          <w:sz w:val="24"/>
        </w:rPr>
        <w:t>They also suggest, however, that congregant perceptions may be shaped by outcomes rather than by an understanding of the underlying organisational constraints. A delayed response remains a delayed response from the recipient's perspective even when the explanation is understandable.</w:t>
      </w:r>
    </w:p>
    <w:p>
      <w:pPr>
        <w:widowControl/>
        <w:spacing w:line="360" w:lineRule="auto" w:after="120"/>
      </w:pPr>
      <w:r>
        <w:rPr>
          <w:rFonts w:ascii="Times New Roman" w:hAnsi="Times New Roman"/>
          <w:color w:val="000000"/>
          <w:sz w:val="24"/>
        </w:rPr>
        <w:t>This creates an important empirical issue for the present study: whether congregants evaluate service quality according to absolute performance or whether they take account of the context and resources of the church.</w:t>
      </w:r>
    </w:p>
    <w:p>
      <w:bookmarkStart w:id="68" w:name="m68"/>
      <w:pPr>
        <w:pStyle w:val="Heading3"/>
        <w:pageBreakBefore w:val="0"/>
        <w:widowControl/>
      </w:pPr>
      <w:r>
        <w:rPr>
          <w:rFonts w:ascii="Times New Roman" w:hAnsi="Times New Roman"/>
          <w:b/>
          <w:color w:val="000000"/>
          <w:sz w:val="24"/>
        </w:rPr>
        <w:t>2.8.4 Volunteer-Driven Service Structures</w:t>
      </w:r>
      <w:bookmarkEnd w:id="68"/>
    </w:p>
    <w:p>
      <w:pPr>
        <w:widowControl/>
        <w:spacing w:line="360" w:lineRule="auto" w:after="120"/>
      </w:pPr>
      <w:r>
        <w:rPr>
          <w:rFonts w:ascii="Times New Roman" w:hAnsi="Times New Roman"/>
          <w:color w:val="000000"/>
          <w:sz w:val="24"/>
        </w:rPr>
        <w:t>Volunteerism is one of the most distinctive features of church service delivery.</w:t>
      </w:r>
    </w:p>
    <w:p>
      <w:pPr>
        <w:widowControl/>
        <w:spacing w:line="360" w:lineRule="auto" w:after="120"/>
      </w:pPr>
      <w:r>
        <w:rPr>
          <w:rFonts w:ascii="Times New Roman" w:hAnsi="Times New Roman"/>
          <w:color w:val="000000"/>
          <w:sz w:val="24"/>
        </w:rPr>
        <w:t>Volunteers frequently occupy roles that directly shape congregational experience, including greeting, ushering, children's ministry, music, administration, small-group leadership, community outreach, technical support, prayer ministries, and pastoral assistance.</w:t>
      </w:r>
    </w:p>
    <w:p>
      <w:pPr>
        <w:widowControl/>
        <w:spacing w:line="360" w:lineRule="auto" w:after="120"/>
      </w:pPr>
      <w:r>
        <w:rPr>
          <w:rFonts w:ascii="Times New Roman" w:hAnsi="Times New Roman"/>
          <w:color w:val="000000"/>
          <w:sz w:val="24"/>
        </w:rPr>
        <w:t>Volunteer-based structures can combine strengths with potential inconsistency. Volunteers may possess strong commitment, personal warmth and identification with the organisation’s mission. Their involvement also reinforces the participatory character of church life, in which congregants are contributors rather than merely recipients.</w:t>
      </w:r>
    </w:p>
    <w:p>
      <w:pPr>
        <w:widowControl/>
        <w:spacing w:line="360" w:lineRule="auto" w:after="120"/>
      </w:pPr>
      <w:r>
        <w:rPr>
          <w:rFonts w:ascii="Times New Roman" w:hAnsi="Times New Roman"/>
          <w:color w:val="000000"/>
          <w:sz w:val="24"/>
        </w:rPr>
        <w:t>At the same time, volunteer service differs substantially from professional employment.</w:t>
      </w:r>
    </w:p>
    <w:p>
      <w:pPr>
        <w:widowControl/>
        <w:spacing w:line="360" w:lineRule="auto" w:after="120"/>
      </w:pPr>
      <w:r>
        <w:rPr>
          <w:rFonts w:ascii="Times New Roman" w:hAnsi="Times New Roman"/>
          <w:color w:val="000000"/>
          <w:sz w:val="24"/>
        </w:rPr>
        <w:t>Volunteers may have varying levels of training, availability, experience, and accountability. They normally balance church responsibilities with employment, family obligations, and other commitments. Teams may change frequently, and participation is generally discretionary.</w:t>
      </w:r>
    </w:p>
    <w:p>
      <w:pPr>
        <w:widowControl/>
        <w:spacing w:line="360" w:lineRule="auto" w:after="120"/>
      </w:pPr>
      <w:r>
        <w:rPr>
          <w:rFonts w:ascii="Times New Roman" w:hAnsi="Times New Roman"/>
          <w:color w:val="000000"/>
          <w:sz w:val="24"/>
        </w:rPr>
        <w:t>These factors can create variability in service delivery.</w:t>
      </w:r>
    </w:p>
    <w:p>
      <w:pPr>
        <w:widowControl/>
        <w:spacing w:line="360" w:lineRule="auto" w:after="120"/>
      </w:pPr>
      <w:r>
        <w:rPr>
          <w:rFonts w:ascii="Times New Roman" w:hAnsi="Times New Roman"/>
          <w:color w:val="000000"/>
          <w:sz w:val="24"/>
        </w:rPr>
        <w:t>From a service-quality perspective, reliability is particularly relevant. A welcome ministry that functions effectively on one occasion but poorly on another may generate inconsistent experiences. A pastoral-care system dependent upon informal communication may work well when particular individuals are present but fail when information is not passed on.</w:t>
      </w:r>
    </w:p>
    <w:p>
      <w:pPr>
        <w:widowControl/>
        <w:spacing w:line="360" w:lineRule="auto" w:after="120"/>
      </w:pPr>
      <w:r>
        <w:rPr>
          <w:rFonts w:ascii="Times New Roman" w:hAnsi="Times New Roman"/>
          <w:color w:val="000000"/>
          <w:sz w:val="24"/>
        </w:rPr>
        <w:t>Volunteer dependency also affects training. Large churches may provide formal procedures and role descriptions, whereas smaller congregations may rely more heavily upon informal instruction and individual judgement.</w:t>
      </w:r>
    </w:p>
    <w:p>
      <w:pPr>
        <w:widowControl/>
        <w:spacing w:line="360" w:lineRule="auto" w:after="120"/>
      </w:pPr>
      <w:r>
        <w:rPr>
          <w:rFonts w:ascii="Times New Roman" w:hAnsi="Times New Roman"/>
          <w:color w:val="000000"/>
          <w:sz w:val="24"/>
        </w:rPr>
        <w:t>Volunteer systems can be considered in terms of roles, preparation, coordination and follow-up. These are possible organisational features for investigation; no named congregation is used here as evidence that formalisation improves outcomes.</w:t>
      </w:r>
    </w:p>
    <w:p>
      <w:pPr>
        <w:widowControl/>
        <w:spacing w:line="360" w:lineRule="auto" w:after="120"/>
      </w:pPr>
      <w:r>
        <w:rPr>
          <w:rFonts w:ascii="Times New Roman" w:hAnsi="Times New Roman"/>
          <w:color w:val="000000"/>
          <w:sz w:val="24"/>
        </w:rPr>
        <w:t>They should not, however, be treated as evidence that these systems produce superior congregational outcomes. They are illustrative examples of organisational practice rather than controlled comparisons.</w:t>
      </w:r>
    </w:p>
    <w:p>
      <w:pPr>
        <w:widowControl/>
        <w:spacing w:line="360" w:lineRule="auto" w:after="120"/>
      </w:pPr>
      <w:r>
        <w:rPr>
          <w:rFonts w:ascii="Times New Roman" w:hAnsi="Times New Roman"/>
          <w:color w:val="000000"/>
          <w:sz w:val="24"/>
        </w:rPr>
        <w:t>The wider theoretical implication is that church service quality is partly dependent upon the systems through which volunteers are recruited, trained, coordinated, and supported.</w:t>
      </w:r>
    </w:p>
    <w:p>
      <w:bookmarkStart w:id="69" w:name="m69"/>
      <w:pPr>
        <w:pStyle w:val="Heading3"/>
        <w:pageBreakBefore w:val="0"/>
        <w:widowControl/>
      </w:pPr>
      <w:r>
        <w:rPr>
          <w:rFonts w:ascii="Times New Roman" w:hAnsi="Times New Roman"/>
          <w:b/>
          <w:color w:val="000000"/>
          <w:sz w:val="24"/>
        </w:rPr>
        <w:t>2.8.5 Assimilation, Welcome, and the Member Journey</w:t>
      </w:r>
      <w:bookmarkEnd w:id="69"/>
    </w:p>
    <w:p>
      <w:pPr>
        <w:widowControl/>
        <w:spacing w:line="360" w:lineRule="auto" w:after="120"/>
      </w:pPr>
      <w:r>
        <w:rPr>
          <w:rFonts w:ascii="Times New Roman" w:hAnsi="Times New Roman"/>
          <w:color w:val="000000"/>
          <w:sz w:val="24"/>
        </w:rPr>
        <w:t>Many U.S. churches have developed intentional processes for helping first-time visitors understand and enter the life of the congregation.</w:t>
      </w:r>
    </w:p>
    <w:p>
      <w:pPr>
        <w:widowControl/>
        <w:spacing w:line="360" w:lineRule="auto" w:after="120"/>
      </w:pPr>
      <w:r>
        <w:rPr>
          <w:rFonts w:ascii="Times New Roman" w:hAnsi="Times New Roman"/>
          <w:color w:val="000000"/>
          <w:sz w:val="24"/>
        </w:rPr>
        <w:t>These processes are commonly described using language such as welcome, connection, assimilation, next steps, membership, or integration.</w:t>
      </w:r>
    </w:p>
    <w:p>
      <w:pPr>
        <w:widowControl/>
        <w:spacing w:line="360" w:lineRule="auto" w:after="120"/>
      </w:pPr>
      <w:r>
        <w:rPr>
          <w:rFonts w:ascii="Times New Roman" w:hAnsi="Times New Roman"/>
          <w:color w:val="000000"/>
          <w:sz w:val="24"/>
        </w:rPr>
        <w:t>In theoretical terms, they resemble the customer-journey and onboarding concepts discussed previously, although the meaning and purpose are different.</w:t>
      </w:r>
    </w:p>
    <w:p>
      <w:pPr>
        <w:widowControl/>
        <w:spacing w:line="360" w:lineRule="auto" w:after="120"/>
      </w:pPr>
      <w:r>
        <w:rPr>
          <w:rFonts w:ascii="Times New Roman" w:hAnsi="Times New Roman"/>
          <w:color w:val="000000"/>
          <w:sz w:val="24"/>
        </w:rPr>
        <w:t>A structured membership pathway is a possible organisational arrangement in which information, welcome and opportunities for participation are made explicit. It is considered here as an illustrative possibility, not a documented case study or an evaluated intervention.</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Such an arrangement raises two questions for this review.</w:t>
      </w:r>
    </w:p>
    <w:p>
      <w:pPr>
        <w:widowControl/>
        <w:spacing w:line="360" w:lineRule="auto" w:after="120"/>
      </w:pPr>
      <w:r>
        <w:rPr>
          <w:rFonts w:ascii="Times New Roman" w:hAnsi="Times New Roman"/>
          <w:color w:val="000000"/>
          <w:sz w:val="24"/>
        </w:rPr>
        <w:t>First, how might a church describe the stages through which people become involved?</w:t>
      </w:r>
    </w:p>
    <w:p>
      <w:pPr>
        <w:widowControl/>
        <w:spacing w:line="360" w:lineRule="auto" w:after="120"/>
      </w:pPr>
      <w:r>
        <w:rPr>
          <w:rFonts w:ascii="Times New Roman" w:hAnsi="Times New Roman"/>
          <w:color w:val="000000"/>
          <w:sz w:val="24"/>
        </w:rPr>
        <w:t>Second, could clearer information reduce uncertainty about participation?</w:t>
      </w:r>
    </w:p>
    <w:p>
      <w:pPr>
        <w:widowControl/>
        <w:spacing w:line="360" w:lineRule="auto" w:after="120"/>
      </w:pPr>
      <w:r>
        <w:rPr>
          <w:rFonts w:ascii="Times New Roman" w:hAnsi="Times New Roman"/>
          <w:color w:val="000000"/>
          <w:sz w:val="24"/>
        </w:rPr>
        <w:t>A new visitor may know little about the congregation's beliefs, activities, leadership, membership expectations, or opportunities for participation. Structured information and follow-up can therefore reduce informational barriers.</w:t>
      </w:r>
    </w:p>
    <w:p>
      <w:pPr>
        <w:widowControl/>
        <w:spacing w:line="360" w:lineRule="auto" w:after="120"/>
      </w:pPr>
      <w:r>
        <w:rPr>
          <w:rFonts w:ascii="Times New Roman" w:hAnsi="Times New Roman"/>
          <w:color w:val="000000"/>
          <w:sz w:val="24"/>
        </w:rPr>
        <w:t>The existence of a formal pathway would not itself demonstrate superior service quality or retention. Its effects would require evaluation with appropriate outcome measures.</w:t>
      </w:r>
    </w:p>
    <w:p>
      <w:pPr>
        <w:widowControl/>
        <w:spacing w:line="360" w:lineRule="auto" w:after="120"/>
      </w:pPr>
      <w:r>
        <w:rPr>
          <w:rFonts w:ascii="Times New Roman" w:hAnsi="Times New Roman"/>
          <w:color w:val="000000"/>
          <w:sz w:val="24"/>
        </w:rPr>
        <w:t>Moreover, formalisation may itself produce different reactions. Some individuals may appreciate clear processes and structured pathways, while others may prefer more informal and relational forms of integration.</w:t>
      </w:r>
    </w:p>
    <w:p>
      <w:pPr>
        <w:widowControl/>
        <w:spacing w:line="360" w:lineRule="auto" w:after="120"/>
      </w:pPr>
      <w:r>
        <w:rPr>
          <w:rFonts w:ascii="Times New Roman" w:hAnsi="Times New Roman"/>
          <w:color w:val="000000"/>
          <w:sz w:val="24"/>
        </w:rPr>
        <w:t>This variation reinforces the need to investigate congregant perceptions rather than presuming one preferred model.</w:t>
      </w:r>
    </w:p>
    <w:p>
      <w:bookmarkStart w:id="70" w:name="m70"/>
      <w:pPr>
        <w:pStyle w:val="Heading3"/>
        <w:pageBreakBefore w:val="0"/>
        <w:widowControl/>
      </w:pPr>
      <w:r>
        <w:rPr>
          <w:rFonts w:ascii="Times New Roman" w:hAnsi="Times New Roman"/>
          <w:b/>
          <w:color w:val="000000"/>
          <w:sz w:val="24"/>
        </w:rPr>
        <w:t>2.8.6 Communication and Responsiveness</w:t>
      </w:r>
      <w:bookmarkEnd w:id="70"/>
    </w:p>
    <w:p>
      <w:pPr>
        <w:widowControl/>
        <w:spacing w:line="360" w:lineRule="auto" w:after="120"/>
      </w:pPr>
      <w:r>
        <w:rPr>
          <w:rFonts w:ascii="Times New Roman" w:hAnsi="Times New Roman"/>
          <w:color w:val="000000"/>
          <w:sz w:val="24"/>
        </w:rPr>
        <w:t>Communication is a recurring theme across the church-specific literature.</w:t>
      </w:r>
    </w:p>
    <w:p>
      <w:pPr>
        <w:widowControl/>
        <w:spacing w:line="360" w:lineRule="auto" w:after="120"/>
      </w:pPr>
      <w:r>
        <w:rPr>
          <w:rFonts w:ascii="Times New Roman" w:hAnsi="Times New Roman"/>
          <w:color w:val="000000"/>
          <w:sz w:val="24"/>
        </w:rPr>
        <w:t>Vuokko (2000) identified limitations in information and coordination within a church setting, while Santos and Mathews (2001) found responsiveness to be one of the most highly valued dimensions of church service quality.</w:t>
      </w:r>
    </w:p>
    <w:p>
      <w:pPr>
        <w:widowControl/>
        <w:spacing w:line="360" w:lineRule="auto" w:after="120"/>
      </w:pPr>
      <w:r>
        <w:rPr>
          <w:rFonts w:ascii="Times New Roman" w:hAnsi="Times New Roman"/>
          <w:color w:val="000000"/>
          <w:sz w:val="24"/>
        </w:rPr>
        <w:t>Communication in churches is organisationally complex because information may move through multiple formal and informal channels. These can include worship announcements, printed materials, websites, email, social media, telephone contact, small groups, ministry leaders, and personal conversations.</w:t>
      </w:r>
    </w:p>
    <w:p>
      <w:pPr>
        <w:widowControl/>
        <w:spacing w:line="360" w:lineRule="auto" w:after="120"/>
      </w:pPr>
      <w:r>
        <w:rPr>
          <w:rFonts w:ascii="Times New Roman" w:hAnsi="Times New Roman"/>
          <w:color w:val="000000"/>
          <w:sz w:val="24"/>
        </w:rPr>
        <w:t>The effectiveness of communication is therefore not simply a matter of whether information exists but whether it reaches the relevant people accurately and at an appropriate time.</w:t>
      </w:r>
    </w:p>
    <w:p>
      <w:pPr>
        <w:widowControl/>
        <w:spacing w:line="360" w:lineRule="auto" w:after="120"/>
      </w:pPr>
      <w:r>
        <w:rPr>
          <w:rFonts w:ascii="Times New Roman" w:hAnsi="Times New Roman"/>
          <w:color w:val="000000"/>
          <w:sz w:val="24"/>
        </w:rPr>
        <w:t>Expectations concerning responsiveness have also changed as communication technologies have accelerated. Individuals accustomed to rapid digital communication in other areas of life may expect relatively prompt acknowledgement of emails, messages, enquiries, or prayer requests.</w:t>
      </w:r>
    </w:p>
    <w:p>
      <w:pPr>
        <w:widowControl/>
        <w:spacing w:line="360" w:lineRule="auto" w:after="120"/>
      </w:pPr>
      <w:r>
        <w:rPr>
          <w:rFonts w:ascii="Times New Roman" w:hAnsi="Times New Roman"/>
          <w:color w:val="000000"/>
          <w:sz w:val="24"/>
        </w:rPr>
        <w:t>Yet church staffing models may not support the same response times as commercial organisations.</w:t>
      </w:r>
    </w:p>
    <w:p>
      <w:pPr>
        <w:widowControl/>
        <w:spacing w:line="360" w:lineRule="auto" w:after="120"/>
      </w:pPr>
      <w:r>
        <w:rPr>
          <w:rFonts w:ascii="Times New Roman" w:hAnsi="Times New Roman"/>
          <w:color w:val="000000"/>
          <w:sz w:val="24"/>
        </w:rPr>
        <w:t>This creates another potential expectation-performance gap.</w:t>
      </w:r>
    </w:p>
    <w:p>
      <w:pPr>
        <w:widowControl/>
        <w:spacing w:line="360" w:lineRule="auto" w:after="120"/>
      </w:pPr>
      <w:r>
        <w:rPr>
          <w:rFonts w:ascii="Times New Roman" w:hAnsi="Times New Roman"/>
          <w:color w:val="000000"/>
          <w:sz w:val="24"/>
        </w:rPr>
        <w:t>The issue is particularly significant where communication concerns pastoral or personal needs. A failure to respond to an ordinary administrative enquiry may cause inconvenience; a failure to respond when an individual believes they are seeking pastoral support may have a much more significant emotional effect.</w:t>
      </w:r>
    </w:p>
    <w:p>
      <w:pPr>
        <w:widowControl/>
        <w:spacing w:line="360" w:lineRule="auto" w:after="120"/>
      </w:pPr>
      <w:r>
        <w:rPr>
          <w:rFonts w:ascii="Times New Roman" w:hAnsi="Times New Roman"/>
          <w:color w:val="000000"/>
          <w:sz w:val="24"/>
        </w:rPr>
        <w:t>Consequently, the meaning of responsiveness may depend on the nature of the interaction as well as on elapsed time.</w:t>
      </w:r>
    </w:p>
    <w:p>
      <w:pPr>
        <w:widowControl/>
        <w:spacing w:line="360" w:lineRule="auto" w:after="120"/>
      </w:pPr>
      <w:r>
        <w:rPr>
          <w:rFonts w:ascii="Times New Roman" w:hAnsi="Times New Roman"/>
          <w:color w:val="000000"/>
          <w:sz w:val="24"/>
        </w:rPr>
        <w:t>For this reason, the present research should treat communication and responsiveness as related but potentially distinct constructs.</w:t>
      </w:r>
    </w:p>
    <w:p>
      <w:bookmarkStart w:id="71" w:name="m71"/>
      <w:pPr>
        <w:pStyle w:val="Heading3"/>
        <w:pageBreakBefore w:val="0"/>
        <w:widowControl/>
      </w:pPr>
      <w:r>
        <w:rPr>
          <w:rFonts w:ascii="Times New Roman" w:hAnsi="Times New Roman"/>
          <w:b/>
          <w:color w:val="000000"/>
          <w:sz w:val="24"/>
        </w:rPr>
        <w:t>2.8.7 Feedback and Listening Systems</w:t>
      </w:r>
      <w:bookmarkEnd w:id="71"/>
    </w:p>
    <w:p>
      <w:pPr>
        <w:widowControl/>
        <w:spacing w:line="360" w:lineRule="auto" w:after="120"/>
      </w:pPr>
      <w:r>
        <w:rPr>
          <w:rFonts w:ascii="Times New Roman" w:hAnsi="Times New Roman"/>
          <w:color w:val="000000"/>
          <w:sz w:val="24"/>
        </w:rPr>
        <w:t>Service-quality improvement requires some mechanism for understanding how services are experienced.</w:t>
      </w:r>
    </w:p>
    <w:p>
      <w:pPr>
        <w:widowControl/>
        <w:spacing w:line="360" w:lineRule="auto" w:after="120"/>
      </w:pPr>
      <w:r>
        <w:rPr>
          <w:rFonts w:ascii="Times New Roman" w:hAnsi="Times New Roman"/>
          <w:color w:val="000000"/>
          <w:sz w:val="24"/>
        </w:rPr>
        <w:t>Within churches, feedback has traditionally been strongly relational and informal. Pastors, elders, ministry leaders, and other members may learn about problems through conversation, personal relationships, home visits, small groups, or visible changes in participation.</w:t>
      </w:r>
    </w:p>
    <w:p>
      <w:pPr>
        <w:widowControl/>
        <w:spacing w:line="360" w:lineRule="auto" w:after="120"/>
      </w:pPr>
      <w:r>
        <w:rPr>
          <w:rFonts w:ascii="Times New Roman" w:hAnsi="Times New Roman"/>
          <w:color w:val="000000"/>
          <w:sz w:val="24"/>
        </w:rPr>
        <w:t>Such approaches have considerable strengths. They can generate detailed qualitative understanding and may be particularly appropriate within close communities.</w:t>
      </w:r>
    </w:p>
    <w:p>
      <w:pPr>
        <w:widowControl/>
        <w:spacing w:line="360" w:lineRule="auto" w:after="120"/>
      </w:pPr>
      <w:r>
        <w:rPr>
          <w:rFonts w:ascii="Times New Roman" w:hAnsi="Times New Roman"/>
          <w:color w:val="000000"/>
          <w:sz w:val="24"/>
        </w:rPr>
        <w:t>They also contain limitations.</w:t>
      </w:r>
    </w:p>
    <w:p>
      <w:pPr>
        <w:widowControl/>
        <w:spacing w:line="360" w:lineRule="auto" w:after="120"/>
      </w:pPr>
      <w:r>
        <w:rPr>
          <w:rFonts w:ascii="Times New Roman" w:hAnsi="Times New Roman"/>
          <w:color w:val="000000"/>
          <w:sz w:val="24"/>
        </w:rPr>
        <w:t>Informal feedback is unlikely to be representative. Leaders may hear disproportionately from highly involved, confident, dissatisfied, or vocal members while receiving little information from people who are less connected, reluctant to complain, or quietly disengaging.</w:t>
      </w:r>
    </w:p>
    <w:p>
      <w:pPr>
        <w:widowControl/>
        <w:spacing w:line="360" w:lineRule="auto" w:after="120"/>
      </w:pPr>
      <w:r>
        <w:rPr>
          <w:rFonts w:ascii="Times New Roman" w:hAnsi="Times New Roman"/>
          <w:color w:val="000000"/>
          <w:sz w:val="24"/>
        </w:rPr>
        <w:t>Vuokko's (2000) work suggests that genuinely customer-oriented organisational behaviour requires mechanisms for identifying and understanding the needs and perceptions of those being served.</w:t>
      </w:r>
    </w:p>
    <w:p>
      <w:pPr>
        <w:widowControl/>
        <w:spacing w:line="360" w:lineRule="auto" w:after="120"/>
      </w:pPr>
      <w:r>
        <w:rPr>
          <w:rFonts w:ascii="Times New Roman" w:hAnsi="Times New Roman"/>
          <w:color w:val="000000"/>
          <w:sz w:val="24"/>
        </w:rPr>
        <w:t>Formal feedback tools such as surveys, suggestion systems, focus groups, digital feedback forms, or structured member interviews can therefore complement informal pastoral information.</w:t>
      </w:r>
    </w:p>
    <w:p>
      <w:pPr>
        <w:widowControl/>
        <w:spacing w:line="360" w:lineRule="auto" w:after="120"/>
      </w:pPr>
      <w:r>
        <w:rPr>
          <w:rFonts w:ascii="Times New Roman" w:hAnsi="Times New Roman"/>
          <w:color w:val="000000"/>
          <w:sz w:val="24"/>
        </w:rPr>
        <w:t>Their use must nevertheless be interpreted carefully. Congregational surveys can establish perceptions but should not automatically be treated as mechanisms for deciding theological or doctrinal questions.</w:t>
      </w:r>
    </w:p>
    <w:p>
      <w:pPr>
        <w:widowControl/>
        <w:spacing w:line="360" w:lineRule="auto" w:after="120"/>
      </w:pPr>
      <w:r>
        <w:rPr>
          <w:rFonts w:ascii="Times New Roman" w:hAnsi="Times New Roman"/>
          <w:color w:val="000000"/>
          <w:sz w:val="24"/>
        </w:rPr>
        <w:t>Their greatest value lies in areas where the church genuinely seeks information about organisational experience: communication, accessibility, welcome, facilities, programmes, pastoral processes, and similar matters.</w:t>
      </w:r>
    </w:p>
    <w:p>
      <w:pPr>
        <w:widowControl/>
        <w:spacing w:line="360" w:lineRule="auto" w:after="120"/>
      </w:pPr>
      <w:r>
        <w:rPr>
          <w:rFonts w:ascii="Times New Roman" w:hAnsi="Times New Roman"/>
          <w:color w:val="000000"/>
          <w:sz w:val="24"/>
        </w:rPr>
        <w:t>Feedback also creates an expectation of response. Collecting information without acting upon persistent or legitimate problems may damage confidence rather than improve it.</w:t>
      </w:r>
    </w:p>
    <w:p>
      <w:pPr>
        <w:widowControl/>
        <w:spacing w:line="360" w:lineRule="auto" w:after="120"/>
      </w:pPr>
      <w:r>
        <w:rPr>
          <w:rFonts w:ascii="Times New Roman" w:hAnsi="Times New Roman"/>
          <w:color w:val="000000"/>
          <w:sz w:val="24"/>
        </w:rPr>
        <w:t>The literature on service recovery, although developed largely outside churches, raises a related issue. Organisations differ not only in whether service failures occur but in how they respond when they do.</w:t>
      </w:r>
    </w:p>
    <w:p>
      <w:pPr>
        <w:widowControl/>
        <w:spacing w:line="360" w:lineRule="auto" w:after="120"/>
      </w:pPr>
      <w:r>
        <w:rPr>
          <w:rFonts w:ascii="Times New Roman" w:hAnsi="Times New Roman"/>
          <w:color w:val="000000"/>
          <w:sz w:val="24"/>
        </w:rPr>
        <w:t>Within a church environment, recovery is unlikely to involve financial compensation. It is more likely to involve acknowledgement, explanation, apology, corrective action, pastoral conversation, or reconciliation.</w:t>
      </w:r>
    </w:p>
    <w:p>
      <w:pPr>
        <w:widowControl/>
        <w:spacing w:line="360" w:lineRule="auto" w:after="120"/>
      </w:pPr>
      <w:r>
        <w:rPr>
          <w:rFonts w:ascii="Times New Roman" w:hAnsi="Times New Roman"/>
          <w:color w:val="000000"/>
          <w:sz w:val="24"/>
        </w:rPr>
        <w:t>This suggests that relational recovery may be particularly important within religious organisations.</w:t>
      </w:r>
    </w:p>
    <w:p>
      <w:pPr>
        <w:widowControl/>
        <w:spacing w:line="360" w:lineRule="auto" w:after="120"/>
      </w:pPr>
      <w:r>
        <w:rPr>
          <w:rFonts w:ascii="Times New Roman" w:hAnsi="Times New Roman"/>
          <w:color w:val="000000"/>
          <w:sz w:val="24"/>
        </w:rPr>
        <w:t>However, the existing church literature provides limited systematic evidence concerning service failure and recovery. This represents a potentially important area for future research.</w:t>
      </w:r>
    </w:p>
    <w:p>
      <w:bookmarkStart w:id="72" w:name="m72"/>
      <w:pPr>
        <w:pStyle w:val="Heading3"/>
        <w:pageBreakBefore w:val="0"/>
        <w:widowControl/>
      </w:pPr>
      <w:r>
        <w:rPr>
          <w:rFonts w:ascii="Times New Roman" w:hAnsi="Times New Roman"/>
          <w:b/>
          <w:color w:val="000000"/>
          <w:sz w:val="24"/>
        </w:rPr>
        <w:t>2.8.8 Organisational Formalisation as a Research Question</w:t>
      </w:r>
      <w:bookmarkEnd w:id="72"/>
    </w:p>
    <w:p>
      <w:pPr>
        <w:widowControl/>
        <w:spacing w:line="360" w:lineRule="auto" w:after="120"/>
      </w:pPr>
      <w:r>
        <w:rPr>
          <w:rFonts w:ascii="Times New Roman" w:hAnsi="Times New Roman"/>
          <w:color w:val="000000"/>
          <w:sz w:val="24"/>
        </w:rPr>
        <w:t>Formalisation refers here to the use of defined roles, documented processes and coordinated information. These features offer possible ways of describing church organisation.</w:t>
      </w:r>
    </w:p>
    <w:p>
      <w:pPr>
        <w:widowControl/>
        <w:spacing w:line="360" w:lineRule="auto" w:after="120"/>
      </w:pPr>
      <w:r>
        <w:rPr>
          <w:rFonts w:ascii="Times New Roman" w:hAnsi="Times New Roman"/>
          <w:color w:val="000000"/>
          <w:sz w:val="24"/>
        </w:rPr>
        <w:t>They are analytical possibilities rather than indicators of effectiveness.</w:t>
      </w:r>
    </w:p>
    <w:p>
      <w:pPr>
        <w:widowControl/>
        <w:spacing w:line="360" w:lineRule="auto" w:after="120"/>
      </w:pPr>
      <w:r>
        <w:rPr>
          <w:rFonts w:ascii="Times New Roman" w:hAnsi="Times New Roman"/>
          <w:color w:val="000000"/>
          <w:sz w:val="24"/>
        </w:rPr>
        <w:t>Examples might include a welcome rota, a membership information process or a procedure for acknowledging enquiries. Their presence would not demonstrate that congregants experience better care.</w:t>
      </w:r>
    </w:p>
    <w:p>
      <w:pPr>
        <w:widowControl/>
        <w:spacing w:line="360" w:lineRule="auto" w:after="120"/>
      </w:pPr>
      <w:r>
        <w:rPr>
          <w:rFonts w:ascii="Times New Roman" w:hAnsi="Times New Roman"/>
          <w:color w:val="000000"/>
          <w:sz w:val="24"/>
        </w:rPr>
        <w:t>A church-management database could support contact records and follow-up, providing a possible parallel with CRM. This comparison concerns a function, not evidence that a particular system improves ministry outcomes.</w:t>
      </w:r>
    </w:p>
    <w:p>
      <w:pPr>
        <w:widowControl/>
        <w:spacing w:line="360" w:lineRule="auto" w:after="120"/>
      </w:pPr>
      <w:r>
        <w:rPr>
          <w:rFonts w:ascii="Times New Roman" w:hAnsi="Times New Roman"/>
          <w:color w:val="000000"/>
          <w:sz w:val="24"/>
        </w:rPr>
        <w:t>The question is how organisational arrangements are experienced by participants, rather than whether formal systems exist.</w:t>
      </w:r>
    </w:p>
    <w:p>
      <w:pPr>
        <w:widowControl/>
        <w:spacing w:line="360" w:lineRule="auto" w:after="120"/>
      </w:pPr>
      <w:r>
        <w:rPr>
          <w:rFonts w:ascii="Times New Roman" w:hAnsi="Times New Roman"/>
          <w:color w:val="000000"/>
          <w:sz w:val="24"/>
        </w:rPr>
        <w:t>Several qualifications apply.</w:t>
      </w:r>
    </w:p>
    <w:p>
      <w:pPr>
        <w:widowControl/>
        <w:spacing w:line="360" w:lineRule="auto" w:after="120"/>
      </w:pPr>
      <w:r>
        <w:rPr>
          <w:rFonts w:ascii="Times New Roman" w:hAnsi="Times New Roman"/>
          <w:color w:val="000000"/>
          <w:sz w:val="24"/>
        </w:rPr>
        <w:t>First, staffing and resources may affect which arrangements are feasible.</w:t>
      </w:r>
    </w:p>
    <w:p>
      <w:pPr>
        <w:widowControl/>
        <w:spacing w:line="360" w:lineRule="auto" w:after="120"/>
      </w:pPr>
      <w:r>
        <w:rPr>
          <w:rFonts w:ascii="Times New Roman" w:hAnsi="Times New Roman"/>
          <w:color w:val="000000"/>
          <w:sz w:val="24"/>
        </w:rPr>
        <w:t>Second, descriptions supplied by organisations would need to be distinguished from independent evaluations.</w:t>
      </w:r>
    </w:p>
    <w:p>
      <w:pPr>
        <w:widowControl/>
        <w:spacing w:line="360" w:lineRule="auto" w:after="120"/>
      </w:pPr>
      <w:r>
        <w:rPr>
          <w:rFonts w:ascii="Times New Roman" w:hAnsi="Times New Roman"/>
          <w:color w:val="000000"/>
          <w:sz w:val="24"/>
        </w:rPr>
        <w:t>Third, growth or size cannot automatically be attributed to customer-service practices because numerous theological, demographic, cultural, geographic, leadership, and organisational factors may contribute.</w:t>
      </w:r>
    </w:p>
    <w:p>
      <w:pPr>
        <w:widowControl/>
        <w:spacing w:line="360" w:lineRule="auto" w:after="120"/>
      </w:pPr>
      <w:r>
        <w:rPr>
          <w:rFonts w:ascii="Times New Roman" w:hAnsi="Times New Roman"/>
          <w:color w:val="000000"/>
          <w:sz w:val="24"/>
        </w:rPr>
        <w:t>Formalisation should therefore be investigated as a contextual feature, without presuming that a larger or more structured church provides a better experience.</w:t>
      </w:r>
    </w:p>
    <w:p>
      <w:pPr>
        <w:widowControl/>
        <w:spacing w:line="360" w:lineRule="auto" w:after="120"/>
      </w:pPr>
      <w:r>
        <w:rPr>
          <w:rFonts w:ascii="Times New Roman" w:hAnsi="Times New Roman"/>
          <w:color w:val="000000"/>
          <w:sz w:val="24"/>
        </w:rPr>
        <w:t>The present questionnaire records some reported practices but does not evaluate named churches or compare independently observed organisational systems.</w:t>
      </w:r>
    </w:p>
    <w:p>
      <w:bookmarkStart w:id="73" w:name="m73"/>
      <w:pPr>
        <w:pStyle w:val="Heading2"/>
        <w:pageBreakBefore w:val="0"/>
        <w:widowControl/>
      </w:pPr>
      <w:r>
        <w:rPr>
          <w:rFonts w:ascii="Times New Roman" w:hAnsi="Times New Roman"/>
          <w:b/>
          <w:color w:val="000000"/>
          <w:sz w:val="26"/>
        </w:rPr>
        <w:t>2.9 Digital Transformation and the Church Service Experience</w:t>
      </w:r>
      <w:bookmarkEnd w:id="73"/>
    </w:p>
    <w:p>
      <w:bookmarkStart w:id="74" w:name="m74"/>
      <w:pPr>
        <w:pStyle w:val="Heading3"/>
        <w:pageBreakBefore w:val="0"/>
        <w:widowControl/>
      </w:pPr>
      <w:r>
        <w:rPr>
          <w:rFonts w:ascii="Times New Roman" w:hAnsi="Times New Roman"/>
          <w:b/>
          <w:color w:val="000000"/>
          <w:sz w:val="24"/>
        </w:rPr>
        <w:t>2.9.1 Expansion of the Church Experience Beyond the Physical Site</w:t>
      </w:r>
      <w:bookmarkEnd w:id="74"/>
    </w:p>
    <w:p>
      <w:pPr>
        <w:widowControl/>
        <w:spacing w:line="360" w:lineRule="auto" w:after="120"/>
      </w:pPr>
      <w:r>
        <w:rPr>
          <w:rFonts w:ascii="Times New Roman" w:hAnsi="Times New Roman"/>
          <w:color w:val="000000"/>
          <w:sz w:val="24"/>
        </w:rPr>
        <w:t>Digital technology has significantly broadened the environments through which individuals encounter churches.</w:t>
      </w:r>
    </w:p>
    <w:p>
      <w:pPr>
        <w:widowControl/>
        <w:spacing w:line="360" w:lineRule="auto" w:after="120"/>
      </w:pPr>
      <w:r>
        <w:rPr>
          <w:rFonts w:ascii="Times New Roman" w:hAnsi="Times New Roman"/>
          <w:color w:val="000000"/>
          <w:sz w:val="24"/>
        </w:rPr>
        <w:t>Websites, social media, email, mobile applications, live-streamed worship, online small groups, digital prayer requests, and church-management systems have created additional organisational touchpoints beyond physical attendance.</w:t>
      </w:r>
    </w:p>
    <w:p>
      <w:pPr>
        <w:widowControl/>
        <w:spacing w:line="360" w:lineRule="auto" w:after="120"/>
      </w:pPr>
      <w:r>
        <w:rPr>
          <w:rFonts w:ascii="Times New Roman" w:hAnsi="Times New Roman"/>
          <w:color w:val="000000"/>
          <w:sz w:val="24"/>
        </w:rPr>
        <w:t>Hutchings (2011) examines online church communities, providing a pre-pandemic point of reference for the study of digital religious participation. No detailed claim about that article's sample or effects is required for the present analysis.</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Pew Research Center (2023) subsequently documented online and televised participation in a November 2022 survey of U.S. adults. That report provides evidence about patterns of use after the height of the pandemic.</w:t>
      </w:r>
    </w:p>
    <w:p>
      <w:pPr>
        <w:widowControl/>
        <w:spacing w:line="360" w:lineRule="auto" w:after="120"/>
      </w:pPr>
      <w:r>
        <w:rPr>
          <w:rFonts w:ascii="Times New Roman" w:hAnsi="Times New Roman"/>
          <w:color w:val="000000"/>
          <w:sz w:val="24"/>
        </w:rPr>
        <w:t>The result is that contemporary church experience increasingly involves both physical and digital dimensions.</w:t>
      </w:r>
    </w:p>
    <w:p>
      <w:pPr>
        <w:widowControl/>
        <w:spacing w:line="360" w:lineRule="auto" w:after="120"/>
      </w:pPr>
      <w:r>
        <w:rPr>
          <w:rFonts w:ascii="Times New Roman" w:hAnsi="Times New Roman"/>
          <w:color w:val="000000"/>
          <w:sz w:val="24"/>
        </w:rPr>
        <w:t>This has direct implications for service quality. Reliability may now concern streaming stability as well as consistency of in-person provision. Responsiveness may include replies to digital enquiries. Accessibility may involve website navigation or online participation. Tangibles may be supplemented by digital interface quality.</w:t>
      </w:r>
    </w:p>
    <w:p>
      <w:pPr>
        <w:widowControl/>
        <w:spacing w:line="360" w:lineRule="auto" w:after="120"/>
      </w:pPr>
      <w:r>
        <w:rPr>
          <w:rFonts w:ascii="Times New Roman" w:hAnsi="Times New Roman"/>
          <w:color w:val="000000"/>
          <w:sz w:val="24"/>
        </w:rPr>
        <w:t>The conceptual boundary of church service quality has therefore expanded.</w:t>
      </w:r>
    </w:p>
    <w:p>
      <w:bookmarkStart w:id="75" w:name="m75"/>
      <w:pPr>
        <w:pStyle w:val="Heading3"/>
        <w:pageBreakBefore w:val="0"/>
        <w:widowControl/>
      </w:pPr>
      <w:r>
        <w:rPr>
          <w:rFonts w:ascii="Times New Roman" w:hAnsi="Times New Roman"/>
          <w:b/>
          <w:color w:val="000000"/>
          <w:sz w:val="24"/>
        </w:rPr>
        <w:t>2.9.2 Digital Accessibility and Inclusion</w:t>
      </w:r>
      <w:bookmarkEnd w:id="75"/>
    </w:p>
    <w:p>
      <w:pPr>
        <w:widowControl/>
        <w:spacing w:line="360" w:lineRule="auto" w:after="120"/>
      </w:pPr>
      <w:r>
        <w:rPr>
          <w:rFonts w:ascii="Times New Roman" w:hAnsi="Times New Roman"/>
          <w:color w:val="000000"/>
          <w:sz w:val="24"/>
        </w:rPr>
        <w:t>One of the clearest potential advantages of digital ministry is increased accessibility.</w:t>
      </w:r>
    </w:p>
    <w:p>
      <w:pPr>
        <w:widowControl/>
        <w:spacing w:line="360" w:lineRule="auto" w:after="120"/>
      </w:pPr>
      <w:r>
        <w:rPr>
          <w:rFonts w:ascii="Times New Roman" w:hAnsi="Times New Roman"/>
          <w:color w:val="000000"/>
          <w:sz w:val="24"/>
        </w:rPr>
        <w:t>Individuals who are unable to attend physically because of illness, disability, travel, geography, employment, caring responsibilities, or other constraints may be able to participate remotely.</w:t>
      </w:r>
    </w:p>
    <w:p>
      <w:pPr>
        <w:widowControl/>
        <w:spacing w:line="360" w:lineRule="auto" w:after="120"/>
      </w:pPr>
      <w:r>
        <w:rPr>
          <w:rFonts w:ascii="Times New Roman" w:hAnsi="Times New Roman"/>
          <w:color w:val="000000"/>
          <w:sz w:val="24"/>
        </w:rPr>
        <w:t>Digital services can also allow individuals to access sermons or other material asynchronously.</w:t>
      </w:r>
    </w:p>
    <w:p>
      <w:pPr>
        <w:widowControl/>
        <w:spacing w:line="360" w:lineRule="auto" w:after="120"/>
      </w:pPr>
      <w:r>
        <w:rPr>
          <w:rFonts w:ascii="Times New Roman" w:hAnsi="Times New Roman"/>
          <w:color w:val="000000"/>
          <w:sz w:val="24"/>
        </w:rPr>
        <w:t>From a service-quality perspective, this represents an extension of access rather than simply a technological enhancement.</w:t>
      </w:r>
    </w:p>
    <w:p>
      <w:pPr>
        <w:widowControl/>
        <w:spacing w:line="360" w:lineRule="auto" w:after="120"/>
      </w:pPr>
      <w:r>
        <w:rPr>
          <w:rFonts w:ascii="Times New Roman" w:hAnsi="Times New Roman"/>
          <w:color w:val="000000"/>
          <w:sz w:val="24"/>
        </w:rPr>
        <w:t>Pew Research Center (2023) surveyed 11,377 U.S. adults in November 2022. It reported that 27% regularly watched religious services online or on television. Among respondents who regularly both watched remotely and attended in person, 76% preferred in-person attendance. That preference figure concerns this subgroup, not all U.S. adults or the present dissertation sample.</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This distinction is important. Digital participation should not automatically be treated as a substitute for physical attendance. It may function as an alternative, supplement, or entry point depending upon the individual and context.</w:t>
      </w:r>
    </w:p>
    <w:p>
      <w:pPr>
        <w:widowControl/>
        <w:spacing w:line="360" w:lineRule="auto" w:after="120"/>
      </w:pPr>
      <w:r>
        <w:rPr>
          <w:rFonts w:ascii="Times New Roman" w:hAnsi="Times New Roman"/>
          <w:color w:val="000000"/>
          <w:sz w:val="24"/>
        </w:rPr>
        <w:t>The service-quality question is therefore not simply whether digital ministry is available but how individuals evaluate its accessibility, usability, reliability, responsiveness, and capacity to support meaningful participation.</w:t>
      </w:r>
    </w:p>
    <w:p>
      <w:bookmarkStart w:id="76" w:name="m76"/>
      <w:pPr>
        <w:pStyle w:val="Heading3"/>
        <w:pageBreakBefore w:val="0"/>
        <w:widowControl/>
      </w:pPr>
      <w:r>
        <w:rPr>
          <w:rFonts w:ascii="Times New Roman" w:hAnsi="Times New Roman"/>
          <w:b/>
          <w:color w:val="000000"/>
          <w:sz w:val="24"/>
        </w:rPr>
        <w:t>2.9.3 Digital Engagement and Community</w:t>
      </w:r>
      <w:bookmarkEnd w:id="76"/>
    </w:p>
    <w:p>
      <w:pPr>
        <w:widowControl/>
        <w:spacing w:line="360" w:lineRule="auto" w:after="120"/>
      </w:pPr>
      <w:r>
        <w:rPr>
          <w:rFonts w:ascii="Times New Roman" w:hAnsi="Times New Roman"/>
          <w:color w:val="000000"/>
        </w:rPr>
        <w:t>Online church environments also alter the nature of interaction.</w:t>
      </w:r>
    </w:p>
    <w:p>
      <w:pPr>
        <w:widowControl/>
        <w:spacing w:line="360" w:lineRule="auto" w:after="120"/>
      </w:pPr>
      <w:r>
        <w:rPr>
          <w:rFonts w:ascii="Times New Roman" w:hAnsi="Times New Roman"/>
          <w:color w:val="000000"/>
          <w:sz w:val="24"/>
        </w:rPr>
        <w:t>Traditional broadcast media largely allowed one-way communication. Contemporary digital platforms can permit real-time chat, prayer requests, group interaction, social-media discussion, and other forms of participation.</w:t>
      </w:r>
    </w:p>
    <w:p>
      <w:pPr>
        <w:widowControl/>
        <w:spacing w:line="360" w:lineRule="auto" w:after="120"/>
      </w:pPr>
      <w:r>
        <w:rPr>
          <w:rFonts w:ascii="Times New Roman" w:hAnsi="Times New Roman"/>
          <w:color w:val="000000"/>
          <w:sz w:val="24"/>
        </w:rPr>
        <w:t>Interactive features provide possible opportunities for communication, but their presence alone does not establish a sense of community.</w:t>
      </w:r>
    </w:p>
    <w:p>
      <w:pPr>
        <w:widowControl/>
        <w:spacing w:line="360" w:lineRule="auto" w:after="120"/>
      </w:pPr>
      <w:r>
        <w:rPr>
          <w:rFonts w:ascii="Times New Roman" w:hAnsi="Times New Roman"/>
          <w:color w:val="000000"/>
          <w:sz w:val="24"/>
        </w:rPr>
        <w:t>Their effectiveness would need to be assessed from participants' experiences.</w:t>
      </w:r>
    </w:p>
    <w:p>
      <w:pPr>
        <w:widowControl/>
        <w:spacing w:line="360" w:lineRule="auto" w:after="120"/>
      </w:pPr>
      <w:r>
        <w:rPr>
          <w:rFonts w:ascii="Times New Roman" w:hAnsi="Times New Roman"/>
          <w:color w:val="000000"/>
          <w:sz w:val="24"/>
        </w:rPr>
        <w:t>The central conceptual issue concerns whether digitally mediated interactions can create forms of belonging comparable with those experienced in physical congregations.</w:t>
      </w:r>
    </w:p>
    <w:p>
      <w:pPr>
        <w:widowControl/>
        <w:spacing w:line="360" w:lineRule="auto" w:after="120"/>
      </w:pPr>
      <w:r>
        <w:rPr>
          <w:rFonts w:ascii="Times New Roman" w:hAnsi="Times New Roman"/>
          <w:color w:val="000000"/>
          <w:sz w:val="24"/>
        </w:rPr>
        <w:t>The relationship between digital participation and belonging remains a question for this dissertation's interpretation. Availability, use and a sense of connection are different aspects of experience and should not be treated as interchangeable.</w:t>
      </w:r>
    </w:p>
    <w:p>
      <w:pPr>
        <w:widowControl/>
        <w:spacing w:line="360" w:lineRule="auto" w:after="120"/>
      </w:pPr>
      <w:r>
        <w:rPr>
          <w:rFonts w:ascii="Times New Roman" w:hAnsi="Times New Roman"/>
          <w:color w:val="000000"/>
          <w:sz w:val="24"/>
        </w:rPr>
        <w:t>Nevertheless, the literature also identifies limitations. Physical gathering permits embodied forms of interaction, shared ritual, informal conversation, and forms of communal presence that may be difficult to reproduce online.</w:t>
      </w:r>
    </w:p>
    <w:p>
      <w:pPr>
        <w:widowControl/>
        <w:spacing w:line="360" w:lineRule="auto" w:after="120"/>
      </w:pPr>
      <w:r>
        <w:rPr>
          <w:rFonts w:ascii="Times New Roman" w:hAnsi="Times New Roman"/>
          <w:color w:val="000000"/>
          <w:sz w:val="24"/>
        </w:rPr>
        <w:t>The appropriate conclusion is therefore not that one model is inherently superior, but that in-person and digital environments create different conditions for experience and participation.</w:t>
      </w:r>
    </w:p>
    <w:p>
      <w:bookmarkStart w:id="77" w:name="m77"/>
      <w:pPr>
        <w:pStyle w:val="Heading3"/>
        <w:pageBreakBefore w:val="0"/>
        <w:widowControl/>
      </w:pPr>
      <w:r>
        <w:rPr>
          <w:rFonts w:ascii="Times New Roman" w:hAnsi="Times New Roman"/>
          <w:b/>
          <w:color w:val="000000"/>
          <w:sz w:val="24"/>
        </w:rPr>
        <w:t>2.9.4 Digital Service Quality</w:t>
      </w:r>
      <w:bookmarkEnd w:id="77"/>
    </w:p>
    <w:p>
      <w:pPr>
        <w:widowControl/>
        <w:spacing w:line="360" w:lineRule="auto" w:after="120"/>
      </w:pPr>
      <w:r>
        <w:rPr>
          <w:rFonts w:ascii="Times New Roman" w:hAnsi="Times New Roman"/>
          <w:color w:val="000000"/>
          <w:sz w:val="24"/>
        </w:rPr>
        <w:t>The development of digital ministry also connects with the wider literature on e-service quality.</w:t>
      </w:r>
    </w:p>
    <w:p>
      <w:pPr>
        <w:widowControl/>
        <w:spacing w:line="360" w:lineRule="auto" w:after="120"/>
      </w:pPr>
      <w:r>
        <w:rPr>
          <w:rFonts w:ascii="Times New Roman" w:hAnsi="Times New Roman"/>
          <w:color w:val="000000"/>
          <w:sz w:val="24"/>
        </w:rPr>
        <w:t>Ighomereho et al. (2022) proposed seven e-service dimensions and analysed 318 usable questionnaires from e-channel users in Lagos State, Nigeria. Their regression reported positive coefficients for reliability, security, fulfilment and ease of use, but a negative coefficient for responsiveness; website appearance and personalisation were not significant (pp. 10–12). Thus, the findings do not support a simple claim that every proposed dimension improves quality. The study concerns e-channel users, not online congregations, so it provides comparative concepts rather than a validated church scale.</w:t>
      </w:r>
    </w:p>
    <w:p>
      <w:pPr>
        <w:widowControl/>
        <w:spacing w:line="360" w:lineRule="auto" w:after="120"/>
      </w:pPr>
      <w:r>
        <w:rPr>
          <w:rFonts w:ascii="Times New Roman" w:hAnsi="Times New Roman"/>
          <w:color w:val="000000"/>
          <w:sz w:val="24"/>
        </w:rPr>
        <w:t>These considerations are potentially relevant to churches because the quality of the digital interface can affect access before any direct interpersonal interaction occurs.</w:t>
      </w:r>
    </w:p>
    <w:p>
      <w:pPr>
        <w:widowControl/>
        <w:spacing w:line="360" w:lineRule="auto" w:after="120"/>
      </w:pPr>
      <w:r>
        <w:rPr>
          <w:rFonts w:ascii="Times New Roman" w:hAnsi="Times New Roman"/>
          <w:color w:val="000000"/>
          <w:sz w:val="24"/>
        </w:rPr>
        <w:t>A poorly functioning website, broken streaming link, inaccurate event information, difficult registration process, or unanswered online enquiry can create a negative organisational experience even when the physical church itself functions effectively.</w:t>
      </w:r>
    </w:p>
    <w:p>
      <w:pPr>
        <w:widowControl/>
        <w:spacing w:line="360" w:lineRule="auto" w:after="120"/>
      </w:pPr>
      <w:r>
        <w:rPr>
          <w:rFonts w:ascii="Times New Roman" w:hAnsi="Times New Roman"/>
          <w:color w:val="000000"/>
          <w:sz w:val="24"/>
        </w:rPr>
        <w:t>Digital channels can therefore create new expectation-performance gaps.</w:t>
      </w:r>
    </w:p>
    <w:p>
      <w:pPr>
        <w:widowControl/>
        <w:spacing w:line="360" w:lineRule="auto" w:after="120"/>
      </w:pPr>
      <w:r>
        <w:rPr>
          <w:rFonts w:ascii="Times New Roman" w:hAnsi="Times New Roman"/>
          <w:color w:val="000000"/>
          <w:sz w:val="24"/>
        </w:rPr>
        <w:t>They also create new standards of comparison. Individuals interact daily with highly developed commercial digital services and may carry some of those expectations into nonprofit and religious environments.</w:t>
      </w:r>
    </w:p>
    <w:p>
      <w:pPr>
        <w:widowControl/>
        <w:spacing w:line="360" w:lineRule="auto" w:after="120"/>
      </w:pPr>
      <w:r>
        <w:rPr>
          <w:rFonts w:ascii="Times New Roman" w:hAnsi="Times New Roman"/>
          <w:color w:val="000000"/>
          <w:sz w:val="24"/>
        </w:rPr>
        <w:t>It would nevertheless be inappropriate to assume that churches should provide commercial levels of technological sophistication. Resource differences are substantial, and digital production quality is only one aspect of church experience.</w:t>
      </w:r>
    </w:p>
    <w:p>
      <w:pPr>
        <w:widowControl/>
        <w:spacing w:line="360" w:lineRule="auto" w:after="120"/>
      </w:pPr>
      <w:r>
        <w:rPr>
          <w:rFonts w:ascii="Times New Roman" w:hAnsi="Times New Roman"/>
          <w:color w:val="000000"/>
          <w:sz w:val="24"/>
        </w:rPr>
        <w:t>The more defensible question is whether the available digital systems function reliably and appropriately for the purposes for which they are offered.</w:t>
      </w:r>
    </w:p>
    <w:p>
      <w:bookmarkStart w:id="78" w:name="m78"/>
      <w:pPr>
        <w:pStyle w:val="Heading3"/>
        <w:pageBreakBefore w:val="0"/>
        <w:widowControl/>
      </w:pPr>
      <w:r>
        <w:rPr>
          <w:rFonts w:ascii="Times New Roman" w:hAnsi="Times New Roman"/>
          <w:b/>
          <w:color w:val="000000"/>
          <w:sz w:val="24"/>
        </w:rPr>
        <w:t>2.9.5 Data, Privacy, and Ethical Considerations</w:t>
      </w:r>
      <w:bookmarkEnd w:id="78"/>
    </w:p>
    <w:p>
      <w:pPr>
        <w:widowControl/>
        <w:spacing w:line="360" w:lineRule="auto" w:after="120"/>
      </w:pPr>
      <w:r>
        <w:rPr>
          <w:rFonts w:ascii="Times New Roman" w:hAnsi="Times New Roman"/>
          <w:color w:val="000000"/>
          <w:sz w:val="24"/>
        </w:rPr>
        <w:t>Digital systems also produce forms of data that were less available in traditional church environments.</w:t>
      </w:r>
    </w:p>
    <w:p>
      <w:pPr>
        <w:widowControl/>
        <w:spacing w:line="360" w:lineRule="auto" w:after="120"/>
      </w:pPr>
      <w:r>
        <w:rPr>
          <w:rFonts w:ascii="Times New Roman" w:hAnsi="Times New Roman"/>
          <w:color w:val="000000"/>
          <w:sz w:val="24"/>
        </w:rPr>
        <w:t>Churches can potentially track website use, livestream viewing, app interaction, digital donations, event registrations, attendance, email engagement, and other forms of participation.</w:t>
      </w:r>
    </w:p>
    <w:p>
      <w:pPr>
        <w:widowControl/>
        <w:spacing w:line="360" w:lineRule="auto" w:after="120"/>
      </w:pPr>
      <w:r>
        <w:rPr>
          <w:rFonts w:ascii="Times New Roman" w:hAnsi="Times New Roman"/>
          <w:color w:val="000000"/>
          <w:sz w:val="24"/>
        </w:rPr>
        <w:t>From a management perspective, such information may assist organisations in understanding patterns of engagement.</w:t>
      </w:r>
    </w:p>
    <w:p>
      <w:pPr>
        <w:widowControl/>
        <w:spacing w:line="360" w:lineRule="auto" w:after="120"/>
      </w:pPr>
      <w:r>
        <w:rPr>
          <w:rFonts w:ascii="Times New Roman" w:hAnsi="Times New Roman"/>
          <w:color w:val="000000"/>
          <w:sz w:val="24"/>
        </w:rPr>
        <w:t>However, data collection introduces significant ethical responsibilities.</w:t>
      </w:r>
    </w:p>
    <w:p>
      <w:pPr>
        <w:widowControl/>
        <w:spacing w:line="360" w:lineRule="auto" w:after="120"/>
      </w:pPr>
      <w:r>
        <w:rPr>
          <w:rFonts w:ascii="Times New Roman" w:hAnsi="Times New Roman"/>
          <w:color w:val="000000"/>
          <w:sz w:val="24"/>
        </w:rPr>
        <w:t>Church data can contain information concerning religious affiliation, personal relationships, pastoral needs, donations, prayer requests, and other highly sensitive matters. The fact that technology makes information available does not mean that every form of collection or analysis is appropriate.</w:t>
      </w:r>
    </w:p>
    <w:p>
      <w:pPr>
        <w:widowControl/>
        <w:spacing w:line="360" w:lineRule="auto" w:after="120"/>
      </w:pPr>
      <w:r>
        <w:rPr>
          <w:rFonts w:ascii="Times New Roman" w:hAnsi="Times New Roman"/>
          <w:color w:val="000000"/>
          <w:sz w:val="24"/>
        </w:rPr>
        <w:t>Privacy and security therefore become dimensions of service quality as well as matters of legal and ethical governance.</w:t>
      </w:r>
    </w:p>
    <w:p>
      <w:pPr>
        <w:widowControl/>
        <w:spacing w:line="360" w:lineRule="auto" w:after="120"/>
      </w:pPr>
      <w:r>
        <w:rPr>
          <w:rFonts w:ascii="Times New Roman" w:hAnsi="Times New Roman"/>
          <w:color w:val="000000"/>
          <w:sz w:val="24"/>
        </w:rPr>
        <w:t>Trust is especially important in religious settings. A failure to protect personal or pastoral information could therefore damage not only perceptions of technical competence but also perceptions of organisational credibility.</w:t>
      </w:r>
    </w:p>
    <w:p>
      <w:pPr>
        <w:widowControl/>
        <w:spacing w:line="360" w:lineRule="auto" w:after="120"/>
      </w:pPr>
      <w:r>
        <w:rPr>
          <w:rFonts w:ascii="Times New Roman" w:hAnsi="Times New Roman"/>
          <w:color w:val="000000"/>
          <w:sz w:val="24"/>
        </w:rPr>
        <w:t>This reinforces the relevance of credibility identified by Santos and Mathews (2001).</w:t>
      </w:r>
    </w:p>
    <w:p>
      <w:bookmarkStart w:id="79" w:name="m79"/>
      <w:pPr>
        <w:pStyle w:val="Heading3"/>
        <w:pageBreakBefore w:val="0"/>
        <w:widowControl/>
      </w:pPr>
      <w:r>
        <w:rPr>
          <w:rFonts w:ascii="Times New Roman" w:hAnsi="Times New Roman"/>
          <w:b/>
          <w:color w:val="000000"/>
          <w:sz w:val="24"/>
        </w:rPr>
        <w:t>2.9.6 Theological Limits of Digital Substitution</w:t>
      </w:r>
      <w:bookmarkEnd w:id="79"/>
    </w:p>
    <w:p>
      <w:pPr>
        <w:widowControl/>
        <w:spacing w:line="360" w:lineRule="auto" w:after="120"/>
      </w:pPr>
      <w:r>
        <w:rPr>
          <w:rFonts w:ascii="Times New Roman" w:hAnsi="Times New Roman"/>
          <w:color w:val="000000"/>
          <w:sz w:val="24"/>
        </w:rPr>
        <w:t>Digital ministry also raises theological questions that cannot be resolved through service-management theory alone.</w:t>
      </w:r>
    </w:p>
    <w:p>
      <w:pPr>
        <w:widowControl/>
        <w:spacing w:line="360" w:lineRule="auto" w:after="120"/>
      </w:pPr>
      <w:r>
        <w:rPr>
          <w:rFonts w:ascii="Times New Roman" w:hAnsi="Times New Roman"/>
          <w:color w:val="000000"/>
          <w:sz w:val="24"/>
        </w:rPr>
        <w:t>Christian traditions differ concerning the significance of physical gathering, sacraments, embodiment, pastoral presence, and community.</w:t>
      </w:r>
    </w:p>
    <w:p>
      <w:pPr>
        <w:widowControl/>
        <w:spacing w:line="360" w:lineRule="auto" w:after="120"/>
      </w:pPr>
      <w:r>
        <w:rPr>
          <w:rFonts w:ascii="Times New Roman" w:hAnsi="Times New Roman"/>
          <w:color w:val="000000"/>
          <w:sz w:val="24"/>
        </w:rPr>
        <w:t>Consequently, the increased convenience or accessibility of digital participation does not necessarily mean that physical and digital forms are theologically interchangeable.</w:t>
      </w:r>
    </w:p>
    <w:p>
      <w:pPr>
        <w:widowControl/>
        <w:spacing w:line="360" w:lineRule="auto" w:after="120"/>
      </w:pPr>
      <w:r>
        <w:rPr>
          <w:rFonts w:ascii="Times New Roman" w:hAnsi="Times New Roman"/>
          <w:color w:val="000000"/>
          <w:sz w:val="24"/>
        </w:rPr>
        <w:t>Questions about online worship, communion, community and the meaning of gathering illustrate why customer-experience concepts must be interpreted within the religious context.</w:t>
      </w:r>
    </w:p>
    <w:p>
      <w:pPr>
        <w:widowControl/>
        <w:spacing w:line="360" w:lineRule="auto" w:after="120"/>
      </w:pPr>
      <w:r>
        <w:rPr>
          <w:rFonts w:ascii="Times New Roman" w:hAnsi="Times New Roman"/>
          <w:color w:val="000000"/>
          <w:sz w:val="24"/>
        </w:rPr>
        <w:t>Service-management theory can investigate whether digital environments are accessible, responsive, reliable, and engaging. It cannot determine whether a sacrament may appropriately be administered online or what constitutes valid ecclesial community.</w:t>
      </w:r>
    </w:p>
    <w:p>
      <w:pPr>
        <w:widowControl/>
        <w:spacing w:line="360" w:lineRule="auto" w:after="120"/>
      </w:pPr>
      <w:r>
        <w:rPr>
          <w:rFonts w:ascii="Times New Roman" w:hAnsi="Times New Roman"/>
          <w:color w:val="000000"/>
          <w:sz w:val="24"/>
        </w:rPr>
        <w:t>Those questions belong primarily to theology and ecclesiology.</w:t>
      </w:r>
    </w:p>
    <w:p>
      <w:pPr>
        <w:widowControl/>
        <w:spacing w:line="360" w:lineRule="auto" w:after="120"/>
      </w:pPr>
      <w:r>
        <w:rPr>
          <w:rFonts w:ascii="Times New Roman" w:hAnsi="Times New Roman"/>
          <w:color w:val="000000"/>
          <w:sz w:val="24"/>
        </w:rPr>
        <w:t>Recognising this boundary strengthens rather than weakens the interdisciplinary analysis because it prevents managerial theory from being used beyond its explanatory competence.</w:t>
      </w:r>
    </w:p>
    <w:p>
      <w:bookmarkStart w:id="80" w:name="m80"/>
      <w:pPr>
        <w:pStyle w:val="Heading3"/>
        <w:pageBreakBefore w:val="0"/>
        <w:widowControl/>
      </w:pPr>
      <w:r>
        <w:rPr>
          <w:rFonts w:ascii="Times New Roman" w:hAnsi="Times New Roman"/>
          <w:b/>
          <w:color w:val="000000"/>
          <w:sz w:val="24"/>
        </w:rPr>
        <w:t>2.9.7 Hybrid Church as an Emerging Service Environment</w:t>
      </w:r>
      <w:bookmarkEnd w:id="80"/>
    </w:p>
    <w:p>
      <w:pPr>
        <w:widowControl/>
        <w:spacing w:line="360" w:lineRule="auto" w:after="120"/>
      </w:pPr>
      <w:r>
        <w:rPr>
          <w:rFonts w:ascii="Times New Roman" w:hAnsi="Times New Roman"/>
          <w:color w:val="000000"/>
          <w:sz w:val="24"/>
        </w:rPr>
        <w:t>The contemporary church increasingly operates across both physical and digital environments.</w:t>
      </w:r>
    </w:p>
    <w:p>
      <w:pPr>
        <w:widowControl/>
        <w:spacing w:line="360" w:lineRule="auto" w:after="120"/>
      </w:pPr>
      <w:r>
        <w:rPr>
          <w:rFonts w:ascii="Times New Roman" w:hAnsi="Times New Roman"/>
          <w:color w:val="000000"/>
          <w:sz w:val="24"/>
        </w:rPr>
        <w:t>A hybrid service environment raises the question of how digital accessibility can be combined with opportunities for in-person relationships. The relative importance of these features cannot be assumed for every congregant.</w:t>
      </w:r>
    </w:p>
    <w:p>
      <w:pPr>
        <w:widowControl/>
        <w:spacing w:line="360" w:lineRule="auto" w:after="120"/>
      </w:pPr>
      <w:r>
        <w:rPr>
          <w:rFonts w:ascii="Times New Roman" w:hAnsi="Times New Roman"/>
          <w:color w:val="000000"/>
          <w:sz w:val="24"/>
        </w:rPr>
        <w:t>From a service-management perspective, this means that organisations may need to coordinate experiences across multiple channels.</w:t>
      </w:r>
    </w:p>
    <w:p>
      <w:pPr>
        <w:widowControl/>
        <w:spacing w:line="360" w:lineRule="auto" w:after="120"/>
      </w:pPr>
      <w:r>
        <w:rPr>
          <w:rFonts w:ascii="Times New Roman" w:hAnsi="Times New Roman"/>
          <w:color w:val="000000"/>
          <w:sz w:val="24"/>
        </w:rPr>
        <w:t>A person may discover a church online, watch several services remotely, submit an enquiry digitally, later attend physically, join a group, and continue to receive communication through an app or email.</w:t>
      </w:r>
    </w:p>
    <w:p>
      <w:pPr>
        <w:widowControl/>
        <w:spacing w:line="360" w:lineRule="auto" w:after="120"/>
      </w:pPr>
      <w:r>
        <w:rPr>
          <w:rFonts w:ascii="Times New Roman" w:hAnsi="Times New Roman"/>
          <w:color w:val="000000"/>
          <w:sz w:val="24"/>
        </w:rPr>
        <w:t>The "church experience" is therefore not necessarily confined to a single location or service event.</w:t>
      </w:r>
    </w:p>
    <w:p>
      <w:pPr>
        <w:widowControl/>
        <w:spacing w:line="360" w:lineRule="auto" w:after="120"/>
      </w:pPr>
      <w:r>
        <w:rPr>
          <w:rFonts w:ascii="Times New Roman" w:hAnsi="Times New Roman"/>
          <w:color w:val="000000"/>
          <w:sz w:val="24"/>
        </w:rPr>
        <w:t>This development reinforces the relevance of Customer Experience Management discussed earlier. Multiple touchpoints can contribute cumulatively to the individual's perception of the organisation.</w:t>
      </w:r>
    </w:p>
    <w:p>
      <w:pPr>
        <w:widowControl/>
        <w:spacing w:line="360" w:lineRule="auto" w:after="120"/>
      </w:pPr>
      <w:r>
        <w:rPr>
          <w:rFonts w:ascii="Times New Roman" w:hAnsi="Times New Roman"/>
          <w:color w:val="000000"/>
          <w:sz w:val="24"/>
        </w:rPr>
        <w:t>At the same time, hybrid models increase organisational complexity. Churches must decide how resources are divided between physical and online provision and whether one audience is unintentionally treated as secondary.</w:t>
      </w:r>
    </w:p>
    <w:p>
      <w:pPr>
        <w:widowControl/>
        <w:spacing w:line="360" w:lineRule="auto" w:after="120"/>
      </w:pPr>
      <w:r>
        <w:rPr>
          <w:rFonts w:ascii="Times New Roman" w:hAnsi="Times New Roman"/>
          <w:color w:val="000000"/>
          <w:sz w:val="24"/>
        </w:rPr>
        <w:t>Smaller churches may find such expectations particularly demanding because maintaining both environments requires technical expertise, volunteers, equipment, and coordination.</w:t>
      </w:r>
    </w:p>
    <w:p>
      <w:pPr>
        <w:widowControl/>
        <w:spacing w:line="360" w:lineRule="auto" w:after="120"/>
      </w:pPr>
      <w:r>
        <w:rPr>
          <w:rFonts w:ascii="Times New Roman" w:hAnsi="Times New Roman"/>
          <w:color w:val="000000"/>
          <w:sz w:val="24"/>
        </w:rPr>
        <w:t>The emergence of hybrid ministry therefore provides another example of the central problem examined throughout this literature review: expectations may evolve more rapidly than organisational capacity.</w:t>
      </w:r>
    </w:p>
    <w:p>
      <w:bookmarkStart w:id="81" w:name="m81"/>
      <w:pPr>
        <w:pStyle w:val="Heading3"/>
        <w:pageBreakBefore w:val="0"/>
        <w:widowControl/>
      </w:pPr>
      <w:r>
        <w:rPr>
          <w:rFonts w:ascii="Times New Roman" w:hAnsi="Times New Roman"/>
          <w:b/>
          <w:color w:val="000000"/>
          <w:sz w:val="24"/>
        </w:rPr>
        <w:t>2.9.8 Implications of Digital Transformation for the Present Study</w:t>
      </w:r>
      <w:bookmarkEnd w:id="81"/>
    </w:p>
    <w:p>
      <w:pPr>
        <w:widowControl/>
        <w:spacing w:line="360" w:lineRule="auto" w:after="120"/>
      </w:pPr>
      <w:r>
        <w:rPr>
          <w:rFonts w:ascii="Times New Roman" w:hAnsi="Times New Roman"/>
          <w:color w:val="000000"/>
          <w:sz w:val="24"/>
        </w:rPr>
        <w:t>Digital transformation extends service-quality research in churches in several important ways.</w:t>
      </w:r>
    </w:p>
    <w:p>
      <w:pPr>
        <w:widowControl/>
        <w:spacing w:line="360" w:lineRule="auto" w:after="120"/>
      </w:pPr>
      <w:r>
        <w:rPr>
          <w:rFonts w:ascii="Times New Roman" w:hAnsi="Times New Roman"/>
          <w:color w:val="000000"/>
          <w:sz w:val="24"/>
        </w:rPr>
        <w:t>First, congregational experience now frequently includes digital as well as physical touchpoints.</w:t>
      </w:r>
    </w:p>
    <w:p>
      <w:pPr>
        <w:widowControl/>
        <w:spacing w:line="360" w:lineRule="auto" w:after="120"/>
      </w:pPr>
      <w:r>
        <w:rPr>
          <w:rFonts w:ascii="Times New Roman" w:hAnsi="Times New Roman"/>
          <w:color w:val="000000"/>
          <w:sz w:val="24"/>
        </w:rPr>
        <w:t>Second, digital accessibility can expand participation while simultaneously creating new forms of exclusion for people who lack technology, connectivity, or digital confidence.</w:t>
      </w:r>
    </w:p>
    <w:p>
      <w:pPr>
        <w:widowControl/>
        <w:spacing w:line="360" w:lineRule="auto" w:after="120"/>
      </w:pPr>
      <w:r>
        <w:rPr>
          <w:rFonts w:ascii="Times New Roman" w:hAnsi="Times New Roman"/>
          <w:color w:val="000000"/>
          <w:sz w:val="24"/>
        </w:rPr>
        <w:t>Third, digital channels create new expectations concerning responsiveness and availability.</w:t>
      </w:r>
    </w:p>
    <w:p>
      <w:pPr>
        <w:widowControl/>
        <w:spacing w:line="360" w:lineRule="auto" w:after="120"/>
      </w:pPr>
      <w:r>
        <w:rPr>
          <w:rFonts w:ascii="Times New Roman" w:hAnsi="Times New Roman"/>
          <w:color w:val="000000"/>
          <w:sz w:val="24"/>
        </w:rPr>
        <w:t>Fourth, technical reliability, usability, privacy, and security become relevant dimensions of organisational experience.</w:t>
      </w:r>
    </w:p>
    <w:p>
      <w:pPr>
        <w:widowControl/>
        <w:spacing w:line="360" w:lineRule="auto" w:after="120"/>
      </w:pPr>
      <w:r>
        <w:rPr>
          <w:rFonts w:ascii="Times New Roman" w:hAnsi="Times New Roman"/>
          <w:color w:val="000000"/>
          <w:sz w:val="24"/>
        </w:rPr>
        <w:t>Fifth, online participation raises questions concerning community and belonging that cannot be understood solely through technical performance measures.</w:t>
      </w:r>
    </w:p>
    <w:p>
      <w:pPr>
        <w:widowControl/>
        <w:spacing w:line="360" w:lineRule="auto" w:after="120"/>
      </w:pPr>
      <w:r>
        <w:rPr>
          <w:rFonts w:ascii="Times New Roman" w:hAnsi="Times New Roman"/>
          <w:color w:val="000000"/>
          <w:sz w:val="24"/>
        </w:rPr>
        <w:t>Finally, theological considerations place limits upon the extent to which digital service models can be evaluated using conventional customer-experience criteria.</w:t>
      </w:r>
    </w:p>
    <w:p>
      <w:pPr>
        <w:widowControl/>
        <w:spacing w:line="360" w:lineRule="auto" w:after="120"/>
      </w:pPr>
      <w:r>
        <w:rPr>
          <w:rFonts w:ascii="Times New Roman" w:hAnsi="Times New Roman"/>
          <w:color w:val="000000"/>
          <w:sz w:val="24"/>
        </w:rPr>
        <w:t>These issues suggest that contemporary church service quality should not be conceptualised exclusively around the Sunday worship experience. The relevant organisational relationship may extend across physical, interpersonal, administrative, and digital environments.</w:t>
      </w:r>
    </w:p>
    <w:p>
      <w:pPr>
        <w:widowControl/>
        <w:spacing w:line="360" w:lineRule="auto" w:after="120"/>
      </w:pPr>
      <w:r>
        <w:rPr>
          <w:rFonts w:ascii="Times New Roman" w:hAnsi="Times New Roman"/>
          <w:color w:val="000000"/>
          <w:sz w:val="24"/>
        </w:rPr>
        <w:t>The literature supports attention to digital interactions within the conceptual scope of this study. The questionnaire contains a reported digital-engagement item; it does not constitute a technical audit of digital services or measure their effects on belonging, retention or spiritual growth.</w:t>
      </w:r>
    </w:p>
    <w:p>
      <w:bookmarkStart w:id="82" w:name="m82"/>
      <w:pPr>
        <w:pStyle w:val="Heading2"/>
        <w:pageBreakBefore w:val="0"/>
        <w:widowControl/>
      </w:pPr>
      <w:r>
        <w:rPr>
          <w:rFonts w:ascii="Times New Roman" w:hAnsi="Times New Roman"/>
          <w:b/>
          <w:color w:val="000000"/>
          <w:sz w:val="26"/>
        </w:rPr>
        <w:t>2.10 Barriers to the Adoption of Service-Management Practices in Churches</w:t>
      </w:r>
      <w:bookmarkEnd w:id="82"/>
    </w:p>
    <w:p>
      <w:bookmarkStart w:id="83" w:name="m83"/>
      <w:pPr>
        <w:pStyle w:val="Heading3"/>
        <w:pageBreakBefore w:val="0"/>
        <w:widowControl/>
      </w:pPr>
      <w:r>
        <w:rPr>
          <w:rFonts w:ascii="Times New Roman" w:hAnsi="Times New Roman"/>
          <w:b/>
          <w:color w:val="000000"/>
          <w:sz w:val="24"/>
        </w:rPr>
        <w:t>2.10.1 Theological Resistance</w:t>
      </w:r>
      <w:bookmarkEnd w:id="83"/>
    </w:p>
    <w:p>
      <w:pPr>
        <w:widowControl/>
        <w:spacing w:line="360" w:lineRule="auto" w:after="120"/>
      </w:pPr>
      <w:r>
        <w:rPr>
          <w:rFonts w:ascii="Times New Roman" w:hAnsi="Times New Roman"/>
          <w:color w:val="000000"/>
          <w:sz w:val="24"/>
        </w:rPr>
        <w:t>One of the most significant barriers to the adoption of business-derived service-management practices in churches is theological resistance.</w:t>
      </w:r>
    </w:p>
    <w:p>
      <w:pPr>
        <w:widowControl/>
        <w:spacing w:line="360" w:lineRule="auto" w:after="120"/>
      </w:pPr>
      <w:r>
        <w:rPr>
          <w:rFonts w:ascii="Times New Roman" w:hAnsi="Times New Roman"/>
          <w:color w:val="000000"/>
          <w:sz w:val="24"/>
        </w:rPr>
        <w:t>The objection is not simply to particular techniques but to the assumptions that may accompany them. The language of customers, markets, satisfaction, retention, and service delivery can imply a transactional relationship in which the organisation exists primarily to satisfy individual preferences. Such assumptions are difficult to reconcile with many theological understandings of the church.</w:t>
      </w:r>
    </w:p>
    <w:p>
      <w:pPr>
        <w:widowControl/>
        <w:spacing w:line="360" w:lineRule="auto" w:after="120"/>
      </w:pPr>
      <w:r>
        <w:rPr>
          <w:rFonts w:ascii="Times New Roman" w:hAnsi="Times New Roman"/>
          <w:color w:val="000000"/>
          <w:sz w:val="24"/>
        </w:rPr>
        <w:t>Churches may regard themselves fundamentally as worshipping communities, covenant communities, spiritual families, or manifestations of a religious tradition rather than as service providers. From this perspective, treating congregants as customers risks redefining participation in terms of consumption.</w:t>
      </w:r>
    </w:p>
    <w:p>
      <w:pPr>
        <w:widowControl/>
        <w:spacing w:line="360" w:lineRule="auto" w:after="120"/>
      </w:pPr>
      <w:r>
        <w:rPr>
          <w:rFonts w:ascii="Times New Roman" w:hAnsi="Times New Roman"/>
          <w:color w:val="000000"/>
          <w:sz w:val="24"/>
        </w:rPr>
        <w:t>A possible barrier is the perception that commercial language could displace theological priorities. Here this is an interpretive proposition to examine against participants' responses, not a finding attributed to sources whose arguments have not been verified.</w:t>
      </w:r>
    </w:p>
    <w:p>
      <w:pPr>
        <w:widowControl/>
        <w:spacing w:line="360" w:lineRule="auto" w:after="120"/>
      </w:pPr>
      <w:r>
        <w:rPr>
          <w:rFonts w:ascii="Times New Roman" w:hAnsi="Times New Roman"/>
          <w:color w:val="000000"/>
          <w:sz w:val="24"/>
        </w:rPr>
        <w:t>This tension is particularly evident when satisfaction is treated as an organisational goal. In commercial service environments, customer satisfaction is generally desirable because satisfied customers are more likely to remain loyal, recommend the organisation, and continue purchasing.</w:t>
      </w:r>
    </w:p>
    <w:p>
      <w:pPr>
        <w:widowControl/>
        <w:spacing w:line="360" w:lineRule="auto" w:after="120"/>
      </w:pPr>
      <w:r>
        <w:rPr>
          <w:rFonts w:ascii="Times New Roman" w:hAnsi="Times New Roman"/>
          <w:color w:val="000000"/>
          <w:sz w:val="24"/>
        </w:rPr>
        <w:t>Churches cannot adopt this logic without qualification.</w:t>
      </w:r>
    </w:p>
    <w:p>
      <w:pPr>
        <w:widowControl/>
        <w:spacing w:line="360" w:lineRule="auto" w:after="120"/>
      </w:pPr>
      <w:r>
        <w:rPr>
          <w:rFonts w:ascii="Times New Roman" w:hAnsi="Times New Roman"/>
          <w:color w:val="000000"/>
          <w:sz w:val="24"/>
        </w:rPr>
        <w:t>Religious teaching may sometimes challenge rather than satisfy. A church may consider it necessary to teach doctrines, ethical positions, or forms of discipline that some members find uncomfortable. An organisation governed primarily by the objective of maximising satisfaction could therefore compromise its religious purpose.</w:t>
      </w:r>
    </w:p>
    <w:p>
      <w:pPr>
        <w:widowControl/>
        <w:spacing w:line="360" w:lineRule="auto" w:after="120"/>
      </w:pPr>
      <w:r>
        <w:rPr>
          <w:rFonts w:ascii="Times New Roman" w:hAnsi="Times New Roman"/>
          <w:color w:val="000000"/>
          <w:sz w:val="24"/>
        </w:rPr>
        <w:t>The theological challenge is consequently not whether churches should care about people's experiences. It is whether service-management concepts can be adopted without subordinating theology to consumer preference.</w:t>
      </w:r>
    </w:p>
    <w:p>
      <w:pPr>
        <w:widowControl/>
        <w:spacing w:line="360" w:lineRule="auto" w:after="120"/>
      </w:pPr>
      <w:r>
        <w:rPr>
          <w:rFonts w:ascii="Times New Roman" w:hAnsi="Times New Roman"/>
          <w:color w:val="000000"/>
          <w:sz w:val="24"/>
        </w:rPr>
        <w:t>The literature suggests that one possible reconciliation lies in distinguishing between care and consumerism.</w:t>
      </w:r>
    </w:p>
    <w:p>
      <w:pPr>
        <w:widowControl/>
        <w:spacing w:line="360" w:lineRule="auto" w:after="120"/>
      </w:pPr>
      <w:r>
        <w:rPr>
          <w:rFonts w:ascii="Times New Roman" w:hAnsi="Times New Roman"/>
          <w:color w:val="000000"/>
          <w:sz w:val="24"/>
        </w:rPr>
        <w:t>Practices concerned with accessibility, respectful communication, hospitality, reliability, pastoral responsiveness, and organisational competence may be understood as forms of care rather than as attempts to maximise consumer satisfaction.</w:t>
      </w:r>
    </w:p>
    <w:p>
      <w:pPr>
        <w:widowControl/>
        <w:spacing w:line="360" w:lineRule="auto" w:after="120"/>
      </w:pPr>
      <w:r>
        <w:rPr>
          <w:rFonts w:ascii="Times New Roman" w:hAnsi="Times New Roman"/>
          <w:color w:val="000000"/>
          <w:sz w:val="24"/>
        </w:rPr>
        <w:t>By contrast, altering theological commitments primarily to avoid dissatisfaction would represent a fundamentally different application of customer orientation.</w:t>
      </w:r>
    </w:p>
    <w:p>
      <w:pPr>
        <w:widowControl/>
        <w:spacing w:line="360" w:lineRule="auto" w:after="120"/>
      </w:pPr>
      <w:r>
        <w:rPr>
          <w:rFonts w:ascii="Times New Roman" w:hAnsi="Times New Roman"/>
          <w:color w:val="000000"/>
          <w:sz w:val="24"/>
        </w:rPr>
        <w:t>This distinction supports the conceptual position of the present study. The investigation focuses on organisational and interpersonal dimensions of church experience rather than assuming that religious doctrine itself should be evaluated according to customer-service criteria.</w:t>
      </w:r>
    </w:p>
    <w:p>
      <w:bookmarkStart w:id="84" w:name="m84"/>
      <w:pPr>
        <w:pStyle w:val="Heading3"/>
        <w:pageBreakBefore w:val="0"/>
        <w:widowControl/>
      </w:pPr>
      <w:r>
        <w:rPr>
          <w:rFonts w:ascii="Times New Roman" w:hAnsi="Times New Roman"/>
          <w:b/>
          <w:color w:val="000000"/>
          <w:sz w:val="24"/>
        </w:rPr>
        <w:t>2.10.2 Commercialisation and Authenticity</w:t>
      </w:r>
      <w:bookmarkEnd w:id="84"/>
    </w:p>
    <w:p>
      <w:pPr>
        <w:widowControl/>
        <w:spacing w:line="360" w:lineRule="auto" w:after="120"/>
      </w:pPr>
      <w:r>
        <w:rPr>
          <w:rFonts w:ascii="Times New Roman" w:hAnsi="Times New Roman"/>
          <w:color w:val="000000"/>
          <w:sz w:val="24"/>
        </w:rPr>
        <w:t>A related concern is the possibility that service-management practices may contribute to the commercialisation of church life.</w:t>
      </w:r>
    </w:p>
    <w:p>
      <w:pPr>
        <w:widowControl/>
        <w:spacing w:line="360" w:lineRule="auto" w:after="120"/>
      </w:pPr>
      <w:r>
        <w:t>A conceptual concern is that increasingly formal hospitality, marketing or experience-management practices could make churches resemble commercial organisations. The five-star church concept discussed by Sinaga et al. (2022) proposes applying hospitality ideas in a church environment; it does not demonstrate the effects of a tested intervention.</w:t>
      </w:r>
    </w:p>
    <w:p>
      <w:pPr>
        <w:widowControl/>
        <w:spacing w:line="360" w:lineRule="auto" w:after="120"/>
      </w:pPr>
      <w:r>
        <w:rPr>
          <w:rFonts w:ascii="Times New Roman" w:hAnsi="Times New Roman"/>
          <w:color w:val="000000"/>
          <w:sz w:val="24"/>
        </w:rPr>
        <w:t>Such approaches may improve some elements of the congregational experience, but they also raise questions concerning authenticity.</w:t>
      </w:r>
    </w:p>
    <w:p>
      <w:pPr>
        <w:widowControl/>
        <w:spacing w:line="360" w:lineRule="auto" w:after="120"/>
      </w:pPr>
      <w:r>
        <w:rPr>
          <w:rFonts w:ascii="Times New Roman" w:hAnsi="Times New Roman"/>
          <w:color w:val="000000"/>
          <w:sz w:val="24"/>
        </w:rPr>
        <w:t>An organisational practice may appear caring in one context and manipulative in another. A personal follow-up message may be understood as genuine pastoral interest or as a retention strategy. A professionally organised welcome may communicate hospitality or may be perceived as scripted.</w:t>
      </w:r>
    </w:p>
    <w:p>
      <w:pPr>
        <w:widowControl/>
        <w:spacing w:line="360" w:lineRule="auto" w:after="120"/>
      </w:pPr>
      <w:r>
        <w:rPr>
          <w:rFonts w:ascii="Times New Roman" w:hAnsi="Times New Roman"/>
          <w:color w:val="000000"/>
          <w:sz w:val="24"/>
        </w:rPr>
        <w:t>The distinction depends partly upon purpose, execution, and interpretation.</w:t>
      </w:r>
    </w:p>
    <w:p>
      <w:pPr>
        <w:widowControl/>
        <w:spacing w:line="360" w:lineRule="auto" w:after="120"/>
      </w:pPr>
      <w:r>
        <w:rPr>
          <w:rFonts w:ascii="Times New Roman" w:hAnsi="Times New Roman"/>
          <w:color w:val="000000"/>
          <w:sz w:val="24"/>
        </w:rPr>
        <w:t>This is particularly significant in churches because trust and authenticity are central to the relationship between leaders and congregants. Santos and Mathews' (2001) identification of credibility as an important dimension of religious service quality suggests that congregants may evaluate not only what churches do but also whether those actions appear trustworthy and sincere.</w:t>
      </w:r>
    </w:p>
    <w:p>
      <w:pPr>
        <w:widowControl/>
        <w:spacing w:line="360" w:lineRule="auto" w:after="120"/>
      </w:pPr>
      <w:r>
        <w:rPr>
          <w:rFonts w:ascii="Times New Roman" w:hAnsi="Times New Roman"/>
          <w:color w:val="000000"/>
          <w:sz w:val="24"/>
        </w:rPr>
        <w:t>Commercial techniques that are perceived as artificial could therefore undermine the very credibility they are intended to support.</w:t>
      </w:r>
    </w:p>
    <w:p>
      <w:pPr>
        <w:widowControl/>
        <w:spacing w:line="360" w:lineRule="auto" w:after="120"/>
      </w:pPr>
      <w:r>
        <w:rPr>
          <w:rFonts w:ascii="Times New Roman" w:hAnsi="Times New Roman"/>
          <w:color w:val="000000"/>
          <w:sz w:val="24"/>
        </w:rPr>
        <w:t>This tension indicates that the transferability of service-management practices cannot be assessed solely through operational efficiency.</w:t>
      </w:r>
    </w:p>
    <w:p>
      <w:pPr>
        <w:widowControl/>
        <w:spacing w:line="360" w:lineRule="auto" w:after="120"/>
      </w:pPr>
      <w:r>
        <w:rPr>
          <w:rFonts w:ascii="Times New Roman" w:hAnsi="Times New Roman"/>
          <w:color w:val="000000"/>
          <w:sz w:val="24"/>
        </w:rPr>
        <w:t>The perceived authenticity of the practice must also be considered.</w:t>
      </w:r>
    </w:p>
    <w:p>
      <w:bookmarkStart w:id="85" w:name="m85"/>
      <w:pPr>
        <w:pStyle w:val="Heading3"/>
        <w:pageBreakBefore w:val="0"/>
        <w:widowControl/>
      </w:pPr>
      <w:r>
        <w:rPr>
          <w:rFonts w:ascii="Times New Roman" w:hAnsi="Times New Roman"/>
          <w:b/>
          <w:color w:val="000000"/>
          <w:sz w:val="24"/>
        </w:rPr>
        <w:t>2.10.3 Organisational and Resource Constraints</w:t>
      </w:r>
      <w:bookmarkEnd w:id="85"/>
    </w:p>
    <w:p>
      <w:pPr>
        <w:widowControl/>
        <w:spacing w:line="360" w:lineRule="auto" w:after="120"/>
      </w:pPr>
      <w:r>
        <w:rPr>
          <w:rFonts w:ascii="Times New Roman" w:hAnsi="Times New Roman"/>
          <w:color w:val="000000"/>
          <w:sz w:val="24"/>
        </w:rPr>
        <w:t>A second major group of barriers concerns organisational capacity.</w:t>
      </w:r>
    </w:p>
    <w:p>
      <w:pPr>
        <w:widowControl/>
        <w:spacing w:line="360" w:lineRule="auto" w:after="120"/>
      </w:pPr>
      <w:r>
        <w:rPr>
          <w:rFonts w:ascii="Times New Roman" w:hAnsi="Times New Roman"/>
          <w:color w:val="000000"/>
          <w:sz w:val="24"/>
        </w:rPr>
        <w:t>Many churches operate with limited financial and human resources. Smaller congregations may employ only one pastor or a small number of staff, while relying heavily upon volunteers for administration, hospitality, communication, children's ministries, pastoral support, and other functions.</w:t>
      </w:r>
    </w:p>
    <w:p>
      <w:pPr>
        <w:widowControl/>
        <w:spacing w:line="360" w:lineRule="auto" w:after="120"/>
      </w:pPr>
      <w:r>
        <w:rPr>
          <w:rFonts w:ascii="Times New Roman" w:hAnsi="Times New Roman"/>
          <w:color w:val="000000"/>
          <w:sz w:val="24"/>
        </w:rPr>
        <w:t>Under these conditions, even practices that appear inexpensive may create meaningful demands.</w:t>
      </w:r>
    </w:p>
    <w:p>
      <w:pPr>
        <w:widowControl/>
        <w:spacing w:line="360" w:lineRule="auto" w:after="120"/>
      </w:pPr>
      <w:r>
        <w:rPr>
          <w:rFonts w:ascii="Times New Roman" w:hAnsi="Times New Roman"/>
          <w:color w:val="000000"/>
          <w:sz w:val="24"/>
        </w:rPr>
        <w:t>A feedback process requires someone to design, administer, analyse, and respond to the information collected. A church-management system requires data entry, maintenance, training, and attention to privacy. A formal follow-up process requires people who have the time and responsibility to make contact.</w:t>
      </w:r>
    </w:p>
    <w:p>
      <w:pPr>
        <w:widowControl/>
        <w:spacing w:line="360" w:lineRule="auto" w:after="120"/>
      </w:pPr>
      <w:r>
        <w:rPr>
          <w:rFonts w:ascii="Times New Roman" w:hAnsi="Times New Roman"/>
          <w:color w:val="000000"/>
          <w:sz w:val="24"/>
        </w:rPr>
        <w:t>The available evidence does not justify assuming that the organisational burden of service practices is negligible. Even where direct financial costs are small, time and coordination costs may be significant.</w:t>
      </w:r>
    </w:p>
    <w:p>
      <w:pPr>
        <w:widowControl/>
        <w:spacing w:line="360" w:lineRule="auto" w:after="120"/>
      </w:pPr>
      <w:r>
        <w:rPr>
          <w:rFonts w:ascii="Times New Roman" w:hAnsi="Times New Roman"/>
          <w:color w:val="000000"/>
          <w:sz w:val="24"/>
        </w:rPr>
        <w:t>This distinction is particularly important in volunteer-dependent organisations.</w:t>
      </w:r>
    </w:p>
    <w:p>
      <w:pPr>
        <w:widowControl/>
        <w:spacing w:line="360" w:lineRule="auto" w:after="120"/>
      </w:pPr>
      <w:r>
        <w:rPr>
          <w:rFonts w:ascii="Times New Roman" w:hAnsi="Times New Roman"/>
          <w:color w:val="000000"/>
          <w:sz w:val="24"/>
        </w:rPr>
        <w:t>A process that would be routine within a professional service department may require substantial effort in a congregation whose volunteers already have multiple responsibilities.</w:t>
      </w:r>
    </w:p>
    <w:p>
      <w:pPr>
        <w:widowControl/>
        <w:spacing w:line="360" w:lineRule="auto" w:after="120"/>
      </w:pPr>
      <w:r>
        <w:rPr>
          <w:rFonts w:ascii="Times New Roman" w:hAnsi="Times New Roman"/>
          <w:color w:val="000000"/>
          <w:sz w:val="24"/>
        </w:rPr>
        <w:t>Vuokko's (2000) findings concerning organisational coordination are relevant here. Customer orientation requires not only positive attitudes but also systems capable of identifying and responding to needs.</w:t>
      </w:r>
    </w:p>
    <w:p>
      <w:pPr>
        <w:widowControl/>
        <w:spacing w:line="360" w:lineRule="auto" w:after="120"/>
      </w:pPr>
      <w:r>
        <w:rPr>
          <w:rFonts w:ascii="Times New Roman" w:hAnsi="Times New Roman"/>
          <w:color w:val="000000"/>
          <w:sz w:val="24"/>
        </w:rPr>
        <w:t>The absence of such systems may therefore reflect capacity constraints rather than opposition to service quality.</w:t>
      </w:r>
    </w:p>
    <w:p>
      <w:bookmarkStart w:id="86" w:name="m86"/>
      <w:pPr>
        <w:pStyle w:val="Heading3"/>
        <w:pageBreakBefore w:val="0"/>
        <w:widowControl/>
      </w:pPr>
      <w:r>
        <w:rPr>
          <w:rFonts w:ascii="Times New Roman" w:hAnsi="Times New Roman"/>
          <w:b/>
          <w:color w:val="000000"/>
          <w:sz w:val="24"/>
        </w:rPr>
        <w:t>2.10.4 Volunteer Fatigue and Consistency</w:t>
      </w:r>
      <w:bookmarkEnd w:id="86"/>
    </w:p>
    <w:p>
      <w:pPr>
        <w:widowControl/>
        <w:spacing w:line="360" w:lineRule="auto" w:after="120"/>
      </w:pPr>
      <w:r>
        <w:rPr>
          <w:rFonts w:ascii="Times New Roman" w:hAnsi="Times New Roman"/>
          <w:color w:val="000000"/>
          <w:sz w:val="24"/>
        </w:rPr>
        <w:t>Volunteer dependency also creates a distinct implementation barrier.</w:t>
      </w:r>
    </w:p>
    <w:p>
      <w:pPr>
        <w:widowControl/>
        <w:spacing w:line="360" w:lineRule="auto" w:after="120"/>
      </w:pPr>
      <w:r>
        <w:rPr>
          <w:rFonts w:ascii="Times New Roman" w:hAnsi="Times New Roman"/>
          <w:color w:val="000000"/>
          <w:sz w:val="24"/>
        </w:rPr>
        <w:t>Church volunteers may be motivated by strong personal commitment, but their availability is inherently different from that of paid employees. They may participate irregularly, rotate between roles, or withdraw because of work, family, health, or other responsibilities.</w:t>
      </w:r>
    </w:p>
    <w:p>
      <w:pPr>
        <w:widowControl/>
        <w:spacing w:line="360" w:lineRule="auto" w:after="120"/>
      </w:pPr>
      <w:r>
        <w:rPr>
          <w:rFonts w:ascii="Times New Roman" w:hAnsi="Times New Roman"/>
          <w:color w:val="000000"/>
          <w:sz w:val="24"/>
        </w:rPr>
        <w:t>This affects consistency.</w:t>
      </w:r>
    </w:p>
    <w:p>
      <w:pPr>
        <w:widowControl/>
        <w:spacing w:line="360" w:lineRule="auto" w:after="120"/>
      </w:pPr>
      <w:r>
        <w:rPr>
          <w:rFonts w:ascii="Times New Roman" w:hAnsi="Times New Roman"/>
          <w:color w:val="000000"/>
          <w:sz w:val="24"/>
        </w:rPr>
        <w:t>A hospitality or pastoral-care process can only function reliably if responsibilities are understood and covered. Where systems depend heavily upon particular individuals, quality may vary according to who is present.</w:t>
      </w:r>
    </w:p>
    <w:p>
      <w:pPr>
        <w:widowControl/>
        <w:spacing w:line="360" w:lineRule="auto" w:after="120"/>
      </w:pPr>
      <w:r>
        <w:rPr>
          <w:rFonts w:ascii="Times New Roman" w:hAnsi="Times New Roman"/>
          <w:color w:val="000000"/>
          <w:sz w:val="24"/>
        </w:rPr>
        <w:t>Training presents a similar challenge.</w:t>
      </w:r>
    </w:p>
    <w:p>
      <w:pPr>
        <w:widowControl/>
        <w:spacing w:line="360" w:lineRule="auto" w:after="120"/>
      </w:pPr>
      <w:r>
        <w:rPr>
          <w:rFonts w:ascii="Times New Roman" w:hAnsi="Times New Roman"/>
          <w:color w:val="000000"/>
          <w:sz w:val="24"/>
        </w:rPr>
        <w:t>Large organisations may provide structured training and supervision, but smaller congregations may rely upon informal guidance. Introducing additional procedures can create resistance if volunteers perceive them as bureaucratic or inconsistent with the voluntary character of their service.</w:t>
      </w:r>
    </w:p>
    <w:p>
      <w:pPr>
        <w:widowControl/>
        <w:spacing w:line="360" w:lineRule="auto" w:after="120"/>
      </w:pPr>
      <w:r>
        <w:rPr>
          <w:rFonts w:ascii="Times New Roman" w:hAnsi="Times New Roman"/>
          <w:color w:val="000000"/>
          <w:sz w:val="24"/>
        </w:rPr>
        <w:t>This barrier is theoretically significant because many service-quality models assume relatively stable service-delivery structures.</w:t>
      </w:r>
    </w:p>
    <w:p>
      <w:pPr>
        <w:widowControl/>
        <w:spacing w:line="360" w:lineRule="auto" w:after="120"/>
      </w:pPr>
      <w:r>
        <w:rPr>
          <w:rFonts w:ascii="Times New Roman" w:hAnsi="Times New Roman"/>
          <w:color w:val="000000"/>
          <w:sz w:val="24"/>
        </w:rPr>
        <w:t>Churches often operate under conditions of greater variability.</w:t>
      </w:r>
    </w:p>
    <w:p>
      <w:pPr>
        <w:widowControl/>
        <w:spacing w:line="360" w:lineRule="auto" w:after="120"/>
      </w:pPr>
      <w:r>
        <w:rPr>
          <w:rFonts w:ascii="Times New Roman" w:hAnsi="Times New Roman"/>
          <w:color w:val="000000"/>
          <w:sz w:val="24"/>
        </w:rPr>
        <w:t>Consequently, the transfer of service-management frameworks should take account of the organisational realities of volunteer-based delivery rather than evaluating churches against professional service structures that they do not possess.</w:t>
      </w:r>
    </w:p>
    <w:p>
      <w:bookmarkStart w:id="87" w:name="m87"/>
      <w:pPr>
        <w:pStyle w:val="Heading3"/>
        <w:pageBreakBefore w:val="0"/>
        <w:widowControl/>
      </w:pPr>
      <w:r>
        <w:rPr>
          <w:rFonts w:ascii="Times New Roman" w:hAnsi="Times New Roman"/>
          <w:b/>
          <w:color w:val="000000"/>
          <w:sz w:val="24"/>
        </w:rPr>
        <w:t>2.10.5 Cultural and Traditional Resistance</w:t>
      </w:r>
      <w:bookmarkEnd w:id="87"/>
    </w:p>
    <w:p>
      <w:pPr>
        <w:widowControl/>
        <w:spacing w:line="360" w:lineRule="auto" w:after="120"/>
      </w:pPr>
      <w:r>
        <w:rPr>
          <w:rFonts w:ascii="Times New Roman" w:hAnsi="Times New Roman"/>
          <w:color w:val="000000"/>
          <w:sz w:val="24"/>
        </w:rPr>
        <w:t>Churches are also shaped by organisational culture and tradition.</w:t>
      </w:r>
    </w:p>
    <w:p>
      <w:pPr>
        <w:widowControl/>
        <w:spacing w:line="360" w:lineRule="auto" w:after="120"/>
      </w:pPr>
      <w:r>
        <w:rPr>
          <w:rFonts w:ascii="Times New Roman" w:hAnsi="Times New Roman"/>
          <w:color w:val="000000"/>
          <w:sz w:val="24"/>
        </w:rPr>
        <w:t>Long-established congregations may have deeply embedded practices concerning worship, leadership, communication, volunteering, and decision-making. These practices can provide continuity and identity, but they may also make organisational change difficult.</w:t>
      </w:r>
    </w:p>
    <w:p>
      <w:pPr>
        <w:widowControl/>
        <w:spacing w:line="360" w:lineRule="auto" w:after="120"/>
      </w:pPr>
      <w:r>
        <w:rPr>
          <w:rFonts w:ascii="Times New Roman" w:hAnsi="Times New Roman"/>
          <w:color w:val="000000"/>
          <w:sz w:val="24"/>
        </w:rPr>
        <w:t>New approaches associated with customer service, technology, feedback, or management may be interpreted as unnecessary or inappropriate.</w:t>
      </w:r>
    </w:p>
    <w:p>
      <w:pPr>
        <w:widowControl/>
        <w:spacing w:line="360" w:lineRule="auto" w:after="120"/>
      </w:pPr>
      <w:r>
        <w:rPr>
          <w:rFonts w:ascii="Times New Roman" w:hAnsi="Times New Roman"/>
          <w:color w:val="000000"/>
          <w:sz w:val="24"/>
        </w:rPr>
        <w:t>Resistance may be especially strong where a proposed change appears to challenge existing understandings of church identity.</w:t>
      </w:r>
    </w:p>
    <w:p>
      <w:pPr>
        <w:widowControl/>
        <w:spacing w:line="360" w:lineRule="auto" w:after="120"/>
      </w:pPr>
      <w:r>
        <w:rPr>
          <w:rFonts w:ascii="Times New Roman" w:hAnsi="Times New Roman"/>
          <w:color w:val="000000"/>
          <w:sz w:val="24"/>
        </w:rPr>
        <w:t>For example, formal surveys may be perceived as excessively corporate in a congregation accustomed to personal conversation. Digital check-in systems may be seen as impersonal. Structured volunteer roles may appear unnecessary in communities where relationships have historically been informal.</w:t>
      </w:r>
    </w:p>
    <w:p>
      <w:pPr>
        <w:widowControl/>
        <w:spacing w:line="360" w:lineRule="auto" w:after="120"/>
      </w:pPr>
      <w:r>
        <w:rPr>
          <w:rFonts w:ascii="Times New Roman" w:hAnsi="Times New Roman"/>
          <w:color w:val="000000"/>
          <w:sz w:val="24"/>
        </w:rPr>
        <w:t>Such resistance should not automatically be interpreted as irrational.</w:t>
      </w:r>
    </w:p>
    <w:p>
      <w:pPr>
        <w:widowControl/>
        <w:spacing w:line="360" w:lineRule="auto" w:after="120"/>
      </w:pPr>
      <w:r>
        <w:rPr>
          <w:rFonts w:ascii="Times New Roman" w:hAnsi="Times New Roman"/>
          <w:color w:val="000000"/>
          <w:sz w:val="24"/>
        </w:rPr>
        <w:t>Established practices may carry symbolic or relational value that is not captured by conventional efficiency measures.</w:t>
      </w:r>
    </w:p>
    <w:p>
      <w:pPr>
        <w:widowControl/>
        <w:spacing w:line="360" w:lineRule="auto" w:after="120"/>
      </w:pPr>
      <w:r>
        <w:rPr>
          <w:rFonts w:ascii="Times New Roman" w:hAnsi="Times New Roman"/>
          <w:color w:val="000000"/>
          <w:sz w:val="24"/>
        </w:rPr>
        <w:t>The challenge is therefore to distinguish between resistance that protects meaningful organisational identity and resistance that simply prevents the resolution of avoidable service problems.</w:t>
      </w:r>
    </w:p>
    <w:p>
      <w:pPr>
        <w:widowControl/>
        <w:spacing w:line="360" w:lineRule="auto" w:after="120"/>
      </w:pPr>
      <w:r>
        <w:rPr>
          <w:rFonts w:ascii="Times New Roman" w:hAnsi="Times New Roman"/>
          <w:color w:val="000000"/>
          <w:sz w:val="24"/>
        </w:rPr>
        <w:t>The existing literature provides relatively little empirical evidence explaining how congregants themselves make this distinction.</w:t>
      </w:r>
    </w:p>
    <w:p>
      <w:pPr>
        <w:widowControl/>
        <w:spacing w:line="360" w:lineRule="auto" w:after="120"/>
      </w:pPr>
      <w:r>
        <w:rPr>
          <w:rFonts w:ascii="Times New Roman" w:hAnsi="Times New Roman"/>
          <w:color w:val="000000"/>
          <w:sz w:val="24"/>
        </w:rPr>
        <w:t>This represents an important limitation in current knowledge.</w:t>
      </w:r>
    </w:p>
    <w:p>
      <w:bookmarkStart w:id="88" w:name="m88"/>
      <w:pPr>
        <w:pStyle w:val="Heading3"/>
        <w:pageBreakBefore w:val="0"/>
        <w:widowControl/>
      </w:pPr>
      <w:r>
        <w:rPr>
          <w:rFonts w:ascii="Times New Roman" w:hAnsi="Times New Roman"/>
          <w:b/>
          <w:color w:val="000000"/>
          <w:sz w:val="24"/>
        </w:rPr>
        <w:t>2.10.6 Leadership Attitudes and Organisational Readiness</w:t>
      </w:r>
      <w:bookmarkEnd w:id="88"/>
    </w:p>
    <w:p>
      <w:pPr>
        <w:widowControl/>
        <w:spacing w:line="360" w:lineRule="auto" w:after="120"/>
      </w:pPr>
      <w:r>
        <w:rPr>
          <w:rFonts w:ascii="Times New Roman" w:hAnsi="Times New Roman"/>
          <w:color w:val="000000"/>
          <w:sz w:val="24"/>
        </w:rPr>
        <w:t>Leadership is another potentially important factor in the adoption of service-management practices.</w:t>
      </w:r>
    </w:p>
    <w:p>
      <w:pPr>
        <w:widowControl/>
        <w:spacing w:line="360" w:lineRule="auto" w:after="120"/>
      </w:pPr>
      <w:r>
        <w:rPr>
          <w:rFonts w:ascii="Times New Roman" w:hAnsi="Times New Roman"/>
          <w:color w:val="000000"/>
          <w:sz w:val="24"/>
        </w:rPr>
        <w:t>Church leaders influence how organisational priorities are framed, which practices are considered legitimate, and whether volunteers are encouraged to participate in change.</w:t>
      </w:r>
    </w:p>
    <w:p>
      <w:pPr>
        <w:widowControl/>
        <w:spacing w:line="360" w:lineRule="auto" w:after="120"/>
      </w:pPr>
      <w:r>
        <w:rPr>
          <w:rFonts w:ascii="Times New Roman" w:hAnsi="Times New Roman"/>
          <w:color w:val="000000"/>
          <w:sz w:val="24"/>
        </w:rPr>
        <w:t>Some leaders may regard structured service management as consistent with stewardship and pastoral responsibility. Others may perceive the same practices as forms of commercialisation.</w:t>
      </w:r>
    </w:p>
    <w:p>
      <w:pPr>
        <w:widowControl/>
        <w:spacing w:line="360" w:lineRule="auto" w:after="120"/>
      </w:pPr>
      <w:r>
        <w:rPr>
          <w:rFonts w:ascii="Times New Roman" w:hAnsi="Times New Roman"/>
          <w:color w:val="000000"/>
          <w:sz w:val="24"/>
        </w:rPr>
        <w:t>The terminology used may therefore affect organisational readiness.</w:t>
      </w:r>
    </w:p>
    <w:p>
      <w:pPr>
        <w:widowControl/>
        <w:spacing w:line="360" w:lineRule="auto" w:after="120"/>
      </w:pPr>
      <w:r>
        <w:rPr>
          <w:rFonts w:ascii="Times New Roman" w:hAnsi="Times New Roman"/>
          <w:color w:val="000000"/>
          <w:sz w:val="24"/>
        </w:rPr>
        <w:t>For example, "customer-service training" and "hospitality ministry training" may describe similar interpersonal practices but carry very different theological connotations.</w:t>
      </w:r>
    </w:p>
    <w:p>
      <w:pPr>
        <w:widowControl/>
        <w:spacing w:line="360" w:lineRule="auto" w:after="120"/>
      </w:pPr>
      <w:r>
        <w:rPr>
          <w:rFonts w:ascii="Times New Roman" w:hAnsi="Times New Roman"/>
          <w:color w:val="000000"/>
          <w:sz w:val="24"/>
        </w:rPr>
        <w:t>This reinforces the argument that concepts cannot simply be transferred without contextual translation.</w:t>
      </w:r>
    </w:p>
    <w:p>
      <w:pPr>
        <w:widowControl/>
        <w:spacing w:line="360" w:lineRule="auto" w:after="120"/>
      </w:pPr>
      <w:r>
        <w:rPr>
          <w:rFonts w:ascii="Times New Roman" w:hAnsi="Times New Roman"/>
          <w:color w:val="000000"/>
          <w:sz w:val="24"/>
        </w:rPr>
        <w:t>Leadership attitudes may also affect the degree of formalisation within an organisation. A leader who values data and structured processes may support surveys, databases, and defined service roles. Another may prefer informal pastoral knowledge and relational decision-making.</w:t>
      </w:r>
    </w:p>
    <w:p>
      <w:pPr>
        <w:widowControl/>
        <w:spacing w:line="360" w:lineRule="auto" w:after="120"/>
      </w:pPr>
      <w:r>
        <w:rPr>
          <w:rFonts w:ascii="Times New Roman" w:hAnsi="Times New Roman"/>
          <w:color w:val="000000"/>
          <w:sz w:val="24"/>
        </w:rPr>
        <w:t>Neither approach can automatically be assumed superior.</w:t>
      </w:r>
    </w:p>
    <w:p>
      <w:pPr>
        <w:widowControl/>
        <w:spacing w:line="360" w:lineRule="auto" w:after="120"/>
      </w:pPr>
      <w:r>
        <w:rPr>
          <w:rFonts w:ascii="Times New Roman" w:hAnsi="Times New Roman"/>
          <w:color w:val="000000"/>
          <w:sz w:val="24"/>
        </w:rPr>
        <w:t>The empirical issue is whether particular organisational structures are associated with different congregant experiences and whether those relationships vary by church size, tradition, or leadership context.</w:t>
      </w:r>
    </w:p>
    <w:p>
      <w:bookmarkStart w:id="89" w:name="m89"/>
      <w:pPr>
        <w:pStyle w:val="Heading3"/>
        <w:pageBreakBefore w:val="0"/>
        <w:widowControl/>
      </w:pPr>
      <w:r>
        <w:rPr>
          <w:rFonts w:ascii="Times New Roman" w:hAnsi="Times New Roman"/>
          <w:b/>
          <w:color w:val="000000"/>
          <w:sz w:val="24"/>
        </w:rPr>
        <w:t>2.10.7 Denominational and Congregational Diversity</w:t>
      </w:r>
      <w:bookmarkEnd w:id="89"/>
    </w:p>
    <w:p>
      <w:pPr>
        <w:widowControl/>
        <w:spacing w:line="360" w:lineRule="auto" w:after="120"/>
      </w:pPr>
      <w:r>
        <w:rPr>
          <w:rFonts w:ascii="Times New Roman" w:hAnsi="Times New Roman"/>
          <w:color w:val="000000"/>
          <w:sz w:val="24"/>
        </w:rPr>
        <w:t>A further barrier to generalisation is the diversity of U.S. churches.</w:t>
      </w:r>
    </w:p>
    <w:p>
      <w:pPr>
        <w:widowControl/>
        <w:spacing w:line="360" w:lineRule="auto" w:after="120"/>
      </w:pPr>
      <w:r>
        <w:rPr>
          <w:rFonts w:ascii="Times New Roman" w:hAnsi="Times New Roman"/>
          <w:color w:val="000000"/>
          <w:sz w:val="24"/>
        </w:rPr>
        <w:t>Churches differ by denomination, theology, worship tradition, governance structure, size, geography, ethnicity, age profile, organisational resources, and degree of centralisation.</w:t>
      </w:r>
    </w:p>
    <w:p>
      <w:pPr>
        <w:widowControl/>
        <w:spacing w:line="360" w:lineRule="auto" w:after="120"/>
      </w:pPr>
      <w:r>
        <w:rPr>
          <w:rFonts w:ascii="Times New Roman" w:hAnsi="Times New Roman"/>
          <w:color w:val="000000"/>
          <w:sz w:val="24"/>
        </w:rPr>
        <w:t>This diversity limits the usefulness of any single model of church customer service.</w:t>
      </w:r>
    </w:p>
    <w:p>
      <w:pPr>
        <w:widowControl/>
        <w:spacing w:line="360" w:lineRule="auto" w:after="120"/>
      </w:pPr>
      <w:r>
        <w:rPr>
          <w:rFonts w:ascii="Times New Roman" w:hAnsi="Times New Roman"/>
          <w:color w:val="000000"/>
          <w:sz w:val="24"/>
        </w:rPr>
        <w:t>An organisational practice regarded as normal in a large independent evangelical congregation may appear inappropriate in a small liturgical parish. A multisite church with specialist staff and sophisticated technology operates under very different conditions from a rural congregation led by a bivocational pastor.</w:t>
      </w:r>
    </w:p>
    <w:p>
      <w:pPr>
        <w:widowControl/>
        <w:spacing w:line="360" w:lineRule="auto" w:after="120"/>
      </w:pPr>
      <w:r>
        <w:rPr>
          <w:rFonts w:ascii="Times New Roman" w:hAnsi="Times New Roman"/>
          <w:color w:val="000000"/>
          <w:sz w:val="24"/>
        </w:rPr>
        <w:t>This review does not establish systematic differences between evangelical, Catholic and mainline Protestant churches.</w:t>
      </w:r>
    </w:p>
    <w:p>
      <w:pPr>
        <w:widowControl/>
        <w:spacing w:line="360" w:lineRule="auto" w:after="120"/>
      </w:pPr>
      <w:r>
        <w:rPr>
          <w:rFonts w:ascii="Times New Roman" w:hAnsi="Times New Roman"/>
          <w:color w:val="000000"/>
          <w:sz w:val="24"/>
        </w:rPr>
        <w:t>These contrasts should therefore be treated as possible contextual variation rather than settled empirical findings.</w:t>
      </w:r>
    </w:p>
    <w:p>
      <w:pPr>
        <w:widowControl/>
        <w:spacing w:line="360" w:lineRule="auto" w:after="120"/>
      </w:pPr>
      <w:r>
        <w:rPr>
          <w:rFonts w:ascii="Times New Roman" w:hAnsi="Times New Roman"/>
          <w:color w:val="000000"/>
          <w:sz w:val="24"/>
        </w:rPr>
        <w:t>The broader conclusion is more defensible: church context matters.</w:t>
      </w:r>
    </w:p>
    <w:p>
      <w:pPr>
        <w:widowControl/>
        <w:spacing w:line="360" w:lineRule="auto" w:after="120"/>
      </w:pPr>
      <w:r>
        <w:rPr>
          <w:rFonts w:ascii="Times New Roman" w:hAnsi="Times New Roman"/>
          <w:color w:val="000000"/>
          <w:sz w:val="24"/>
        </w:rPr>
        <w:t>Any evaluation of service-management practices should therefore consider organisational and theological diversity rather than assuming that findings from one type of congregation apply universally.</w:t>
      </w:r>
    </w:p>
    <w:p>
      <w:bookmarkStart w:id="90" w:name="m90"/>
      <w:pPr>
        <w:pStyle w:val="Heading3"/>
        <w:pageBreakBefore w:val="0"/>
        <w:widowControl/>
      </w:pPr>
      <w:r>
        <w:rPr>
          <w:rFonts w:ascii="Times New Roman" w:hAnsi="Times New Roman"/>
          <w:b/>
          <w:color w:val="000000"/>
          <w:sz w:val="24"/>
        </w:rPr>
        <w:t>2.10.8 Digital and Technological Barriers</w:t>
      </w:r>
      <w:bookmarkEnd w:id="90"/>
    </w:p>
    <w:p>
      <w:pPr>
        <w:widowControl/>
        <w:spacing w:line="360" w:lineRule="auto" w:after="120"/>
      </w:pPr>
      <w:r>
        <w:rPr>
          <w:rFonts w:ascii="Times New Roman" w:hAnsi="Times New Roman"/>
          <w:color w:val="000000"/>
          <w:sz w:val="24"/>
        </w:rPr>
        <w:t>Digital transformation creates additional barriers.</w:t>
      </w:r>
    </w:p>
    <w:p>
      <w:pPr>
        <w:widowControl/>
        <w:spacing w:line="360" w:lineRule="auto" w:after="120"/>
      </w:pPr>
      <w:r>
        <w:rPr>
          <w:rFonts w:ascii="Times New Roman" w:hAnsi="Times New Roman"/>
          <w:color w:val="000000"/>
          <w:sz w:val="24"/>
        </w:rPr>
        <w:t>Technology can improve accessibility, communication, data management, and follow-up, but it also requires skills, infrastructure, financial investment, and continuing maintenance.</w:t>
      </w:r>
    </w:p>
    <w:p>
      <w:pPr>
        <w:widowControl/>
        <w:spacing w:line="360" w:lineRule="auto" w:after="120"/>
      </w:pPr>
      <w:r>
        <w:rPr>
          <w:rFonts w:ascii="Times New Roman" w:hAnsi="Times New Roman"/>
          <w:color w:val="000000"/>
          <w:sz w:val="24"/>
        </w:rPr>
        <w:t>Smaller churches may struggle to provide sophisticated digital services. Older congregants or individuals with limited digital access may be disadvantaged by online-first communication.</w:t>
      </w:r>
    </w:p>
    <w:p>
      <w:pPr>
        <w:widowControl/>
        <w:spacing w:line="360" w:lineRule="auto" w:after="120"/>
      </w:pPr>
      <w:r>
        <w:rPr>
          <w:rFonts w:ascii="Times New Roman" w:hAnsi="Times New Roman"/>
          <w:color w:val="000000"/>
          <w:sz w:val="24"/>
        </w:rPr>
        <w:t>Data protection and privacy create further challenges.</w:t>
      </w:r>
    </w:p>
    <w:p>
      <w:pPr>
        <w:widowControl/>
        <w:spacing w:line="360" w:lineRule="auto" w:after="120"/>
      </w:pPr>
      <w:r>
        <w:rPr>
          <w:rFonts w:ascii="Times New Roman" w:hAnsi="Times New Roman"/>
          <w:color w:val="000000"/>
          <w:sz w:val="24"/>
        </w:rPr>
        <w:t>The collection of attendance data, contact information, prayer requests, financial records, or pastoral notes requires appropriate governance. Churches that adopt CRM-like systems without adequate safeguards may inadvertently create risks to trust and confidentiality.</w:t>
      </w:r>
    </w:p>
    <w:p>
      <w:pPr>
        <w:widowControl/>
        <w:spacing w:line="360" w:lineRule="auto" w:after="120"/>
      </w:pPr>
      <w:r>
        <w:rPr>
          <w:rFonts w:ascii="Times New Roman" w:hAnsi="Times New Roman"/>
          <w:color w:val="000000"/>
          <w:sz w:val="24"/>
        </w:rPr>
        <w:t>Digital service management therefore introduces a tension similar to that found elsewhere in the chapter: greater organisational capability may produce new forms of vulnerability.</w:t>
      </w:r>
    </w:p>
    <w:p>
      <w:pPr>
        <w:widowControl/>
        <w:spacing w:line="360" w:lineRule="auto" w:after="120"/>
      </w:pPr>
      <w:r>
        <w:rPr>
          <w:rFonts w:ascii="Times New Roman" w:hAnsi="Times New Roman"/>
          <w:color w:val="000000"/>
          <w:sz w:val="24"/>
        </w:rPr>
        <w:t>Technology should consequently be evaluated not only according to convenience or efficiency but also according to accessibility, reliability, privacy, and appropriateness.</w:t>
      </w:r>
    </w:p>
    <w:p>
      <w:bookmarkStart w:id="91" w:name="m91"/>
      <w:pPr>
        <w:pStyle w:val="Heading3"/>
        <w:pageBreakBefore w:val="0"/>
        <w:widowControl/>
      </w:pPr>
      <w:r>
        <w:rPr>
          <w:rFonts w:ascii="Times New Roman" w:hAnsi="Times New Roman"/>
          <w:b/>
          <w:color w:val="000000"/>
          <w:sz w:val="24"/>
        </w:rPr>
        <w:t>2.10.9 Synthesis of Adoption Barriers</w:t>
      </w:r>
      <w:bookmarkEnd w:id="91"/>
    </w:p>
    <w:p>
      <w:pPr>
        <w:widowControl/>
        <w:spacing w:line="360" w:lineRule="auto" w:after="120"/>
      </w:pPr>
      <w:r>
        <w:rPr>
          <w:rFonts w:ascii="Times New Roman" w:hAnsi="Times New Roman"/>
          <w:color w:val="000000"/>
          <w:sz w:val="24"/>
        </w:rPr>
        <w:t>The literature identifies a cluster of barriers rather than a single explanation for the limited adoption of formal service-management practices.</w:t>
      </w:r>
    </w:p>
    <w:p>
      <w:pPr>
        <w:widowControl/>
        <w:spacing w:line="360" w:lineRule="auto" w:after="120"/>
      </w:pPr>
      <w:r>
        <w:rPr>
          <w:rFonts w:ascii="Times New Roman" w:hAnsi="Times New Roman"/>
          <w:color w:val="000000"/>
          <w:sz w:val="24"/>
        </w:rPr>
        <w:t>These include theological concerns, fear of commercialisation, questions of authenticity, resource limitations, volunteer dependency, organisational culture, leadership attitudes, denominational diversity, and technological capacity.</w:t>
      </w:r>
    </w:p>
    <w:p>
      <w:pPr>
        <w:widowControl/>
        <w:spacing w:line="360" w:lineRule="auto" w:after="120"/>
      </w:pPr>
      <w:r>
        <w:rPr>
          <w:rFonts w:ascii="Times New Roman" w:hAnsi="Times New Roman"/>
          <w:color w:val="000000"/>
          <w:sz w:val="24"/>
        </w:rPr>
        <w:t>Importantly, these factors may interact.</w:t>
      </w:r>
    </w:p>
    <w:p>
      <w:pPr>
        <w:widowControl/>
        <w:spacing w:line="360" w:lineRule="auto" w:after="120"/>
      </w:pPr>
      <w:r>
        <w:rPr>
          <w:rFonts w:ascii="Times New Roman" w:hAnsi="Times New Roman"/>
          <w:color w:val="000000"/>
          <w:sz w:val="24"/>
        </w:rPr>
        <w:t>A small church may reject a formal customer-service programme partly for theological reasons but also because it lacks the staff to implement it. A congregation may resist digital systems because of traditional preferences while also having genuine concerns about privacy or access.</w:t>
      </w:r>
    </w:p>
    <w:p>
      <w:pPr>
        <w:widowControl/>
        <w:spacing w:line="360" w:lineRule="auto" w:after="120"/>
      </w:pPr>
      <w:r>
        <w:rPr>
          <w:rFonts w:ascii="Times New Roman" w:hAnsi="Times New Roman"/>
          <w:color w:val="000000"/>
          <w:sz w:val="24"/>
        </w:rPr>
        <w:t>The literature therefore does not support the idea that resistance can simply be overcome through better management.</w:t>
      </w:r>
    </w:p>
    <w:p>
      <w:pPr>
        <w:widowControl/>
        <w:spacing w:line="360" w:lineRule="auto" w:after="120"/>
      </w:pPr>
      <w:r>
        <w:rPr>
          <w:rFonts w:ascii="Times New Roman" w:hAnsi="Times New Roman"/>
          <w:color w:val="000000"/>
          <w:sz w:val="24"/>
        </w:rPr>
        <w:t>Instead, adoption is likely to depend upon whether practices are perceived as theologically legitimate, organisationally feasible, culturally acceptable, and practically useful.</w:t>
      </w:r>
    </w:p>
    <w:p>
      <w:pPr>
        <w:widowControl/>
        <w:spacing w:line="360" w:lineRule="auto" w:after="120"/>
      </w:pPr>
      <w:r>
        <w:rPr>
          <w:rFonts w:ascii="Times New Roman" w:hAnsi="Times New Roman"/>
          <w:color w:val="000000"/>
          <w:sz w:val="24"/>
        </w:rPr>
        <w:t>This conclusion leads directly to the principal research gaps.</w:t>
      </w:r>
    </w:p>
    <w:p>
      <w:bookmarkStart w:id="92" w:name="m92"/>
      <w:pPr>
        <w:pStyle w:val="Heading2"/>
        <w:pageBreakBefore w:val="0"/>
        <w:widowControl/>
      </w:pPr>
      <w:r>
        <w:rPr>
          <w:rFonts w:ascii="Times New Roman" w:hAnsi="Times New Roman"/>
          <w:b/>
          <w:color w:val="000000"/>
          <w:sz w:val="26"/>
        </w:rPr>
        <w:t>2.11 Critical Synthesis and Research Gaps</w:t>
      </w:r>
      <w:bookmarkEnd w:id="92"/>
    </w:p>
    <w:p>
      <w:bookmarkStart w:id="93" w:name="m93"/>
      <w:pPr>
        <w:pStyle w:val="Heading3"/>
        <w:pageBreakBefore w:val="0"/>
        <w:widowControl/>
      </w:pPr>
      <w:r>
        <w:rPr>
          <w:rFonts w:ascii="Times New Roman" w:hAnsi="Times New Roman"/>
          <w:b/>
          <w:color w:val="000000"/>
          <w:sz w:val="24"/>
        </w:rPr>
        <w:t>2.11.1 Overview of the Literature</w:t>
      </w:r>
      <w:bookmarkEnd w:id="93"/>
    </w:p>
    <w:p>
      <w:pPr>
        <w:widowControl/>
        <w:spacing w:line="360" w:lineRule="auto" w:after="120"/>
      </w:pPr>
      <w:r>
        <w:rPr>
          <w:rFonts w:ascii="Times New Roman" w:hAnsi="Times New Roman"/>
          <w:color w:val="000000"/>
          <w:sz w:val="24"/>
        </w:rPr>
        <w:t>The sources reviewed provide established service-management concepts and a smaller set of church-specific studies. This is a focused narrative review, not an exhaustive systematic search; its research gaps describe what this source set leaves unresolved and do not prove an absence of relevant scholarship elsewhere.</w:t>
      </w:r>
      <w:r>
        <w:rPr>
          <w:rStyle w:val="CommentReference"/>
          <w:rFonts w:ascii="Times New Roman" w:hAnsi="Times New Roman"/>
          <w:color w:val="000000"/>
          <w:sz w:val="24"/>
        </w:rPr>
      </w:r>
    </w:p>
    <w:p>
      <w:pPr>
        <w:widowControl/>
        <w:spacing w:line="360" w:lineRule="auto" w:after="120"/>
      </w:pPr>
      <w:r>
        <w:rPr>
          <w:rFonts w:ascii="Times New Roman" w:hAnsi="Times New Roman"/>
          <w:color w:val="000000"/>
          <w:sz w:val="24"/>
        </w:rPr>
        <w:t>Frameworks such as SERVQUAL, SERVPERF, and the Kano model provide established approaches to understanding expectations, perceptions, performance, and satisfaction.</w:t>
      </w:r>
    </w:p>
    <w:p>
      <w:pPr>
        <w:widowControl/>
        <w:spacing w:line="360" w:lineRule="auto" w:after="120"/>
      </w:pPr>
      <w:r>
        <w:rPr>
          <w:rFonts w:ascii="Times New Roman" w:hAnsi="Times New Roman"/>
          <w:color w:val="000000"/>
          <w:sz w:val="24"/>
        </w:rPr>
        <w:t>Customer Experience Management extends this analysis across the broader customer journey, while CRM, engagement theory, value co-creation, and Customer Success Management emphasise relationships, participation, and long-term outcomes.</w:t>
      </w:r>
    </w:p>
    <w:p>
      <w:pPr>
        <w:widowControl/>
        <w:spacing w:line="360" w:lineRule="auto" w:after="120"/>
      </w:pPr>
      <w:r>
        <w:rPr>
          <w:rFonts w:ascii="Times New Roman" w:hAnsi="Times New Roman"/>
          <w:color w:val="000000"/>
          <w:sz w:val="24"/>
        </w:rPr>
        <w:t>Research in hospitality and nonprofit environments further demonstrates the relevance of responsiveness, reliability, interpersonal care, accessibility, emotional experience, and organisational coordination.</w:t>
      </w:r>
    </w:p>
    <w:p>
      <w:pPr>
        <w:widowControl/>
        <w:spacing w:line="360" w:lineRule="auto" w:after="120"/>
      </w:pPr>
      <w:r>
        <w:rPr>
          <w:rFonts w:ascii="Times New Roman" w:hAnsi="Times New Roman"/>
          <w:color w:val="000000"/>
          <w:sz w:val="24"/>
        </w:rPr>
        <w:t>Church-specific literature suggests that at least some of these dimensions are relevant to religious organisations.</w:t>
      </w:r>
    </w:p>
    <w:p>
      <w:pPr>
        <w:widowControl/>
        <w:spacing w:line="360" w:lineRule="auto" w:after="120"/>
      </w:pPr>
      <w:r>
        <w:rPr>
          <w:rFonts w:ascii="Times New Roman" w:hAnsi="Times New Roman"/>
          <w:color w:val="000000"/>
          <w:sz w:val="24"/>
        </w:rPr>
        <w:t>Santos and Mathews (2001), for example, identify responsiveness, credibility, and commitment as significant dimensions in a church context. Vuokko (2000) highlights the importance of customer-oriented thinking, information, coordination, and responsiveness. Mulyanegara et al. (2010) report an association between market orientation and participation, while Mulyanegara et al. (2011) examine perceived benefits and indirect effects on participation.</w:t>
      </w:r>
    </w:p>
    <w:p>
      <w:pPr>
        <w:widowControl/>
        <w:spacing w:line="360" w:lineRule="auto" w:after="120"/>
      </w:pPr>
      <w:r>
        <w:rPr>
          <w:rFonts w:ascii="Times New Roman" w:hAnsi="Times New Roman"/>
          <w:color w:val="000000"/>
          <w:sz w:val="24"/>
        </w:rPr>
        <w:t>These studies establish that service-management concepts are not wholly alien to church environments.</w:t>
      </w:r>
    </w:p>
    <w:p>
      <w:pPr>
        <w:widowControl/>
        <w:spacing w:line="360" w:lineRule="auto" w:after="120"/>
      </w:pPr>
      <w:r>
        <w:rPr>
          <w:rFonts w:ascii="Times New Roman" w:hAnsi="Times New Roman"/>
          <w:color w:val="000000"/>
          <w:sz w:val="24"/>
        </w:rPr>
        <w:t>However, they also expose substantial limitations.</w:t>
      </w:r>
    </w:p>
    <w:p>
      <w:pPr>
        <w:widowControl/>
        <w:spacing w:line="360" w:lineRule="auto" w:after="120"/>
      </w:pPr>
      <w:r>
        <w:rPr>
          <w:rFonts w:ascii="Times New Roman" w:hAnsi="Times New Roman"/>
          <w:color w:val="000000"/>
          <w:sz w:val="24"/>
        </w:rPr>
        <w:t>The strongest conclusion that can presently be drawn is not that commercial service models have been validated for churches, but that they provide plausible theoretical concepts requiring further testing.</w:t>
      </w:r>
    </w:p>
    <w:p>
      <w:bookmarkStart w:id="94" w:name="m94"/>
      <w:pPr>
        <w:pStyle w:val="Heading3"/>
        <w:pageBreakBefore w:val="0"/>
        <w:widowControl/>
      </w:pPr>
      <w:r>
        <w:rPr>
          <w:rFonts w:ascii="Times New Roman" w:hAnsi="Times New Roman"/>
          <w:b/>
          <w:color w:val="000000"/>
          <w:sz w:val="24"/>
        </w:rPr>
        <w:t>2.11.2 Gap 1: Limited Empirical Evidence in Church Contexts</w:t>
      </w:r>
      <w:bookmarkEnd w:id="94"/>
    </w:p>
    <w:p>
      <w:pPr>
        <w:widowControl/>
        <w:spacing w:line="360" w:lineRule="auto" w:after="120"/>
      </w:pPr>
      <w:r>
        <w:rPr>
          <w:rFonts w:ascii="Times New Roman" w:hAnsi="Times New Roman"/>
          <w:color w:val="000000"/>
          <w:sz w:val="24"/>
        </w:rPr>
        <w:t>The first unresolved issue in this review is the extent of direct empirical support for transferring service-management practices to churches.</w:t>
      </w:r>
    </w:p>
    <w:p>
      <w:pPr>
        <w:widowControl/>
        <w:spacing w:line="360" w:lineRule="auto" w:after="120"/>
      </w:pPr>
      <w:r>
        <w:rPr>
          <w:rFonts w:ascii="Times New Roman" w:hAnsi="Times New Roman"/>
          <w:color w:val="000000"/>
          <w:sz w:val="24"/>
        </w:rPr>
        <w:t>The selected literature includes conceptual work and context-specific empirical studies. It does not by itself establish the effectiveness of a general church service-management programme.</w:t>
      </w:r>
    </w:p>
    <w:p>
      <w:pPr>
        <w:widowControl/>
        <w:spacing w:line="360" w:lineRule="auto" w:after="120"/>
      </w:pPr>
      <w:r>
        <w:rPr>
          <w:rFonts w:ascii="Times New Roman" w:hAnsi="Times New Roman"/>
          <w:color w:val="000000"/>
          <w:sz w:val="24"/>
        </w:rPr>
        <w:t>The sources retained in this review do not establish the effectiveness of greeter training, CRM systems, visitor follow-up or structured hospitality as interventions in the present study’s setting.</w:t>
      </w:r>
    </w:p>
    <w:p>
      <w:pPr>
        <w:widowControl/>
        <w:spacing w:line="360" w:lineRule="auto" w:after="120"/>
      </w:pPr>
      <w:r>
        <w:rPr>
          <w:rFonts w:ascii="Times New Roman" w:hAnsi="Times New Roman"/>
          <w:color w:val="000000"/>
          <w:sz w:val="24"/>
        </w:rPr>
        <w:t>This matters because practices widely recommended in church-management literature may appear intuitively beneficial without having been subjected to robust empirical testing.</w:t>
      </w:r>
    </w:p>
    <w:p>
      <w:pPr>
        <w:widowControl/>
        <w:spacing w:line="360" w:lineRule="auto" w:after="120"/>
      </w:pPr>
      <w:r>
        <w:rPr>
          <w:rFonts w:ascii="Times New Roman" w:hAnsi="Times New Roman"/>
          <w:color w:val="000000"/>
          <w:sz w:val="24"/>
        </w:rPr>
        <w:t>For example, a structured welcome team may plausibly improve a newcomer's experience, but the literature reviewed does not establish the magnitude, persistence, or generalisability of such an effect.</w:t>
      </w:r>
    </w:p>
    <w:p>
      <w:pPr>
        <w:widowControl/>
        <w:spacing w:line="360" w:lineRule="auto" w:after="120"/>
      </w:pPr>
      <w:r>
        <w:rPr>
          <w:rFonts w:ascii="Times New Roman" w:hAnsi="Times New Roman"/>
          <w:color w:val="000000"/>
          <w:sz w:val="24"/>
        </w:rPr>
        <w:t>Similarly, the presence of a CRM-like system does not establish that congregants feel more cared for.</w:t>
      </w:r>
    </w:p>
    <w:p>
      <w:pPr>
        <w:widowControl/>
        <w:spacing w:line="360" w:lineRule="auto" w:after="120"/>
      </w:pPr>
      <w:r>
        <w:rPr>
          <w:rFonts w:ascii="Times New Roman" w:hAnsi="Times New Roman"/>
          <w:color w:val="000000"/>
          <w:sz w:val="24"/>
        </w:rPr>
        <w:t>This creates a clear empirical gap between recommended practice and demonstrated outcome.</w:t>
      </w:r>
    </w:p>
    <w:p>
      <w:pPr>
        <w:widowControl/>
        <w:spacing w:line="360" w:lineRule="auto" w:after="120"/>
      </w:pPr>
      <w:r>
        <w:rPr>
          <w:rFonts w:ascii="Times New Roman" w:hAnsi="Times New Roman"/>
          <w:color w:val="000000"/>
          <w:sz w:val="24"/>
        </w:rPr>
        <w:t>The present study contributes descriptive questionnaire evidence from congregants. It does not test the causal effects of an intervention.</w:t>
      </w:r>
    </w:p>
    <w:p>
      <w:bookmarkStart w:id="95" w:name="m95"/>
      <w:pPr>
        <w:pStyle w:val="Heading3"/>
        <w:pageBreakBefore w:val="0"/>
        <w:widowControl/>
      </w:pPr>
      <w:r>
        <w:rPr>
          <w:rFonts w:ascii="Times New Roman" w:hAnsi="Times New Roman"/>
          <w:b/>
          <w:color w:val="000000"/>
          <w:sz w:val="24"/>
        </w:rPr>
        <w:t>2.11.3 Gap 2: Limited U.S.-Specific Evidence</w:t>
      </w:r>
      <w:bookmarkEnd w:id="95"/>
    </w:p>
    <w:p>
      <w:pPr>
        <w:widowControl/>
        <w:spacing w:line="360" w:lineRule="auto" w:after="120"/>
      </w:pPr>
      <w:r>
        <w:rPr>
          <w:rFonts w:ascii="Times New Roman" w:hAnsi="Times New Roman"/>
          <w:color w:val="000000"/>
          <w:sz w:val="24"/>
        </w:rPr>
        <w:t>A second gap concerns geographical and contextual relevance.</w:t>
      </w:r>
    </w:p>
    <w:p>
      <w:pPr>
        <w:widowControl/>
        <w:spacing w:line="360" w:lineRule="auto" w:after="120"/>
      </w:pPr>
      <w:r>
        <w:rPr>
          <w:rFonts w:ascii="Times New Roman" w:hAnsi="Times New Roman"/>
          <w:color w:val="000000"/>
          <w:sz w:val="24"/>
        </w:rPr>
        <w:t>Several of the church-specific studies cited in the literature were conducted outside the United States.</w:t>
      </w:r>
    </w:p>
    <w:p>
      <w:pPr>
        <w:widowControl/>
        <w:spacing w:line="360" w:lineRule="auto" w:after="120"/>
      </w:pPr>
      <w:r>
        <w:rPr>
          <w:rFonts w:ascii="Times New Roman" w:hAnsi="Times New Roman"/>
          <w:color w:val="000000"/>
          <w:sz w:val="24"/>
        </w:rPr>
        <w:t>Mulyanegara et al. (2010, 2011) concern Australian churches, while Vuokko (2000) examines the Finnish Lutheran Church. These settings provide contextual comparisons rather than direct evidence about U.S. congregants.</w:t>
      </w:r>
    </w:p>
    <w:p>
      <w:pPr>
        <w:widowControl/>
        <w:spacing w:line="360" w:lineRule="auto" w:after="120"/>
      </w:pPr>
      <w:r>
        <w:rPr>
          <w:rFonts w:ascii="Times New Roman" w:hAnsi="Times New Roman"/>
          <w:color w:val="000000"/>
          <w:sz w:val="24"/>
        </w:rPr>
        <w:t>These studies provide useful comparative evidence, but their findings cannot automatically be generalised to U.S. congregations.</w:t>
      </w:r>
    </w:p>
    <w:p>
      <w:pPr>
        <w:widowControl/>
        <w:spacing w:line="360" w:lineRule="auto" w:after="120"/>
      </w:pPr>
      <w:r>
        <w:rPr>
          <w:rFonts w:ascii="Times New Roman" w:hAnsi="Times New Roman"/>
          <w:color w:val="000000"/>
          <w:sz w:val="24"/>
        </w:rPr>
        <w:t>American churches operate within a distinctive religious landscape characterised by denominational diversity, independent congregations, megachurches, highly developed religious media, and substantial variation in church size and governance.</w:t>
      </w:r>
    </w:p>
    <w:p>
      <w:pPr>
        <w:widowControl/>
        <w:spacing w:line="360" w:lineRule="auto" w:after="120"/>
      </w:pPr>
      <w:r>
        <w:rPr>
          <w:rFonts w:ascii="Times New Roman" w:hAnsi="Times New Roman"/>
          <w:color w:val="000000"/>
          <w:sz w:val="24"/>
        </w:rPr>
        <w:t>Consequently, there remains a need for research focused specifically on congregant expectations and experiences within U.S.-based churches.</w:t>
      </w:r>
    </w:p>
    <w:p>
      <w:bookmarkStart w:id="96" w:name="m96"/>
      <w:pPr>
        <w:pStyle w:val="Heading3"/>
        <w:pageBreakBefore w:val="0"/>
        <w:widowControl/>
      </w:pPr>
      <w:r>
        <w:rPr>
          <w:rFonts w:ascii="Times New Roman" w:hAnsi="Times New Roman"/>
          <w:b/>
          <w:color w:val="000000"/>
          <w:sz w:val="24"/>
        </w:rPr>
        <w:t>2.11.4 Gap 3: Transferability of Commercial Service Models</w:t>
      </w:r>
      <w:bookmarkEnd w:id="96"/>
    </w:p>
    <w:p>
      <w:pPr>
        <w:widowControl/>
        <w:spacing w:line="360" w:lineRule="auto" w:after="120"/>
      </w:pPr>
      <w:r>
        <w:rPr>
          <w:rFonts w:ascii="Times New Roman" w:hAnsi="Times New Roman"/>
          <w:color w:val="000000"/>
          <w:sz w:val="24"/>
        </w:rPr>
        <w:t>A third gap concerns theoretical transferability.</w:t>
      </w:r>
    </w:p>
    <w:p>
      <w:pPr>
        <w:widowControl/>
        <w:spacing w:line="360" w:lineRule="auto" w:after="120"/>
      </w:pPr>
      <w:r>
        <w:rPr>
          <w:rFonts w:ascii="Times New Roman" w:hAnsi="Times New Roman"/>
          <w:color w:val="000000"/>
          <w:sz w:val="24"/>
        </w:rPr>
        <w:t>SERVQUAL, SERVPERF, Kano, CRM, CEM, and CSM were not designed specifically for churches.</w:t>
      </w:r>
    </w:p>
    <w:p>
      <w:pPr>
        <w:widowControl/>
        <w:spacing w:line="360" w:lineRule="auto" w:after="120"/>
      </w:pPr>
      <w:r>
        <w:rPr>
          <w:rFonts w:ascii="Times New Roman" w:hAnsi="Times New Roman"/>
          <w:color w:val="000000"/>
          <w:sz w:val="24"/>
        </w:rPr>
        <w:t>The available literature shows conceptual overlap, but it does not establish that the same constructs possess identical meaning or predictive value within religious organisations.</w:t>
      </w:r>
    </w:p>
    <w:p>
      <w:pPr>
        <w:widowControl/>
        <w:spacing w:line="360" w:lineRule="auto" w:after="120"/>
      </w:pPr>
      <w:r>
        <w:rPr>
          <w:rFonts w:ascii="Times New Roman" w:hAnsi="Times New Roman"/>
          <w:color w:val="000000"/>
          <w:sz w:val="24"/>
        </w:rPr>
        <w:t>For example, responsiveness is relevant across sectors, but its meaning may differ substantially between a hotel and a church.</w:t>
      </w:r>
    </w:p>
    <w:p>
      <w:pPr>
        <w:widowControl/>
        <w:spacing w:line="360" w:lineRule="auto" w:after="120"/>
      </w:pPr>
      <w:r>
        <w:rPr>
          <w:rFonts w:ascii="Times New Roman" w:hAnsi="Times New Roman"/>
          <w:color w:val="000000"/>
          <w:sz w:val="24"/>
        </w:rPr>
        <w:t>Similarly, assurance in a commercial environment may involve competence, while in a church it may also involve moral credibility or trust in spiritual leadership.</w:t>
      </w:r>
    </w:p>
    <w:p>
      <w:pPr>
        <w:widowControl/>
        <w:spacing w:line="360" w:lineRule="auto" w:after="120"/>
      </w:pPr>
      <w:r>
        <w:rPr>
          <w:rFonts w:ascii="Times New Roman" w:hAnsi="Times New Roman"/>
          <w:color w:val="000000"/>
          <w:sz w:val="24"/>
        </w:rPr>
        <w:t>The identification by Santos and Mathews (2001) of credibility and commitment as particularly important demonstrates that church contexts may require dimensions beyond conventional service frameworks.</w:t>
      </w:r>
    </w:p>
    <w:p>
      <w:pPr>
        <w:widowControl/>
        <w:spacing w:line="360" w:lineRule="auto" w:after="120"/>
      </w:pPr>
      <w:r>
        <w:rPr>
          <w:rFonts w:ascii="Times New Roman" w:hAnsi="Times New Roman"/>
          <w:color w:val="000000"/>
          <w:sz w:val="24"/>
        </w:rPr>
        <w:t>The research gap is therefore not merely whether commercial models can be applied, but which dimensions transfer, which require adaptation, and which are inappropriate.</w:t>
      </w:r>
    </w:p>
    <w:p>
      <w:bookmarkStart w:id="97" w:name="m97"/>
      <w:pPr>
        <w:pStyle w:val="Heading3"/>
        <w:pageBreakBefore w:val="0"/>
        <w:widowControl/>
      </w:pPr>
      <w:r>
        <w:rPr>
          <w:rFonts w:ascii="Times New Roman" w:hAnsi="Times New Roman"/>
          <w:b/>
          <w:color w:val="000000"/>
          <w:sz w:val="24"/>
        </w:rPr>
        <w:t>2.11.5 Gap 4: Weak Cross-Sector Comparative Evidence</w:t>
      </w:r>
      <w:bookmarkEnd w:id="97"/>
    </w:p>
    <w:p>
      <w:pPr>
        <w:widowControl/>
        <w:spacing w:line="360" w:lineRule="auto" w:after="120"/>
      </w:pPr>
      <w:r>
        <w:rPr>
          <w:rFonts w:ascii="Times New Roman" w:hAnsi="Times New Roman"/>
          <w:color w:val="000000"/>
          <w:sz w:val="24"/>
        </w:rPr>
        <w:t>A fourth gap concerns the limited direct comparison between churches and other service environments.</w:t>
      </w:r>
    </w:p>
    <w:p>
      <w:pPr>
        <w:widowControl/>
        <w:spacing w:line="360" w:lineRule="auto" w:after="120"/>
      </w:pPr>
      <w:r>
        <w:rPr>
          <w:rFonts w:ascii="Times New Roman" w:hAnsi="Times New Roman"/>
          <w:color w:val="000000"/>
          <w:sz w:val="24"/>
        </w:rPr>
        <w:t>The selected cross-sector sources do not directly compare the same intervention in commercial services and churches.</w:t>
      </w:r>
    </w:p>
    <w:p>
      <w:pPr>
        <w:widowControl/>
        <w:spacing w:line="360" w:lineRule="auto" w:after="120"/>
      </w:pPr>
      <w:r>
        <w:rPr>
          <w:rFonts w:ascii="Times New Roman" w:hAnsi="Times New Roman"/>
          <w:color w:val="000000"/>
          <w:sz w:val="24"/>
        </w:rPr>
        <w:t>Consequently, this review does not establish whether an intervention successful in another service environment would produce comparable outcomes in churches.</w:t>
      </w:r>
    </w:p>
    <w:p>
      <w:pPr>
        <w:widowControl/>
        <w:spacing w:line="360" w:lineRule="auto" w:after="120"/>
      </w:pPr>
      <w:r>
        <w:rPr>
          <w:rFonts w:ascii="Times New Roman" w:hAnsi="Times New Roman"/>
          <w:color w:val="000000"/>
          <w:sz w:val="24"/>
        </w:rPr>
        <w:t>This absence is important because the present literature frequently relies upon analogy.</w:t>
      </w:r>
    </w:p>
    <w:p>
      <w:pPr>
        <w:widowControl/>
        <w:spacing w:line="360" w:lineRule="auto" w:after="120"/>
      </w:pPr>
      <w:r>
        <w:rPr>
          <w:rFonts w:ascii="Times New Roman" w:hAnsi="Times New Roman"/>
          <w:color w:val="000000"/>
          <w:sz w:val="24"/>
        </w:rPr>
        <w:t>Churches may resemble hospitality organisations in relation to welcome and interpersonal interaction and resemble nonprofits in relation to mission and volunteerism.</w:t>
      </w:r>
    </w:p>
    <w:p>
      <w:pPr>
        <w:widowControl/>
        <w:spacing w:line="360" w:lineRule="auto" w:after="120"/>
      </w:pPr>
      <w:r>
        <w:rPr>
          <w:rFonts w:ascii="Times New Roman" w:hAnsi="Times New Roman"/>
          <w:color w:val="000000"/>
          <w:sz w:val="24"/>
        </w:rPr>
        <w:t>Similarity, however, does not establish equivalence.</w:t>
      </w:r>
    </w:p>
    <w:p>
      <w:pPr>
        <w:widowControl/>
        <w:spacing w:line="360" w:lineRule="auto" w:after="120"/>
      </w:pPr>
      <w:r>
        <w:rPr>
          <w:rFonts w:ascii="Times New Roman" w:hAnsi="Times New Roman"/>
          <w:color w:val="000000"/>
          <w:sz w:val="24"/>
        </w:rPr>
        <w:t>Direct comparative evidence is therefore needed to determine which service-management principles are genuinely transferable.</w:t>
      </w:r>
    </w:p>
    <w:p>
      <w:bookmarkStart w:id="98" w:name="m98"/>
      <w:pPr>
        <w:pStyle w:val="Heading3"/>
        <w:pageBreakBefore w:val="0"/>
        <w:widowControl/>
      </w:pPr>
      <w:r>
        <w:rPr>
          <w:rFonts w:ascii="Times New Roman" w:hAnsi="Times New Roman"/>
          <w:b/>
          <w:color w:val="000000"/>
          <w:sz w:val="24"/>
        </w:rPr>
        <w:t>2.11.6 Gap 5: Lack of Church-Specific Measurement Frameworks</w:t>
      </w:r>
      <w:bookmarkEnd w:id="98"/>
    </w:p>
    <w:p>
      <w:pPr>
        <w:widowControl/>
        <w:spacing w:line="360" w:lineRule="auto" w:after="120"/>
      </w:pPr>
      <w:r>
        <w:rPr>
          <w:rFonts w:ascii="Times New Roman" w:hAnsi="Times New Roman"/>
          <w:color w:val="000000"/>
          <w:sz w:val="24"/>
        </w:rPr>
        <w:t>A fifth gap concerns measurement.</w:t>
      </w:r>
    </w:p>
    <w:p>
      <w:pPr>
        <w:widowControl/>
        <w:spacing w:line="360" w:lineRule="auto" w:after="120"/>
      </w:pPr>
      <w:r>
        <w:rPr>
          <w:rFonts w:ascii="Times New Roman" w:hAnsi="Times New Roman"/>
          <w:color w:val="000000"/>
          <w:sz w:val="24"/>
        </w:rPr>
        <w:t>The sources reviewed do not establish a single standardised instrument as appropriate for the organisational experiences measured in this dissertation. This does not imply that no church-specific instruments exist.</w:t>
      </w:r>
    </w:p>
    <w:p>
      <w:pPr>
        <w:widowControl/>
        <w:spacing w:line="360" w:lineRule="auto" w:after="120"/>
      </w:pPr>
      <w:r>
        <w:rPr>
          <w:rFonts w:ascii="Times New Roman" w:hAnsi="Times New Roman"/>
          <w:color w:val="000000"/>
          <w:sz w:val="24"/>
        </w:rPr>
        <w:t>The existing church literature suggests several potentially important dimensions, including responsiveness, credibility, commitment, empathy, communication, accessibility, and belonging.</w:t>
      </w:r>
    </w:p>
    <w:p>
      <w:pPr>
        <w:widowControl/>
        <w:spacing w:line="360" w:lineRule="auto" w:after="120"/>
      </w:pPr>
      <w:r>
        <w:rPr>
          <w:rFonts w:ascii="Times New Roman" w:hAnsi="Times New Roman"/>
          <w:color w:val="000000"/>
          <w:sz w:val="24"/>
        </w:rPr>
        <w:t>The selected studies use different concepts and settings, so agreement about a common measurement structure cannot be inferred from this review.</w:t>
      </w:r>
    </w:p>
    <w:p>
      <w:pPr>
        <w:widowControl/>
        <w:spacing w:line="360" w:lineRule="auto" w:after="120"/>
      </w:pPr>
      <w:r>
        <w:rPr>
          <w:rFonts w:ascii="Times New Roman" w:hAnsi="Times New Roman"/>
          <w:color w:val="000000"/>
          <w:sz w:val="24"/>
        </w:rPr>
        <w:t>This creates both a theoretical and methodological problem.</w:t>
      </w:r>
    </w:p>
    <w:p>
      <w:pPr>
        <w:widowControl/>
        <w:spacing w:line="360" w:lineRule="auto" w:after="120"/>
      </w:pPr>
      <w:r>
        <w:rPr>
          <w:rFonts w:ascii="Times New Roman" w:hAnsi="Times New Roman"/>
          <w:color w:val="000000"/>
          <w:sz w:val="24"/>
        </w:rPr>
        <w:t>Without contextually appropriate measures, researchers risk either imposing commercial categories upon churches or developing ad hoc instruments that cannot easily be compared across studies.</w:t>
      </w:r>
    </w:p>
    <w:p>
      <w:pPr>
        <w:widowControl/>
        <w:spacing w:line="360" w:lineRule="auto" w:after="120"/>
      </w:pPr>
      <w:r>
        <w:rPr>
          <w:rFonts w:ascii="Times New Roman" w:hAnsi="Times New Roman"/>
          <w:color w:val="000000"/>
          <w:sz w:val="24"/>
        </w:rPr>
        <w:t>The present study contributes descriptive evidence about the specified questionnaire items. It does not develop or validate a new church-specific measurement scale.</w:t>
      </w:r>
    </w:p>
    <w:p>
      <w:bookmarkStart w:id="99" w:name="m99"/>
      <w:pPr>
        <w:pStyle w:val="Heading3"/>
        <w:pageBreakBefore w:val="0"/>
        <w:widowControl/>
      </w:pPr>
      <w:r>
        <w:rPr>
          <w:rFonts w:ascii="Times New Roman" w:hAnsi="Times New Roman"/>
          <w:b/>
          <w:color w:val="000000"/>
          <w:sz w:val="24"/>
        </w:rPr>
        <w:t>2.11.7 Gap 6: Underdeveloped Understanding of the Congregant Journey</w:t>
      </w:r>
      <w:bookmarkEnd w:id="99"/>
    </w:p>
    <w:p>
      <w:pPr>
        <w:widowControl/>
        <w:spacing w:line="360" w:lineRule="auto" w:after="120"/>
      </w:pPr>
      <w:r>
        <w:rPr>
          <w:rFonts w:ascii="Times New Roman" w:hAnsi="Times New Roman"/>
          <w:color w:val="000000"/>
          <w:sz w:val="24"/>
        </w:rPr>
        <w:t>The customer-experience literature directs attention to journeys and touchpoints, but the selected church sources do not provide a complete mapping applicable to this questionnaire.</w:t>
      </w:r>
    </w:p>
    <w:p>
      <w:pPr>
        <w:widowControl/>
        <w:spacing w:line="360" w:lineRule="auto" w:after="120"/>
      </w:pPr>
      <w:r>
        <w:rPr>
          <w:rFonts w:ascii="Times New Roman" w:hAnsi="Times New Roman"/>
          <w:color w:val="000000"/>
          <w:sz w:val="24"/>
        </w:rPr>
        <w:t>The present study addresses selected reported experiences, rather than tracking a complete congregant journey.</w:t>
      </w:r>
    </w:p>
    <w:p>
      <w:pPr>
        <w:widowControl/>
        <w:spacing w:line="360" w:lineRule="auto" w:after="120"/>
      </w:pPr>
      <w:r>
        <w:rPr>
          <w:rFonts w:ascii="Times New Roman" w:hAnsi="Times New Roman"/>
          <w:color w:val="000000"/>
          <w:sz w:val="24"/>
        </w:rPr>
        <w:t>A congregant may encounter a church through a sequence that includes digital discovery, first attendance, welcome, worship, follow-up, small groups, volunteering, pastoral care, membership, and long-term participation.</w:t>
      </w:r>
    </w:p>
    <w:p>
      <w:pPr>
        <w:widowControl/>
        <w:spacing w:line="360" w:lineRule="auto" w:after="120"/>
      </w:pPr>
      <w:r>
        <w:rPr>
          <w:rFonts w:ascii="Times New Roman" w:hAnsi="Times New Roman"/>
          <w:color w:val="000000"/>
          <w:sz w:val="24"/>
        </w:rPr>
        <w:t>The significance of these touchpoints may vary over time.</w:t>
      </w:r>
    </w:p>
    <w:p>
      <w:pPr>
        <w:widowControl/>
        <w:spacing w:line="360" w:lineRule="auto" w:after="120"/>
      </w:pPr>
      <w:r>
        <w:rPr>
          <w:rFonts w:ascii="Times New Roman" w:hAnsi="Times New Roman"/>
          <w:color w:val="000000"/>
          <w:sz w:val="24"/>
        </w:rPr>
        <w:t>However, the existing literature does not clearly establish which stages are most influential in shaping perceptions of church service quality.</w:t>
      </w:r>
    </w:p>
    <w:p>
      <w:pPr>
        <w:widowControl/>
        <w:spacing w:line="360" w:lineRule="auto" w:after="120"/>
      </w:pPr>
      <w:r>
        <w:rPr>
          <w:rFonts w:ascii="Times New Roman" w:hAnsi="Times New Roman"/>
          <w:color w:val="000000"/>
          <w:sz w:val="24"/>
        </w:rPr>
        <w:t>This represents an important gap because an overall satisfaction measure may conceal where within the journey positive or negative experiences are generated.</w:t>
      </w:r>
    </w:p>
    <w:p>
      <w:bookmarkStart w:id="100" w:name="m100"/>
      <w:pPr>
        <w:pStyle w:val="Heading3"/>
        <w:pageBreakBefore w:val="0"/>
        <w:widowControl/>
      </w:pPr>
      <w:r>
        <w:rPr>
          <w:rFonts w:ascii="Times New Roman" w:hAnsi="Times New Roman"/>
          <w:b/>
          <w:color w:val="000000"/>
          <w:sz w:val="24"/>
        </w:rPr>
        <w:t>2.11.8 Gap 7: Volunteer-Based Service Delivery</w:t>
      </w:r>
      <w:bookmarkEnd w:id="100"/>
    </w:p>
    <w:p>
      <w:pPr>
        <w:widowControl/>
        <w:spacing w:line="360" w:lineRule="auto" w:after="120"/>
      </w:pPr>
      <w:r>
        <w:rPr>
          <w:rFonts w:ascii="Times New Roman" w:hAnsi="Times New Roman"/>
          <w:color w:val="000000"/>
          <w:sz w:val="24"/>
        </w:rPr>
        <w:t>A seventh gap concerns volunteer-driven service structures.</w:t>
      </w:r>
    </w:p>
    <w:p>
      <w:pPr>
        <w:widowControl/>
        <w:spacing w:line="360" w:lineRule="auto" w:after="120"/>
      </w:pPr>
      <w:r>
        <w:rPr>
          <w:rFonts w:ascii="Times New Roman" w:hAnsi="Times New Roman"/>
          <w:color w:val="000000"/>
          <w:sz w:val="24"/>
        </w:rPr>
        <w:t>Churches depend extensively upon volunteers, yet service-quality theory has been developed predominantly in contexts involving paid employees.</w:t>
      </w:r>
    </w:p>
    <w:p>
      <w:pPr>
        <w:widowControl/>
        <w:spacing w:line="360" w:lineRule="auto" w:after="120"/>
      </w:pPr>
      <w:r>
        <w:rPr>
          <w:rFonts w:ascii="Times New Roman" w:hAnsi="Times New Roman"/>
          <w:color w:val="000000"/>
          <w:sz w:val="24"/>
        </w:rPr>
        <w:t>The retained sources do not establish the effectiveness of particular church volunteer-training or service-team models.</w:t>
      </w:r>
    </w:p>
    <w:p>
      <w:pPr>
        <w:widowControl/>
        <w:spacing w:line="360" w:lineRule="auto" w:after="120"/>
      </w:pPr>
      <w:r>
        <w:rPr>
          <w:rFonts w:ascii="Times New Roman" w:hAnsi="Times New Roman"/>
          <w:color w:val="000000"/>
          <w:sz w:val="24"/>
        </w:rPr>
        <w:t>This is significant because volunteer status may influence consistency, motivation, accountability, training, and relational authenticity.</w:t>
      </w:r>
    </w:p>
    <w:p>
      <w:pPr>
        <w:widowControl/>
        <w:spacing w:line="360" w:lineRule="auto" w:after="120"/>
      </w:pPr>
      <w:r>
        <w:rPr>
          <w:rFonts w:ascii="Times New Roman" w:hAnsi="Times New Roman"/>
          <w:color w:val="000000"/>
          <w:sz w:val="24"/>
        </w:rPr>
        <w:t>The literature does not establish whether service-management practices designed for employees can be transferred effectively into volunteer-based ministry.</w:t>
      </w:r>
    </w:p>
    <w:p>
      <w:pPr>
        <w:widowControl/>
        <w:spacing w:line="360" w:lineRule="auto" w:after="120"/>
      </w:pPr>
      <w:r>
        <w:rPr>
          <w:rFonts w:ascii="Times New Roman" w:hAnsi="Times New Roman"/>
          <w:color w:val="000000"/>
          <w:sz w:val="24"/>
        </w:rPr>
        <w:t>Understanding this difference is important for the development of contextually appropriate service frameworks.</w:t>
      </w:r>
    </w:p>
    <w:p>
      <w:bookmarkStart w:id="101" w:name="m101"/>
      <w:pPr>
        <w:pStyle w:val="Heading3"/>
        <w:pageBreakBefore w:val="0"/>
        <w:widowControl/>
      </w:pPr>
      <w:r>
        <w:rPr>
          <w:rFonts w:ascii="Times New Roman" w:hAnsi="Times New Roman"/>
          <w:b/>
          <w:color w:val="000000"/>
          <w:sz w:val="24"/>
        </w:rPr>
        <w:t>2.11.9 Gap 8: Weak Integration of Theology and Service Management</w:t>
      </w:r>
      <w:bookmarkEnd w:id="101"/>
    </w:p>
    <w:p>
      <w:pPr>
        <w:widowControl/>
        <w:spacing w:line="360" w:lineRule="auto" w:after="120"/>
      </w:pPr>
      <w:r>
        <w:rPr>
          <w:rFonts w:ascii="Times New Roman" w:hAnsi="Times New Roman"/>
          <w:color w:val="000000"/>
          <w:sz w:val="24"/>
        </w:rPr>
        <w:t>Another unresolved issue is how to relate theological purpose to service-management concepts within this study.</w:t>
      </w:r>
    </w:p>
    <w:p>
      <w:pPr>
        <w:widowControl/>
        <w:spacing w:line="360" w:lineRule="auto" w:after="120"/>
      </w:pPr>
      <w:r>
        <w:rPr>
          <w:rFonts w:ascii="Times New Roman" w:hAnsi="Times New Roman"/>
          <w:color w:val="000000"/>
          <w:sz w:val="24"/>
        </w:rPr>
        <w:t>The selected service-management sources do not constitute a comprehensive review of theology or ecclesiology.</w:t>
      </w:r>
    </w:p>
    <w:p>
      <w:pPr>
        <w:widowControl/>
        <w:spacing w:line="360" w:lineRule="auto" w:after="120"/>
      </w:pPr>
      <w:r>
        <w:rPr>
          <w:rFonts w:ascii="Times New Roman" w:hAnsi="Times New Roman"/>
          <w:color w:val="000000"/>
          <w:sz w:val="24"/>
        </w:rPr>
        <w:t>Questions of satisfaction and organisational experience therefore need to be distinguished from theological questions about the purpose of religious participation.</w:t>
      </w:r>
    </w:p>
    <w:p>
      <w:pPr>
        <w:widowControl/>
        <w:spacing w:line="360" w:lineRule="auto" w:after="120"/>
      </w:pPr>
      <w:r>
        <w:rPr>
          <w:rFonts w:ascii="Times New Roman" w:hAnsi="Times New Roman"/>
          <w:color w:val="000000"/>
          <w:sz w:val="24"/>
        </w:rPr>
        <w:t>The present framework offers an interpretive distinction between these questions; it does not claim that earlier scholarship lacks integrative frameworks.</w:t>
      </w:r>
    </w:p>
    <w:p>
      <w:pPr>
        <w:widowControl/>
        <w:spacing w:line="360" w:lineRule="auto" w:after="120"/>
      </w:pPr>
      <w:r>
        <w:rPr>
          <w:rFonts w:ascii="Times New Roman" w:hAnsi="Times New Roman"/>
          <w:color w:val="000000"/>
          <w:sz w:val="24"/>
        </w:rPr>
        <w:t>This separation creates a major limitation.</w:t>
      </w:r>
    </w:p>
    <w:p>
      <w:pPr>
        <w:widowControl/>
        <w:spacing w:line="360" w:lineRule="auto" w:after="120"/>
      </w:pPr>
      <w:r>
        <w:rPr>
          <w:rFonts w:ascii="Times New Roman" w:hAnsi="Times New Roman"/>
          <w:color w:val="000000"/>
          <w:sz w:val="24"/>
        </w:rPr>
        <w:t>A model that measures service effectiveness without considering theological legitimacy may be organisationally sophisticated but inappropriate for churches.</w:t>
      </w:r>
    </w:p>
    <w:p>
      <w:pPr>
        <w:widowControl/>
        <w:spacing w:line="360" w:lineRule="auto" w:after="120"/>
      </w:pPr>
      <w:r>
        <w:rPr>
          <w:rFonts w:ascii="Times New Roman" w:hAnsi="Times New Roman"/>
          <w:color w:val="000000"/>
          <w:sz w:val="24"/>
        </w:rPr>
        <w:t>Conversely, theological discussions of hospitality that do not examine organisational processes may fail to explain how principles of care are translated into consistent practice.</w:t>
      </w:r>
    </w:p>
    <w:p>
      <w:pPr>
        <w:widowControl/>
        <w:spacing w:line="360" w:lineRule="auto" w:after="120"/>
      </w:pPr>
      <w:r>
        <w:rPr>
          <w:rFonts w:ascii="Times New Roman" w:hAnsi="Times New Roman"/>
          <w:color w:val="000000"/>
          <w:sz w:val="24"/>
        </w:rPr>
        <w:t>The present research is therefore positioned at the intersection of these two literatures.</w:t>
      </w:r>
    </w:p>
    <w:p>
      <w:bookmarkStart w:id="102" w:name="m102"/>
      <w:pPr>
        <w:pStyle w:val="Heading3"/>
        <w:pageBreakBefore w:val="0"/>
        <w:widowControl/>
      </w:pPr>
      <w:r>
        <w:rPr>
          <w:rFonts w:ascii="Times New Roman" w:hAnsi="Times New Roman"/>
          <w:b/>
          <w:color w:val="000000"/>
          <w:sz w:val="24"/>
        </w:rPr>
        <w:t>2.11.10 Gap 9: Digital and Hybrid Church Experience</w:t>
      </w:r>
      <w:bookmarkEnd w:id="102"/>
    </w:p>
    <w:p>
      <w:pPr>
        <w:widowControl/>
        <w:spacing w:line="360" w:lineRule="auto" w:after="120"/>
      </w:pPr>
      <w:r>
        <w:rPr>
          <w:rFonts w:ascii="Times New Roman" w:hAnsi="Times New Roman"/>
          <w:color w:val="000000"/>
          <w:sz w:val="24"/>
        </w:rPr>
        <w:t>The growth of digital and hybrid church participation creates an additional contemporary gap.</w:t>
      </w:r>
    </w:p>
    <w:p>
      <w:pPr>
        <w:widowControl/>
        <w:spacing w:line="360" w:lineRule="auto" w:after="120"/>
      </w:pPr>
      <w:r>
        <w:rPr>
          <w:rFonts w:ascii="Times New Roman" w:hAnsi="Times New Roman"/>
          <w:color w:val="000000"/>
          <w:sz w:val="24"/>
        </w:rPr>
        <w:t>The literature demonstrates that online worship, digital communication, and virtual participation are now significant aspects of church life.</w:t>
      </w:r>
    </w:p>
    <w:p>
      <w:pPr>
        <w:widowControl/>
        <w:spacing w:line="360" w:lineRule="auto" w:after="120"/>
      </w:pPr>
      <w:r>
        <w:rPr>
          <w:rFonts w:ascii="Times New Roman" w:hAnsi="Times New Roman"/>
          <w:color w:val="000000"/>
          <w:sz w:val="24"/>
        </w:rPr>
        <w:t>However, the integration of digital service quality with traditional congregational experience remains underdeveloped.</w:t>
      </w:r>
    </w:p>
    <w:p>
      <w:pPr>
        <w:widowControl/>
        <w:spacing w:line="360" w:lineRule="auto" w:after="120"/>
      </w:pPr>
      <w:r>
        <w:rPr>
          <w:rFonts w:ascii="Times New Roman" w:hAnsi="Times New Roman"/>
          <w:color w:val="000000"/>
          <w:sz w:val="24"/>
        </w:rPr>
        <w:t>Questions concerning technical reliability, online responsiveness, accessibility, digital belonging, privacy, and the relationship between online and physical participation are therefore increasingly relevant.</w:t>
      </w:r>
    </w:p>
    <w:p>
      <w:pPr>
        <w:widowControl/>
        <w:spacing w:line="360" w:lineRule="auto" w:after="120"/>
      </w:pPr>
      <w:r>
        <w:rPr>
          <w:rFonts w:ascii="Times New Roman" w:hAnsi="Times New Roman"/>
          <w:color w:val="000000"/>
          <w:sz w:val="24"/>
        </w:rPr>
        <w:t>Existing e-service quality frameworks provide useful concepts, but their applicability to religious communities remains insufficiently established.</w:t>
      </w:r>
    </w:p>
    <w:p>
      <w:bookmarkStart w:id="103" w:name="m103"/>
      <w:pPr>
        <w:pStyle w:val="Heading3"/>
        <w:pageBreakBefore w:val="0"/>
        <w:widowControl/>
      </w:pPr>
      <w:r>
        <w:rPr>
          <w:rFonts w:ascii="Times New Roman" w:hAnsi="Times New Roman"/>
          <w:b/>
          <w:color w:val="000000"/>
          <w:sz w:val="24"/>
        </w:rPr>
        <w:t>2.11.11 Gap 10: Limited Evidence Concerning Outcomes</w:t>
      </w:r>
      <w:bookmarkEnd w:id="103"/>
    </w:p>
    <w:p>
      <w:pPr>
        <w:widowControl/>
        <w:spacing w:line="360" w:lineRule="auto" w:after="120"/>
      </w:pPr>
      <w:r>
        <w:rPr>
          <w:rFonts w:ascii="Times New Roman" w:hAnsi="Times New Roman"/>
          <w:color w:val="000000"/>
          <w:sz w:val="24"/>
        </w:rPr>
        <w:t>The selected church sources do not establish causal effects of service quality on outcomes in the population represented by these questionnaires.</w:t>
      </w:r>
    </w:p>
    <w:p>
      <w:pPr>
        <w:widowControl/>
        <w:spacing w:line="360" w:lineRule="auto" w:after="120"/>
      </w:pPr>
      <w:r>
        <w:rPr>
          <w:rFonts w:ascii="Times New Roman" w:hAnsi="Times New Roman"/>
          <w:color w:val="000000"/>
          <w:sz w:val="24"/>
        </w:rPr>
        <w:t>Commercial research frequently connects service quality with satisfaction, loyalty, repeat purchase, and financial outcomes.</w:t>
      </w:r>
    </w:p>
    <w:p>
      <w:pPr>
        <w:widowControl/>
        <w:spacing w:line="360" w:lineRule="auto" w:after="120"/>
      </w:pPr>
      <w:r>
        <w:rPr>
          <w:rFonts w:ascii="Times New Roman" w:hAnsi="Times New Roman"/>
          <w:color w:val="000000"/>
          <w:sz w:val="24"/>
        </w:rPr>
        <w:t>Church research sometimes adopts analogous language concerning attendance, retention, engagement, or growth.</w:t>
      </w:r>
    </w:p>
    <w:p>
      <w:pPr>
        <w:widowControl/>
        <w:spacing w:line="360" w:lineRule="auto" w:after="120"/>
      </w:pPr>
      <w:r>
        <w:rPr>
          <w:rFonts w:ascii="Times New Roman" w:hAnsi="Times New Roman"/>
          <w:color w:val="000000"/>
          <w:sz w:val="24"/>
        </w:rPr>
        <w:t>However, these relationships should not be assumed.</w:t>
      </w:r>
    </w:p>
    <w:p>
      <w:pPr>
        <w:widowControl/>
        <w:spacing w:line="360" w:lineRule="auto" w:after="120"/>
      </w:pPr>
      <w:r>
        <w:rPr>
          <w:rFonts w:ascii="Times New Roman" w:hAnsi="Times New Roman"/>
          <w:color w:val="000000"/>
          <w:sz w:val="24"/>
        </w:rPr>
        <w:t>Church participation is influenced by doctrine, belief, family, geography, community relationships, leadership, life circumstances, and other factors.</w:t>
      </w:r>
    </w:p>
    <w:p>
      <w:pPr>
        <w:widowControl/>
        <w:spacing w:line="360" w:lineRule="auto" w:after="120"/>
      </w:pPr>
      <w:r>
        <w:rPr>
          <w:rFonts w:ascii="Times New Roman" w:hAnsi="Times New Roman"/>
          <w:color w:val="000000"/>
          <w:sz w:val="24"/>
        </w:rPr>
        <w:t>The literature therefore does not justify simple causal claims that improved customer service produces church growth or retention.</w:t>
      </w:r>
    </w:p>
    <w:p>
      <w:pPr>
        <w:widowControl/>
        <w:spacing w:line="360" w:lineRule="auto" w:after="120"/>
      </w:pPr>
      <w:r>
        <w:rPr>
          <w:rFonts w:ascii="Times New Roman" w:hAnsi="Times New Roman"/>
          <w:color w:val="000000"/>
          <w:sz w:val="24"/>
        </w:rPr>
        <w:t>Further research could examine associations between service quality and broader outcomes. The present questionnaire supports a narrower account of priorities, selected reported experiences, emotional engagement and satisfaction with feedback channels. It does not directly measure overall congregational satisfaction, belonging, retention or spiritual growth.</w:t>
      </w:r>
    </w:p>
    <w:p>
      <w:bookmarkStart w:id="104" w:name="m104"/>
      <w:pPr>
        <w:pStyle w:val="Heading3"/>
        <w:pageBreakBefore w:val="0"/>
        <w:widowControl/>
      </w:pPr>
      <w:r>
        <w:rPr>
          <w:rFonts w:ascii="Times New Roman" w:hAnsi="Times New Roman"/>
          <w:b/>
          <w:color w:val="000000"/>
          <w:sz w:val="24"/>
        </w:rPr>
        <w:t>2.11.12 Consolidated Research Gap</w:t>
      </w:r>
      <w:bookmarkEnd w:id="104"/>
    </w:p>
    <w:p>
      <w:pPr>
        <w:widowControl/>
        <w:spacing w:line="360" w:lineRule="auto" w:after="120"/>
      </w:pPr>
      <w:r>
        <w:rPr>
          <w:rFonts w:ascii="Times New Roman" w:hAnsi="Times New Roman"/>
          <w:color w:val="000000"/>
          <w:sz w:val="24"/>
        </w:rPr>
        <w:t>Taken together, this source set leaves questions about the meaning and acceptability of service practices in the context examined by this dissertation.</w:t>
      </w:r>
    </w:p>
    <w:p>
      <w:pPr>
        <w:widowControl/>
        <w:spacing w:line="360" w:lineRule="auto" w:after="120"/>
      </w:pPr>
      <w:r>
        <w:rPr>
          <w:rFonts w:ascii="Times New Roman" w:hAnsi="Times New Roman"/>
          <w:color w:val="000000"/>
          <w:sz w:val="24"/>
        </w:rPr>
        <w:t>The reviewed commercial and nonprofit literature supplies established concepts, while the smaller church-specific source set leaves questions about their contextual application.</w:t>
      </w:r>
    </w:p>
    <w:p>
      <w:pPr>
        <w:widowControl/>
        <w:spacing w:line="360" w:lineRule="auto" w:after="120"/>
      </w:pPr>
      <w:r>
        <w:rPr>
          <w:rFonts w:ascii="Times New Roman" w:hAnsi="Times New Roman"/>
          <w:color w:val="000000"/>
          <w:sz w:val="24"/>
        </w:rPr>
        <w:t>The church-specific studies provide contextual comparisons, while their populations, measures and designs limit direct transfer to the present records.</w:t>
      </w:r>
    </w:p>
    <w:p>
      <w:pPr>
        <w:widowControl/>
        <w:spacing w:line="360" w:lineRule="auto" w:after="120"/>
      </w:pPr>
      <w:r>
        <w:rPr>
          <w:rFonts w:ascii="Times New Roman" w:hAnsi="Times New Roman"/>
          <w:color w:val="000000"/>
          <w:sz w:val="24"/>
        </w:rPr>
        <w:t>The principal unresolved question is therefore not whether churches provide experiences that can be evaluated.</w:t>
      </w:r>
    </w:p>
    <w:p>
      <w:pPr>
        <w:widowControl/>
        <w:spacing w:line="360" w:lineRule="auto" w:after="120"/>
      </w:pPr>
      <w:r>
        <w:rPr>
          <w:rFonts w:ascii="Times New Roman" w:hAnsi="Times New Roman"/>
          <w:color w:val="000000"/>
          <w:sz w:val="24"/>
        </w:rPr>
        <w:t>They clearly do.</w:t>
      </w:r>
    </w:p>
    <w:p>
      <w:pPr>
        <w:widowControl/>
        <w:spacing w:line="360" w:lineRule="auto" w:after="120"/>
      </w:pPr>
      <w:r>
        <w:rPr>
          <w:rFonts w:ascii="Times New Roman" w:hAnsi="Times New Roman"/>
          <w:color w:val="000000"/>
          <w:sz w:val="24"/>
        </w:rPr>
        <w:t>The broader contextual question concerns how congregants in U.S.-based churches understand service experience and how business-derived principles relate to theological and organisational purposes. The available records address selected aspects of this question; their geographic eligibility remains unverified.</w:t>
      </w:r>
    </w:p>
    <w:p>
      <w:pPr>
        <w:widowControl/>
        <w:spacing w:line="360" w:lineRule="auto" w:after="120"/>
      </w:pPr>
      <w:r>
        <w:rPr>
          <w:rFonts w:ascii="Times New Roman" w:hAnsi="Times New Roman"/>
          <w:color w:val="000000"/>
          <w:sz w:val="24"/>
        </w:rPr>
        <w:t>This gap provides the primary justification for the present study.</w:t>
      </w:r>
    </w:p>
    <w:p>
      <w:pPr>
        <w:widowControl/>
        <w:spacing w:line="360" w:lineRule="auto" w:after="120"/>
      </w:pPr>
      <w:r>
        <w:rPr>
          <w:rFonts w:ascii="Times New Roman" w:hAnsi="Times New Roman"/>
          <w:color w:val="000000"/>
          <w:sz w:val="24"/>
        </w:rPr>
        <w:t>The study is positioned to contribute in four related ways.</w:t>
      </w:r>
    </w:p>
    <w:p>
      <w:pPr>
        <w:widowControl/>
        <w:spacing w:line="360" w:lineRule="auto" w:after="120"/>
      </w:pPr>
      <w:r>
        <w:rPr>
          <w:rFonts w:ascii="Times New Roman" w:hAnsi="Times New Roman"/>
          <w:color w:val="000000"/>
          <w:sz w:val="24"/>
        </w:rPr>
        <w:t>First, it provides a descriptive account of the supplied congregant and staff responses. The intended U.S. setting must be supported by the recruitment and eligibility account in Chapter 3; denominational labels alone do not verify respondents’ locations or establish national representativeness.</w:t>
      </w:r>
    </w:p>
    <w:p>
      <w:pPr>
        <w:widowControl/>
        <w:spacing w:line="360" w:lineRule="auto" w:after="120"/>
      </w:pPr>
      <w:r>
        <w:rPr>
          <w:rFonts w:ascii="Times New Roman" w:hAnsi="Times New Roman"/>
          <w:color w:val="000000"/>
          <w:sz w:val="24"/>
        </w:rPr>
        <w:t>Second, it uses established service-quality concepts to interpret the specified items, without claiming to validate a transferred model.</w:t>
      </w:r>
    </w:p>
    <w:p>
      <w:pPr>
        <w:widowControl/>
        <w:spacing w:line="360" w:lineRule="auto" w:after="120"/>
      </w:pPr>
      <w:r>
        <w:rPr>
          <w:rFonts w:ascii="Times New Roman" w:hAnsi="Times New Roman"/>
          <w:color w:val="000000"/>
          <w:sz w:val="24"/>
        </w:rPr>
        <w:t>Third, it examines staff-reported barriers, leadership support and use of service-management tools as perceptions of organisational conditions.</w:t>
      </w:r>
    </w:p>
    <w:p>
      <w:pPr>
        <w:widowControl/>
        <w:spacing w:line="360" w:lineRule="auto" w:after="120"/>
      </w:pPr>
      <w:r>
        <w:rPr>
          <w:rFonts w:ascii="Times New Roman" w:hAnsi="Times New Roman"/>
          <w:color w:val="000000"/>
          <w:sz w:val="24"/>
        </w:rPr>
        <w:t>Fourth, it considers perceived theological compatibility and spiritual-authenticity risk alongside attitudes towards service practices. These are respondents’ judgments, rather than independent measures of theological validity or organisational effectiveness.</w:t>
      </w:r>
    </w:p>
    <w:p>
      <w:pPr>
        <w:widowControl/>
        <w:spacing w:line="360" w:lineRule="auto" w:after="120"/>
      </w:pPr>
      <w:r>
        <w:rPr>
          <w:rFonts w:ascii="Times New Roman" w:hAnsi="Times New Roman"/>
          <w:color w:val="000000"/>
          <w:sz w:val="24"/>
        </w:rPr>
        <w:t>In this way, the research responds directly to the limitations identified in the existing literature and provides a foundation for the conceptual positioning of the study developed in the following section.</w:t>
      </w:r>
    </w:p>
    <w:p>
      <w:bookmarkStart w:id="105" w:name="m105"/>
      <w:pPr>
        <w:pStyle w:val="Heading2"/>
        <w:pageBreakBefore w:val="0"/>
        <w:widowControl/>
      </w:pPr>
      <w:r>
        <w:rPr>
          <w:rFonts w:ascii="Times New Roman" w:hAnsi="Times New Roman"/>
          <w:b/>
          <w:color w:val="000000"/>
          <w:sz w:val="26"/>
        </w:rPr>
        <w:t>2.12 Conceptual Positioning of the Present Study</w:t>
      </w:r>
      <w:bookmarkEnd w:id="105"/>
    </w:p>
    <w:p>
      <w:pPr>
        <w:widowControl/>
        <w:spacing w:line="360" w:lineRule="auto" w:after="120"/>
      </w:pPr>
      <w:r>
        <w:rPr>
          <w:rFonts w:ascii="Times New Roman" w:hAnsi="Times New Roman"/>
          <w:color w:val="000000"/>
          <w:sz w:val="24"/>
        </w:rPr>
        <w:t>The present study examines customer service in a church context through a contextualised management perspective. The service-quality, customer-experience and nonprofit literature reviewed in Sections 2.4 to 2.11 provides concepts for examining organisational interactions while recognising the religious purpose of churches. Service-management concepts inform the questions asked of the evidence; they do not determine the mission of the church or establish that congregants should be treated as commercial customers.</w:t>
      </w:r>
    </w:p>
    <w:p>
      <w:pPr>
        <w:widowControl/>
        <w:spacing w:line="360" w:lineRule="auto" w:after="120"/>
      </w:pPr>
      <w:r>
        <w:rPr>
          <w:rFonts w:ascii="Times New Roman" w:hAnsi="Times New Roman"/>
          <w:color w:val="000000"/>
          <w:sz w:val="24"/>
        </w:rPr>
        <w:t>The empirical focus comprises three areas: the importance congregants attach to selected service attributes; their reported experiences of particular aspects of church interaction; and congregant and staff attitudes towards the use of business-informed service practices. These areas bring organisational experience and perceived theological suitability into the same discussion while keeping their measures distinct.</w:t>
      </w:r>
    </w:p>
    <w:p>
      <w:pPr>
        <w:widowControl/>
        <w:spacing w:line="360" w:lineRule="auto" w:after="120"/>
      </w:pPr>
      <w:r>
        <w:rPr>
          <w:rFonts w:ascii="Times New Roman" w:hAnsi="Times New Roman"/>
          <w:color w:val="000000"/>
          <w:sz w:val="24"/>
        </w:rPr>
        <w:t>The congregant questionnaire asks respondents to rate the importance of welcome, communication, feeling valued, staff and volunteer professionalism, responsiveness, and accessibility of parking or facilities. These ratings identify priorities among the specified attributes. They do not measure the level of performance delivered on each attribute. Separate questions address perceived responsiveness, access to leadership or pastoral support, emotional engagement, digital engagement and satisfaction with feedback channels.</w:t>
      </w:r>
    </w:p>
    <w:p>
      <w:pPr>
        <w:widowControl/>
        <w:spacing w:line="360" w:lineRule="auto" w:after="120"/>
      </w:pPr>
      <w:r>
        <w:rPr>
          <w:rFonts w:ascii="Times New Roman" w:hAnsi="Times New Roman"/>
          <w:color w:val="000000"/>
          <w:sz w:val="24"/>
        </w:rPr>
        <w:t>Accordingly, the study distinguishes importance from reported experience. It does not calculate expectation–performance gaps because the questionnaire does not contain matched expectation and performance ratings for each service attribute. The importance of responsiveness and the separate report of responsiveness may be discussed together, but subtracting their scores would not produce a validated service-quality gap. SERVQUAL, SERVPERF and Kano therefore serve as theoretical perspectives rather than instruments whose complete measurement procedures have been implemented.</w:t>
      </w:r>
    </w:p>
    <w:p>
      <w:bookmarkStart w:id="106" w:name="m106"/>
      <w:pPr>
        <w:pStyle w:val="Heading3"/>
        <w:pageBreakBefore w:val="0"/>
        <w:widowControl/>
      </w:pPr>
      <w:r>
        <w:rPr>
          <w:rFonts w:ascii="Times New Roman" w:hAnsi="Times New Roman"/>
          <w:b/>
          <w:color w:val="000000"/>
          <w:sz w:val="24"/>
        </w:rPr>
        <w:t>2.12.1 Conceptual Relationships Guiding the Study</w:t>
      </w:r>
      <w:bookmarkEnd w:id="106"/>
    </w:p>
    <w:p>
      <w:pPr>
        <w:widowControl/>
        <w:spacing w:line="360" w:lineRule="auto" w:after="120"/>
      </w:pPr>
      <w:r>
        <w:rPr>
          <w:rFonts w:ascii="Times New Roman" w:hAnsi="Times New Roman"/>
          <w:color w:val="000000"/>
          <w:sz w:val="24"/>
        </w:rPr>
        <w:t>The conceptual framework organises the evidence around priorities, experiences and the perceived suitability of service practices. Service priorities indicate which of the listed attributes respondents consider important. Experience items describe selected interactions and evaluations. Adoption and compatibility items indicate whether respondents regard management practices as acceptable or report using them. The analysis can consider how these findings inform one another without treating them as a tested causal sequence.</w:t>
      </w:r>
    </w:p>
    <w:p>
      <w:pPr>
        <w:widowControl/>
        <w:spacing w:line="360" w:lineRule="auto" w:after="120"/>
      </w:pPr>
      <w:r>
        <w:rPr>
          <w:rFonts w:ascii="Times New Roman" w:hAnsi="Times New Roman"/>
          <w:color w:val="000000"/>
          <w:sz w:val="24"/>
        </w:rPr>
        <w:t>The customer-experience perspective draws attention to physical, relational and digital interactions. The importance items address welcome, communication, feeling valued, professionalism, responsiveness and facilities accessibility. Separate experience items address responsiveness, access to leadership or pastoral support, emotional engagement, digital engagement and satisfaction with feedback channels. The importance items do not show whether welcome, facilities or other attributes were actually delivered well. Together, these questions cover selected aspects of church interaction rather than the complete congregant journey.</w:t>
      </w:r>
    </w:p>
    <w:p>
      <w:pPr>
        <w:widowControl/>
        <w:spacing w:line="360" w:lineRule="auto" w:after="120"/>
      </w:pPr>
      <w:r>
        <w:rPr>
          <w:rFonts w:ascii="Times New Roman" w:hAnsi="Times New Roman"/>
          <w:color w:val="000000"/>
          <w:sz w:val="24"/>
        </w:rPr>
        <w:t>Staff responses provide a further perspective on the conditions surrounding service improvement. Reported leadership support, resource constraints, volunteer fatigue, training needs and resistance to change can inform interpretation of organisational challenges. They cannot establish the objective capacity or performance of particular churches. Denominational information offers a limited contextual descriptor, while church size, governance and linked organisational characteristics remain outside the available measures.</w:t>
      </w:r>
    </w:p>
    <w:p>
      <w:pPr>
        <w:widowControl/>
        <w:spacing w:line="360" w:lineRule="auto" w:after="120"/>
      </w:pPr>
      <w:r>
        <w:rPr>
          <w:rFonts w:ascii="Times New Roman" w:hAnsi="Times New Roman"/>
          <w:color w:val="000000"/>
          <w:sz w:val="24"/>
        </w:rPr>
        <w:t>Theological suitability is examined through reported compatibility with mission, concerns about business-style practices and perceived risk to spiritual authenticity. These perceptions matter to the feasibility and acceptance of proposed practices. However, perceived compatibility does not demonstrate organisational effectiveness, and perceived risk does not demonstrate that spiritual harm has occurred. Recommendations must distinguish respondents’ judgments from outcomes that would require separate investigation.</w:t>
      </w:r>
    </w:p>
    <w:p>
      <w:pPr>
        <w:widowControl/>
        <w:spacing w:line="360" w:lineRule="auto" w:after="120"/>
      </w:pPr>
      <w:r>
        <w:rPr>
          <w:rFonts w:ascii="Times New Roman" w:hAnsi="Times New Roman"/>
          <w:color w:val="000000"/>
          <w:sz w:val="24"/>
        </w:rPr>
        <w:t>Congregant and staff results are treated as complementary accounts rather than matched observations from the same organisations. The framework also distinguishes reported emotional engagement from retention, belonging and spiritual growth. Those broader outcomes remain relevant to the literature, but the present questionnaire does not directly establish them or show that service practices cause changes in them. Staff reports of attendance tracking, surveys or pastoral feedback describe monitoring practices; they do not supply attendance trends or independently measured satisfaction outcomes.</w:t>
      </w:r>
    </w:p>
    <w:p>
      <w:bookmarkStart w:id="107" w:name="m107"/>
      <w:pPr>
        <w:pStyle w:val="Heading3"/>
        <w:pageBreakBefore w:val="0"/>
        <w:widowControl/>
      </w:pPr>
      <w:r>
        <w:rPr>
          <w:rFonts w:ascii="Times New Roman" w:hAnsi="Times New Roman"/>
          <w:b/>
          <w:color w:val="000000"/>
          <w:sz w:val="24"/>
        </w:rPr>
        <w:t>2.12.2 Positioning Relative to Existing Research</w:t>
      </w:r>
      <w:bookmarkEnd w:id="107"/>
    </w:p>
    <w:p>
      <w:pPr>
        <w:widowControl/>
        <w:spacing w:line="360" w:lineRule="auto" w:after="120"/>
      </w:pPr>
      <w:r>
        <w:rPr>
          <w:rFonts w:ascii="Times New Roman" w:hAnsi="Times New Roman"/>
          <w:color w:val="000000"/>
          <w:sz w:val="24"/>
        </w:rPr>
        <w:t>The study connects the literature on service quality and organisational experience with the specific questions of church service priorities and perceived suitability of management practices. Its empirical role is descriptive and contextual: it examines responses to selected questionnaire items and interprets their relevance to the debates developed in this chapter. The study’s intended United States setting defines its research context; the scope of any wider claims depends on the documented recruitment, eligibility and sample coverage described in Chapter 3.</w:t>
      </w:r>
    </w:p>
    <w:p>
      <w:pPr>
        <w:widowControl/>
        <w:spacing w:line="360" w:lineRule="auto" w:after="120"/>
      </w:pPr>
      <w:r>
        <w:rPr>
          <w:rFonts w:ascii="Times New Roman" w:hAnsi="Times New Roman"/>
          <w:color w:val="000000"/>
          <w:sz w:val="24"/>
        </w:rPr>
        <w:t>Hospitality and nonprofit research provides comparison at the level of concepts and possible practices. Respondents’ comparisons with businesses and their support for adopting practices can indicate perceived relevance. They cannot establish that a practice transfers successfully between sectors, because the research does not directly compare organisational outcomes across those sectors or evaluate an intervention. Claims of novelty must also be supported by the completed literature and reference review.</w:t>
      </w:r>
    </w:p>
    <w:p>
      <w:bookmarkStart w:id="108" w:name="m108"/>
      <w:pPr>
        <w:pStyle w:val="Heading3"/>
        <w:pageBreakBefore w:val="0"/>
        <w:widowControl/>
      </w:pPr>
      <w:r>
        <w:rPr>
          <w:rFonts w:ascii="Times New Roman" w:hAnsi="Times New Roman"/>
          <w:b/>
          <w:color w:val="000000"/>
          <w:sz w:val="24"/>
        </w:rPr>
        <w:t>2.12.3 Contribution within the Study’s Scope</w:t>
      </w:r>
      <w:bookmarkEnd w:id="108"/>
    </w:p>
    <w:p>
      <w:pPr>
        <w:widowControl/>
        <w:spacing w:line="360" w:lineRule="auto" w:after="120"/>
      </w:pPr>
      <w:r>
        <w:rPr>
          <w:rFonts w:ascii="Times New Roman" w:hAnsi="Times New Roman"/>
          <w:color w:val="000000"/>
          <w:sz w:val="24"/>
        </w:rPr>
        <w:t>The study can contribute a structured account of the priorities and selected experiences reported by congregant respondents, together with staff accounts of adoption, compatibility and barriers. Read together, these findings can identify practical questions for church leaders and clarify where service-management concepts require careful contextual interpretation. The contribution lies in connecting these perspectives within a defined empirical scope, rather than claiming to validate a comprehensive church service-quality model.</w:t>
      </w:r>
    </w:p>
    <w:p>
      <w:pPr>
        <w:widowControl/>
        <w:spacing w:line="360" w:lineRule="auto" w:after="120"/>
      </w:pPr>
      <w:r>
        <w:rPr>
          <w:rFonts w:ascii="Times New Roman" w:hAnsi="Times New Roman"/>
          <w:color w:val="000000"/>
          <w:sz w:val="24"/>
        </w:rPr>
        <w:t>Recommendations should identify practices for further consideration and evaluation. Demonstrating effects on retention, spiritual growth or organisational performance would require additional research.</w:t>
      </w:r>
    </w:p>
    <w:p>
      <w:bookmarkStart w:id="109" w:name="m109"/>
      <w:pPr>
        <w:pStyle w:val="Heading2"/>
        <w:pageBreakBefore w:val="0"/>
        <w:widowControl/>
      </w:pPr>
      <w:r>
        <w:rPr>
          <w:rFonts w:ascii="Times New Roman" w:hAnsi="Times New Roman"/>
          <w:b/>
          <w:color w:val="000000"/>
          <w:sz w:val="26"/>
        </w:rPr>
        <w:t>2.13 Chapter Conclusion</w:t>
      </w:r>
      <w:bookmarkEnd w:id="109"/>
    </w:p>
    <w:p>
      <w:pPr>
        <w:widowControl/>
        <w:spacing w:line="360" w:lineRule="auto" w:after="120"/>
      </w:pPr>
      <w:r>
        <w:rPr>
          <w:rFonts w:ascii="Times New Roman" w:hAnsi="Times New Roman"/>
          <w:color w:val="000000"/>
          <w:sz w:val="24"/>
        </w:rPr>
        <w:t>This chapter has examined service quality, customer experience and service-management practices in relation to church organisations. The literature provides concepts for understanding welcome, communication, responsiveness and organisational care, while requiring attention to the spiritual and communal purposes of churches. Service priorities and perceived organisational experiences are legitimate subjects of inquiry, but they are not comprehensive measures of religious effectiveness.</w:t>
      </w:r>
    </w:p>
    <w:p>
      <w:pPr>
        <w:widowControl/>
        <w:spacing w:line="360" w:lineRule="auto" w:after="120"/>
      </w:pPr>
      <w:r>
        <w:rPr>
          <w:rFonts w:ascii="Times New Roman" w:hAnsi="Times New Roman"/>
          <w:color w:val="000000"/>
          <w:sz w:val="24"/>
        </w:rPr>
        <w:t>SERVQUAL, SERVPERF and Kano offer different perspectives on service evaluation. In this study, they serve as theoretical resources rather than fully implemented or validated instruments. The six congregant importance ratings identify priorities among specified service attributes. Separate questions describe particular experiences and evaluations. Because matched expectation and performance ratings were not collected for each attribute, the analysis cannot calculate validated expectation–performance gaps.</w:t>
      </w:r>
    </w:p>
    <w:p>
      <w:pPr>
        <w:widowControl/>
        <w:spacing w:line="360" w:lineRule="auto" w:after="120"/>
      </w:pPr>
      <w:r>
        <w:rPr>
          <w:rFonts w:ascii="Times New Roman" w:hAnsi="Times New Roman"/>
          <w:color w:val="000000"/>
          <w:sz w:val="24"/>
        </w:rPr>
        <w:t>Customer-experience and engagement perspectives broaden the discussion to relationships and physical and digital interactions. The empirical scope remains narrower than these theories: reported emotional engagement is not a measure of retention or spiritual growth, and satisfaction with feedback channels is not overall congregational satisfaction. Neither the questionnaire nor the conceptual framework establishes that service practices cause changes in these wider outcomes.</w:t>
      </w:r>
    </w:p>
    <w:p>
      <w:pPr>
        <w:widowControl/>
        <w:spacing w:line="360" w:lineRule="auto" w:after="120"/>
      </w:pPr>
      <w:r>
        <w:rPr>
          <w:rFonts w:ascii="Times New Roman" w:hAnsi="Times New Roman"/>
          <w:color w:val="000000"/>
          <w:sz w:val="24"/>
        </w:rPr>
        <w:t>Church-specific research informs the interpretation of these concepts, while hospitality and nonprofit studies provide comparisons at the level of ideas and possible practices. The Australian studies by Mulyanegara et al. (2010, 2011), for example, do not establish equivalent relationships in U.S. churches. Likewise, respondents’ comparisons with businesses and attitudes towards adopting management practices indicate perceived relevance rather than demonstrated success in transferring practices between sectors.</w:t>
      </w:r>
    </w:p>
    <w:p>
      <w:pPr>
        <w:widowControl/>
        <w:spacing w:line="360" w:lineRule="auto" w:after="120"/>
      </w:pPr>
      <w:r>
        <w:rPr>
          <w:rFonts w:ascii="Times New Roman" w:hAnsi="Times New Roman"/>
          <w:color w:val="000000"/>
          <w:sz w:val="24"/>
        </w:rPr>
        <w:t>The conceptual framework therefore centres on service priorities, selected reported experiences, and attitudes towards the use and suitability of service-management practices. Staff accounts add information about reported tool use, feedback and monitoring methods, leadership support, barriers, theological compatibility and perceived spiritual-authenticity risk. These accounts complement the congregant responses but are not matched observations from the same churches. They provide a basis for cautious practical recommendations and further evaluation rather than a causal model of organisational effectiveness.</w:t>
      </w:r>
    </w:p>
    <w:p>
      <w:pPr>
        <w:widowControl/>
        <w:spacing w:line="360" w:lineRule="auto" w:after="120"/>
      </w:pPr>
      <w:r>
        <w:rPr>
          <w:rFonts w:ascii="Times New Roman" w:hAnsi="Times New Roman"/>
          <w:color w:val="000000"/>
          <w:sz w:val="24"/>
        </w:rPr>
        <w:t>Chapter 3 connects this conceptual framework to the questionnaire items, sample reconciliation, preparation rules and analyses reported in Chapters 4 and 5. It distinguishes completed analytical procedures from undocumented collection and ethical procedures. The available records comprise 100 congregant responses and 140 staff or volunteer responses; these are separate record sets, not a verified count of churches or necessarily unique people across both surveys. Interpretation remains within the limits established by that methodological account.</w:t>
      </w:r>
    </w:p>
    <w:p>
      <w:bookmarkStart w:id="110" w:name="m110"/>
      <w:pPr>
        <w:pStyle w:val="Heading1"/>
        <w:pageBreakBefore/>
      </w:pPr>
      <w:r>
        <w:t>CHAPTER 3</w:t>
        <w:br/>
        <w:t>METHODOLOGY</w:t>
      </w:r>
      <w:bookmarkEnd w:id="110"/>
    </w:p>
    <w:p>
      <w:pPr>
        <w:pageBreakBefore w:val="0"/>
      </w:pPr>
      <w:r>
        <w:t>This chapter explains the methodological basis of the revised study and the reasoning behind its analytical choices. It distinguishes procedures completed on the supplied records from aspects of the original collection that remain undocumented. This first section establishes the philosophical orientation, research design and sample used to investigate the questions developed in Chapter 1. Subsequent sections address measurement, preparation, analysis and ethical considerations in detail.</w:t>
      </w:r>
    </w:p>
    <w:p>
      <w:bookmarkStart w:id="111" w:name="m111"/>
      <w:pPr>
        <w:pStyle w:val="Heading2"/>
        <w:pageBreakBefore w:val="0"/>
      </w:pPr>
      <w:r>
        <w:t>3.1 Philosophical Foundations</w:t>
      </w:r>
      <w:bookmarkEnd w:id="111"/>
    </w:p>
    <w:p>
      <w:bookmarkStart w:id="112" w:name="m112"/>
      <w:pPr>
        <w:pStyle w:val="Heading3"/>
        <w:pageBreakBefore w:val="0"/>
      </w:pPr>
      <w:r>
        <w:t>3.1.1 A pragmatic orientation to the research problem</w:t>
      </w:r>
      <w:bookmarkEnd w:id="112"/>
    </w:p>
    <w:p>
      <w:pPr>
        <w:pageBreakBefore w:val="0"/>
      </w:pPr>
      <w:r>
        <w:t>The study adopts a pragmatic orientation towards a practical question: how organisational service can be understood within church life while respecting religious purpose. Morgan (2014) presents pragmatism as a philosophy of inquiry connecting experience, beliefs and action, rather than merely a preference for convenient methods. This account supports attention to how research questions are framed and what consequences follow from particular interpretations. In the present study, it informs the relationship between describing questionnaire responses, interpreting their meaning and considering possible organisational action.</w:t>
      </w:r>
    </w:p>
    <w:p>
      <w:pPr>
        <w:pageBreakBefore w:val="0"/>
      </w:pPr>
      <w:r>
        <w:t>The practical starting point does not make usefulness sufficient evidence of truth. A recommendation can appear attractive while resting on an uncertain interpretation, and an organisational practice can be popular without being effective. The study therefore separates a respondent’s assessment of usefulness from the researcher’s evaluation of what the evidence supports. Pragmatism provides an orientation for examining the problem; it does not remove the need for transparent measurement, explicit denominators or scrutiny of alternative explanations.</w:t>
      </w:r>
    </w:p>
    <w:p>
      <w:pPr>
        <w:pageBreakBefore w:val="0"/>
      </w:pPr>
      <w:r>
        <w:t>This orientation is appropriate to the revised inquiry because the research problem includes both evaluations and qualifications. Closed questions indicate how respondents classify selected experiences or practices. Written reasons provide information about the conditions attached to those classifications. Addressing only the numerical distribution would leave some expressed meanings unexplored, while considering only the text would lose information about how those meanings are distributed within the supplied records. The analytical rationale is to use each form of evidence for the question it can address.</w:t>
      </w:r>
    </w:p>
    <w:p>
      <w:pPr>
        <w:pageBreakBefore w:val="0"/>
      </w:pPr>
      <w:r>
        <w:t>In applying this orientation, the research question determines what counts as relevant evidence. A question about the importance assigned to welcome requires the recorded importance responses. A question about the acceptance of business-like practices requires attention to adoption ratings and their accompanying reasons. A question about effectiveness would require evidence beyond those attitudes. This differentiation gives methodological substance to the practical orientation: methods are selected for the claims being examined, and a desirable conclusion cannot compensate for the absence of a measure suited to that claim.</w:t>
      </w:r>
    </w:p>
    <w:p>
      <w:bookmarkStart w:id="113" w:name="m113"/>
      <w:pPr>
        <w:pStyle w:val="Heading3"/>
        <w:pageBreakBefore w:val="0"/>
      </w:pPr>
      <w:r>
        <w:t>3.1.2 Assumptions about experience and knowledge</w:t>
      </w:r>
      <w:bookmarkEnd w:id="113"/>
    </w:p>
    <w:p>
      <w:pPr>
        <w:pageBreakBefore w:val="0"/>
      </w:pPr>
      <w:r>
        <w:t>The study treats questionnaire responses as situated accounts of organisational experience. A report of accessible pastoral support records a respondent’s evaluation; it is not an independent observation of every support interaction. Similarly, a staff report of using a feedback method describes a claimed practice, without establishing its accessibility or effectiveness. The methodological position recognises the relevance of these accounts while keeping the distinction between a reported evaluation and the organisational conditions it may concern.</w:t>
      </w:r>
    </w:p>
    <w:p>
      <w:pPr>
        <w:pageBreakBefore w:val="0"/>
      </w:pPr>
      <w:r>
        <w:t>Numerical coding does not eliminate interpretation. Decisions about which categories can be combined, what a neutral response means and whether an apparent contradiction warrants exclusion affect the resulting account. These decisions require justification against the recorded wording. Qualitative analysis also involves judgment when assigning categories to brief statements. The study makes these analytical choices visible so that a reader can examine how the evidence supports a conclusion, rather than accepting numerical precision or a thematic label as sufficient justification.</w:t>
      </w:r>
    </w:p>
    <w:p>
      <w:pPr>
        <w:pageBreakBefore w:val="0"/>
      </w:pPr>
      <w:r>
        <w:t>This position avoids treating either questionnaire group as an objective standard against which the other must be judged. Congregants and staff may describe different aspects of church life, and their records are not linked to the same organisations. The analysis therefore preserves both the perspective represented by an item and the unit to which a finding applies. It can consider complementary accounts without claiming that one independently verifies the other.</w:t>
      </w:r>
    </w:p>
    <w:p>
      <w:bookmarkStart w:id="114" w:name="m114"/>
      <w:pPr>
        <w:pStyle w:val="Heading3"/>
        <w:pageBreakBefore w:val="0"/>
      </w:pPr>
      <w:r>
        <w:t>3.1.3 Values and the purpose of interpretation</w:t>
      </w:r>
      <w:bookmarkEnd w:id="114"/>
    </w:p>
    <w:p>
      <w:pPr>
        <w:pageBreakBefore w:val="0"/>
      </w:pPr>
      <w:r>
        <w:t>The research concerns practices whose suitability involves judgments about religious purpose as well as organisational provision. These judgments enter the evidence through respondents’ stated compatibility assessments, concerns and written reasons. They are not settled by the researcher selecting a management framework. A concern about commercialisation is treated as an expressed position requiring interpretation, rather than automatically classified as resistance to necessary improvement. Equally, a favourable assessment does not establish that religious concerns have been resolved.</w:t>
      </w:r>
    </w:p>
    <w:p>
      <w:pPr>
        <w:pageBreakBefore w:val="0"/>
      </w:pPr>
      <w:r>
        <w:t>The researcher’s responsibility is to distinguish the interpretation of these positions from an endorsement of them. Coding a statement as protection of spiritual purpose identifies its explicit content; it does not establish the theological correctness of that content. This distinction allows disagreement to remain visible within the analysis. Recommendations consequently require justification in relation to the reported issue and intended purpose, rather than assuming that all respondents share a single definition of appropriate service.</w:t>
      </w:r>
    </w:p>
    <w:p>
      <w:bookmarkStart w:id="115" w:name="m115"/>
      <w:pPr>
        <w:pStyle w:val="Heading3"/>
        <w:pageBreakBefore w:val="0"/>
      </w:pPr>
      <w:r>
        <w:t>3.1.4 Reasoning between concepts and records</w:t>
      </w:r>
      <w:bookmarkEnd w:id="115"/>
    </w:p>
    <w:p>
      <w:pPr>
        <w:pageBreakBefore w:val="0"/>
      </w:pPr>
      <w:r>
        <w:t>The literature supplies concepts through which the records can be examined, including service importance, organisational responsiveness and contextual suitability. Those concepts do not determine the answers in advance. Analysis proceeds by comparing them with the specific items and statements available, asking where the material supports an interpretation and where its scope is narrower. This requires attention to responses that qualify a dominant reading as well as those that appear to support it.</w:t>
      </w:r>
    </w:p>
    <w:p>
      <w:pPr>
        <w:pageBreakBefore w:val="0"/>
      </w:pPr>
      <w:r>
        <w:t>Conditional usefulness was developed as an interpretation of recognition of practical benefit accompanied by qualifications about adoption. It was not measured through a dedicated validated scale or tested as a predetermined causal hypothesis. The methodological task is therefore to show how that interpretation relates to the coded reasons and their associated ratings. Its potential relevance beyond the present material remains a question for discussion and further investigation.</w:t>
      </w:r>
    </w:p>
    <w:p>
      <w:bookmarkStart w:id="116" w:name="m116"/>
      <w:pPr>
        <w:pStyle w:val="Heading2"/>
        <w:pageBreakBefore w:val="0"/>
      </w:pPr>
      <w:r>
        <w:t>3.2 Research Design</w:t>
      </w:r>
      <w:bookmarkEnd w:id="116"/>
    </w:p>
    <w:p>
      <w:bookmarkStart w:id="117" w:name="m117"/>
      <w:pPr>
        <w:pStyle w:val="Heading3"/>
        <w:pageBreakBefore w:val="0"/>
      </w:pPr>
      <w:r>
        <w:t>3.2.1 A descriptive survey study</w:t>
      </w:r>
      <w:bookmarkEnd w:id="117"/>
    </w:p>
    <w:p>
      <w:pPr>
        <w:pageBreakBefore w:val="0"/>
      </w:pPr>
      <w:r>
        <w:t>The available material supports a descriptive survey study using two questionnaires, with closed response items and a limited qualitative component in the congregant text fields. The design as reported here describes the evidence analysed, rather than reconstructing an undocumented fieldwork protocol. Its immediate purpose is to identify patterns in specified responses and examine the meaning of expressed reasons and suggestions. It does not involve manipulation of an intervention or observation of organisational outcomes before and after a change.</w:t>
      </w:r>
    </w:p>
    <w:p>
      <w:pPr>
        <w:pageBreakBefore w:val="0"/>
      </w:pPr>
      <w:r>
        <w:t>Description is appropriate because the instruments contain selected evaluations and reported practices. They permit frequencies, percentages and summaries of importance ratings, together with comparisons that respect the structure of the records. However, the available information cannot establish a temporal sequence between adoption and its possible effects. The study therefore makes no causal estimate of how service practices influence participation, retention or spiritual development. Such outcomes would require appropriate measures and a design capable of examining the proposed relationship.</w:t>
      </w:r>
    </w:p>
    <w:p>
      <w:pPr>
        <w:pageBreakBefore w:val="0"/>
      </w:pPr>
      <w:r>
        <w:t>The records are analysed as one available corpus. Collection dates and repeated observations are not documented, so the chapter does not claim a verified collection period or longitudinal design. No interview transcripts are available to support an interview strand. These boundaries concern the evidence used in this dissertation; they do not retrospectively establish every activity that may have occurred during the original project.</w:t>
      </w:r>
    </w:p>
    <w:p>
      <w:bookmarkStart w:id="118" w:name="m118"/>
      <w:pPr>
        <w:pStyle w:val="Heading3"/>
        <w:pageBreakBefore w:val="0"/>
      </w:pPr>
      <w:r>
        <w:t>3.2.2 Different functions of the questionnaires</w:t>
      </w:r>
      <w:bookmarkEnd w:id="118"/>
    </w:p>
    <w:p>
      <w:pPr>
        <w:pageBreakBefore w:val="0"/>
      </w:pPr>
      <w:r>
        <w:t>The congregant questionnaire records service priorities, selected experiences, comparison with businesses, adoption attitudes and written reasons or suggestions. The staff or volunteer questionnaire records practices and perceived organisational conditions. Their different functions permit the dissertation to consider how service is evaluated alongside what respondents report about provision and implementation. This is a rationale for complementary analysis, rather than for combining the two groups into a single scale.</w:t>
      </w:r>
    </w:p>
    <w:p>
      <w:pPr>
        <w:pageBreakBefore w:val="0"/>
      </w:pPr>
      <w:r>
        <w:t>Questions that appear related may still measure different matters. Satisfaction with feedback channels concerns an evaluation of experience, whereas selecting a feedback method concerns a reported organisational arrangement. These cannot be subtracted to produce a service gap. Likewise, the importance of responsiveness and a separate responsiveness evaluation require their own interpretations. Preserving these distinctions keeps the conceptual framework connected to the actual instruments instead of imposing equivalence through similar terminology.</w:t>
      </w:r>
    </w:p>
    <w:p>
      <w:bookmarkStart w:id="119" w:name="m119"/>
      <w:pPr>
        <w:pStyle w:val="Heading3"/>
        <w:pageBreakBefore w:val="0"/>
      </w:pPr>
      <w:r>
        <w:t>3.2.3 Quantitative and qualitative integration</w:t>
      </w:r>
      <w:bookmarkEnd w:id="119"/>
    </w:p>
    <w:p>
      <w:pPr>
        <w:pageBreakBefore w:val="0"/>
      </w:pPr>
      <w:r>
        <w:t>Quantitative and qualitative evidence were integrated during analysis and interpretation. The closed responses establish distributions within the relevant record sets. The congregant text fields were examined through descriptive thematic content analysis prepared with AI assistance for researcher review. Within congregant records, reasons can be linked to the corresponding adoption response. This provides a basis for considering how an apparently broad attitude is qualified by its accompanying explanation.</w:t>
      </w:r>
    </w:p>
    <w:p>
      <w:pPr>
        <w:pageBreakBefore w:val="0"/>
      </w:pPr>
      <w:r>
        <w:t>That link is stronger for some questions than for others. A reason explicitly attached to an adoption response can clarify the expressed position within the same record. A general suggestion elsewhere in the questionnaire cannot automatically be treated as the explanation for every evaluation that person provided. The integration therefore distinguishes a documented response link from an interpretation proposed by the analyst. Numerical coexistence alone does not establish the meaning of the relationship.</w:t>
      </w:r>
    </w:p>
    <w:p>
      <w:pPr>
        <w:pageBreakBefore w:val="0"/>
      </w:pPr>
      <w:r>
        <w:t>The study does not claim that using two kinds of data automatically constitutes independent triangulation. Ratings and reasons from the same record may reflect shared wording, circumstances or transcription practices. Staff responses supply a separate perspective, but their lack of church-level linkage prevents within-organisation corroboration. The most precise description is a descriptive survey with an integrated, limited qualitative component; a fully documented prospective mixed-methods fieldwork design cannot be inferred from the supplied file alone.</w:t>
      </w:r>
    </w:p>
    <w:p>
      <w:pPr>
        <w:pageBreakBefore w:val="0"/>
      </w:pPr>
      <w:r>
        <w:t>Neither numerical predominance nor a vivid statement determines how much interpretive weight an account should receive. A less frequent response may identify a qualification omitted by the larger category, while repeated statements may reflect limitations of the transcription. The integration must therefore consider frequency alongside content and provenance. It preserves an explicit distinction between the number of records assigned a code and the depth of explanation available within those records. Detailed coding and counting rules are set out in the analysis section.</w:t>
      </w:r>
    </w:p>
    <w:p>
      <w:bookmarkStart w:id="120" w:name="m120"/>
      <w:pPr>
        <w:pStyle w:val="Heading3"/>
        <w:pageBreakBefore w:val="0"/>
      </w:pPr>
      <w:r>
        <w:t>3.2.4 Boundaries of the design rationale</w:t>
      </w:r>
      <w:bookmarkEnd w:id="120"/>
    </w:p>
    <w:p>
      <w:pPr>
        <w:pageBreakBefore w:val="0"/>
      </w:pPr>
      <w:r>
        <w:t>The design supports a distinction between what respondents report and what might be investigated subsequently. It can identify a suggested practice and examine the reasoning attached to it. It cannot determine whether that practice would improve experience if implemented. Recommendations in Chapter 7 therefore identify options and evaluation questions. Their practical relevance follows from their connection to the findings, while their effectiveness remains an empirical matter for future assessment.</w:t>
      </w:r>
    </w:p>
    <w:p>
      <w:pPr>
        <w:pageBreakBefore w:val="0"/>
      </w:pPr>
      <w:r>
        <w:t>The revised methodological account also separates explanation of completed work from proposed expansion. Existing summaries and coding are reported as completed procedures where an analysis record supports them. Any additional comparisons undertaken during revision must be calculated, documented and interpreted before being incorporated as findings. Describing a useful analytical possibility is not evidence that the procedure has already been carried out.</w:t>
      </w:r>
    </w:p>
    <w:p>
      <w:bookmarkStart w:id="121" w:name="m121"/>
      <w:pPr>
        <w:pStyle w:val="Heading2"/>
        <w:pageBreakBefore w:val="0"/>
      </w:pPr>
      <w:r>
        <w:t>3.3 Sampling Strategy and Sample Size</w:t>
      </w:r>
      <w:bookmarkEnd w:id="121"/>
    </w:p>
    <w:p>
      <w:bookmarkStart w:id="122" w:name="m122"/>
      <w:pPr>
        <w:pStyle w:val="Heading3"/>
        <w:pageBreakBefore w:val="0"/>
      </w:pPr>
      <w:r>
        <w:t>3.3.1 Intended population and available records</w:t>
      </w:r>
      <w:bookmarkEnd w:id="122"/>
    </w:p>
    <w:p>
      <w:pPr>
        <w:pageBreakBefore w:val="0"/>
      </w:pPr>
      <w:r>
        <w:t>The intended substantive setting is Christian churches in the United States. The supplied transcription does not independently verify respondents’ residence, church location or geographic eligibility. Accordingly, the intended population and the available analytical sample must remain distinct. Denominational labels cannot supply missing geographic verification. Conclusions describe the records examined and should not be expressed as estimates of the prevalence of a view or practice across United States churches.</w:t>
      </w:r>
    </w:p>
    <w:p>
      <w:pPr>
        <w:pageBreakBefore w:val="0"/>
      </w:pPr>
      <w:r>
        <w:t>The analysis comprises 100 congregant records identified as C001–C100 and 140 staff or volunteer records identified as S001–S140. These identifiers permit traceability within the supplied material. They do not independently verify original identities or establish that no person completed both questionnaires. The combined total of 240 therefore refers to records, rather than a confirmed number of unique participants. The two groups remain separate in descriptive reporting.</w:t>
      </w:r>
    </w:p>
    <w:p>
      <w:bookmarkStart w:id="123" w:name="m123"/>
      <w:pPr>
        <w:pStyle w:val="Heading3"/>
        <w:pageBreakBefore w:val="0"/>
      </w:pPr>
      <w:r>
        <w:t>3.3.2 Reconciliation of earlier sample claims</w:t>
      </w:r>
      <w:bookmarkEnd w:id="123"/>
    </w:p>
    <w:p>
      <w:pPr>
        <w:pageBreakBefore w:val="0"/>
      </w:pPr>
      <w:r>
        <w:t>The earlier dissertation referred to 310 congregants and approximately 450 participants overall. The available transcription supports 100 congregant records and 140 staff or volunteer records. The difference of 210 congregant records remains unresolved. There is no documented basis for classifying that difference as withdrawals, ineligible cases, nonresponses or exclusions made during analysis. The revised study consequently does not invent a participant-flow account to reconcile the earlier and current totals.</w:t>
      </w:r>
    </w:p>
    <w:p>
      <w:pPr>
        <w:pageBreakBefore w:val="0"/>
      </w:pPr>
      <w:r>
        <w:t>An earlier claim concerning 30 participating churches is also unverified by the available records. Without church identifiers, the study cannot establish how respondents were distributed across organisations. It therefore makes no claim about a fixed number of staff per church or balanced organisational participation. These omissions matter because several respondents could potentially describe the same church; treating every record as a separate organisation would misstate the unit represented by the data.</w:t>
      </w:r>
    </w:p>
    <w:p>
      <w:bookmarkStart w:id="124" w:name="m124"/>
      <w:pPr>
        <w:pStyle w:val="Heading3"/>
        <w:pageBreakBefore w:val="0"/>
      </w:pPr>
      <w:r>
        <w:t>3.3.3 Classification of the sampling procedure</w:t>
      </w:r>
      <w:bookmarkEnd w:id="124"/>
    </w:p>
    <w:p>
      <w:pPr>
        <w:pageBreakBefore w:val="0"/>
      </w:pPr>
      <w:r>
        <w:t>Recruitment channels, eligibility screening, invitation totals and selection probabilities are not documented in the available material. The sample therefore cannot be described as verified stratified random sampling. It would also be inappropriate to substitute a definite convenience or purposive sampling label simply because random selection cannot be confirmed. Those labels describe actual recruitment procedures, which require evidence. The defensible account identifies the available corpus and states that the original selection process remains unverified.</w:t>
      </w:r>
    </w:p>
    <w:p>
      <w:pPr>
        <w:pageBreakBefore w:val="0"/>
      </w:pPr>
      <w:r>
        <w:t>This uncertainty restricts assessment of selection and nonresponse. Without information about those invited, the study cannot calculate a response rate or compare respondents with nonrespondents. Without selection probabilities or an appropriate sampling frame, it cannot construct justified population weights. The absence of that information does not prevent accurate calculation within the records, but it limits the population to which those calculations can be extended.</w:t>
      </w:r>
    </w:p>
    <w:p>
      <w:bookmarkStart w:id="125" w:name="m125"/>
      <w:pPr>
        <w:pStyle w:val="Heading3"/>
        <w:pageBreakBefore w:val="0"/>
      </w:pPr>
      <w:r>
        <w:t>3.3.4 Sample size and the unit of analysis</w:t>
      </w:r>
      <w:bookmarkEnd w:id="125"/>
    </w:p>
    <w:p>
      <w:pPr>
        <w:pageBreakBefore w:val="0"/>
      </w:pPr>
      <w:r>
        <w:t>The sample size reflects the records available for this revision, rather than a newly demonstrated power calculation or a documented recruitment target achieved. The respondent record is the unit of analysis. Item-specific denominators may be smaller when conflicting selections are excluded from an affected question. Those exclusions concern particular answers and do not automatically remove the record from every analysis. Detailed preparation rules are reported later in this chapter.</w:t>
      </w:r>
    </w:p>
    <w:p>
      <w:pPr>
        <w:pageBreakBefore w:val="0"/>
      </w:pPr>
      <w:r>
        <w:t>The congregant records include 55 regular attenders, 25 former attenders and 20 people describing leadership or volunteer involvement. These categories supply limited context for interpreting the questionnaire. They do not establish verified formal membership, the timing of departure or the reasons for former attendance. Any group comparison must preserve those boundaries and disclose its actual cell counts. The presence of several categories does not itself demonstrate adequate coverage of the intended population.</w:t>
      </w:r>
    </w:p>
    <w:p>
      <w:pPr>
        <w:pageBreakBefore w:val="0"/>
      </w:pPr>
      <w:r>
        <w:t>Completeness of the supplied tables is a separate issue from completeness of the original collection. An absence of empty cells in the available transcription would not show that all eligible participants were represented or that every original answer was transcribed without alteration. Likewise, sequential identifiers support organisation of the analytical material but do not authenticate the recruitment history. These distinctions prevent checks on the internal structure of a file from being reported as verification of the sample’s origin or coverage.</w:t>
      </w:r>
    </w:p>
    <w:p>
      <w:bookmarkStart w:id="126" w:name="m126"/>
      <w:pPr>
        <w:pStyle w:val="Heading3"/>
        <w:pageBreakBefore w:val="0"/>
      </w:pPr>
      <w:r>
        <w:t>3.3.5 Implications for interpretation</w:t>
      </w:r>
      <w:bookmarkEnd w:id="126"/>
    </w:p>
    <w:p>
      <w:pPr>
        <w:pageBreakBefore w:val="0"/>
      </w:pPr>
      <w:r>
        <w:t>Possible overlap between groups, unknown clustering within churches and unverified selection all restrict inference. Increasing the detail of the analysis cannot resolve those missing links. The immediate methodological contribution is to make the scope of the evidence inspectable: which records are included, what each denominator represents and which earlier claims remain unsubstantiated. Subsequent sections build on that foundation by explaining the recorded measures and the procedures used to prepare and analyse them.</w:t>
      </w:r>
    </w:p>
    <w:p>
      <w:bookmarkStart w:id="127" w:name="m127"/>
      <w:pPr>
        <w:pStyle w:val="Heading2"/>
        <w:pageBreakBefore w:val="0"/>
      </w:pPr>
      <w:r>
        <w:t>3.4 Data Collection and Measurement</w:t>
      </w:r>
      <w:bookmarkEnd w:id="127"/>
    </w:p>
    <w:p>
      <w:pPr>
        <w:pageBreakBefore w:val="0"/>
      </w:pPr>
      <w:r>
        <w:t>Measurement in this study is defined by the information preserved in the supplied questionnaire transcription. The analytical task was to identify what each field represents, distinguish different response formats and establish which interpretations the available records can support. The following account separates the reported origin of the questionnaires from procedures documented during the reconstruction of the analysis. This distinction makes the methodology assessable without presenting an incomplete collection history as an independently verified research protocol.</w:t>
      </w:r>
    </w:p>
    <w:p>
      <w:bookmarkStart w:id="128" w:name="m128"/>
      <w:pPr>
        <w:pStyle w:val="Heading3"/>
        <w:pageBreakBefore w:val="0"/>
      </w:pPr>
      <w:r>
        <w:t>3.4.1 Source records and the collection account</w:t>
      </w:r>
      <w:bookmarkEnd w:id="128"/>
    </w:p>
    <w:p>
      <w:pPr>
        <w:pageBreakBefore w:val="0"/>
      </w:pPr>
      <w:r>
        <w:t>The researcher confirmed that Helgard_Survey_Raw_Responses.docx was transcribed from actual completed questionnaires and authorised its use as the empirical source. The analysis therefore used this file as the supplied transcription of questionnaire responses. A previously supplied working document was explicitly withdrawn by the researcher as incorrect and was excluded from the empirical evidence. Results were reconstructed from the replacement records rather than reconciled by selecting convenient figures from both documents.</w:t>
      </w:r>
    </w:p>
    <w:p>
      <w:pPr>
        <w:pageBreakBefore w:val="0"/>
      </w:pPr>
      <w:r>
        <w:t>The transcription contains 100 congregant records and 140 staff or volunteer records. Its introductory wording also refers to reformatting from survey analysis. That wording requires clarification in the provenance account because transcription of original answers and reconstruction from an analytical summary are different processes. The researcher’s confirmation establishes the stated origin of the material; it does not substitute for comparison with the completed source questionnaires. The present analysis cannot certify that every supplied phrase reproduces the respondent’s original wording.</w:t>
      </w:r>
    </w:p>
    <w:p>
      <w:pPr>
        <w:pageBreakBefore w:val="0"/>
      </w:pPr>
      <w:r>
        <w:t>The final administered instruments, complete instructions and routing rules were unavailable for independent checking during this revision. Collection dates, delivery mode, responsible collectors and transcription checks remain unconfirmed. Consequently, the dissertation does not retrospectively claim an online platform, supervised administration, a specified response window or a verified checking procedure. Field labels describe the measures available for analysis. They are not presented as a certified reproduction of the complete questions seen by respondents.</w:t>
      </w:r>
    </w:p>
    <w:p>
      <w:bookmarkStart w:id="129" w:name="m129"/>
      <w:pPr>
        <w:pStyle w:val="Heading3"/>
        <w:pageBreakBefore w:val="0"/>
      </w:pPr>
      <w:r>
        <w:t>3.4.2 Structure of the congregant questionnaire</w:t>
      </w:r>
      <w:bookmarkEnd w:id="129"/>
    </w:p>
    <w:p>
      <w:pPr>
        <w:pageBreakBefore w:val="0"/>
      </w:pPr>
      <w:r>
        <w:t>Each congregant record contains 19 fields. Two identify church involvement and denominational background. These descriptors support a limited account of the composition of the available records. Church involvement distinguishes recorded positions such as regular attendance, former attendance and leadership or volunteering. It does not provide attendance frequency, length of membership or the circumstances of leaving. Denomination identifies a reported category; it supplies neither an individual church identifier nor a sufficient description of local organisational arrangements.</w:t>
      </w:r>
    </w:p>
    <w:p>
      <w:pPr>
        <w:pageBreakBefore w:val="0"/>
      </w:pPr>
      <w:r>
        <w:t>Six fields record importance on a scale coded from one to five: a warm and friendly welcome, clear and timely communication, feeling valued and recognised, professionalism of staff or volunteers, responsiveness to needs or feedback, and accessibility of parking or facilities. The analysis treats these as separate service priorities. Their common response format permits consistent descriptive presentation, but it does not establish that they constitute a single underlying construct. No overall service-quality score was created by adding them together.</w:t>
      </w:r>
    </w:p>
    <w:p>
      <w:pPr>
        <w:pageBreakBefore w:val="0"/>
      </w:pPr>
      <w:r>
        <w:t>Eight further closed fields address comparison with businesses, support for business-like service practices, whether the church could improve, perceived responsiveness, access to leadership or pastoral support, emotional engagement, digital engagement effectiveness, and satisfaction with feedback channels. Three text fields record reasons for adoption support, suggested improvement and a suggested service practice. These written entries provide explanations and proposals associated with the same congregant records; they are not a separate interview dataset.</w:t>
      </w:r>
    </w:p>
    <w:p>
      <w:bookmarkStart w:id="130" w:name="m130"/>
      <w:pPr>
        <w:pStyle w:val="Heading3"/>
        <w:pageBreakBefore w:val="0"/>
      </w:pPr>
      <w:r>
        <w:t>3.4.3 Importance and experience as different measures</w:t>
      </w:r>
      <w:bookmarkEnd w:id="130"/>
    </w:p>
    <w:p>
      <w:pPr>
        <w:pageBreakBefore w:val="0"/>
      </w:pPr>
      <w:r>
        <w:t>The distinction between importance and experience governs interpretation throughout the dissertation. An importance rating indicates the priority assigned to an attribute. A favourable experience response indicates a reported judgement about a particular aspect of church life. High importance attached to welcome does not demonstrate that respondents received a warm welcome, nor does it establish dissatisfaction when a separate performance measure is absent. The six importance items therefore describe priorities rather than achievement against those priorities.</w:t>
      </w:r>
    </w:p>
    <w:p>
      <w:pPr>
        <w:pageBreakBefore w:val="0"/>
      </w:pPr>
      <w:r>
        <w:t>Some field labels refer to related ideas without measuring identical constructs. Responsiveness appears both among the importance attributes and as a separate experience question. Nevertheless, the available labels and response formats do not establish a matched expectation–performance instrument. Subtracting their numerical codes would impose equivalence that has not been demonstrated. The analysis instead presents the importance distribution and the reported responsiveness distribution separately, then considers their relationship cautiously in the discussion.</w:t>
      </w:r>
    </w:p>
    <w:p>
      <w:pPr>
        <w:pageBreakBefore w:val="0"/>
      </w:pPr>
      <w:r>
        <w:t>Other experience fields also require narrow interpretation. Emotional engagement is the response recorded under that label; it is not an independently validated measure of spiritual growth, belonging or retention. Satisfaction with feedback channels concerns those channels rather than total satisfaction with the church. A response on digital engagement cannot identify platform usage, accessibility barriers or technical competence without corresponding questions. Maintaining these boundaries prevents the conceptual framework from assigning more explanatory content to an item than the questionnaire provides.</w:t>
      </w:r>
    </w:p>
    <w:p>
      <w:bookmarkStart w:id="131" w:name="m131"/>
      <w:pPr>
        <w:pStyle w:val="Heading3"/>
        <w:pageBreakBefore w:val="0"/>
      </w:pPr>
      <w:r>
        <w:t>3.4.4 Structure of the staff and volunteer questionnaire</w:t>
      </w:r>
      <w:bookmarkEnd w:id="131"/>
    </w:p>
    <w:p>
      <w:pPr>
        <w:pageBreakBefore w:val="0"/>
      </w:pPr>
      <w:r>
        <w:t>Each staff or volunteer record contains nine fields: denomination, feedback collection methods, use of business or nonprofit tools, compatibility with church mission or theology, concerns about business-style practices, leadership responses to improvement proposals, perceived risk to spiritual authenticity, monitoring methods, and barriers to improvement. These fields describe reported organisational practices and judgements. They do not constitute an organisational audit and cannot confirm that a reported procedure operated consistently or produced a particular outcome.</w:t>
      </w:r>
    </w:p>
    <w:p>
      <w:pPr>
        <w:pageBreakBefore w:val="0"/>
      </w:pPr>
      <w:r>
        <w:t>Four fields permit multiple recorded selections: feedback methods, concerns, monitoring methods and barriers. The remaining fields retain their recorded categorical or ordered response labels. Tool use has four categories, including active use of multiple tools, use of one or two, consideration of adoption and no plans. Compatibility, leadership response and authenticity risk address different judgements. Their categories cannot be treated as interchangeable merely because several questions contain five response levels.</w:t>
      </w:r>
    </w:p>
    <w:p>
      <w:pPr>
        <w:pageBreakBefore w:val="0"/>
      </w:pPr>
      <w:r>
        <w:t>The supplied staff records contain no separate collection of narrative explanations. An unexplained selection of “Other” indicates an additional category whose content is unknown. It cannot support an invented example or qualitative theme. Similarly, reporting attendance tracking as a monitoring method does not supply attendance totals or changes over time. The questionnaire identifies what respondents say is monitored, while the effectiveness and accuracy of that monitoring remain outside the observed evidence.</w:t>
      </w:r>
    </w:p>
    <w:p>
      <w:bookmarkStart w:id="132" w:name="m132"/>
      <w:pPr>
        <w:pStyle w:val="Heading3"/>
        <w:pageBreakBefore w:val="0"/>
      </w:pPr>
      <w:r>
        <w:t>3.4.5 Operationalisation of the conceptual framework</w:t>
      </w:r>
      <w:bookmarkEnd w:id="132"/>
    </w:p>
    <w:p>
      <w:pPr>
        <w:pageBreakBefore w:val="0"/>
      </w:pPr>
      <w:r>
        <w:t>Operationalisation connects the dissertation’s concepts to observable fields while specifying the limits of that connection. Service priorities are represented by the six congregant importance items. Selected experiences are represented by the separate responsiveness, access, emotional engagement, digital engagement and feedback-satisfaction fields. These measures address different aspects of the research problem and remain distinct in the results. The broader language of service quality provides an organising perspective rather than a claim that a validated service-quality instrument was administered.</w:t>
      </w:r>
    </w:p>
    <w:p>
      <w:pPr>
        <w:pageBreakBefore w:val="0"/>
      </w:pPr>
      <w:r>
        <w:t>Acceptance of business-like practices is represented directly by the congregant adoption response and its associated written reason. Staff compatibility and authenticity-risk responses provide a separate perspective on perceived fit with religious purpose. These measures make it possible to investigate qualified acceptance, but they do not directly measure every theological consideration involved. The discussion uses “conditional usefulness” to interpret circumstances in which practical benefits are acknowledged alongside reservations. It is an interpretation of the combined evidence, not a questionnaire scale or a tested causal mechanism.</w:t>
      </w:r>
    </w:p>
    <w:p>
      <w:pPr>
        <w:pageBreakBefore w:val="0"/>
      </w:pPr>
      <w:r>
        <w:t>Organisational conditions are represented by reported tools, feedback arrangements, leadership responses, monitoring practices and barriers. These items help address the research questions about current practices and constraints on improvement. Congregants’ written suggestions inform proposed improvements. Neither questionnaire tests an intervention or measures its subsequent impact. Recommendations therefore draw on reported priorities, experiences and constraints, with effectiveness remaining a matter for future evaluation rather than an outcome established by this study.</w:t>
      </w:r>
    </w:p>
    <w:p>
      <w:pPr>
        <w:pageBreakBefore w:val="0"/>
      </w:pPr>
      <w:r>
        <w:t>Comparison with businesses is operationalised as a congregant judgement, not an independently observed comparison between churches and commercial organisations. Hospitality and nonprofit research supplies a literature-based point of comparison. There is no matched hospitality sample in the dataset. Likewise, staff and congregant records cannot be linked to establish agreement within a particular church. The framework connects these perspectives at the level of interpretation while preserving the separate evidence behind each claim.</w:t>
      </w:r>
    </w:p>
    <w:p>
      <w:bookmarkStart w:id="133" w:name="m133"/>
      <w:pPr>
        <w:pStyle w:val="Heading2"/>
        <w:pageBreakBefore w:val="0"/>
      </w:pPr>
      <w:r>
        <w:t>3.5 Data Preparation and Analysis</w:t>
      </w:r>
      <w:bookmarkEnd w:id="133"/>
    </w:p>
    <w:p>
      <w:bookmarkStart w:id="134" w:name="m134"/>
      <w:pPr>
        <w:pStyle w:val="Heading3"/>
        <w:pageBreakBefore w:val="0"/>
      </w:pPr>
      <w:r>
        <w:t>3.5.1 Preservation of the source and analytical records</w:t>
      </w:r>
      <w:bookmarkEnd w:id="134"/>
    </w:p>
    <w:p>
      <w:pPr>
        <w:pageBreakBefore w:val="0"/>
      </w:pPr>
      <w:r>
        <w:t>Preparation retained the supplied transcription unchanged and organised congregant and staff responses as separate analytical record sets. Identifiers allowed numerical summaries and qualitative statements to be traced to their source positions. These identifiers function as analytical references; they do not independently establish participant identity or eligibility. Appendix A documents quantitative exclusions and ambiguity flags, while Appendix B preserves the qualitative codebook and statement-to-record mapping. Together, these records make the reconstruction open to inspection.</w:t>
      </w:r>
    </w:p>
    <w:p>
      <w:pPr>
        <w:pageBreakBefore w:val="0"/>
      </w:pPr>
      <w:r>
        <w:t>Original response strings were retained alongside their analytical classification. This matters because a category assigned during analysis must remain distinguishable from wording present in the supplied material. Identical written answers were not automatically deleted as duplicates. Repetition may have several explanations, including genuinely similar answers or features of transcription, and the available records do not resolve those possibilities. Removing records solely because their text matches would introduce an unsupported judgement about which responses were authentic.</w:t>
      </w:r>
    </w:p>
    <w:p>
      <w:pPr>
        <w:pageBreakBefore w:val="0"/>
      </w:pPr>
      <w:r>
        <w:t>Inspection found no empty response cells within the 100 congregant and 140 staff tables. Completeness at the cell level does not establish completeness of meaning. “None”, “Other”, a negative answer and an unresolved combination of selections each require different treatment. No missing information was imputed from other respondents, and no substantive meaning was assigned to unexplained categories. The cleaning process addressed identifiable problems in the supplied records without claiming to recover information that had not been preserved.</w:t>
      </w:r>
    </w:p>
    <w:p>
      <w:bookmarkStart w:id="135" w:name="m135"/>
      <w:pPr>
        <w:pStyle w:val="Heading3"/>
        <w:pageBreakBefore w:val="0"/>
      </w:pPr>
      <w:r>
        <w:t>3.5.2 Classification of responses and category boundaries</w:t>
      </w:r>
      <w:bookmarkEnd w:id="135"/>
    </w:p>
    <w:p>
      <w:pPr>
        <w:pageBreakBefore w:val="0"/>
      </w:pPr>
      <w:r>
        <w:t>Single-response categories were analysed using their recorded labels. Where a summary combines adjacent favourable or unfavourable categories, the grouping represents an explicit reporting choice rather than a change to the source response. Detailed distributions remain necessary because a combined percentage can conceal differences in intensity. For example, strong and qualified support may contribute to a summary of support while expressing different levels of acceptance relevant to the written reasons.</w:t>
      </w:r>
    </w:p>
    <w:p>
      <w:pPr>
        <w:pageBreakBefore w:val="0"/>
      </w:pPr>
      <w:r>
        <w:t>Multiple-response fields were separated into their recorded options, with each option counted at most once within a record. An option count consequently represents records selecting that option, not the number of times words appear in a response. Percentages use eligible records for the question as the denominator. They are not shares of the total number of selections. A record can contribute to several options, so summed percentages may legitimately exceed 100 per cent.</w:t>
      </w:r>
    </w:p>
    <w:p>
      <w:pPr>
        <w:pageBreakBefore w:val="0"/>
      </w:pPr>
      <w:r>
        <w:t>Category boundaries also preserve distinctions between no activity, no formal procedure and unspecified activity. A respondent may receive verbal feedback without a formal feedback system. Treating these descriptions as necessarily contradictory would discard a plausible account of informal practice. Conversely, a selection explicitly denying an activity alongside specific examples of that activity creates an unresolved inconsistency. The cleaning rules therefore distinguish ambiguity that permits a coherent reading from combinations that prevent a determinate item-level answer.</w:t>
      </w:r>
    </w:p>
    <w:p>
      <w:bookmarkStart w:id="136" w:name="m136"/>
      <w:pPr>
        <w:pStyle w:val="Heading3"/>
        <w:pageBreakBefore w:val="0"/>
      </w:pPr>
      <w:r>
        <w:t>3.5.3 Resolution of conflicting staff selections</w:t>
      </w:r>
      <w:bookmarkEnd w:id="136"/>
    </w:p>
    <w:p>
      <w:pPr>
        <w:pageBreakBefore w:val="0"/>
      </w:pPr>
      <w:r>
        <w:t>Twenty-four staff records combined “No significant concerns” with one or more specific concerns. Their intended answer cannot be established from the transcription. The primary concerns analysis therefore classified these combinations as indeterminate and excluded them from that item’s denominator, leaving 116 valid records. This is a conservative analytical rule rather than proof that the respondents misunderstood the question. They may have distinguished the existence of concerns from their significance, but the available instructions do not establish that interpretation.</w:t>
      </w:r>
    </w:p>
    <w:p>
      <w:pPr>
        <w:pageBreakBefore w:val="0"/>
      </w:pPr>
      <w:r>
        <w:t>Twenty-three staff records combined “We do not currently measure this” with specific monitoring methods. These combinations were also classified as indeterminate for the primary analysis, leaving 117 valid monitoring records. No answer was selected on a respondent’s behalf, and no specific method was assumed to be more credible than the negative selection. Exclusion was confined to the affected item. The same records remained available for other questions that contained usable responses.</w:t>
      </w:r>
    </w:p>
    <w:p>
      <w:pPr>
        <w:pageBreakBefore w:val="0"/>
      </w:pPr>
      <w:r>
        <w:t>The two exclusion sets overlap in three records, producing 44 distinct affected staff records rather than 47. This distinction is necessary when describing the extent of the problem. The results also retain the uncorrected selections from all 140 staff records for comparison with the primary tables. This makes the consequence of the cleaning rule visible. It does not transform the uncorrected figures into an alternative verified account of what the respondents intended.</w:t>
      </w:r>
    </w:p>
    <w:p>
      <w:pPr>
        <w:pageBreakBefore w:val="0"/>
      </w:pPr>
      <w:r>
        <w:t>Eleven feedback-method records containing “No formal process” alongside recorded methods were retained with an ambiguity flag. Informal verbal or pastoral feedback can coexist with an absence of formal arrangements, so these entries did not receive the same automatic exclusion rule. The feedback denominator remained 140. This decision preserves a plausible distinction in organisational practice while acknowledging that the full questionnaire instructions would be needed to resolve the ambiguity conclusively.</w:t>
      </w:r>
    </w:p>
    <w:p>
      <w:pPr>
        <w:pageBreakBefore w:val="0"/>
      </w:pPr>
      <w:r>
        <w:t>Item-specific exclusion changes the population described by a percentage. A concerns percentage based on 116 determinate records should therefore be read as a description of those records, not silently restated as a percentage of all 140 staff respondents. Exclusion also cannot guarantee freedom from bias: respondents giving inconsistent combinations may differ from those giving determinate answers. The parallel presentation of recorded selections exposes this limitation but cannot resolve the unknown reasons for inconsistency. Comparisons across staff questions accordingly require attention to both their substantive wording and their denominators. A larger percentage on one question does not automatically indicate a more widespread issue when the eligible record sets differ. This reporting discipline keeps cleaning decisions visible within the interpretation of the findings.</w:t>
      </w:r>
    </w:p>
    <w:p>
      <w:bookmarkStart w:id="137" w:name="m137"/>
      <w:pPr>
        <w:pStyle w:val="Heading3"/>
        <w:pageBreakBefore w:val="0"/>
      </w:pPr>
      <w:r>
        <w:t>3.5.4 Preparation of the written responses</w:t>
      </w:r>
      <w:bookmarkEnd w:id="137"/>
    </w:p>
    <w:p>
      <w:pPr>
        <w:pageBreakBefore w:val="0"/>
      </w:pPr>
      <w:r>
        <w:t>The three congregant text fields contain 300 nonempty entries. Twenty-two entries are explicit non-suggestions in the improvement field, leaving 278 substantive entries across the three questions. These totals count entries, not separate participants. One congregant record can contribute a reason and two suggestions. The three fields were therefore retained separately so that different prompts and denominators did not disappear within a pooled count of apparently independent responses.</w:t>
      </w:r>
    </w:p>
    <w:p>
      <w:pPr>
        <w:pageBreakBefore w:val="0"/>
      </w:pPr>
      <w:r>
        <w:t>The transcription contains 51 distinct statements across the fields: 20 reasons, 16 improvement responses and 15 final practice suggestions. A statement inventory linked each distinct wording to the records containing it. This supported consistent coding and an auditable connection between themes and records. Repeated wording was retained as supplied, but repetition was not treated as independent confirmation that the statement originated verbatim from several people. The qualitative analysis concerns the available transcription, subject to that provenance limitation.</w:t>
      </w:r>
    </w:p>
    <w:p>
      <w:bookmarkStart w:id="138" w:name="m138"/>
      <w:pPr>
        <w:pStyle w:val="Heading3"/>
        <w:pageBreakBefore w:val="0"/>
      </w:pPr>
      <w:r>
        <w:t>3.5.5 Descriptive analysis and reporting denominators</w:t>
      </w:r>
      <w:bookmarkEnd w:id="138"/>
    </w:p>
    <w:p>
      <w:pPr>
        <w:pageBreakBefore w:val="0"/>
      </w:pPr>
      <w:r>
        <w:t>Categorical results were prepared as counts and percentages with the relevant denominator stated. The six importance items were summarised through category distributions, means, medians and sample standard deviations of their one-to-five coding. These numerical summaries describe the recorded priorities; they do not establish equal psychological distances between response categories. Distributions remain central because similar means can conceal different concentrations of agreement or disagreement.</w:t>
      </w:r>
    </w:p>
    <w:p>
      <w:pPr>
        <w:pageBreakBefore w:val="0"/>
      </w:pPr>
      <w:r>
        <w:t>The analysis did not calculate a composite service score, national confidence intervals, significance tests or causal estimates. Unknown recruitment probabilities, possible clustering and limited contextual information constrain what statistical comparisons could establish. Preparation therefore prioritised transparent descriptive results and traceability. The next methodological section develops the coding and integration procedures, followed by the treatment of quality, reflexivity and ethics, so that the interpretation of these records remains consistent with their evidential limits.</w:t>
      </w:r>
    </w:p>
    <w:p>
      <w:bookmarkStart w:id="139" w:name="m139"/>
      <w:pPr>
        <w:pStyle w:val="Heading3"/>
        <w:pageBreakBefore w:val="0"/>
      </w:pPr>
      <w:r>
        <w:t>3.5.6 Purpose and scope of qualitative coding</w:t>
      </w:r>
      <w:bookmarkEnd w:id="139"/>
    </w:p>
    <w:p>
      <w:pPr>
        <w:pageBreakBefore w:val="0"/>
      </w:pPr>
      <w:r>
        <w:t>The qualitative component examines how congregant records explain adoption attitudes and identify possible improvements. Its purpose is to preserve distinctions that closed categories cannot express, including the coexistence of practical approval and reservations about religious purpose. The available material consists of brief written entries in three questionnaire fields. The procedure was therefore designed around explicit content that can be traced to the supplied wording. It does not claim the contextual depth of interviews, observation or extended accounts of congregational experience.</w:t>
      </w:r>
    </w:p>
    <w:p>
      <w:pPr>
        <w:pageBreakBefore w:val="0"/>
      </w:pPr>
      <w:r>
        <w:t>Braun and Clarke (2006) provide a general methodological orientation to the examination of patterned meaning. The procedure applied here is described more specifically as descriptive thematic content analysis of short survey responses. This designation reflects the use of defined categories, statement inventories and record-level counts. It does not imply that every stage of a separate reflexive thematic study was undertaken. The methodological claim rests on the documented coding operation rather than on adopting a familiar label for procedures that cannot be demonstrated.</w:t>
      </w:r>
    </w:p>
    <w:p>
      <w:pPr>
        <w:pageBreakBefore w:val="0"/>
      </w:pPr>
      <w:r>
        <w:t>The coding questions were directed by the dissertation’s research questions: what benefits were identified, what conditions qualified acceptance, what concerns were expressed and which improvements were proposed? The categories also responded to the supplied statements. The analysis consequently cannot be described as wholly independent of the conceptual framework. Equally, the presence of a concept in the literature was insufficient grounds for coding it when the text did not express it. This balance kept theoretical interest connected to observable content.</w:t>
      </w:r>
    </w:p>
    <w:p>
      <w:bookmarkStart w:id="140" w:name="m140"/>
      <w:pPr>
        <w:pStyle w:val="Heading3"/>
        <w:pageBreakBefore w:val="0"/>
      </w:pPr>
      <w:r>
        <w:t>3.5.7 Units of coding and the statement inventory</w:t>
      </w:r>
      <w:bookmarkEnd w:id="140"/>
    </w:p>
    <w:p>
      <w:pPr>
        <w:pageBreakBefore w:val="0"/>
      </w:pPr>
      <w:r>
        <w:t>The coding unit was a distinct statement within a particular questionnaire field. The reporting unit was a congregant record associated with a code within that field. This distinction allowed repeated wording to be coded consistently without converting each occurrence into a new analytical interpretation. The inventory contains 20 distinct adoption reasons, 16 improvement responses and 15 final practice suggestions. The statement labels identify entries in the audit; they are not additional participants or interview numbers.</w:t>
      </w:r>
    </w:p>
    <w:p>
      <w:pPr>
        <w:pageBreakBefore w:val="0"/>
      </w:pPr>
      <w:r>
        <w:t>Each statement retained its supplied wording and a mapping to the relevant congregant identifiers. Assigned codes were applied to those mapped records. Appendix B therefore allows the reader to move from a reported category to its constituent statements and then to the source records. The mapping supports checking of inclusion and counting. It cannot determine whether repeated wording resulted from independent respondent expression, transcription conventions or another undocumented feature of preparation. Frequency is consequently interpreted as frequency within the supplied records.</w:t>
      </w:r>
    </w:p>
    <w:p>
      <w:pPr>
        <w:pageBreakBefore w:val="0"/>
      </w:pPr>
      <w:r>
        <w:t>The three questions were kept separate throughout coding. A reason for supporting a practice answers a different question from a suggestion for improving service. Combining them into a single list would conceal their different functions and invite double counting. Within each field, a record contributes at most once to a particular code, even if several phrases express that idea. A record may contribute to multiple codes where the supplied statement contains more than one relevant meaning.</w:t>
      </w:r>
    </w:p>
    <w:p>
      <w:bookmarkStart w:id="141" w:name="m141"/>
      <w:pPr>
        <w:pStyle w:val="Heading3"/>
        <w:pageBreakBefore w:val="0"/>
      </w:pPr>
      <w:r>
        <w:t>3.5.8 Coding adoption reasons and qualifications</w:t>
      </w:r>
      <w:bookmarkEnd w:id="141"/>
    </w:p>
    <w:p>
      <w:pPr>
        <w:pageBreakBefore w:val="0"/>
      </w:pPr>
      <w:r>
        <w:t>Five categories organise the adoption reasons. Code A represents explicit conditions or selectivity in adoption. Code B identifies stated practical value. Code M identifies explicit protection of spiritual purpose. Code R captures concerns about commercial models or language, including transactional framing. Code E identifies a specific preference for pastoral rather than business approaches. These categories distinguish how an answer is qualified from the particular benefit or concern it names, making overlapping coding analytically necessary in some statements.</w:t>
      </w:r>
    </w:p>
    <w:p>
      <w:pPr>
        <w:pageBreakBefore w:val="0"/>
      </w:pPr>
      <w:r>
        <w:t>The decision rules restrict inference. General concern does not automatically receive the conditional-adoption code; the wording must express a condition or selective approach. References to church activity do not automatically receive the spiritual-purpose code. Ministry, mission, faith, spirituality or spiritual purpose must be explicit. Similarly, a statement that an idea might work selectively does not necessarily identify a practical service benefit. These boundaries prevent the analyst from counting assumptions about religious respondents as if they were expressed answers.</w:t>
      </w:r>
    </w:p>
    <w:p>
      <w:pPr>
        <w:pageBreakBefore w:val="0"/>
      </w:pPr>
      <w:r>
        <w:t>For example, statement R01 in the transcription reads: “There is value in structure, as long as it supports rather than replaces ministry.” It receives B for practical value, A for the condition and M for protection of ministry. The example demonstrates the application of the codebook to supplied text; it is not presented as independently verified verbatim speech. Assigning only a favourable or unfavourable label would lose the relationship between organisational usefulness and the limit placed on its application.</w:t>
      </w:r>
    </w:p>
    <w:p>
      <w:pPr>
        <w:pageBreakBefore w:val="0"/>
      </w:pPr>
      <w:r>
        <w:t>Statement R11, expressing that an idea could work if applied carefully and selectively, receives A only. It does not specify the substantive benefit required for B. Another statement combines support for training and responsiveness with concern about reducing faith to metrics; its codes preserve both benefit and reservation. These examples show why the categories are not mutually exclusive positions on a single scale. They identify elements of reasoning that can occur together within one recorded answer.</w:t>
      </w:r>
    </w:p>
    <w:p>
      <w:bookmarkStart w:id="142" w:name="m142"/>
      <w:pPr>
        <w:pStyle w:val="Heading3"/>
        <w:pageBreakBefore w:val="0"/>
      </w:pPr>
      <w:r>
        <w:t>3.5.9 Coding improvements and suggested practices</w:t>
      </w:r>
      <w:bookmarkEnd w:id="142"/>
    </w:p>
    <w:p>
      <w:pPr>
        <w:pageBreakBefore w:val="0"/>
      </w:pPr>
      <w:r>
        <w:t>The suggestion codebook distinguishes personal welcome and pastoral connection, listening and acting on feedback, accessibility and linguistic inclusion, volunteer training and coordination, family provision and small-group community, restraint in fundraising appeals, clear information and digital communication, relevant worship, and practical community outreach. The categories preserve different objects of improvement. A request for clearer information, for example, is not automatically interpreted as a request for a new digital platform or for more pastoral contact.</w:t>
      </w:r>
    </w:p>
    <w:p>
      <w:pPr>
        <w:pageBreakBefore w:val="0"/>
      </w:pPr>
      <w:r>
        <w:t>Several statements legitimately cross category boundaries. Training greeters to welcome newcomers combines volunteer development with personal welcome. Digital communication accompanied by online pastoral support combines communication with relational contact. Engaging services and stronger family programmes combine worship and family provision. Multiple coding retains these connections without assuming that one activity is the respondent’s principal concern. Where a statement supplies only one idea, no additional category is inferred merely because an intervention might have several possible benefits.</w:t>
      </w:r>
    </w:p>
    <w:p>
      <w:pPr>
        <w:pageBreakBefore w:val="0"/>
      </w:pPr>
      <w:r>
        <w:t>Feedback coding requires an explicit reference to receiving, discussing or acting on feedback. General service follow-through does not by itself qualify. Fundraising restraint is retained separately because reducing repeated appeals differs substantively from improving communication or volunteer coordination. Keeping a narrowly represented category can be justified by the distinct issue it identifies; frequency alone does not determine whether an idea deserves analytical recognition. Its limited occurrence must nevertheless remain visible when recommendations are developed.</w:t>
      </w:r>
    </w:p>
    <w:p>
      <w:bookmarkStart w:id="143" w:name="m143"/>
      <w:pPr>
        <w:pStyle w:val="Heading3"/>
        <w:pageBreakBefore w:val="0"/>
      </w:pPr>
      <w:r>
        <w:t>3.5.10 Counting themes and preserving contrary material</w:t>
      </w:r>
      <w:bookmarkEnd w:id="143"/>
    </w:p>
    <w:p>
      <w:pPr>
        <w:pageBreakBefore w:val="0"/>
      </w:pPr>
      <w:r>
        <w:t>The 100 reason entries and 100 final practice entries each provide their own denominator. Improvement categories are reported against all 100 congregant records, with 78 substantive improvement suggestions used as a supplementary denominator where stated. The 22 explicit non-suggestions remain part of the record set but receive no substantive improvement code. Their presence cannot establish that those respondents had no concerns, approved every practice or could not identify an improvement under different questioning.</w:t>
      </w:r>
    </w:p>
    <w:p>
      <w:pPr>
        <w:pageBreakBefore w:val="0"/>
      </w:pPr>
      <w:r>
        <w:t>Multiple coding means category percentages can exceed 100 per cent when added together. This is a feature of overlapping content rather than an arithmetic error. It also means that counts across questions cannot be added to estimate the number of distinct people holding a view. A respondent may mention communication in more than one field. The analysis preserves the location of each mention and avoids converting repeated contributions into additional participants.</w:t>
      </w:r>
    </w:p>
    <w:p>
      <w:pPr>
        <w:pageBreakBefore w:val="0"/>
      </w:pPr>
      <w:r>
        <w:t>Contrary and qualified answers remain relevant even when less frequent. Statements rejecting customer language, preferring pastoral approaches or questioning commercial models are not treated as noise around an otherwise favourable majority. They help define the limits of acceptance and prevent the discussion from equating recognition of practical benefits with unrestricted approval. The account does not claim theoretical saturation: the fixed inventory and recurring phrases demonstrate the content available for analysis, not the exhaustion of possible congregant perspectives.</w:t>
      </w:r>
    </w:p>
    <w:p>
      <w:bookmarkStart w:id="144" w:name="m144"/>
      <w:pPr>
        <w:pStyle w:val="Heading3"/>
        <w:pageBreakBefore w:val="0"/>
      </w:pPr>
      <w:r>
        <w:t>3.5.11 Integration within and between the questionnaires</w:t>
      </w:r>
      <w:bookmarkEnd w:id="144"/>
    </w:p>
    <w:p>
      <w:pPr>
        <w:pageBreakBefore w:val="0"/>
      </w:pPr>
      <w:r>
        <w:t>Integration first links congregants’ closed adoption responses with their written reasons using the same record identifiers. This permits examination of whether a code appears among supporting, neutral or opposing records. The existing analysis shows that practical-benefit statements are not confined to support and that commercial concerns also appear within some supportive records. These combinations provide a basis for interpreting qualified acceptance. They do not establish a psychological process or prove that a particular concern caused the closed response.</w:t>
      </w:r>
    </w:p>
    <w:p>
      <w:pPr>
        <w:pageBreakBefore w:val="0"/>
      </w:pPr>
      <w:r>
        <w:t>“Conditional usefulness” summarises the interpretation that some records recognise practical value while qualifying acceptable application. The expression is developed from the relationship between recorded attitudes and reasons. It is not a scale score, a separately observed variable or a validated theory. Its analytical value depends on explaining the evidence more precisely than a simple division between approval and opposition. Any broader theoretical contribution must remain proportionate to the short statements and uncertain transcription history.</w:t>
      </w:r>
    </w:p>
    <w:p>
      <w:pPr>
        <w:pageBreakBefore w:val="0"/>
      </w:pPr>
      <w:r>
        <w:t>Integration between congregant and staff findings operates at a different level. Congregant suggestions about feedback can be considered alongside staff reports of feedback methods, leadership responses and barriers. Such comparison may identify complementary concerns, but the records are unpaired and lack church links. A staff report cannot explain why a particular congregant was dissatisfied. Nor can similarity between the groups be labelled verified agreement within the same organisations. The discussion therefore distinguishes record-linked interpretation from comparison of separate distributions.</w:t>
      </w:r>
    </w:p>
    <w:p>
      <w:pPr>
        <w:pageBreakBefore w:val="0"/>
      </w:pPr>
      <w:r>
        <w:t>Literature enters the integration as a source of concepts and previously reported relationships, with attention to sector and setting. A finding in hospitality or an Australian denomination cannot independently validate the present records. Comparison asks where the observed accounts resemble, qualify or differ from the supported literature. Recommendations then identify possible responses to the reported issues. Their implementation and effects were not measured, so they remain proposals for local consideration and evaluation.</w:t>
      </w:r>
    </w:p>
    <w:p>
      <w:bookmarkStart w:id="145" w:name="m145"/>
      <w:pPr>
        <w:pStyle w:val="Heading3"/>
        <w:pageBreakBefore w:val="0"/>
      </w:pPr>
      <w:r>
        <w:t>3.5.12 AI assistance and analytical accountability</w:t>
      </w:r>
      <w:bookmarkEnd w:id="145"/>
    </w:p>
    <w:p>
      <w:pPr>
        <w:pageBreakBefore w:val="0"/>
      </w:pPr>
      <w:r>
        <w:t>AI assistance was used during the revision to support extraction and organisation of the supplied material, preparation of descriptive summaries, construction of the coding record, drafting and consistency checking. Coding was prepared with AI assistance for researcher review. This disclosure describes the assistance used in rebuilding the dissertation; it does not imply that respondents interacted with an AI system during data collection or that the original instruments were generated through the same process.</w:t>
      </w:r>
    </w:p>
    <w:p>
      <w:pPr>
        <w:pageBreakBefore w:val="0"/>
      </w:pPr>
      <w:r>
        <w:t>AI output was treated as an analytical and drafting product requiring a connection to source material. The raw transcription, category rules, counts and statement mappings provide that connection. These materials allow a proposed code or numerical statement to be challenged against the underlying record. Fluency of explanation does not establish accuracy, and repeating an AI-generated claim in several chapters does not provide independent corroboration. The relevant standard is whether the source and documented operation support the claim.</w:t>
      </w:r>
    </w:p>
    <w:p>
      <w:pPr>
        <w:pageBreakBefore w:val="0"/>
      </w:pPr>
      <w:r>
        <w:t>The revision included checks of statement-to-record mappings and consistency between tables and prose. Such checks can identify attribution or calculation errors within the supplied file. They do not authenticate original questionnaires or verify undocumented collection procedures. No independent second-coder exercise, intercoder agreement coefficient or participant confirmation was completed. AI-assisted preparation therefore must not be described as independently validated human coding, and the available audit does not establish that the researcher personally completed every check.</w:t>
      </w:r>
    </w:p>
    <w:p>
      <w:pPr>
        <w:pageBreakBefore w:val="0"/>
      </w:pPr>
      <w:r>
        <w:t>Responsibility for the submitted interpretation remains with the researcher. Before submission, the researcher must review the codebook, examples and claims and accurately disclose the assistance accepted. A retrospective account should distinguish documented review from review still required. Unknown model settings, an incomplete prompt history or undocumented manual decisions should not be filled in from assumption. Preserving the available analytical outputs supports inspection while acknowledging that it is not equivalent to a complete, prospectively maintained research log.</w:t>
      </w:r>
    </w:p>
    <w:p>
      <w:bookmarkStart w:id="146" w:name="m146"/>
      <w:pPr>
        <w:pStyle w:val="Heading2"/>
        <w:pageBreakBefore w:val="0"/>
      </w:pPr>
      <w:r>
        <w:t>3.6 Reliability Validity and Analytical Quality</w:t>
      </w:r>
      <w:bookmarkEnd w:id="146"/>
    </w:p>
    <w:p>
      <w:bookmarkStart w:id="147" w:name="m147"/>
      <w:pPr>
        <w:pStyle w:val="Heading3"/>
        <w:pageBreakBefore w:val="0"/>
      </w:pPr>
      <w:r>
        <w:t>3.6.1 Consistency of classification and measurement</w:t>
      </w:r>
      <w:bookmarkEnd w:id="147"/>
    </w:p>
    <w:p>
      <w:pPr>
        <w:pageBreakBefore w:val="0"/>
      </w:pPr>
      <w:r>
        <w:t>The immediate basis for analytical consistency is the application of stated rules to the same source material. Retaining response labels, defining category boundaries and linking codes to statements reduces avoidable variation in classification. A repeated statement receives the same codes within its question. Item-level exclusions follow the documented rule rather than the desirability of a resulting percentage. These procedures support a reproducible account of the current analysis, although they do not establish consistency of the original questionnaire administration.</w:t>
      </w:r>
    </w:p>
    <w:p>
      <w:pPr>
        <w:pageBreakBefore w:val="0"/>
      </w:pPr>
      <w:r>
        <w:t>Measurement validity requires particular restraint because the final administered instruments and their development records have not been independently checked. Conceptual similarity to service-quality literature does not demonstrate validated adaptation. No pilot study, expert review of item content, test–retest exercise or formal scale-validation procedure is documented as completed. The chapter therefore identifies the constructs suggested by the supplied fields and states their limits, rather than attributing unverified psychometric properties to the questionnaires.</w:t>
      </w:r>
    </w:p>
    <w:p>
      <w:pPr>
        <w:pageBreakBefore w:val="0"/>
      </w:pPr>
      <w:r>
        <w:t>An internal-consistency coefficient was not calculated for the six importance items. Those attributes represent different priorities, and combining them would require a substantive rationale for treating them as indicators of one construct. A numerical coefficient alone would not settle that question. Keeping the items separate allows their individual distributions to remain visible. The same discipline applies to staff questions: tool use, theological compatibility and leadership response cannot be combined merely because each bears on adoption.</w:t>
      </w:r>
    </w:p>
    <w:p>
      <w:bookmarkStart w:id="148" w:name="m148"/>
      <w:pPr>
        <w:pStyle w:val="Heading3"/>
        <w:pageBreakBefore w:val="0"/>
      </w:pPr>
      <w:r>
        <w:t>3.6.2 Credibility and the limits of the audit</w:t>
      </w:r>
      <w:bookmarkEnd w:id="148"/>
    </w:p>
    <w:p>
      <w:pPr>
        <w:pageBreakBefore w:val="0"/>
      </w:pPr>
      <w:r>
        <w:t>The qualitative audit contributes to credibility by showing how the interpretation was constructed. Readers can inspect the wording associated with a category, examine overlapping codes and assess whether an example supports the accompanying claim. This visibility is especially important where brief answers leave little contextual detail. The audit makes disagreement possible; it does not require readers to accept a theme solely because the analyst has named it.</w:t>
      </w:r>
    </w:p>
    <w:p>
      <w:pPr>
        <w:pageBreakBefore w:val="0"/>
      </w:pPr>
      <w:r>
        <w:t>The strength of a claim also depends on whether alternative interpretations remain possible. A suggestion to improve welcome might reflect an unsatisfactory personal encounter, a general aspiration or concern for other members. The short statement alone does not distinguish these explanations. Coding it as a welcome-related suggestion preserves what is expressed; describing it as evidence of a documented service failure would add an unsupported conclusion. The same principle applies when respondents request training or feedback: the request identifies an improvement priority without proving that no relevant provision already exists.</w:t>
      </w:r>
    </w:p>
    <w:p>
      <w:pPr>
        <w:pageBreakBefore w:val="0"/>
      </w:pPr>
      <w:r>
        <w:t>Neither repeated wording nor a large category count compensates for missing context. A frequent statement can be counted precisely while its original circumstances remain unclear. Conversely, a less frequent request may identify a concern that matters for inclusion without establishing its prevalence outside the records. The discussion therefore considers frequency together with the content and scope of the statement. The resulting account can identify issues deserving local investigation, but it cannot rank their urgency for a particular church without information about that church, its members and its existing arrangements. This distinction provides a basis for recommendations that propose assessment and evaluation rather than presume an intervention is already warranted everywhere.</w:t>
      </w:r>
    </w:p>
    <w:p>
      <w:pPr>
        <w:pageBreakBefore w:val="0"/>
      </w:pPr>
      <w:r>
        <w:t>Traceability within the transcription is different from confirmation of the underlying event or experience. An accurately counted concern remains a reported concern rather than proof of actual commercialisation. Likewise, an auditable statement about pastoral access cannot establish the service arrangements in a particular church. Quality depends partly on maintaining this distinction consistently across methodology, findings and discussion. The following section develops researcher reflexivity, ethical responsibilities and the remaining limitations before drawing the chapter together.</w:t>
      </w:r>
    </w:p>
    <w:p>
      <w:bookmarkStart w:id="149" w:name="m149"/>
      <w:pPr>
        <w:pStyle w:val="Heading3"/>
        <w:pageBreakBefore w:val="0"/>
      </w:pPr>
      <w:r>
        <w:t>3.6.3 Researcher reflexivity and the management perspective</w:t>
      </w:r>
      <w:bookmarkEnd w:id="149"/>
    </w:p>
    <w:p>
      <w:pPr>
        <w:pageBreakBefore w:val="0"/>
      </w:pPr>
      <w:r>
        <w:t>The study approaches church service through a management question: how organisational practices might support congregants while remaining consistent with religious purpose. This orientation directs attention towards communication, responsiveness, coordination and feedback. It also creates a risk of interpreting religious life primarily through concepts of organisational improvement. Reflexivity in this dissertation requires making that orientation visible and considering how it influences the selection of questions, the naming of categories and the interpretation of practical recommendations.</w:t>
      </w:r>
    </w:p>
    <w:p>
      <w:pPr>
        <w:pageBreakBefore w:val="0"/>
      </w:pPr>
      <w:r>
        <w:t>The service-management perspective does not establish that congregants understand their relationship with a church as a customer relationship. Some supplied statements explicitly question commercial language or favour pastoral approaches. Those statements challenge the framing of the research problem itself. Their analytical role extends beyond identifying obstacles to implementation: they raise the possibility that a proposed practice or its vocabulary may be inappropriate in a particular religious setting. Preserving this possibility prevents acceptance of management concepts from becoming an unstated condition for recognising a response as reasonable.</w:t>
      </w:r>
    </w:p>
    <w:p>
      <w:pPr>
        <w:pageBreakBefore w:val="0"/>
      </w:pPr>
      <w:r>
        <w:t>Reflexive attention is also necessary when interpreting favourable answers. A positive response to professionalism might concern dependability, courtesy or competent coordination without endorsing commercialisation. Conversely, an objection to business models need not imply opposition to attentive pastoral care or clearer information. The coding rules retain these distinctions by allowing practical benefit and reservation to coexist. The interpretation therefore remains open to respondents accepting an activity while rejecting the language or purpose associated with its introduction.</w:t>
      </w:r>
    </w:p>
    <w:p>
      <w:pPr>
        <w:pageBreakBefore w:val="0"/>
      </w:pPr>
      <w:r>
        <w:t>The available documentation does not establish the researcher’s relationship with the participating churches, involvement in recruitment or position within their religious communities. This chapter consequently does not claim an insider or outsider status, a particular denominational identity or a history of participant relationships. Nor does it report a contemporaneous reflexive diary as though one had been maintained. The present account identifies the interpretive standpoint visible in the research design and revision. It should not be mistaken for verification of undocumented fieldwork relationships.</w:t>
      </w:r>
    </w:p>
    <w:p>
      <w:bookmarkStart w:id="150" w:name="m150"/>
      <w:pPr>
        <w:pStyle w:val="Heading3"/>
        <w:pageBreakBefore w:val="0"/>
      </w:pPr>
      <w:r>
        <w:t>3.6.4 Reflexivity during analytical revision</w:t>
      </w:r>
      <w:bookmarkEnd w:id="150"/>
    </w:p>
    <w:p>
      <w:pPr>
        <w:pageBreakBefore w:val="0"/>
      </w:pPr>
      <w:r>
        <w:t>Revision involved choosing which claims the available records could sustain and which required qualification or removal. Such decisions are substantive because they determine the dissertation’s account of its contribution. An interest in producing useful recommendations may favour a coherent improvement narrative. The analytical safeguards described in this chapter counter that tendency by retaining opposing statements, preserving distinct measures and exposing unresolved answers. They make the basis of interpretation inspectable without claiming that the analyst’s influence has been eliminated.</w:t>
      </w:r>
    </w:p>
    <w:p>
      <w:pPr>
        <w:pageBreakBefore w:val="0"/>
      </w:pPr>
      <w:r>
        <w:t>The concept of conditional usefulness requires the same scrutiny. It offers a way to describe recognition of practical value alongside limits on acceptable application. It should not become a label that absorbs every response regardless of meaning. Explicit rejection, unqualified endorsement and a narrow preference for pastoral approaches remain distinguishable positions within the coding account. The discussion must show which records support conditionality and acknowledge those that do not, rather than making the concept appear universal through selective examples.</w:t>
      </w:r>
    </w:p>
    <w:p>
      <w:pPr>
        <w:pageBreakBefore w:val="0"/>
      </w:pPr>
      <w:r>
        <w:t>AI-assisted drafting introduces an additional interpretive stage. Category names and fluent explanations can make tentative connections sound more settled than the underlying material warrants. Researcher review must therefore examine both factual accuracy and the strength of the wording used to express a claim. The audit supports that review by linking statements and classifications. It does not replace the researcher’s responsibility to assess whether the final argument is proportionate, whether alternative readings remain possible and whether the account accurately describes the assistance used.</w:t>
      </w:r>
    </w:p>
    <w:p>
      <w:bookmarkStart w:id="151" w:name="m151"/>
      <w:pPr>
        <w:pStyle w:val="Heading2"/>
        <w:pageBreakBefore w:val="0"/>
      </w:pPr>
      <w:r>
        <w:t>3.7 Ethical Considerations and Remaining Limitations</w:t>
      </w:r>
      <w:bookmarkEnd w:id="151"/>
    </w:p>
    <w:p>
      <w:bookmarkStart w:id="152" w:name="m152"/>
      <w:pPr>
        <w:pStyle w:val="Heading3"/>
        <w:pageBreakBefore w:val="0"/>
      </w:pPr>
      <w:r>
        <w:t>3.7.1 Documented ethical position</w:t>
      </w:r>
      <w:bookmarkEnd w:id="152"/>
    </w:p>
    <w:p>
      <w:pPr>
        <w:pageBreakBefore w:val="0"/>
      </w:pPr>
      <w:r>
        <w:t>The supplied analysis file uses record codes and contains no separate fields for participant names, email addresses or congregation identifiers. These characteristics reduce direct identification within the material used for the revision. They do not establish how the original questionnaires were collected, whether identifying information was retained elsewhere or what participants were told. The ethical account therefore distinguishes the properties of the file available for analysis from the procedures governing the original research encounter.</w:t>
      </w:r>
    </w:p>
    <w:p>
      <w:pPr>
        <w:pageBreakBefore w:val="0"/>
      </w:pPr>
      <w:r>
        <w:t>Documentation of institutional ethics approval or exemption, the responsible review body and reference number was not available for independent verification during this revision. Participant information, consent arrangements, eligibility and age restrictions, withdrawal terms, and data-access and retention arrangements also remain unverified. This absence is a limitation of the documentary account; it does not by itself prove that no ethical procedures occurred. Equally, the existence of questionnaire responses cannot be used to affirm that those procedures were completed.</w:t>
      </w:r>
    </w:p>
    <w:p>
      <w:pPr>
        <w:pageBreakBefore w:val="0"/>
      </w:pPr>
      <w:r>
        <w:t>The chapter accordingly makes no unsupported claim of electronic consent, unrestricted withdrawal or formal ethical clearance. Any subsequent addition of such a claim must be based on the relevant documentation and describe what actually applied at collection. Confirmation that the questionnaires were completed and authorisation to analyse the transcription do not resolve these separate questions. The final submission needs an accurate account of the original arrangements and any unresolved gaps, considered with the supervisor and the institution responsible for the research.</w:t>
      </w:r>
    </w:p>
    <w:p>
      <w:bookmarkStart w:id="153" w:name="m153"/>
      <w:pPr>
        <w:pStyle w:val="Heading3"/>
        <w:pageBreakBefore w:val="0"/>
      </w:pPr>
      <w:r>
        <w:t>3.7.2 Confidentiality and the presentation of extracts</w:t>
      </w:r>
      <w:bookmarkEnd w:id="153"/>
    </w:p>
    <w:p>
      <w:pPr>
        <w:pageBreakBefore w:val="0"/>
      </w:pPr>
      <w:r>
        <w:t>Confidentiality in reporting requires attention to the content of an extract as well as to the removal of names. A distinctive incident, role or combination of contextual details may identify someone to readers familiar with a congregation. Extracts selected for submission therefore require review for indirect identification. The analytical codes support traceability without supplying names, but they should not be accompanied by unnecessary contextual detail that makes a person or church recognisable.</w:t>
      </w:r>
    </w:p>
    <w:p>
      <w:pPr>
        <w:pageBreakBefore w:val="0"/>
      </w:pPr>
      <w:r>
        <w:t>The supplied statements are described as transcription text. They are not presented as independently authenticated verbatim speech or reconstructed interview quotations. Where an exact extract is used to demonstrate a coding decision, its function is to show the wording on which the classification rests. Paraphrases must remain recognisable as paraphrases and preserve the substance of the supplied statement. Adding vivid details to make an extract more persuasive would alter the evidence and is excluded from the reporting approach.</w:t>
      </w:r>
    </w:p>
    <w:p>
      <w:pPr>
        <w:pageBreakBefore w:val="0"/>
      </w:pPr>
      <w:r>
        <w:t>The audit appendix preserves the connection between statements, codes and records. That analytical purpose does not require publication of original identifying documents. The arrangements for storing source questionnaires, restricting access, retaining records and eventually disposing of them require a documented account from the researcher. This dissertation does not assert a particular encryption system, retention period or access protocol without evidence. These matters remain distinct from the technical ability to reproduce a table from the supplied transcription.</w:t>
      </w:r>
    </w:p>
    <w:p>
      <w:bookmarkStart w:id="154" w:name="m154"/>
      <w:pPr>
        <w:pStyle w:val="Heading3"/>
        <w:pageBreakBefore w:val="0"/>
      </w:pPr>
      <w:r>
        <w:t>3.7.3 Respect for religious purpose and participant perspectives</w:t>
      </w:r>
      <w:bookmarkEnd w:id="154"/>
    </w:p>
    <w:p>
      <w:pPr>
        <w:pageBreakBefore w:val="0"/>
      </w:pPr>
      <w:r>
        <w:t>Interpretation must preserve the distinction between a respondent’s judgement and the researcher’s evaluation of a religious institution. Compatibility with mission and perceived risk to spiritual authenticity are reported views. They do not determine theological correctness, the sincerity of belief or actual spiritual harm. The study examines how service practices are perceived and qualified; it does not authorise an external ranking of denominations according to their willingness to adopt commercial terminology or management tools.</w:t>
      </w:r>
    </w:p>
    <w:p>
      <w:pPr>
        <w:pageBreakBefore w:val="0"/>
      </w:pPr>
      <w:r>
        <w:t>Recommendations also require sensitivity to whose priorities are represented. A frequently mentioned improvement does not automatically override a less common concern about access, inclusion or religious purpose. Staff reports of resource barriers describe perceived constraints and should not be recast as evidence of indifference. Likewise, congregant requests should not be dismissed simply because implementation could be difficult. The discussion considers these perspectives together while preserving the fact that the records cannot establish how a particular local decision should be resolved.</w:t>
      </w:r>
    </w:p>
    <w:p>
      <w:pPr>
        <w:pageBreakBefore w:val="0"/>
      </w:pPr>
      <w:r>
        <w:t>The language of the dissertation therefore separates attention to people from an assumption that every preference must be satisfied. It can examine clearer communication, more responsive feedback and considerate access without treating participation in worship as a commercial transaction. Whether a proposed change is appropriate remains a question for the relevant community and its leadership. The study contributes evidence for deliberation; it does not supply authority to determine doctrine or impose an organisational model.</w:t>
      </w:r>
    </w:p>
    <w:p>
      <w:bookmarkStart w:id="155" w:name="m155"/>
      <w:pPr>
        <w:pStyle w:val="Heading3"/>
        <w:pageBreakBefore w:val="0"/>
      </w:pPr>
      <w:r>
        <w:t>3.7.4 Boundaries of the sample and setting</w:t>
      </w:r>
      <w:bookmarkEnd w:id="155"/>
    </w:p>
    <w:p>
      <w:pPr>
        <w:pageBreakBefore w:val="0"/>
      </w:pPr>
      <w:r>
        <w:t>The empirical analysis is limited to the available 100 congregant and 140 staff or volunteer records. Earlier larger congregant totals remain unreconciled, and no missing responses have been reconstructed. Recruitment probabilities, response rates, church coverage and geographic eligibility are not independently established. Consequently, the United States focus of the research problem does not convert the transcription into a representative national sample. References to the wider setting identify the intended field of inquiry rather than a verified basis for national prevalence estimates.</w:t>
      </w:r>
    </w:p>
    <w:p>
      <w:pPr>
        <w:pageBreakBefore w:val="0"/>
      </w:pPr>
      <w:r>
        <w:t>The absence of church identifiers restricts organisational interpretation. Several records may relate to one church, and participation in both questionnaires cannot be ruled out. The combined total therefore cannot be treated as a verified count of unique participants or independent organisations. Differences between recorded groups can be described where the available fields permit, but their causes cannot be isolated. Denominational labels alone do not resolve differences in church size, resources, leadership arrangements or local context.</w:t>
      </w:r>
    </w:p>
    <w:p>
      <w:pPr>
        <w:pageBreakBefore w:val="0"/>
      </w:pPr>
      <w:r>
        <w:t>These limits also affect transfer to other settings. A practice that appears relevant to one reported concern may require different resources or safeguards elsewhere. The findings identify questions and options that other churches could examine locally. They do not establish that a recommendation will have the same meaning or effect across traditions, countries or organisational settings. More detailed writing can clarify this boundary, but it cannot supply the missing sampling and contextual information.</w:t>
      </w:r>
    </w:p>
    <w:p>
      <w:bookmarkStart w:id="156" w:name="m156"/>
      <w:pPr>
        <w:pStyle w:val="Heading3"/>
        <w:pageBreakBefore w:val="0"/>
      </w:pPr>
      <w:r>
        <w:t>3.7.5 Limits of the measures and analytical depth</w:t>
      </w:r>
      <w:bookmarkEnd w:id="156"/>
    </w:p>
    <w:p>
      <w:pPr>
        <w:pageBreakBefore w:val="0"/>
      </w:pPr>
      <w:r>
        <w:t>The questionnaires capture reported priorities, selected experiences, attitudes and practices. They do not provide direct observation of service delivery, longitudinal changes in participation or independently measured organisational outcomes. A cross-sectional juxtaposition of favourable attitudes and reported tools cannot show that tools produced those attitudes. Similarly, an improvement suggestion identifies a proposed change without measuring the extent of the underlying problem or estimating the change’s likely effect.</w:t>
      </w:r>
    </w:p>
    <w:p>
      <w:pPr>
        <w:pageBreakBefore w:val="0"/>
      </w:pPr>
      <w:r>
        <w:t>Brief written entries permit identification of explicit reasons and suggestions but offer limited explanation of personal histories or local circumstances. The repeated wording and uncertain transcription process further constrain interpretation. Coding can preserve distinctions within that material; it cannot recreate conversations that were not recorded. The 278 substantive entries consequently support a bounded descriptive account rather than the depth that might be obtained through extended interviews with opportunities for clarification and follow-up.</w:t>
      </w:r>
    </w:p>
    <w:p>
      <w:pPr>
        <w:pageBreakBefore w:val="0"/>
      </w:pPr>
      <w:r>
        <w:t>The treatment of conflicting staff selections introduces a further boundary. Item-specific exclusion makes the primary tables more interpretable under the stated rules, while changing the set of records each percentage describes. The parallel uncorrected counts expose the effect of that decision but cannot identify the intended answers. All interpretations must retain this uncertainty. Data preparation improves transparency of analysis; it does not make the underlying response ambiguity disappear.</w:t>
      </w:r>
    </w:p>
    <w:p>
      <w:bookmarkStart w:id="157" w:name="m157"/>
      <w:pPr>
        <w:pStyle w:val="Heading3"/>
        <w:pageBreakBefore w:val="0"/>
      </w:pPr>
      <w:r>
        <w:t>3.7.6 Unresolved documentation and the status of the conclusions</w:t>
      </w:r>
      <w:bookmarkEnd w:id="157"/>
    </w:p>
    <w:p>
      <w:pPr>
        <w:pageBreakBefore w:val="0"/>
      </w:pPr>
      <w:r>
        <w:t>The remaining uncertainties concern different stages of the evidence. Collection records would address recruitment and consent; original questionnaires would clarify wording and instructions; comparison with completed forms would address transcription fidelity. None can be replaced by an additional calculation using the same response file. Keeping these distinctions explicit helps identify what further documentation could resolve and which limits would remain even after that documentation became available.</w:t>
      </w:r>
    </w:p>
    <w:p>
      <w:pPr>
        <w:pageBreakBefore w:val="0"/>
      </w:pPr>
      <w:r>
        <w:t>The conclusions are therefore conditional on the supplied transcription and documented analytical decisions. They can describe recorded patterns, explain the coding of written reasons and develop proposals consistent with those accounts. They cannot certify the full collection history, establish causal effectiveness or demonstrate national applicability. These qualifications define the contribution rather than preventing analysis altogether. The value of the study lies in a transparent account of the available evidence and a disciplined distinction between findings, interpretation and recommendations.</w:t>
      </w:r>
    </w:p>
    <w:p>
      <w:bookmarkStart w:id="158" w:name="m158"/>
      <w:pPr>
        <w:pStyle w:val="Heading2"/>
        <w:pageBreakBefore w:val="0"/>
      </w:pPr>
      <w:r>
        <w:t>3.8 Methodological Alignment and Chapter Summary</w:t>
      </w:r>
      <w:bookmarkEnd w:id="158"/>
    </w:p>
    <w:p>
      <w:pPr>
        <w:pageBreakBefore w:val="0"/>
      </w:pPr>
      <w:r>
        <w:t>This chapter has established a pragmatic orientation and a descriptive survey design with a limited qualitative component. It has reconciled the analytical sample with the available records, identified what the questionnaire fields measure and explained why importance ratings, selected experiences and organisational reports remain distinct. The methodology is grounded in the supplied transcription and distinguishes procedures documented during revision from aspects of collection that remain unverified.</w:t>
      </w:r>
    </w:p>
    <w:p>
      <w:pPr>
        <w:pageBreakBefore w:val="0"/>
      </w:pPr>
      <w:r>
        <w:t>Quantitative preparation preserved recorded categories, explicit denominators and item-level rules for unresolved combinations. Qualitative analysis organised the three congregant text fields separately, applied defined codes to explicit content and retained statement-to-record mappings. Integration connected adoption attitudes and reasons within congregant records, then considered the separate staff distributions and supported literature. The account disclosed AI assistance and explained the limits of the audit, measurement claims and researcher verification.</w:t>
      </w:r>
    </w:p>
    <w:p>
      <w:pPr>
        <w:pageBreakBefore w:val="0"/>
      </w:pPr>
      <w:r>
        <w:t>The resulting design supports the revised research questions about service priorities and experiences, reported organisational practices, adoption attitudes, constraints and possible improvements. Comparison with hospitality and nonprofit research remains a bounded literature comparison. Recommendations are derived for consideration and future evaluation; they were not implemented as tested interventions. The methodological contribution is the traceable connection between each type of evidence and the claim it can support.</w:t>
      </w:r>
    </w:p>
    <w:p>
      <w:pPr>
        <w:pageBreakBefore w:val="0"/>
      </w:pPr>
      <w:r>
        <w:t>Chapter 4 presents the quantitative distributions and descriptive patterns using these rules. Chapter 5 examines the written reasons and suggestions, retaining both recurring content and qualifications. Chapter 6 develops the discussion with the supported literature, including the interpretation of conditional usefulness. Chapter 7 draws conclusions and recommendations within the evidential boundaries established here. This sequence preserves a clear progression from recorded answers to analysis, interpretation and proposed action.</w:t>
      </w:r>
    </w:p>
    <w:p>
      <w:bookmarkStart w:id="159" w:name="m159"/>
      <w:pPr>
        <w:pStyle w:val="Heading1"/>
        <w:pageBreakBefore/>
      </w:pPr>
      <w:r>
        <w:t>CHAPTER 4</w:t>
        <w:br/>
        <w:t>QUANTITATIVE FINDINGS</w:t>
      </w:r>
      <w:bookmarkEnd w:id="159"/>
    </w:p>
    <w:p>
      <w:bookmarkStart w:id="160" w:name="m160"/>
      <w:pPr>
        <w:pStyle w:val="Heading2"/>
        <w:pageBreakBefore w:val="0"/>
      </w:pPr>
      <w:r>
        <w:t>4.1 Scope of the Results</w:t>
      </w:r>
      <w:bookmarkEnd w:id="160"/>
    </w:p>
    <w:p>
      <w:pPr>
        <w:pageBreakBefore w:val="0"/>
      </w:pPr>
      <w:r>
        <w:t>This chapter reports the closed questionnaire responses and examines the patterns they reveal within the available records. The analysis begins with respondent characteristics and the importance assigned to six service attributes. Subsequent sections consider reported experiences, adoption attitudes and staff accounts of organisational practices and constraints. The purpose is to establish what the numerical evidence shows before the qualitative findings and literature are brought into the fuller discussion.</w:t>
      </w:r>
    </w:p>
    <w:p>
      <w:bookmarkStart w:id="161" w:name="m161"/>
      <w:pPr>
        <w:pStyle w:val="Heading3"/>
        <w:pageBreakBefore w:val="0"/>
      </w:pPr>
      <w:r>
        <w:t>4.1.1 Records and analytical bases</w:t>
      </w:r>
      <w:bookmarkEnd w:id="161"/>
    </w:p>
    <w:p>
      <w:pPr>
        <w:pageBreakBefore w:val="0"/>
      </w:pPr>
      <w:r>
        <w:t>The empirical base comprises 100 congregant records and 140 staff or volunteer records. These groups are reported separately because their questionnaires address different perspectives and cannot be linked by church. The combined total describes 240 supplied records, not a verified count of distinct individuals or organisations. All congregant records contribute to the characteristics and importance tables presented in this chapter. The source transcription was preserved while the numerical summaries were reconstructed.</w:t>
      </w:r>
    </w:p>
    <w:p>
      <w:pPr>
        <w:pageBreakBefore w:val="0"/>
      </w:pPr>
      <w:r>
        <w:t>Table 4.1 identifies the principal analytical bases used throughout the chapter. The smaller staff denominators apply only to concerns and monitoring questions containing unresolved combinations of answers. Twenty-four records were excluded from the primary concerns analysis and 23 from the primary monitoring analysis. Three occur in both sets, leaving 44 distinct affected records. These exclusions do not remove respondents from unrelated questions or reduce the congregant base.</w:t>
      </w:r>
    </w:p>
    <w:p>
      <w:bookmarkStart w:id="162" w:name="m162"/>
      <w:pPr>
        <w:keepNext/>
        <w:pageBreakBefore w:val="0"/>
      </w:pPr>
      <w:r>
        <w:rPr>
          <w:b/>
        </w:rPr>
        <w:t>Table 4.1  Analysis bases</w:t>
      </w:r>
      <w:bookmarkEnd w:id="16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08"/>
        <w:gridCol w:w="2016"/>
        <w:gridCol w:w="2016"/>
      </w:tblGrid>
      <w:tr>
        <w:trPr>
          <w:cantSplit/>
          <w:tblHeader/>
        </w:trPr>
        <w:tc>
          <w:tcPr>
            <w:tcW w:type="dxa" w:w="4608"/>
            <w:vAlign w:val="center"/>
            <w:tcMar>
              <w:top w:w="85" w:type="dxa"/>
              <w:bottom w:w="85" w:type="dxa"/>
              <w:left w:w="85" w:type="dxa"/>
              <w:right w:w="85" w:type="dxa"/>
            </w:tcMar>
            <w:shd w:fill="E7EDF3"/>
          </w:tcPr>
          <w:p>
            <w:pPr>
              <w:keepNext/>
              <w:spacing w:line="240" w:lineRule="auto" w:after="40" w:before="40"/>
              <w:jc w:val="left"/>
            </w:pPr>
            <w:r>
              <w:rPr>
                <w:b/>
                <w:sz w:val="20"/>
              </w:rPr>
              <w:t>Respondent group or item</w:t>
            </w:r>
          </w:p>
        </w:tc>
        <w:tc>
          <w:tcPr>
            <w:tcW w:type="dxa" w:w="2016"/>
            <w:vAlign w:val="center"/>
            <w:tcMar>
              <w:top w:w="85" w:type="dxa"/>
              <w:bottom w:w="85" w:type="dxa"/>
              <w:left w:w="85" w:type="dxa"/>
              <w:right w:w="85" w:type="dxa"/>
            </w:tcMar>
            <w:shd w:fill="E7EDF3"/>
          </w:tcPr>
          <w:p>
            <w:pPr>
              <w:keepNext/>
              <w:spacing w:line="240" w:lineRule="auto" w:after="40" w:before="40"/>
              <w:jc w:val="center"/>
            </w:pPr>
            <w:r>
              <w:rPr>
                <w:b/>
                <w:sz w:val="20"/>
              </w:rPr>
              <w:t>Records available</w:t>
            </w:r>
          </w:p>
        </w:tc>
        <w:tc>
          <w:tcPr>
            <w:tcW w:type="dxa" w:w="2016"/>
            <w:vAlign w:val="center"/>
            <w:tcMar>
              <w:top w:w="85" w:type="dxa"/>
              <w:bottom w:w="85" w:type="dxa"/>
              <w:left w:w="85" w:type="dxa"/>
              <w:right w:w="85" w:type="dxa"/>
            </w:tcMar>
            <w:shd w:fill="E7EDF3"/>
          </w:tcPr>
          <w:p>
            <w:pPr>
              <w:keepNext/>
              <w:spacing w:line="240" w:lineRule="auto" w:after="40" w:before="40"/>
              <w:jc w:val="center"/>
            </w:pPr>
            <w:r>
              <w:rPr>
                <w:b/>
                <w:sz w:val="20"/>
              </w:rPr>
              <w:t>Records analysed</w:t>
            </w:r>
          </w:p>
        </w:tc>
      </w:tr>
      <w:tr>
        <w:trPr>
          <w:cantSplit/>
        </w:trPr>
        <w:tc>
          <w:tcPr>
            <w:tcW w:type="dxa" w:w="4608"/>
            <w:vAlign w:val="center"/>
            <w:tcMar>
              <w:top w:w="85" w:type="dxa"/>
              <w:bottom w:w="85" w:type="dxa"/>
              <w:left w:w="85" w:type="dxa"/>
              <w:right w:w="85" w:type="dxa"/>
            </w:tcMar>
          </w:tcPr>
          <w:p>
            <w:pPr>
              <w:keepNext/>
              <w:spacing w:line="240" w:lineRule="auto" w:after="40" w:before="40"/>
              <w:jc w:val="left"/>
            </w:pPr>
            <w:r>
              <w:rPr>
                <w:b w:val="0"/>
                <w:sz w:val="20"/>
              </w:rPr>
              <w:t>Congregants</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100</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100</w:t>
            </w:r>
          </w:p>
        </w:tc>
      </w:tr>
      <w:tr>
        <w:trPr>
          <w:cantSplit/>
        </w:trPr>
        <w:tc>
          <w:tcPr>
            <w:tcW w:type="dxa" w:w="4608"/>
            <w:vAlign w:val="center"/>
            <w:tcMar>
              <w:top w:w="85" w:type="dxa"/>
              <w:bottom w:w="85" w:type="dxa"/>
              <w:left w:w="85" w:type="dxa"/>
              <w:right w:w="85" w:type="dxa"/>
            </w:tcMar>
          </w:tcPr>
          <w:p>
            <w:pPr>
              <w:keepNext/>
              <w:spacing w:line="240" w:lineRule="auto" w:after="40" w:before="40"/>
              <w:jc w:val="left"/>
            </w:pPr>
            <w:r>
              <w:rPr>
                <w:b w:val="0"/>
                <w:sz w:val="20"/>
              </w:rPr>
              <w:t>Staff and volunteers overall</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140</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140</w:t>
            </w:r>
          </w:p>
        </w:tc>
      </w:tr>
      <w:tr>
        <w:trPr>
          <w:cantSplit/>
        </w:trPr>
        <w:tc>
          <w:tcPr>
            <w:tcW w:type="dxa" w:w="4608"/>
            <w:vAlign w:val="center"/>
            <w:tcMar>
              <w:top w:w="85" w:type="dxa"/>
              <w:bottom w:w="85" w:type="dxa"/>
              <w:left w:w="85" w:type="dxa"/>
              <w:right w:w="85" w:type="dxa"/>
            </w:tcMar>
          </w:tcPr>
          <w:p>
            <w:pPr>
              <w:keepNext/>
              <w:spacing w:line="240" w:lineRule="auto" w:after="40" w:before="40"/>
              <w:jc w:val="left"/>
            </w:pPr>
            <w:r>
              <w:rPr>
                <w:b w:val="0"/>
                <w:sz w:val="20"/>
              </w:rPr>
              <w:t>Staff concerns item</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140</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116</w:t>
            </w:r>
          </w:p>
        </w:tc>
      </w:tr>
      <w:tr>
        <w:trPr>
          <w:cantSplit/>
        </w:trPr>
        <w:tc>
          <w:tcPr>
            <w:tcW w:type="dxa" w:w="4608"/>
            <w:vAlign w:val="center"/>
            <w:tcMar>
              <w:top w:w="85" w:type="dxa"/>
              <w:bottom w:w="85" w:type="dxa"/>
              <w:left w:w="85" w:type="dxa"/>
              <w:right w:w="85" w:type="dxa"/>
            </w:tcMar>
          </w:tcPr>
          <w:p>
            <w:pPr>
              <w:spacing w:line="240" w:lineRule="auto" w:after="40" w:before="40"/>
              <w:jc w:val="left"/>
            </w:pPr>
            <w:r>
              <w:rPr>
                <w:b w:val="0"/>
                <w:sz w:val="20"/>
              </w:rPr>
              <w:t>Staff monitoring item</w:t>
            </w:r>
          </w:p>
        </w:tc>
        <w:tc>
          <w:tcPr>
            <w:tcW w:type="dxa" w:w="2016"/>
            <w:vAlign w:val="center"/>
            <w:tcMar>
              <w:top w:w="85" w:type="dxa"/>
              <w:bottom w:w="85" w:type="dxa"/>
              <w:left w:w="85" w:type="dxa"/>
              <w:right w:w="85" w:type="dxa"/>
            </w:tcMar>
          </w:tcPr>
          <w:p>
            <w:pPr>
              <w:spacing w:line="240" w:lineRule="auto" w:after="40" w:before="40"/>
              <w:jc w:val="center"/>
            </w:pPr>
            <w:r>
              <w:rPr>
                <w:b w:val="0"/>
                <w:sz w:val="20"/>
              </w:rPr>
              <w:t>140</w:t>
            </w:r>
          </w:p>
        </w:tc>
        <w:tc>
          <w:tcPr>
            <w:tcW w:type="dxa" w:w="2016"/>
            <w:vAlign w:val="center"/>
            <w:tcMar>
              <w:top w:w="85" w:type="dxa"/>
              <w:bottom w:w="85" w:type="dxa"/>
              <w:left w:w="85" w:type="dxa"/>
              <w:right w:w="85" w:type="dxa"/>
            </w:tcMar>
          </w:tcPr>
          <w:p>
            <w:pPr>
              <w:spacing w:line="240" w:lineRule="auto" w:after="40" w:before="40"/>
              <w:jc w:val="center"/>
            </w:pPr>
            <w:r>
              <w:rPr>
                <w:b w:val="0"/>
                <w:sz w:val="20"/>
              </w:rPr>
              <w:t>117</w:t>
            </w:r>
          </w:p>
        </w:tc>
      </w:tr>
    </w:tbl>
    <w:p>
      <w:pPr>
        <w:pageBreakBefore w:val="0"/>
        <w:spacing w:line="240" w:lineRule="auto" w:before="80" w:after="160"/>
      </w:pPr>
      <w:r>
        <w:rPr>
          <w:sz w:val="20"/>
        </w:rPr>
        <w:t>Congregant base 100; staff base 140 except the two specified item-level exclusions.</w:t>
      </w:r>
    </w:p>
    <w:p>
      <w:bookmarkStart w:id="163" w:name="m163"/>
      <w:pPr>
        <w:pStyle w:val="Heading3"/>
        <w:pageBreakBefore w:val="0"/>
      </w:pPr>
      <w:r>
        <w:t>4.1.2 Reading the distributions</w:t>
      </w:r>
      <w:bookmarkEnd w:id="163"/>
    </w:p>
    <w:p>
      <w:pPr>
        <w:pageBreakBefore w:val="0"/>
      </w:pPr>
      <w:r>
        <w:t>Counts and percentages are presented together where appropriate, with denominators stated. For congregant questions using all 100 records, the numerical count equals the percentage. Staff percentages require reference to the relevant denominator. Multiple-selection questions allow one record to contribute to several categories, so their percentages need not sum to 100. Rounding can also produce small differences between a displayed percentage total and 100. These features are distinguished from inconsistencies in the underlying responses.</w:t>
      </w:r>
    </w:p>
    <w:p>
      <w:pPr>
        <w:pageBreakBefore w:val="0"/>
      </w:pPr>
      <w:r>
        <w:t>The tables describe reported answers. Importance ratings identify priorities, whereas separate experience questions describe selected perceptions of church service. Neither is an independent observation of organisational performance. This distinction matters particularly when interpreting high scores: assigning high importance to welcome does not establish that welcome was delivered well. The interpretation develops the distribution of priorities without converting it into evidence of satisfaction or organisational effectiveness.</w:t>
      </w:r>
    </w:p>
    <w:p>
      <w:pPr>
        <w:pageBreakBefore w:val="0"/>
      </w:pPr>
      <w:r>
        <w:t>The chapter uses descriptive comparisons rather than significance tests or national estimates. An observed difference remains informative about these records, but its size does not establish why it occurred or whether it would recur in another sample. Unknown recruitment, geographic eligibility and church clustering limit broader inference. The analysis therefore examines the direction, concentration and spread of responses while reserving causal explanations and recommendations for appropriately qualified discussion.</w:t>
      </w:r>
    </w:p>
    <w:p>
      <w:bookmarkStart w:id="164" w:name="m164"/>
      <w:pPr>
        <w:pStyle w:val="Heading2"/>
        <w:pageBreakBefore w:val="0"/>
      </w:pPr>
      <w:r>
        <w:t>4.2 Respondent Characteristics</w:t>
      </w:r>
      <w:bookmarkEnd w:id="164"/>
    </w:p>
    <w:p>
      <w:bookmarkStart w:id="165" w:name="m165"/>
      <w:pPr>
        <w:pStyle w:val="Heading3"/>
        <w:pageBreakBefore w:val="0"/>
      </w:pPr>
      <w:r>
        <w:t>4.2.1 Church involvement among congregant records</w:t>
      </w:r>
      <w:bookmarkEnd w:id="165"/>
    </w:p>
    <w:p>
      <w:pPr>
        <w:pageBreakBefore w:val="0"/>
      </w:pPr>
      <w:r>
        <w:t>Regular attenders account for 55 of the 100 congregant records, former attenders for 25, and leadership or volunteer respondents for 20. Regular attenders therefore constitute the largest group, while 45 records fall into the other two categories. The results cannot be read as though every answer came from a person occupying the same current relationship with a congregation. The composition includes continuing participation, former participation and an organisational role.</w:t>
      </w:r>
    </w:p>
    <w:p>
      <w:bookmarkStart w:id="166" w:name="m166"/>
      <w:pPr>
        <w:keepNext/>
        <w:pageBreakBefore w:val="0"/>
      </w:pPr>
      <w:r>
        <w:rPr>
          <w:b/>
        </w:rPr>
        <w:t>Table 4.2  Congregant church involvement</w:t>
      </w:r>
      <w:bookmarkEnd w:id="16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Regular attender</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Former attender</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Leadership/volunteer</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20.0</w:t>
            </w:r>
          </w:p>
        </w:tc>
      </w:tr>
      <w:tr>
        <w:trPr>
          <w:cantSplit/>
        </w:trPr>
        <w:tc>
          <w:tcPr>
            <w:tcW w:type="dxa" w:w="5760"/>
            <w:vAlign w:val="center"/>
            <w:tcMar>
              <w:top w:w="85" w:type="dxa"/>
              <w:bottom w:w="85" w:type="dxa"/>
              <w:left w:w="85" w:type="dxa"/>
              <w:right w:w="85" w:type="dxa"/>
            </w:tcMar>
          </w:tcPr>
          <w:p>
            <w:pPr>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spacing w:line="240" w:lineRule="auto" w:after="40" w:before="40"/>
              <w:jc w:val="center"/>
            </w:pPr>
            <w:r>
              <w:rPr>
                <w:b w:val="0"/>
                <w:sz w:val="20"/>
              </w:rPr>
              <w:t>100.0</w:t>
            </w:r>
          </w:p>
        </w:tc>
      </w:tr>
    </w:tbl>
    <w:p>
      <w:pPr>
        <w:pageBreakBefore w:val="0"/>
        <w:spacing w:line="240" w:lineRule="auto" w:before="80" w:after="160"/>
      </w:pPr>
      <w:r>
        <w:rPr>
          <w:sz w:val="20"/>
        </w:rPr>
        <w:t>Denominator 100 congregant records; no exclusions.</w:t>
      </w:r>
    </w:p>
    <w:p>
      <w:pPr>
        <w:pageBreakBefore w:val="0"/>
      </w:pPr>
      <w:r>
        <w:t>The presence of former attenders is relevant to interpretation because their responses need not refer to a current attendance experience. However, the category does not reveal when attendance ceased or why. It cannot establish that dissatisfaction caused departure. Equally, a favourable answer from a former attender would not contradict that status: a person can leave for reasons unrelated to the service attributes measured. The category supplies context for reading the results without resolving an individual’s history.</w:t>
      </w:r>
    </w:p>
    <w:p>
      <w:pPr>
        <w:pageBreakBefore w:val="0"/>
      </w:pPr>
      <w:r>
        <w:t>Leadership and volunteer responses within the congregant questionnaire also require care. These records may reflect participation alongside responsibilities for delivering activities. The combined label does not distinguish paid leadership, unpaid leadership and volunteering, nor specify duties or seniority. It would therefore be inappropriate to infer that all 20 records represent decision-makers. They remain part of the congregant dataset and must not be merged automatically with the separate staff questionnaire on the assumption that roles establish identity.</w:t>
      </w:r>
    </w:p>
    <w:p>
      <w:pPr>
        <w:pageBreakBefore w:val="0"/>
      </w:pPr>
      <w:r>
        <w:t>The distribution establishes a useful boundary for later analysis: an overall percentage summarises a mixture of recorded involvement categories. It does not demonstrate consensus within each category. Where descriptive subgroup comparisons are undertaken, their denominators must remain visible, and differences should be interpreted as patterns within those records. The current table itself provides no evidence that one group is more supportive, more satisfied or more demanding than another.</w:t>
      </w:r>
    </w:p>
    <w:p>
      <w:bookmarkStart w:id="167" w:name="m167"/>
      <w:pPr>
        <w:pStyle w:val="Heading3"/>
        <w:pageBreakBefore w:val="0"/>
      </w:pPr>
      <w:r>
        <w:t>4.2.2 Recorded denominational backgrounds</w:t>
      </w:r>
      <w:bookmarkEnd w:id="167"/>
    </w:p>
    <w:p>
      <w:pPr>
        <w:pageBreakBefore w:val="0"/>
      </w:pPr>
      <w:r>
        <w:t>Evangelical/Pentecostal and Catholic categories are the two largest in both questionnaires. Together, they account for 53 congregant records and 74 staff records. Mainline Protestant is the next largest category, followed by non-denominational, Other and Anglican/Episcopal. These distributions identify the labels recorded in the transcription. They do not establish the number of churches represented within a category or the degree of diversity among those churches.</w:t>
      </w:r>
    </w:p>
    <w:p>
      <w:bookmarkStart w:id="168" w:name="m168"/>
      <w:pPr>
        <w:keepNext/>
        <w:pageBreakBefore w:val="0"/>
      </w:pPr>
      <w:r>
        <w:rPr>
          <w:b/>
        </w:rPr>
        <w:t>Table 4.3  Recorded denominational background</w:t>
      </w:r>
      <w:bookmarkEnd w:id="16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8"/>
        <w:gridCol w:w="1368"/>
        <w:gridCol w:w="1368"/>
        <w:gridCol w:w="1368"/>
        <w:gridCol w:w="1368"/>
      </w:tblGrid>
      <w:tr>
        <w:trPr>
          <w:cantSplit/>
          <w:tblHeader/>
        </w:trPr>
        <w:tc>
          <w:tcPr>
            <w:tcW w:type="dxa" w:w="3168"/>
            <w:vAlign w:val="center"/>
            <w:tcMar>
              <w:top w:w="85" w:type="dxa"/>
              <w:bottom w:w="85" w:type="dxa"/>
              <w:left w:w="85" w:type="dxa"/>
              <w:right w:w="85" w:type="dxa"/>
            </w:tcMar>
            <w:shd w:fill="E7EDF3"/>
          </w:tcPr>
          <w:p>
            <w:pPr>
              <w:keepNext/>
              <w:spacing w:line="240" w:lineRule="auto" w:after="40" w:before="40"/>
              <w:jc w:val="left"/>
            </w:pPr>
            <w:r>
              <w:rPr>
                <w:b/>
                <w:sz w:val="20"/>
              </w:rPr>
              <w:t>Category</w:t>
            </w:r>
          </w:p>
        </w:tc>
        <w:tc>
          <w:tcPr>
            <w:tcW w:type="dxa" w:w="1368"/>
            <w:vAlign w:val="center"/>
            <w:tcMar>
              <w:top w:w="85" w:type="dxa"/>
              <w:bottom w:w="85" w:type="dxa"/>
              <w:left w:w="85" w:type="dxa"/>
              <w:right w:w="85" w:type="dxa"/>
            </w:tcMar>
            <w:shd w:fill="E7EDF3"/>
          </w:tcPr>
          <w:p>
            <w:pPr>
              <w:keepNext/>
              <w:spacing w:line="240" w:lineRule="auto" w:after="40" w:before="40"/>
              <w:jc w:val="center"/>
            </w:pPr>
            <w:r>
              <w:rPr>
                <w:b/>
                <w:sz w:val="20"/>
              </w:rPr>
              <w:t>Congregants n</w:t>
            </w:r>
          </w:p>
        </w:tc>
        <w:tc>
          <w:tcPr>
            <w:tcW w:type="dxa" w:w="1368"/>
            <w:vAlign w:val="center"/>
            <w:tcMar>
              <w:top w:w="85" w:type="dxa"/>
              <w:bottom w:w="85" w:type="dxa"/>
              <w:left w:w="85" w:type="dxa"/>
              <w:right w:w="85" w:type="dxa"/>
            </w:tcMar>
            <w:shd w:fill="E7EDF3"/>
          </w:tcPr>
          <w:p>
            <w:pPr>
              <w:keepNext/>
              <w:spacing w:line="240" w:lineRule="auto" w:after="40" w:before="40"/>
              <w:jc w:val="center"/>
            </w:pPr>
            <w:r>
              <w:rPr>
                <w:b/>
                <w:sz w:val="20"/>
              </w:rPr>
              <w:t>Congregants %</w:t>
            </w:r>
          </w:p>
        </w:tc>
        <w:tc>
          <w:tcPr>
            <w:tcW w:type="dxa" w:w="1368"/>
            <w:vAlign w:val="center"/>
            <w:tcMar>
              <w:top w:w="85" w:type="dxa"/>
              <w:bottom w:w="85" w:type="dxa"/>
              <w:left w:w="85" w:type="dxa"/>
              <w:right w:w="85" w:type="dxa"/>
            </w:tcMar>
            <w:shd w:fill="E7EDF3"/>
          </w:tcPr>
          <w:p>
            <w:pPr>
              <w:keepNext/>
              <w:spacing w:line="240" w:lineRule="auto" w:after="40" w:before="40"/>
              <w:jc w:val="center"/>
            </w:pPr>
            <w:r>
              <w:rPr>
                <w:b/>
                <w:sz w:val="20"/>
              </w:rPr>
              <w:t>Staff n</w:t>
            </w:r>
          </w:p>
        </w:tc>
        <w:tc>
          <w:tcPr>
            <w:tcW w:type="dxa" w:w="1368"/>
            <w:vAlign w:val="center"/>
            <w:tcMar>
              <w:top w:w="85" w:type="dxa"/>
              <w:bottom w:w="85" w:type="dxa"/>
              <w:left w:w="85" w:type="dxa"/>
              <w:right w:w="85" w:type="dxa"/>
            </w:tcMar>
            <w:shd w:fill="E7EDF3"/>
          </w:tcPr>
          <w:p>
            <w:pPr>
              <w:keepNext/>
              <w:spacing w:line="240" w:lineRule="auto" w:after="40" w:before="40"/>
              <w:jc w:val="center"/>
            </w:pPr>
            <w:r>
              <w:rPr>
                <w:b/>
                <w:sz w:val="20"/>
              </w:rPr>
              <w:t>Staff %</w:t>
            </w:r>
          </w:p>
        </w:tc>
      </w:tr>
      <w:tr>
        <w:trPr>
          <w:cantSplit/>
        </w:trPr>
        <w:tc>
          <w:tcPr>
            <w:tcW w:type="dxa" w:w="3168"/>
            <w:vAlign w:val="center"/>
            <w:tcMar>
              <w:top w:w="85" w:type="dxa"/>
              <w:bottom w:w="85" w:type="dxa"/>
              <w:left w:w="85" w:type="dxa"/>
              <w:right w:w="85" w:type="dxa"/>
            </w:tcMar>
          </w:tcPr>
          <w:p>
            <w:pPr>
              <w:keepNext/>
              <w:spacing w:line="240" w:lineRule="auto" w:after="40" w:before="40"/>
              <w:jc w:val="left"/>
            </w:pPr>
            <w:r>
              <w:rPr>
                <w:b w:val="0"/>
                <w:sz w:val="20"/>
              </w:rPr>
              <w:t>Evangelical/Pentecostal</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28</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28.0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39</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27.9</w:t>
            </w:r>
          </w:p>
        </w:tc>
      </w:tr>
      <w:tr>
        <w:trPr>
          <w:cantSplit/>
        </w:trPr>
        <w:tc>
          <w:tcPr>
            <w:tcW w:type="dxa" w:w="3168"/>
            <w:vAlign w:val="center"/>
            <w:tcMar>
              <w:top w:w="85" w:type="dxa"/>
              <w:bottom w:w="85" w:type="dxa"/>
              <w:left w:w="85" w:type="dxa"/>
              <w:right w:w="85" w:type="dxa"/>
            </w:tcMar>
          </w:tcPr>
          <w:p>
            <w:pPr>
              <w:keepNext/>
              <w:spacing w:line="240" w:lineRule="auto" w:after="40" w:before="40"/>
              <w:jc w:val="left"/>
            </w:pPr>
            <w:r>
              <w:rPr>
                <w:b w:val="0"/>
                <w:sz w:val="20"/>
              </w:rPr>
              <w:t>Catholic</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25</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25.0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35</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25.0</w:t>
            </w:r>
          </w:p>
        </w:tc>
      </w:tr>
      <w:tr>
        <w:trPr>
          <w:cantSplit/>
        </w:trPr>
        <w:tc>
          <w:tcPr>
            <w:tcW w:type="dxa" w:w="3168"/>
            <w:vAlign w:val="center"/>
            <w:tcMar>
              <w:top w:w="85" w:type="dxa"/>
              <w:bottom w:w="85" w:type="dxa"/>
              <w:left w:w="85" w:type="dxa"/>
              <w:right w:w="85" w:type="dxa"/>
            </w:tcMar>
          </w:tcPr>
          <w:p>
            <w:pPr>
              <w:keepNext/>
              <w:spacing w:line="240" w:lineRule="auto" w:after="40" w:before="40"/>
              <w:jc w:val="left"/>
            </w:pPr>
            <w:r>
              <w:rPr>
                <w:b w:val="0"/>
                <w:sz w:val="20"/>
              </w:rPr>
              <w:t>Mainline Protestant</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18</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18.0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25</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17.9</w:t>
            </w:r>
          </w:p>
        </w:tc>
      </w:tr>
      <w:tr>
        <w:trPr>
          <w:cantSplit/>
        </w:trPr>
        <w:tc>
          <w:tcPr>
            <w:tcW w:type="dxa" w:w="3168"/>
            <w:vAlign w:val="center"/>
            <w:tcMar>
              <w:top w:w="85" w:type="dxa"/>
              <w:bottom w:w="85" w:type="dxa"/>
              <w:left w:w="85" w:type="dxa"/>
              <w:right w:w="85" w:type="dxa"/>
            </w:tcMar>
          </w:tcPr>
          <w:p>
            <w:pPr>
              <w:keepNext/>
              <w:spacing w:line="240" w:lineRule="auto" w:after="40" w:before="40"/>
              <w:jc w:val="left"/>
            </w:pPr>
            <w:r>
              <w:rPr>
                <w:b w:val="0"/>
                <w:sz w:val="20"/>
              </w:rPr>
              <w:t>Non-denominational</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12</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12.0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17</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12.1</w:t>
            </w:r>
          </w:p>
        </w:tc>
      </w:tr>
      <w:tr>
        <w:trPr>
          <w:cantSplit/>
        </w:trPr>
        <w:tc>
          <w:tcPr>
            <w:tcW w:type="dxa" w:w="3168"/>
            <w:vAlign w:val="center"/>
            <w:tcMar>
              <w:top w:w="85" w:type="dxa"/>
              <w:bottom w:w="85" w:type="dxa"/>
              <w:left w:w="85" w:type="dxa"/>
              <w:right w:w="85" w:type="dxa"/>
            </w:tcMar>
          </w:tcPr>
          <w:p>
            <w:pPr>
              <w:keepNext/>
              <w:spacing w:line="240" w:lineRule="auto" w:after="40" w:before="40"/>
              <w:jc w:val="left"/>
            </w:pPr>
            <w:r>
              <w:rPr>
                <w:b w:val="0"/>
                <w:sz w:val="20"/>
              </w:rPr>
              <w:t>Anglican/Episcopal</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7</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7.0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7.1</w:t>
            </w:r>
          </w:p>
        </w:tc>
      </w:tr>
      <w:tr>
        <w:trPr>
          <w:cantSplit/>
        </w:trPr>
        <w:tc>
          <w:tcPr>
            <w:tcW w:type="dxa" w:w="3168"/>
            <w:vAlign w:val="center"/>
            <w:tcMar>
              <w:top w:w="85" w:type="dxa"/>
              <w:bottom w:w="85" w:type="dxa"/>
              <w:left w:w="85" w:type="dxa"/>
              <w:right w:w="85" w:type="dxa"/>
            </w:tcMar>
          </w:tcPr>
          <w:p>
            <w:pPr>
              <w:keepNext/>
              <w:spacing w:line="240" w:lineRule="auto" w:after="40" w:before="40"/>
              <w:jc w:val="left"/>
            </w:pPr>
            <w:r>
              <w:rPr>
                <w:b w:val="0"/>
                <w:sz w:val="20"/>
              </w:rPr>
              <w:t>Other</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10.0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14</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10.0</w:t>
            </w:r>
          </w:p>
        </w:tc>
      </w:tr>
      <w:tr>
        <w:trPr>
          <w:cantSplit/>
        </w:trPr>
        <w:tc>
          <w:tcPr>
            <w:tcW w:type="dxa" w:w="3168"/>
            <w:vAlign w:val="center"/>
            <w:tcMar>
              <w:top w:w="85" w:type="dxa"/>
              <w:bottom w:w="85" w:type="dxa"/>
              <w:left w:w="85" w:type="dxa"/>
              <w:right w:w="85" w:type="dxa"/>
            </w:tcMar>
          </w:tcPr>
          <w:p>
            <w:pPr>
              <w:spacing w:line="240" w:lineRule="auto" w:after="40" w:before="40"/>
              <w:jc w:val="left"/>
            </w:pPr>
            <w:r>
              <w:rPr>
                <w:b w:val="0"/>
                <w:sz w:val="20"/>
              </w:rPr>
              <w:t>Total</w:t>
            </w:r>
          </w:p>
        </w:tc>
        <w:tc>
          <w:tcPr>
            <w:tcW w:type="dxa" w:w="1368"/>
            <w:vAlign w:val="center"/>
            <w:tcMar>
              <w:top w:w="85" w:type="dxa"/>
              <w:bottom w:w="85" w:type="dxa"/>
              <w:left w:w="85" w:type="dxa"/>
              <w:right w:w="85" w:type="dxa"/>
            </w:tcMar>
          </w:tcPr>
          <w:p>
            <w:pPr>
              <w:spacing w:line="240" w:lineRule="auto" w:after="40" w:before="40"/>
              <w:jc w:val="center"/>
            </w:pPr>
            <w:r>
              <w:rPr>
                <w:b w:val="0"/>
                <w:sz w:val="20"/>
              </w:rPr>
              <w:t>100</w:t>
            </w:r>
          </w:p>
        </w:tc>
        <w:tc>
          <w:tcPr>
            <w:tcW w:type="dxa" w:w="1368"/>
            <w:vAlign w:val="center"/>
            <w:tcMar>
              <w:top w:w="85" w:type="dxa"/>
              <w:bottom w:w="85" w:type="dxa"/>
              <w:left w:w="85" w:type="dxa"/>
              <w:right w:w="85" w:type="dxa"/>
            </w:tcMar>
          </w:tcPr>
          <w:p>
            <w:pPr>
              <w:spacing w:line="240" w:lineRule="auto" w:after="40" w:before="40"/>
              <w:jc w:val="center"/>
            </w:pPr>
            <w:r>
              <w:rPr>
                <w:b w:val="0"/>
                <w:sz w:val="20"/>
              </w:rPr>
              <w:t>100.0</w:t>
            </w:r>
          </w:p>
        </w:tc>
        <w:tc>
          <w:tcPr>
            <w:tcW w:type="dxa" w:w="1368"/>
            <w:vAlign w:val="center"/>
            <w:tcMar>
              <w:top w:w="85" w:type="dxa"/>
              <w:bottom w:w="85" w:type="dxa"/>
              <w:left w:w="85" w:type="dxa"/>
              <w:right w:w="85" w:type="dxa"/>
            </w:tcMar>
          </w:tcPr>
          <w:p>
            <w:pPr>
              <w:spacing w:line="240" w:lineRule="auto" w:after="40" w:before="40"/>
              <w:jc w:val="center"/>
            </w:pPr>
            <w:r>
              <w:rPr>
                <w:b w:val="0"/>
                <w:sz w:val="20"/>
              </w:rPr>
              <w:t>140</w:t>
            </w:r>
          </w:p>
        </w:tc>
        <w:tc>
          <w:tcPr>
            <w:tcW w:type="dxa" w:w="1368"/>
            <w:vAlign w:val="center"/>
            <w:tcMar>
              <w:top w:w="85" w:type="dxa"/>
              <w:bottom w:w="85" w:type="dxa"/>
              <w:left w:w="85" w:type="dxa"/>
              <w:right w:w="85" w:type="dxa"/>
            </w:tcMar>
          </w:tcPr>
          <w:p>
            <w:pPr>
              <w:spacing w:line="240" w:lineRule="auto" w:after="40" w:before="40"/>
              <w:jc w:val="center"/>
            </w:pPr>
            <w:r>
              <w:rPr>
                <w:b w:val="0"/>
                <w:sz w:val="20"/>
              </w:rPr>
              <w:t>100.0</w:t>
            </w:r>
          </w:p>
        </w:tc>
      </w:tr>
    </w:tbl>
    <w:p>
      <w:pPr>
        <w:pageBreakBefore w:val="0"/>
        <w:spacing w:line="240" w:lineRule="auto" w:before="80" w:after="160"/>
      </w:pPr>
      <w:r>
        <w:rPr>
          <w:sz w:val="20"/>
        </w:rPr>
        <w:t>Separate denominators of 100 congregants and 140 staff or volunteers.</w:t>
      </w:r>
    </w:p>
    <w:p>
      <w:pPr>
        <w:pageBreakBefore w:val="0"/>
      </w:pPr>
      <w:r>
        <w:t>The proportions in the two questionnaires are closely aligned. Evangelical/Pentecostal records constitute 28.0 per cent of congregants and 27.9 per cent of staff, while Catholic records constitute 25.0 per cent in both. Similarity in composition may make the two distributions appear readily comparable, but it does not show that respondents came from the same churches or were selected through equivalent procedures. No quota or matching process can be inferred from the numerical resemblance alone.</w:t>
      </w:r>
    </w:p>
    <w:p>
      <w:pPr>
        <w:pageBreakBefore w:val="0"/>
      </w:pPr>
      <w:r>
        <w:t>Some labels also combine traditions that could contain substantial internal differences. The Evangelical/Pentecostal category, for example, cannot be disaggregated using the supplied field. “Other” preserves an unspecified classification rather than identifying one common tradition. Treating either as a homogeneous organisational type would add information not present in the data. The table is consequently used to describe the records rather than to explain practices through presumed denominational characteristics.</w:t>
      </w:r>
    </w:p>
    <w:p>
      <w:pPr>
        <w:pageBreakBefore w:val="0"/>
      </w:pPr>
      <w:r>
        <w:t>Category sizes further limit interpretation. The seven Anglican/Episcopal congregant records provide a much smaller descriptive base than the 28 Evangelical/Pentecostal records. A difference of one answer would change the former group’s percentage by approximately 14.3 percentage points and the latter’s by approximately 3.6 points. This arithmetic illustrates why percentages from small subgroups require their counts. It is not a reason to disregard those records, but it discourages presenting unstable contrasts as established differences between traditions.</w:t>
      </w:r>
    </w:p>
    <w:p>
      <w:bookmarkStart w:id="169" w:name="m169"/>
      <w:pPr>
        <w:pStyle w:val="Heading3"/>
        <w:pageBreakBefore w:val="0"/>
      </w:pPr>
      <w:r>
        <w:t>4.2.3 What the characteristics contribute</w:t>
      </w:r>
      <w:bookmarkEnd w:id="169"/>
    </w:p>
    <w:p>
      <w:pPr>
        <w:pageBreakBefore w:val="0"/>
      </w:pPr>
      <w:r>
        <w:t>Taken together, involvement and denomination describe aspects of the available respondent composition while leaving significant contextual questions open. They do not identify age, church size, resources, length of participation or geographic location. The characteristics therefore help define whose recorded perspectives are being summarised, but cannot support an explanation based on demographic or organisational variables that were not preserved. Subsequent findings are read within this limited descriptive context.</w:t>
      </w:r>
    </w:p>
    <w:p>
      <w:bookmarkStart w:id="170" w:name="m170"/>
      <w:pPr>
        <w:pStyle w:val="Heading2"/>
        <w:pageBreakBefore w:val="0"/>
      </w:pPr>
      <w:r>
        <w:t>4.3 Importance of Service Attributes</w:t>
      </w:r>
      <w:bookmarkEnd w:id="170"/>
    </w:p>
    <w:p>
      <w:bookmarkStart w:id="171" w:name="m171"/>
      <w:pPr>
        <w:pStyle w:val="Heading3"/>
        <w:pageBreakBefore w:val="0"/>
      </w:pPr>
      <w:r>
        <w:t>4.3.1 Distribution across the five response categories</w:t>
      </w:r>
      <w:bookmarkEnd w:id="171"/>
    </w:p>
    <w:p>
      <w:pPr>
        <w:pageBreakBefore w:val="0"/>
      </w:pPr>
      <w:r>
        <w:t>All six importance items contain 100 recorded ratings on the one-to-five coding. Each distribution is concentrated towards the upper end, although the strength of that concentration differs. Welcome and feeling valued have majorities at the highest category. Communication, professionalism, responsiveness and accessibility also receive more ratings of four or five than ratings of one, two or three combined. The common pattern is broad importance across the listed attributes rather than a single valued attribute surrounded by generally low priorities.</w:t>
      </w:r>
    </w:p>
    <w:p>
      <w:bookmarkStart w:id="172" w:name="m172"/>
      <w:pPr>
        <w:keepNext/>
        <w:pageBreakBefore w:val="0"/>
      </w:pPr>
      <w:r>
        <w:rPr>
          <w:b/>
        </w:rPr>
        <w:t>Table 4.4  Importance rating distributions</w:t>
      </w:r>
      <w:bookmarkEnd w:id="17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20"/>
        <w:gridCol w:w="864"/>
        <w:gridCol w:w="864"/>
        <w:gridCol w:w="864"/>
        <w:gridCol w:w="864"/>
        <w:gridCol w:w="864"/>
      </w:tblGrid>
      <w:tr>
        <w:trPr>
          <w:cantSplit/>
          <w:tblHeader/>
        </w:trPr>
        <w:tc>
          <w:tcPr>
            <w:tcW w:type="dxa" w:w="4320"/>
            <w:vAlign w:val="center"/>
            <w:tcMar>
              <w:top w:w="85" w:type="dxa"/>
              <w:bottom w:w="85" w:type="dxa"/>
              <w:left w:w="85" w:type="dxa"/>
              <w:right w:w="85" w:type="dxa"/>
            </w:tcMar>
            <w:shd w:fill="E7EDF3"/>
          </w:tcPr>
          <w:p>
            <w:pPr>
              <w:keepNext/>
              <w:spacing w:line="240" w:lineRule="auto" w:after="40" w:before="40"/>
              <w:jc w:val="left"/>
            </w:pPr>
            <w:r>
              <w:rPr>
                <w:b/>
                <w:sz w:val="20"/>
              </w:rPr>
              <w:t>Attribute</w:t>
            </w:r>
          </w:p>
        </w:tc>
        <w:tc>
          <w:tcPr>
            <w:tcW w:type="dxa" w:w="864"/>
            <w:vAlign w:val="center"/>
            <w:tcMar>
              <w:top w:w="85" w:type="dxa"/>
              <w:bottom w:w="85" w:type="dxa"/>
              <w:left w:w="85" w:type="dxa"/>
              <w:right w:w="85" w:type="dxa"/>
            </w:tcMar>
            <w:shd w:fill="E7EDF3"/>
          </w:tcPr>
          <w:p>
            <w:pPr>
              <w:keepNext/>
              <w:spacing w:line="240" w:lineRule="auto" w:after="40" w:before="40"/>
              <w:jc w:val="center"/>
            </w:pPr>
            <w:r>
              <w:rPr>
                <w:b/>
                <w:sz w:val="20"/>
              </w:rPr>
              <w:t>1</w:t>
            </w:r>
          </w:p>
        </w:tc>
        <w:tc>
          <w:tcPr>
            <w:tcW w:type="dxa" w:w="864"/>
            <w:vAlign w:val="center"/>
            <w:tcMar>
              <w:top w:w="85" w:type="dxa"/>
              <w:bottom w:w="85" w:type="dxa"/>
              <w:left w:w="85" w:type="dxa"/>
              <w:right w:w="85" w:type="dxa"/>
            </w:tcMar>
            <w:shd w:fill="E7EDF3"/>
          </w:tcPr>
          <w:p>
            <w:pPr>
              <w:keepNext/>
              <w:spacing w:line="240" w:lineRule="auto" w:after="40" w:before="40"/>
              <w:jc w:val="center"/>
            </w:pPr>
            <w:r>
              <w:rPr>
                <w:b/>
                <w:sz w:val="20"/>
              </w:rPr>
              <w:t>2</w:t>
            </w:r>
          </w:p>
        </w:tc>
        <w:tc>
          <w:tcPr>
            <w:tcW w:type="dxa" w:w="864"/>
            <w:vAlign w:val="center"/>
            <w:tcMar>
              <w:top w:w="85" w:type="dxa"/>
              <w:bottom w:w="85" w:type="dxa"/>
              <w:left w:w="85" w:type="dxa"/>
              <w:right w:w="85" w:type="dxa"/>
            </w:tcMar>
            <w:shd w:fill="E7EDF3"/>
          </w:tcPr>
          <w:p>
            <w:pPr>
              <w:keepNext/>
              <w:spacing w:line="240" w:lineRule="auto" w:after="40" w:before="40"/>
              <w:jc w:val="center"/>
            </w:pPr>
            <w:r>
              <w:rPr>
                <w:b/>
                <w:sz w:val="20"/>
              </w:rPr>
              <w:t>3</w:t>
            </w:r>
          </w:p>
        </w:tc>
        <w:tc>
          <w:tcPr>
            <w:tcW w:type="dxa" w:w="864"/>
            <w:vAlign w:val="center"/>
            <w:tcMar>
              <w:top w:w="85" w:type="dxa"/>
              <w:bottom w:w="85" w:type="dxa"/>
              <w:left w:w="85" w:type="dxa"/>
              <w:right w:w="85" w:type="dxa"/>
            </w:tcMar>
            <w:shd w:fill="E7EDF3"/>
          </w:tcPr>
          <w:p>
            <w:pPr>
              <w:keepNext/>
              <w:spacing w:line="240" w:lineRule="auto" w:after="40" w:before="40"/>
              <w:jc w:val="center"/>
            </w:pPr>
            <w:r>
              <w:rPr>
                <w:b/>
                <w:sz w:val="20"/>
              </w:rPr>
              <w:t>4</w:t>
            </w:r>
          </w:p>
        </w:tc>
        <w:tc>
          <w:tcPr>
            <w:tcW w:type="dxa" w:w="864"/>
            <w:vAlign w:val="center"/>
            <w:tcMar>
              <w:top w:w="85" w:type="dxa"/>
              <w:bottom w:w="85" w:type="dxa"/>
              <w:left w:w="85" w:type="dxa"/>
              <w:right w:w="85" w:type="dxa"/>
            </w:tcMar>
            <w:shd w:fill="E7EDF3"/>
          </w:tcPr>
          <w:p>
            <w:pPr>
              <w:keepNext/>
              <w:spacing w:line="240" w:lineRule="auto" w:after="40" w:before="40"/>
              <w:jc w:val="center"/>
            </w:pPr>
            <w:r>
              <w:rPr>
                <w:b/>
                <w:sz w:val="20"/>
              </w:rPr>
              <w:t>5</w:t>
            </w:r>
          </w:p>
        </w:tc>
      </w:tr>
      <w:tr>
        <w:trPr>
          <w:cantSplit/>
        </w:trPr>
        <w:tc>
          <w:tcPr>
            <w:tcW w:type="dxa" w:w="4320"/>
            <w:vAlign w:val="center"/>
            <w:tcMar>
              <w:top w:w="85" w:type="dxa"/>
              <w:bottom w:w="85" w:type="dxa"/>
              <w:left w:w="85" w:type="dxa"/>
              <w:right w:w="85" w:type="dxa"/>
            </w:tcMar>
          </w:tcPr>
          <w:p>
            <w:pPr>
              <w:keepNext/>
              <w:spacing w:line="240" w:lineRule="auto" w:after="40" w:before="40"/>
              <w:jc w:val="left"/>
            </w:pPr>
            <w:r>
              <w:rPr>
                <w:b w:val="0"/>
                <w:sz w:val="20"/>
              </w:rPr>
              <w:t>Warm and friendly welcome</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2</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4</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10</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28</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56</w:t>
            </w:r>
          </w:p>
        </w:tc>
      </w:tr>
      <w:tr>
        <w:trPr>
          <w:cantSplit/>
        </w:trPr>
        <w:tc>
          <w:tcPr>
            <w:tcW w:type="dxa" w:w="4320"/>
            <w:vAlign w:val="center"/>
            <w:tcMar>
              <w:top w:w="85" w:type="dxa"/>
              <w:bottom w:w="85" w:type="dxa"/>
              <w:left w:w="85" w:type="dxa"/>
              <w:right w:w="85" w:type="dxa"/>
            </w:tcMar>
          </w:tcPr>
          <w:p>
            <w:pPr>
              <w:keepNext/>
              <w:spacing w:line="240" w:lineRule="auto" w:after="40" w:before="40"/>
              <w:jc w:val="left"/>
            </w:pPr>
            <w:r>
              <w:rPr>
                <w:b w:val="0"/>
                <w:sz w:val="20"/>
              </w:rPr>
              <w:t>Clear and timely communication</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3</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6</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14</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32</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45</w:t>
            </w:r>
          </w:p>
        </w:tc>
      </w:tr>
      <w:tr>
        <w:trPr>
          <w:cantSplit/>
        </w:trPr>
        <w:tc>
          <w:tcPr>
            <w:tcW w:type="dxa" w:w="4320"/>
            <w:vAlign w:val="center"/>
            <w:tcMar>
              <w:top w:w="85" w:type="dxa"/>
              <w:bottom w:w="85" w:type="dxa"/>
              <w:left w:w="85" w:type="dxa"/>
              <w:right w:w="85" w:type="dxa"/>
            </w:tcMar>
          </w:tcPr>
          <w:p>
            <w:pPr>
              <w:keepNext/>
              <w:spacing w:line="240" w:lineRule="auto" w:after="40" w:before="40"/>
              <w:jc w:val="left"/>
            </w:pPr>
            <w:r>
              <w:rPr>
                <w:b w:val="0"/>
                <w:sz w:val="20"/>
              </w:rPr>
              <w:t>Feeling valued and recognised</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2</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5</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12</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30</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51</w:t>
            </w:r>
          </w:p>
        </w:tc>
      </w:tr>
      <w:tr>
        <w:trPr>
          <w:cantSplit/>
        </w:trPr>
        <w:tc>
          <w:tcPr>
            <w:tcW w:type="dxa" w:w="4320"/>
            <w:vAlign w:val="center"/>
            <w:tcMar>
              <w:top w:w="85" w:type="dxa"/>
              <w:bottom w:w="85" w:type="dxa"/>
              <w:left w:w="85" w:type="dxa"/>
              <w:right w:w="85" w:type="dxa"/>
            </w:tcMar>
          </w:tcPr>
          <w:p>
            <w:pPr>
              <w:keepNext/>
              <w:spacing w:line="240" w:lineRule="auto" w:after="40" w:before="40"/>
              <w:jc w:val="left"/>
            </w:pPr>
            <w:r>
              <w:rPr>
                <w:b w:val="0"/>
                <w:sz w:val="20"/>
              </w:rPr>
              <w:t>Staff/volunteer professionalism</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4</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7</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18</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35</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36</w:t>
            </w:r>
          </w:p>
        </w:tc>
      </w:tr>
      <w:tr>
        <w:trPr>
          <w:cantSplit/>
        </w:trPr>
        <w:tc>
          <w:tcPr>
            <w:tcW w:type="dxa" w:w="4320"/>
            <w:vAlign w:val="center"/>
            <w:tcMar>
              <w:top w:w="85" w:type="dxa"/>
              <w:bottom w:w="85" w:type="dxa"/>
              <w:left w:w="85" w:type="dxa"/>
              <w:right w:w="85" w:type="dxa"/>
            </w:tcMar>
          </w:tcPr>
          <w:p>
            <w:pPr>
              <w:keepNext/>
              <w:spacing w:line="240" w:lineRule="auto" w:after="40" w:before="40"/>
              <w:jc w:val="left"/>
            </w:pPr>
            <w:r>
              <w:rPr>
                <w:b w:val="0"/>
                <w:sz w:val="20"/>
              </w:rPr>
              <w:t>Responsiveness to needs/feedback</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3</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8</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16</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34</w:t>
            </w:r>
          </w:p>
        </w:tc>
        <w:tc>
          <w:tcPr>
            <w:tcW w:type="dxa" w:w="864"/>
            <w:vAlign w:val="center"/>
            <w:tcMar>
              <w:top w:w="85" w:type="dxa"/>
              <w:bottom w:w="85" w:type="dxa"/>
              <w:left w:w="85" w:type="dxa"/>
              <w:right w:w="85" w:type="dxa"/>
            </w:tcMar>
          </w:tcPr>
          <w:p>
            <w:pPr>
              <w:keepNext/>
              <w:spacing w:line="240" w:lineRule="auto" w:after="40" w:before="40"/>
              <w:jc w:val="center"/>
            </w:pPr>
            <w:r>
              <w:rPr>
                <w:b w:val="0"/>
                <w:sz w:val="20"/>
              </w:rPr>
              <w:t>39</w:t>
            </w:r>
          </w:p>
        </w:tc>
      </w:tr>
      <w:tr>
        <w:trPr>
          <w:cantSplit/>
        </w:trPr>
        <w:tc>
          <w:tcPr>
            <w:tcW w:type="dxa" w:w="4320"/>
            <w:vAlign w:val="center"/>
            <w:tcMar>
              <w:top w:w="85" w:type="dxa"/>
              <w:bottom w:w="85" w:type="dxa"/>
              <w:left w:w="85" w:type="dxa"/>
              <w:right w:w="85" w:type="dxa"/>
            </w:tcMar>
          </w:tcPr>
          <w:p>
            <w:pPr>
              <w:spacing w:line="240" w:lineRule="auto" w:after="40" w:before="40"/>
              <w:jc w:val="left"/>
            </w:pPr>
            <w:r>
              <w:rPr>
                <w:b w:val="0"/>
                <w:sz w:val="20"/>
              </w:rPr>
              <w:t>Parking/facilities accessibility</w:t>
            </w:r>
          </w:p>
        </w:tc>
        <w:tc>
          <w:tcPr>
            <w:tcW w:type="dxa" w:w="864"/>
            <w:vAlign w:val="center"/>
            <w:tcMar>
              <w:top w:w="85" w:type="dxa"/>
              <w:bottom w:w="85" w:type="dxa"/>
              <w:left w:w="85" w:type="dxa"/>
              <w:right w:w="85" w:type="dxa"/>
            </w:tcMar>
          </w:tcPr>
          <w:p>
            <w:pPr>
              <w:spacing w:line="240" w:lineRule="auto" w:after="40" w:before="40"/>
              <w:jc w:val="center"/>
            </w:pPr>
            <w:r>
              <w:rPr>
                <w:b w:val="0"/>
                <w:sz w:val="20"/>
              </w:rPr>
              <w:t>5</w:t>
            </w:r>
          </w:p>
        </w:tc>
        <w:tc>
          <w:tcPr>
            <w:tcW w:type="dxa" w:w="864"/>
            <w:vAlign w:val="center"/>
            <w:tcMar>
              <w:top w:w="85" w:type="dxa"/>
              <w:bottom w:w="85" w:type="dxa"/>
              <w:left w:w="85" w:type="dxa"/>
              <w:right w:w="85" w:type="dxa"/>
            </w:tcMar>
          </w:tcPr>
          <w:p>
            <w:pPr>
              <w:spacing w:line="240" w:lineRule="auto" w:after="40" w:before="40"/>
              <w:jc w:val="center"/>
            </w:pPr>
            <w:r>
              <w:rPr>
                <w:b w:val="0"/>
                <w:sz w:val="20"/>
              </w:rPr>
              <w:t>10</w:t>
            </w:r>
          </w:p>
        </w:tc>
        <w:tc>
          <w:tcPr>
            <w:tcW w:type="dxa" w:w="864"/>
            <w:vAlign w:val="center"/>
            <w:tcMar>
              <w:top w:w="85" w:type="dxa"/>
              <w:bottom w:w="85" w:type="dxa"/>
              <w:left w:w="85" w:type="dxa"/>
              <w:right w:w="85" w:type="dxa"/>
            </w:tcMar>
          </w:tcPr>
          <w:p>
            <w:pPr>
              <w:spacing w:line="240" w:lineRule="auto" w:after="40" w:before="40"/>
              <w:jc w:val="center"/>
            </w:pPr>
            <w:r>
              <w:rPr>
                <w:b w:val="0"/>
                <w:sz w:val="20"/>
              </w:rPr>
              <w:t>20</w:t>
            </w:r>
          </w:p>
        </w:tc>
        <w:tc>
          <w:tcPr>
            <w:tcW w:type="dxa" w:w="864"/>
            <w:vAlign w:val="center"/>
            <w:tcMar>
              <w:top w:w="85" w:type="dxa"/>
              <w:bottom w:w="85" w:type="dxa"/>
              <w:left w:w="85" w:type="dxa"/>
              <w:right w:w="85" w:type="dxa"/>
            </w:tcMar>
          </w:tcPr>
          <w:p>
            <w:pPr>
              <w:spacing w:line="240" w:lineRule="auto" w:after="40" w:before="40"/>
              <w:jc w:val="center"/>
            </w:pPr>
            <w:r>
              <w:rPr>
                <w:b w:val="0"/>
                <w:sz w:val="20"/>
              </w:rPr>
              <w:t>30</w:t>
            </w:r>
          </w:p>
        </w:tc>
        <w:tc>
          <w:tcPr>
            <w:tcW w:type="dxa" w:w="864"/>
            <w:vAlign w:val="center"/>
            <w:tcMar>
              <w:top w:w="85" w:type="dxa"/>
              <w:bottom w:w="85" w:type="dxa"/>
              <w:left w:w="85" w:type="dxa"/>
              <w:right w:w="85" w:type="dxa"/>
            </w:tcMar>
          </w:tcPr>
          <w:p>
            <w:pPr>
              <w:spacing w:line="240" w:lineRule="auto" w:after="40" w:before="40"/>
              <w:jc w:val="center"/>
            </w:pPr>
            <w:r>
              <w:rPr>
                <w:b w:val="0"/>
                <w:sz w:val="20"/>
              </w:rPr>
              <w:t>35</w:t>
            </w:r>
          </w:p>
        </w:tc>
      </w:tr>
    </w:tbl>
    <w:p>
      <w:pPr>
        <w:pageBreakBefore w:val="0"/>
        <w:spacing w:line="240" w:lineRule="auto" w:before="80" w:after="160"/>
      </w:pPr>
      <w:r>
        <w:rPr>
          <w:sz w:val="20"/>
        </w:rPr>
        <w:t>Each row contains 100 ratings. Values are counts and also equal percentages. One is the lowest and five the highest importance coding.</w:t>
      </w:r>
    </w:p>
    <w:p>
      <w:bookmarkStart w:id="173" w:name="m173"/>
      <w:pPr>
        <w:pStyle w:val="Heading3"/>
        <w:pageBreakBefore w:val="0"/>
      </w:pPr>
      <w:r>
        <w:t>4.3.2 Welcome and feeling valued</w:t>
      </w:r>
      <w:bookmarkEnd w:id="173"/>
    </w:p>
    <w:p>
      <w:pPr>
        <w:pageBreakBefore w:val="0"/>
      </w:pPr>
      <w:r>
        <w:t>Warm and friendly welcome receives the strongest concentration of high ratings: 56 records select five and 28 select four. Thus, 84 per cent fall in the upper two categories. Ten select three and six select one or two. The mean of 4.32 and median of five are consistent with this distribution. The result identifies welcome as the highest-rated priority among the six specified attributes, without establishing how welcoming the respondents’ churches actually were.</w:t>
      </w:r>
    </w:p>
    <w:p>
      <w:pPr>
        <w:pageBreakBefore w:val="0"/>
      </w:pPr>
      <w:r>
        <w:t>Feeling valued and recognised follows closely. Fifty-one records select five and 30 select four, giving 81 per cent in the upper two categories. Twelve select three and seven select one or two. Its mean is 4.23 and median five. The difference from welcome is modest: three percentage points in the combined upper categories and 0.09 in the mean. The numerical ordering should therefore not be interpreted as evidence that recognition is substantially less important.</w:t>
      </w:r>
    </w:p>
    <w:p>
      <w:pPr>
        <w:pageBreakBefore w:val="0"/>
      </w:pPr>
      <w:r>
        <w:t>These two fields both concern how people are received and acknowledged, making their leading position relevant to the study’s attention to relational service. However, the aggregate distributions do not show that the same respondents gave both attributes high scores. They also do not establish a validated relational factor or show that these priorities cause engagement. Their immediate contribution is a descriptive one: personal reception and recognition attract particularly strong importance ratings within the available records.</w:t>
      </w:r>
    </w:p>
    <w:p>
      <w:bookmarkStart w:id="174" w:name="m174"/>
      <w:pPr>
        <w:pStyle w:val="Heading3"/>
        <w:pageBreakBefore w:val="0"/>
      </w:pPr>
      <w:r>
        <w:t>4.3.3 Communication and responsiveness</w:t>
      </w:r>
      <w:bookmarkEnd w:id="174"/>
    </w:p>
    <w:p>
      <w:pPr>
        <w:pageBreakBefore w:val="0"/>
      </w:pPr>
      <w:r>
        <w:t>Clear and timely communication receives 45 ratings of five and 32 of four. The upper-category total is therefore 77 per cent, with 14 per cent at three and nine per cent at one or two. Its mean of 4.10 places it below the two leading attributes while remaining above four. Communication is consequently a broadly valued priority, although fewer records assign it the maximum score than assign that score to welcome or feeling valued.</w:t>
      </w:r>
    </w:p>
    <w:p>
      <w:pPr>
        <w:pageBreakBefore w:val="0"/>
      </w:pPr>
      <w:r>
        <w:t>Responsiveness to needs and feedback receives 39 ratings of five and 34 of four, producing 73 per cent in the upper categories. Sixteen select three and 11 select one or two. Its mean is 3.98, close to the value of four, and its median is four. The response pattern supports attention to responsiveness as an important attribute without implying that every record gives it equal priority or that all forms of responsiveness mean the same thing to respondents.</w:t>
      </w:r>
    </w:p>
    <w:p>
      <w:pPr>
        <w:pageBreakBefore w:val="0"/>
      </w:pPr>
      <w:r>
        <w:t>The two labels concern related but distinct aspects of service. Clear communication concerns the provision of understandable and timely information, while the responsiveness label directs attention to needs or feedback. Their distributions should remain separate: valuing information does not necessarily imply an identical judgement about responses to individual concerns. Later experience questions can be considered alongside these priorities, but the present results do not identify an expectation–performance gap or an objective shortfall in either area.</w:t>
      </w:r>
    </w:p>
    <w:p>
      <w:bookmarkStart w:id="175" w:name="m175"/>
      <w:pPr>
        <w:pStyle w:val="Heading3"/>
        <w:pageBreakBefore w:val="0"/>
      </w:pPr>
      <w:r>
        <w:t>4.3.4 Professionalism and accessibility</w:t>
      </w:r>
      <w:bookmarkEnd w:id="175"/>
    </w:p>
    <w:p>
      <w:pPr>
        <w:pageBreakBefore w:val="0"/>
      </w:pPr>
      <w:r>
        <w:t>Staff or volunteer professionalism receives 36 ratings of five and 35 of four, with 18 at three and 11 at one or two. Its mean is 3.92 and median four. The combined 71 per cent in the upper categories indicates broad importance, even though its mean is below those for welcome, recognition, communication and responsiveness. Describing professionalism as comparatively lower in this ordering is accurate; describing it as unimportant would misrepresent the distribution.</w:t>
      </w:r>
    </w:p>
    <w:p>
      <w:pPr>
        <w:pageBreakBefore w:val="0"/>
      </w:pPr>
      <w:r>
        <w:t>Parking and facilities accessibility has the lowest mean, 3.80, and the largest lower-category share. Thirty-five records select five and 30 select four, while 20 select three and 15 select one or two. Nevertheless, 65 per cent select one of the upper two categories, and the median remains four. Accessibility therefore retains majority support as a high-priority attribute. Its lower relative position does not justify treating access as a minor concern or assuming that facilities can be neglected.</w:t>
      </w:r>
    </w:p>
    <w:p>
      <w:pPr>
        <w:pageBreakBefore w:val="0"/>
      </w:pPr>
      <w:r>
        <w:t>The accessibility label combines parking and facilities, so the distribution cannot isolate mobility access, transport arrangements or particular building features. Different ratings might reflect different circumstances, but those circumstances were not measured here. Similarly, professionalism does not specify which behaviours respondents had in mind. The findings show the importance attached to the supplied labels. Explanations based on particular personal needs or organisational incidents would require evidence beyond these closed fields.</w:t>
      </w:r>
    </w:p>
    <w:p>
      <w:bookmarkStart w:id="176" w:name="m176"/>
      <w:pPr>
        <w:pStyle w:val="Heading3"/>
        <w:pageBreakBefore w:val="0"/>
      </w:pPr>
      <w:r>
        <w:t>4.3.5 Central tendency and variation</w:t>
      </w:r>
      <w:bookmarkEnd w:id="176"/>
    </w:p>
    <w:p>
      <w:pPr>
        <w:pageBreakBefore w:val="0"/>
      </w:pPr>
      <w:r>
        <w:t>Table 4.5 presents means, medians and sample standard deviations alongside the category distributions. The measures offer complementary descriptions. Means summarise the one-to-five coding; medians identify the middle position; standard deviations describe dispersion around the coded mean. Their use does not establish equal psychological distances between categories. The distributions therefore remain necessary for interpreting what the summaries represent.</w:t>
      </w:r>
    </w:p>
    <w:p>
      <w:bookmarkStart w:id="177" w:name="m177"/>
      <w:pPr>
        <w:keepNext/>
        <w:pageBreakBefore w:val="0"/>
      </w:pPr>
      <w:r>
        <w:rPr>
          <w:b/>
        </w:rPr>
        <w:t>Table 4.5  Importance rating summaries</w:t>
      </w:r>
      <w:bookmarkEnd w:id="17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752"/>
        <w:gridCol w:w="1296"/>
        <w:gridCol w:w="1296"/>
        <w:gridCol w:w="1296"/>
      </w:tblGrid>
      <w:tr>
        <w:trPr>
          <w:cantSplit/>
          <w:tblHeader/>
        </w:trPr>
        <w:tc>
          <w:tcPr>
            <w:tcW w:type="dxa" w:w="4752"/>
            <w:vAlign w:val="center"/>
            <w:tcMar>
              <w:top w:w="85" w:type="dxa"/>
              <w:bottom w:w="85" w:type="dxa"/>
              <w:left w:w="85" w:type="dxa"/>
              <w:right w:w="85" w:type="dxa"/>
            </w:tcMar>
            <w:shd w:fill="E7EDF3"/>
          </w:tcPr>
          <w:p>
            <w:pPr>
              <w:keepNext/>
              <w:spacing w:line="240" w:lineRule="auto" w:after="40" w:before="40"/>
              <w:jc w:val="left"/>
            </w:pPr>
            <w:r>
              <w:rPr>
                <w:b/>
                <w:sz w:val="20"/>
              </w:rPr>
              <w:t>Attribute</w:t>
            </w:r>
          </w:p>
        </w:tc>
        <w:tc>
          <w:tcPr>
            <w:tcW w:type="dxa" w:w="1296"/>
            <w:vAlign w:val="center"/>
            <w:tcMar>
              <w:top w:w="85" w:type="dxa"/>
              <w:bottom w:w="85" w:type="dxa"/>
              <w:left w:w="85" w:type="dxa"/>
              <w:right w:w="85" w:type="dxa"/>
            </w:tcMar>
            <w:shd w:fill="E7EDF3"/>
          </w:tcPr>
          <w:p>
            <w:pPr>
              <w:keepNext/>
              <w:spacing w:line="240" w:lineRule="auto" w:after="40" w:before="40"/>
              <w:jc w:val="center"/>
            </w:pPr>
            <w:r>
              <w:rPr>
                <w:b/>
                <w:sz w:val="20"/>
              </w:rPr>
              <w:t>Mean</w:t>
            </w:r>
          </w:p>
        </w:tc>
        <w:tc>
          <w:tcPr>
            <w:tcW w:type="dxa" w:w="1296"/>
            <w:vAlign w:val="center"/>
            <w:tcMar>
              <w:top w:w="85" w:type="dxa"/>
              <w:bottom w:w="85" w:type="dxa"/>
              <w:left w:w="85" w:type="dxa"/>
              <w:right w:w="85" w:type="dxa"/>
            </w:tcMar>
            <w:shd w:fill="E7EDF3"/>
          </w:tcPr>
          <w:p>
            <w:pPr>
              <w:keepNext/>
              <w:spacing w:line="240" w:lineRule="auto" w:after="40" w:before="40"/>
              <w:jc w:val="center"/>
            </w:pPr>
            <w:r>
              <w:rPr>
                <w:b/>
                <w:sz w:val="20"/>
              </w:rPr>
              <w:t>Median</w:t>
            </w:r>
          </w:p>
        </w:tc>
        <w:tc>
          <w:tcPr>
            <w:tcW w:type="dxa" w:w="1296"/>
            <w:vAlign w:val="center"/>
            <w:tcMar>
              <w:top w:w="85" w:type="dxa"/>
              <w:bottom w:w="85" w:type="dxa"/>
              <w:left w:w="85" w:type="dxa"/>
              <w:right w:w="85" w:type="dxa"/>
            </w:tcMar>
            <w:shd w:fill="E7EDF3"/>
          </w:tcPr>
          <w:p>
            <w:pPr>
              <w:keepNext/>
              <w:spacing w:line="240" w:lineRule="auto" w:after="40" w:before="40"/>
              <w:jc w:val="center"/>
            </w:pPr>
            <w:r>
              <w:rPr>
                <w:b/>
                <w:sz w:val="20"/>
              </w:rPr>
              <w:t>Sample SD</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Warm and friendly welcome</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4.32</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5.0</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0.95</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Clear and timely communication</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4.10</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4.0</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1.05</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Feeling valued and recognised</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4.23</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5.0</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0.98</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Staff/volunteer professionalism</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3.92</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4.0</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1.09</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Responsiveness to needs/feedback</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3.98</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4.0</w:t>
            </w:r>
          </w:p>
        </w:tc>
        <w:tc>
          <w:tcPr>
            <w:tcW w:type="dxa" w:w="1296"/>
            <w:vAlign w:val="center"/>
            <w:tcMar>
              <w:top w:w="85" w:type="dxa"/>
              <w:bottom w:w="85" w:type="dxa"/>
              <w:left w:w="85" w:type="dxa"/>
              <w:right w:w="85" w:type="dxa"/>
            </w:tcMar>
          </w:tcPr>
          <w:p>
            <w:pPr>
              <w:keepNext/>
              <w:spacing w:line="240" w:lineRule="auto" w:after="40" w:before="40"/>
              <w:jc w:val="center"/>
            </w:pPr>
            <w:r>
              <w:rPr>
                <w:b w:val="0"/>
                <w:sz w:val="20"/>
              </w:rPr>
              <w:t>1.07</w:t>
            </w:r>
          </w:p>
        </w:tc>
      </w:tr>
      <w:tr>
        <w:trPr>
          <w:cantSplit/>
        </w:trPr>
        <w:tc>
          <w:tcPr>
            <w:tcW w:type="dxa" w:w="4752"/>
            <w:vAlign w:val="center"/>
            <w:tcMar>
              <w:top w:w="85" w:type="dxa"/>
              <w:bottom w:w="85" w:type="dxa"/>
              <w:left w:w="85" w:type="dxa"/>
              <w:right w:w="85" w:type="dxa"/>
            </w:tcMar>
          </w:tcPr>
          <w:p>
            <w:pPr>
              <w:spacing w:line="240" w:lineRule="auto" w:after="40" w:before="40"/>
              <w:jc w:val="left"/>
            </w:pPr>
            <w:r>
              <w:rPr>
                <w:b w:val="0"/>
                <w:sz w:val="20"/>
              </w:rPr>
              <w:t>Parking/facilities accessibility</w:t>
            </w:r>
          </w:p>
        </w:tc>
        <w:tc>
          <w:tcPr>
            <w:tcW w:type="dxa" w:w="1296"/>
            <w:vAlign w:val="center"/>
            <w:tcMar>
              <w:top w:w="85" w:type="dxa"/>
              <w:bottom w:w="85" w:type="dxa"/>
              <w:left w:w="85" w:type="dxa"/>
              <w:right w:w="85" w:type="dxa"/>
            </w:tcMar>
          </w:tcPr>
          <w:p>
            <w:pPr>
              <w:spacing w:line="240" w:lineRule="auto" w:after="40" w:before="40"/>
              <w:jc w:val="center"/>
            </w:pPr>
            <w:r>
              <w:rPr>
                <w:b w:val="0"/>
                <w:sz w:val="20"/>
              </w:rPr>
              <w:t>3.80</w:t>
            </w:r>
          </w:p>
        </w:tc>
        <w:tc>
          <w:tcPr>
            <w:tcW w:type="dxa" w:w="1296"/>
            <w:vAlign w:val="center"/>
            <w:tcMar>
              <w:top w:w="85" w:type="dxa"/>
              <w:bottom w:w="85" w:type="dxa"/>
              <w:left w:w="85" w:type="dxa"/>
              <w:right w:w="85" w:type="dxa"/>
            </w:tcMar>
          </w:tcPr>
          <w:p>
            <w:pPr>
              <w:spacing w:line="240" w:lineRule="auto" w:after="40" w:before="40"/>
              <w:jc w:val="center"/>
            </w:pPr>
            <w:r>
              <w:rPr>
                <w:b w:val="0"/>
                <w:sz w:val="20"/>
              </w:rPr>
              <w:t>4.0</w:t>
            </w:r>
          </w:p>
        </w:tc>
        <w:tc>
          <w:tcPr>
            <w:tcW w:type="dxa" w:w="1296"/>
            <w:vAlign w:val="center"/>
            <w:tcMar>
              <w:top w:w="85" w:type="dxa"/>
              <w:bottom w:w="85" w:type="dxa"/>
              <w:left w:w="85" w:type="dxa"/>
              <w:right w:w="85" w:type="dxa"/>
            </w:tcMar>
          </w:tcPr>
          <w:p>
            <w:pPr>
              <w:spacing w:line="240" w:lineRule="auto" w:after="40" w:before="40"/>
              <w:jc w:val="center"/>
            </w:pPr>
            <w:r>
              <w:rPr>
                <w:b w:val="0"/>
                <w:sz w:val="20"/>
              </w:rPr>
              <w:t>1.17</w:t>
            </w:r>
          </w:p>
        </w:tc>
      </w:tr>
    </w:tbl>
    <w:p>
      <w:pPr>
        <w:pageBreakBefore w:val="0"/>
        <w:spacing w:line="240" w:lineRule="auto" w:before="80" w:after="160"/>
      </w:pPr>
      <w:r>
        <w:rPr>
          <w:sz w:val="20"/>
        </w:rPr>
        <w:t>Each attribute has 100 ratings. SD uses the sample formula with denominator n − 1. These are importance ratings, not performance scores.</w:t>
      </w:r>
    </w:p>
    <w:p>
      <w:pPr>
        <w:pageBreakBefore w:val="0"/>
      </w:pPr>
      <w:r>
        <w:t>Welcome has the smallest sample standard deviation, 0.95, while accessibility has the largest, 1.17. This corresponds to a stronger concentration at the upper end for welcome and a more dispersed distribution for accessibility. The difference does not identify the source of variation or prove disagreement between demographic groups. It describes the spread of the ratings available. Feeling valued has a similarly concentrated distribution, with a standard deviation of 0.98 and more than half of records at five.</w:t>
      </w:r>
    </w:p>
    <w:p>
      <w:pPr>
        <w:pageBreakBefore w:val="0"/>
      </w:pPr>
      <w:r>
        <w:t>The full range of means extends only from 3.80 to 4.32, a difference of 0.52 on the coded scale. All medians are four or five. The pattern therefore combines relative ordering with generally high importance across the entire set. Presenting only the ranks would conceal this shared level of support. Conversely, reporting only that all attributes matter would obscure the stronger concentration around welcome and recognition and the wider variation in accessibility.</w:t>
      </w:r>
    </w:p>
    <w:p>
      <w:bookmarkStart w:id="178" w:name="m178"/>
      <w:pPr>
        <w:pStyle w:val="Heading3"/>
        <w:pageBreakBefore w:val="0"/>
      </w:pPr>
      <w:r>
        <w:t>4.3.6 Initial synthesis against the research question</w:t>
      </w:r>
      <w:bookmarkEnd w:id="178"/>
    </w:p>
    <w:p>
      <w:pPr>
        <w:pageBreakBefore w:val="0"/>
      </w:pPr>
      <w:r>
        <w:t>These results address the importance component of the first research question. Within the specified items, welcome and feeling valued receive the strongest ratings, while communication, responsiveness, professionalism and accessibility also attract majorities in the upper two categories. The findings establish a profile of reported priorities rather than a scorecard of delivered service. They support examining both relational and organisational aspects of church experience without reducing either to a single composite index.</w:t>
      </w:r>
    </w:p>
    <w:p>
      <w:pPr>
        <w:pageBreakBefore w:val="0"/>
      </w:pPr>
      <w:r>
        <w:t>The next sections move from importance to respondents’ comparisons, adoption attitudes and selected experiences. That progression is necessary because a high-priority attribute and a favourable experience answer different questions. The present section supplies the priority profile against which later findings can be discussed carefully. It does not prescribe an implementation order, demonstrate a service failure or determine which intervention would produce improvement in a particular congregation.</w:t>
      </w:r>
    </w:p>
    <w:p>
      <w:bookmarkStart w:id="179" w:name="m179"/>
      <w:pPr>
        <w:pStyle w:val="Heading2"/>
        <w:pageBreakBefore w:val="0"/>
      </w:pPr>
      <w:r>
        <w:t>4.4 Comparison and Adoption Attitudes</w:t>
      </w:r>
      <w:bookmarkEnd w:id="179"/>
    </w:p>
    <w:p>
      <w:bookmarkStart w:id="180" w:name="m180"/>
      <w:pPr>
        <w:pStyle w:val="Heading3"/>
        <w:pageBreakBefore w:val="0"/>
      </w:pPr>
      <w:r>
        <w:t>4.4.1 Perceived comparison with businesses</w:t>
      </w:r>
      <w:bookmarkEnd w:id="180"/>
    </w:p>
    <w:p>
      <w:pPr>
        <w:pageBreakBefore w:val="0"/>
      </w:pPr>
      <w:r>
        <w:t>The comparison and adoption items examine two different judgements: whether respondents regard church service favourably relative to businesses, and whether they support introducing business-like service practices. The first describes a perceived comparison; the second concerns an organisational choice. Neither item provides an independent assessment of business performance. The results therefore address the congregant component of Research Questions 2 and 4 while leaving comparison with published hospitality and nonprofit evidence to the discussion.</w:t>
      </w:r>
    </w:p>
    <w:p>
      <w:bookmarkStart w:id="181" w:name="m181"/>
      <w:pPr>
        <w:keepNext/>
        <w:pageBreakBefore w:val="0"/>
      </w:pPr>
      <w:r>
        <w:rPr>
          <w:b/>
        </w:rPr>
        <w:t>Table 4.6  Church service compared with businesses</w:t>
      </w:r>
      <w:bookmarkEnd w:id="18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Much better</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18.0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Slightly better</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About the same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28.0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Slightly worse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Much worse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Denominator 100 congregant records; no exclusions. Percentages total 100%.</w:t>
      </w:r>
    </w:p>
    <w:p>
      <w:pPr>
        <w:pageBreakBefore w:val="0"/>
      </w:pPr>
      <w:r>
        <w:t>Fifty-three records rate church service as better than business service, comprising 18 much better and 35 slightly better responses. Twenty-eight indicate approximate equivalence, and 19 rate church service as worse. Favourable comparisons consequently predominate, although the largest individual category is slightly better. This distinction matters: the distribution indicates a generally favourable comparative position within these records, rather than uniformly strong endorsement.</w:t>
      </w:r>
    </w:p>
    <w:p>
      <w:pPr>
        <w:pageBreakBefore w:val="0"/>
      </w:pPr>
      <w:r>
        <w:t>The comparison lacks a standardised commercial reference. Respondents may have considered different businesses, encounters or expectations, and the transcription does not identify those reference points. A favourable answer may concern interpersonal warmth, practical assistance or another feature that the single item cannot separate. The result should therefore retain its wording as a judgement of church service relative to businesses. It does not establish that churches outperform hospitality organisations on a common service-quality instrument.</w:t>
      </w:r>
    </w:p>
    <w:p>
      <w:bookmarkStart w:id="182" w:name="m182"/>
      <w:pPr>
        <w:pStyle w:val="Heading3"/>
        <w:pageBreakBefore w:val="0"/>
      </w:pPr>
      <w:r>
        <w:t>4.4.2 Support for adopting business-like practices</w:t>
      </w:r>
      <w:bookmarkEnd w:id="182"/>
    </w:p>
    <w:p>
      <w:bookmarkStart w:id="183" w:name="m183"/>
      <w:pPr>
        <w:keepNext/>
        <w:pageBreakBefore w:val="0"/>
      </w:pPr>
      <w:r>
        <w:rPr>
          <w:b/>
        </w:rPr>
        <w:t>Table 4.7  Support for adopting business-like service practices</w:t>
      </w:r>
      <w:bookmarkEnd w:id="18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Strongly support</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32.0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Somewhat support</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28.0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Neutral / depends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Somewhat oppose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Strongly oppose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10.0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Denominator 100 congregant records; no exclusions. Percentages total 100%.</w:t>
      </w:r>
    </w:p>
    <w:p>
      <w:pPr>
        <w:pageBreakBefore w:val="0"/>
      </w:pPr>
      <w:r>
        <w:t>Support totals 60 records, divided between 32 strongly supporting and 28 somewhat supporting adoption. Opposition totals 25, with 15 somewhat opposed and 10 strongly opposed. The remaining 15 select neutral / depends. Support is thus the majority position, but 40 records do not express positive support. An interpretation of unrestricted consensus would conceal a substantial component of the distribution.</w:t>
      </w:r>
    </w:p>
    <w:p>
      <w:pPr>
        <w:pageBreakBefore w:val="0"/>
      </w:pPr>
      <w:r>
        <w:t>The combined neutral / depends category requires particular care. It accommodates both an intermediate position and a response contingent on unspecified conditions. Its 15 selections cannot all be classified as indecision, lack of knowledge or conditional acceptance. Similarly, somewhat supporting adoption is not automatically evidence of a specific theological qualification. The written reasons analysed in Chapter 5 are needed to distinguish practical endorsement from explicit conditions concerning religious purpose and commercialisation.</w:t>
      </w:r>
    </w:p>
    <w:p>
      <w:pPr>
        <w:pageBreakBefore w:val="0"/>
      </w:pPr>
      <w:r>
        <w:t>The quantitative result establishes space for considering service-management practices, but it does not identify a mandate for any particular intervention. Respondents were not choosing between fully specified programmes with stated costs, responsibilities and safeguards. Support for the general proposition cannot be translated directly into support for commercial language, performance targets or fundraising techniques. These distinctions preserve the meaning of the questionnaire while allowing subsequent analysis to examine what respondents intended by adoption.</w:t>
      </w:r>
    </w:p>
    <w:p>
      <w:bookmarkStart w:id="184" w:name="m184"/>
      <w:pPr>
        <w:pStyle w:val="Heading3"/>
        <w:pageBreakBefore w:val="0"/>
      </w:pPr>
      <w:r>
        <w:t>4.4.3 Variation by recorded church involvement</w:t>
      </w:r>
      <w:bookmarkEnd w:id="184"/>
    </w:p>
    <w:p>
      <w:pPr>
        <w:pageBreakBefore w:val="0"/>
      </w:pPr>
      <w:r>
        <w:t>A descriptive cross-tabulation of involvement and adoption reveals pronounced differences. All 20 leadership/volunteer records support adoption. Among regular attenders, 40 of 55 support it, equivalent to 72.7%. None of the 25 former-attender records expresses support. These figures identify whose perspectives contribute to the overall 60% support.</w:t>
      </w:r>
    </w:p>
    <w:p>
      <w:pPr>
        <w:pageBreakBefore w:val="0"/>
      </w:pPr>
      <w:r>
        <w:t>The groups are unequal in size and were not established through a verified probability sampling design. Their labels also describe different relationships with church life, potentially involving different experiences and opportunities to influence decisions. The cross-tabulation does not establish which of these possibilities explains the pattern. In particular, former-attender opposition cannot be treated as the reason for leaving, because the sequence of experiences, attitudes and departure was not measured.</w:t>
      </w:r>
    </w:p>
    <w:p>
      <w:pPr>
        <w:pageBreakBefore w:val="0"/>
      </w:pPr>
      <w:r>
        <w:t>The complete separation at the extremes deserves attention during source review. It is a property of the available transcription, not independent confirmation of a general difference between leaders and former attenders. Without checking the completed questionnaires, the study cannot resolve whether this unusually sharp pattern reflects the original answers, recruitment composition or a transcription issue. Retaining the pattern transparently is preferable to smoothing it away or treating it as strong causal evidence.</w:t>
      </w:r>
    </w:p>
    <w:p>
      <w:bookmarkStart w:id="185" w:name="m185"/>
      <w:pPr>
        <w:pStyle w:val="Heading2"/>
        <w:pageBreakBefore w:val="0"/>
      </w:pPr>
      <w:r>
        <w:t>4.5 Improvement and Perceived Responsiveness</w:t>
      </w:r>
      <w:bookmarkEnd w:id="185"/>
    </w:p>
    <w:p>
      <w:bookmarkStart w:id="186" w:name="m186"/>
      <w:pPr>
        <w:pStyle w:val="Heading3"/>
        <w:pageBreakBefore w:val="0"/>
      </w:pPr>
      <w:r>
        <w:t>4.5.1 Recognition of scope for improvement</w:t>
      </w:r>
      <w:bookmarkEnd w:id="186"/>
    </w:p>
    <w:p>
      <w:bookmarkStart w:id="187" w:name="m187"/>
      <w:pPr>
        <w:keepNext/>
        <w:pageBreakBefore w:val="0"/>
      </w:pPr>
      <w:r>
        <w:rPr>
          <w:b/>
        </w:rPr>
        <w:t>Table 4.8  Scope for church improvement</w:t>
      </w:r>
      <w:bookmarkEnd w:id="18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Yes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78.0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No</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Denominator 100 congregant records; no exclusions. Percentages total 100%.</w:t>
      </w:r>
    </w:p>
    <w:p>
      <w:pPr>
        <w:pageBreakBefore w:val="0"/>
      </w:pPr>
      <w:r>
        <w:t>Seventy-eight records indicate that the church could improve, while 22 answer no. This is a broad judgement about scope for change. It neither identifies the severity of shortcomings nor establishes overall dissatisfaction. Respondents may recognise strengths while still identifying improvements. Conversely, a no response does not explain whether the respondent considers existing arrangements adequate or interprets the question differently.</w:t>
      </w:r>
    </w:p>
    <w:p>
      <w:pPr>
        <w:pageBreakBefore w:val="0"/>
      </w:pPr>
      <w:r>
        <w:t>The record-level comparison supports the first distinction directly. All 53 records rating church service better than businesses also answer yes to improvement. Among the 28 reporting approximate equivalence, 23 answer yes. Only two of the 19 giving a worse comparison answer yes. The favourable-comparison group therefore combines relative approval with recognition of improvement potential. The less favourable group predominantly answers no, a pattern that prevents a straightforward reading of the improvement item as a dissatisfaction scale.</w:t>
      </w:r>
    </w:p>
    <w:p>
      <w:pPr>
        <w:pageBreakBefore w:val="0"/>
      </w:pPr>
      <w:r>
        <w:t>The transcription supplies no explanation for that latter combination. It could not responsibly be recoded simply because a worse comparison and a no response appear unexpected. The questions concern different judgements, and their joint distribution must remain visible. Chapter 5 examines suggestions where present, but written responses cannot retrospectively supply motives that respondents did not express. The result identifies an interpretive issue for the study rather than a basis for declaring these records invalid.</w:t>
      </w:r>
    </w:p>
    <w:p>
      <w:bookmarkStart w:id="188" w:name="m188"/>
      <w:pPr>
        <w:pStyle w:val="Heading3"/>
        <w:pageBreakBefore w:val="0"/>
      </w:pPr>
      <w:r>
        <w:t>4.5.2 Improvement and adoption as related but distinct judgements</w:t>
      </w:r>
      <w:bookmarkEnd w:id="188"/>
    </w:p>
    <w:p>
      <w:pPr>
        <w:pageBreakBefore w:val="0"/>
      </w:pPr>
      <w:r>
        <w:t>All 60 adoption-supporting records answer yes to improvement, as do all 15 neutral / depends records. Three of the 25 opposing records also answer yes; the other 22 answer no. Thus, within this transcription, all no responses to improvement occur among respondents opposing business-like practices. The correspondence is strong descriptively, but the questions remain conceptually distinct: acknowledging room for improvement need not imply endorsing a business-oriented approach.</w:t>
      </w:r>
    </w:p>
    <w:p>
      <w:pPr>
        <w:pageBreakBefore w:val="0"/>
      </w:pPr>
      <w:r>
        <w:t>Recorded involvement shows a similarly concentrated pattern. All 55 regular-attender and all 20 leadership/volunteer records answer yes, compared with three of 25 former-attender records. These counts reinforce the need to read the 78% in relation to sample composition. They also warrant the same source-verification caution as the adoption comparison. The present analysis reports the joint answers without assigning psychological explanations or treating the association as a tested mechanism.</w:t>
      </w:r>
    </w:p>
    <w:p>
      <w:bookmarkStart w:id="189" w:name="m189"/>
      <w:pPr>
        <w:pStyle w:val="Heading3"/>
        <w:pageBreakBefore w:val="0"/>
      </w:pPr>
      <w:r>
        <w:t>4.5.3 Perceived responsiveness</w:t>
      </w:r>
      <w:bookmarkEnd w:id="189"/>
    </w:p>
    <w:p>
      <w:bookmarkStart w:id="190" w:name="m190"/>
      <w:pPr>
        <w:keepNext/>
        <w:pageBreakBefore w:val="0"/>
      </w:pPr>
      <w:r>
        <w:rPr>
          <w:b/>
        </w:rPr>
        <w:t>Table 4.9  Perceived responsiveness</w:t>
      </w:r>
      <w:bookmarkEnd w:id="19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Very responsive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36</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36.0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Somewhat responsive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33</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33.0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Neutral</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Not very responsive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10.0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Not at all responsive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6</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6.0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Denominator 100 congregant records; no exclusions. Percentages total 100%.</w:t>
      </w:r>
    </w:p>
    <w:p>
      <w:pPr>
        <w:pageBreakBefore w:val="0"/>
      </w:pPr>
      <w:r>
        <w:t>Responsiveness receives 69 positive ratings: 36 very responsive and 33 somewhat responsive. Fifteen records are neutral, while 16 rate responsiveness negatively, including six not at all responsive. The lower categories identify a segment whose reported experience differs from the prevailing favourable assessment and should not disappear within a single average.</w:t>
      </w:r>
    </w:p>
    <w:p>
      <w:pPr>
        <w:pageBreakBefore w:val="0"/>
      </w:pPr>
      <w:r>
        <w:t>The difference between very and somewhat responsive also matters operationally. Both are favourable, but the second is a qualified rating within the scale. It cannot reveal whether responses were delayed, inconsistent or adequate only for certain requests. No objective response times, request histories or independently observed interactions accompany the item. Consequently, these data describe perceived responsiveness without demonstrating compliance with a service standard.</w:t>
      </w:r>
    </w:p>
    <w:p>
      <w:pPr>
        <w:pageBreakBefore w:val="0"/>
      </w:pPr>
      <w:r>
        <w:t>Responsiveness was also rated as an important attribute earlier in the questionnaire. Those importance ratings and the present experience ratings answer different questions and use different category meanings. Their percentages should not be subtracted to create a numerical service gap. Their legitimate contribution is complementary: one identifies the stated importance of responsiveness, while the other describes how respondents assess it in their reported church experience.</w:t>
      </w:r>
    </w:p>
    <w:p>
      <w:bookmarkStart w:id="191" w:name="m191"/>
      <w:pPr>
        <w:pStyle w:val="Heading2"/>
        <w:pageBreakBefore w:val="0"/>
      </w:pPr>
      <w:r>
        <w:t>4.6 Access to Support and Emotional Engagement</w:t>
      </w:r>
      <w:bookmarkEnd w:id="191"/>
    </w:p>
    <w:p>
      <w:bookmarkStart w:id="192" w:name="m192"/>
      <w:pPr>
        <w:pStyle w:val="Heading3"/>
        <w:pageBreakBefore w:val="0"/>
      </w:pPr>
      <w:r>
        <w:t>4.6.1 Access to leadership and pastoral support</w:t>
      </w:r>
      <w:bookmarkEnd w:id="192"/>
    </w:p>
    <w:p>
      <w:bookmarkStart w:id="193" w:name="m193"/>
      <w:pPr>
        <w:keepNext/>
        <w:pageBreakBefore w:val="0"/>
      </w:pPr>
      <w:r>
        <w:rPr>
          <w:b/>
        </w:rPr>
        <w:t>Table 4.10  Access to leadership and pastoral support</w:t>
      </w:r>
      <w:bookmarkEnd w:id="19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Very easy</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34</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34.0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Somewhat easy</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31</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31.0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Neutral / Not sure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Somewhat difficult</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Very difficult</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8.0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Denominator 100 congregant records; no exclusions. Percentages total 100%.</w:t>
      </w:r>
    </w:p>
    <w:p>
      <w:pPr>
        <w:pageBreakBefore w:val="0"/>
      </w:pPr>
      <w:r>
        <w:t>Sixty-five records describe access as easy, comprising 34 very easy and 31 somewhat easy responses. Twenty describe access as difficult, including eight very difficult. Fifteen select neutral / not sure. The balance is favourable, but one in five records reports difficulty. This minority is substantively relevant because accessing leadership or pastoral support may be necessary before concerns can receive a response.</w:t>
      </w:r>
    </w:p>
    <w:p>
      <w:pPr>
        <w:pageBreakBefore w:val="0"/>
      </w:pPr>
      <w:r>
        <w:t>The combined neutral / not sure category cannot distinguish an intermediate experience from uncertainty. Nor does difficulty identify its source. Availability, knowledge of contact routes, scheduling and willingness to approach leadership are possible issues for further investigation, not measured explanations. The questionnaire also combines leadership and pastoral support within the same item; it does not permit separate estimates for administrative access and pastoral care.</w:t>
      </w:r>
    </w:p>
    <w:p>
      <w:pPr>
        <w:pageBreakBefore w:val="0"/>
      </w:pPr>
      <w:r>
        <w:t>Cross-tabulating access and responsiveness shows that 61 of the 69 positively responsive records also report easy access. The other eight select neutral / not sure for access; none reports difficult access. All 20 difficult-access responses occur among records that are neutral or negative about responsiveness. This alignment supports describing a concentration of less favourable experiences across these two items. It does not establish that access problems caused low responsiveness ratings, or that improving one would necessarily change the other.</w:t>
      </w:r>
    </w:p>
    <w:p>
      <w:bookmarkStart w:id="194" w:name="m194"/>
      <w:pPr>
        <w:pStyle w:val="Heading3"/>
        <w:pageBreakBefore w:val="0"/>
      </w:pPr>
      <w:r>
        <w:t>4.6.2 Emotional engagement</w:t>
      </w:r>
      <w:bookmarkEnd w:id="194"/>
    </w:p>
    <w:p>
      <w:bookmarkStart w:id="195" w:name="m195"/>
      <w:pPr>
        <w:keepNext/>
        <w:pageBreakBefore w:val="0"/>
      </w:pPr>
      <w:r>
        <w:rPr>
          <w:b/>
        </w:rPr>
        <w:t>Table 4.11  Emotional engagement</w:t>
      </w:r>
      <w:bookmarkEnd w:id="19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Strongly agree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30.0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Agree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Neutral</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18.0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Disagree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Strongly disagree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Denominator 100 congregant records; no exclusions. Percentages total 100%.</w:t>
      </w:r>
    </w:p>
    <w:p>
      <w:pPr>
        <w:pageBreakBefore w:val="0"/>
      </w:pPr>
      <w:r>
        <w:t>Emotional engagement receives 65 positive responses, with 30 strongly agreeing and 35 agreeing. Eighteen are neutral, and 17 disagree, including five strongly disagreeing. The aggregate positive share matches that for easy access, but equal totals do not demonstrate that the same people selected both positive responses. Each item should retain its distinct meaning unless a specific record-level comparison is reported.</w:t>
      </w:r>
    </w:p>
    <w:p>
      <w:pPr>
        <w:pageBreakBefore w:val="0"/>
      </w:pPr>
      <w:r>
        <w:t>The emotional-engagement item provides a limited indicator of respondents’ stated experience. It does not measure the full range of religious commitment, belonging, spiritual wellbeing or loyalty. A positive answer cannot establish continued attendance, just as a negative answer cannot establish an intention to leave. Those claims would require relevant measures and, for change over time, an appropriate temporal design.</w:t>
      </w:r>
    </w:p>
    <w:p>
      <w:pPr>
        <w:pageBreakBefore w:val="0"/>
      </w:pPr>
      <w:r>
        <w:t>Read alongside access and responsiveness, the distribution shows that favourable experiences extend beyond practical contact arrangements to the emotional dimension included in the questionnaire. Nevertheless, 35 records do not express positive emotional engagement. This group contains both neutral and negative answers and should not be described collectively as emotionally disconnected. Preserving that distinction avoids turning the absence of agreement into evidence of a condition that was not directly established.</w:t>
      </w:r>
    </w:p>
    <w:p>
      <w:bookmarkStart w:id="196" w:name="m196"/>
      <w:pPr>
        <w:pStyle w:val="Heading2"/>
        <w:pageBreakBefore w:val="0"/>
      </w:pPr>
      <w:r>
        <w:t>4.7 Digital Engagement and Feedback Channels</w:t>
      </w:r>
      <w:bookmarkEnd w:id="196"/>
    </w:p>
    <w:p>
      <w:bookmarkStart w:id="197" w:name="m197"/>
      <w:pPr>
        <w:pStyle w:val="Heading3"/>
        <w:pageBreakBefore w:val="0"/>
      </w:pPr>
      <w:r>
        <w:t>4.7.1 Perceived effectiveness of digital engagement</w:t>
      </w:r>
      <w:bookmarkEnd w:id="197"/>
    </w:p>
    <w:p>
      <w:bookmarkStart w:id="198" w:name="m198"/>
      <w:pPr>
        <w:keepNext/>
        <w:pageBreakBefore w:val="0"/>
      </w:pPr>
      <w:r>
        <w:rPr>
          <w:b/>
        </w:rPr>
        <w:t>Table 4.12  Effectiveness of digital engagement</w:t>
      </w:r>
      <w:bookmarkEnd w:id="19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Strongly agree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Agree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34</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34.0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Neutral</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Disagree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16</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16.0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Strongly disagree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8.0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Denominator 100 congregant records; no exclusions. Percentages total 100%.</w:t>
      </w:r>
    </w:p>
    <w:p>
      <w:pPr>
        <w:pageBreakBefore w:val="0"/>
      </w:pPr>
      <w:r>
        <w:t>Fifty-six records agree that digital engagement is effective, including 22 strongly agreeing. Twenty are neutral, and 24 disagree, including eight strongly disagreeing. Positive responses remain the largest combined group, but the balance is less favourable than for responsiveness, pastoral access or emotional engagement. The difference is descriptive across distinct items, rather than a validated ranking of service dimensions.</w:t>
      </w:r>
    </w:p>
    <w:p>
      <w:pPr>
        <w:pageBreakBefore w:val="0"/>
      </w:pPr>
      <w:r>
        <w:t>The item does not identify particular platforms, frequency of use, technical access or the purposes for which digital contact occurred. A neutral response could reflect an intermediate assessment or limited experience; the data cannot determine which. Likewise, disagreement cannot be attributed specifically to technology failure or preference for in-person contact. The finding supports examining digital engagement further while leaving the source of the lower assessment unresolved.</w:t>
      </w:r>
    </w:p>
    <w:p>
      <w:pPr>
        <w:pageBreakBefore w:val="0"/>
      </w:pPr>
      <w:r>
        <w:t>Digital effectiveness should also remain separate from the value of digital provision itself. Respondents may consider a channel useful in principle while judging its current implementation poorly, or may value another form of participation. The questionnaire does not disentangle these possibilities. The result therefore provides an assessment to investigate rather than evidence for replacing, expanding or withdrawing a particular platform.</w:t>
      </w:r>
    </w:p>
    <w:p>
      <w:bookmarkStart w:id="199" w:name="m199"/>
      <w:pPr>
        <w:pStyle w:val="Heading3"/>
        <w:pageBreakBefore w:val="0"/>
      </w:pPr>
      <w:r>
        <w:t>4.7.2 Satisfaction with feedback channels</w:t>
      </w:r>
      <w:bookmarkEnd w:id="199"/>
    </w:p>
    <w:p>
      <w:bookmarkStart w:id="200" w:name="m200"/>
      <w:pPr>
        <w:keepNext/>
        <w:pageBreakBefore w:val="0"/>
      </w:pPr>
      <w:r>
        <w:rPr>
          <w:b/>
        </w:rPr>
        <w:t>Table 4.13  Satisfaction with feedback channels</w:t>
      </w:r>
      <w:bookmarkEnd w:id="20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Very satisfied</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Satisfied</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Neutral</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Dissatisfied</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Very dissatisfied</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8.0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Denominator 100 congregant records; no exclusions. Percentages total 100%.</w:t>
      </w:r>
    </w:p>
    <w:p>
      <w:pPr>
        <w:pageBreakBefore w:val="0"/>
      </w:pPr>
      <w:r>
        <w:t>Feedback channels receive 55 positive ratings: 20 very satisfied and 35 satisfied. Twenty-two records are neutral, while 23 indicate dissatisfaction, including eight very dissatisfied. Feedback has the lowest positive share among the five experience items considered here, although its one-percentage-point difference from digital engagement should not be presented as a meaningful tested difference. Both distributions contain sizeable neutral and negative components.</w:t>
      </w:r>
    </w:p>
    <w:p>
      <w:pPr>
        <w:pageBreakBefore w:val="0"/>
      </w:pPr>
      <w:r>
        <w:t>The feedback item concerns satisfaction with channels, not a verified audit of how suggestions or complaints were handled. It does not establish whether an individual submitted feedback, received acknowledgement or observed a resulting change. Those distinctions matter because a channel can exist without respondents finding it accessible or satisfactory. Staff reports of collection practices, examined subsequently, offer another perspective but cannot automatically be matched to these congregant experiences at church level.</w:t>
      </w:r>
    </w:p>
    <w:p>
      <w:bookmarkStart w:id="201" w:name="m201"/>
      <w:pPr>
        <w:pStyle w:val="Heading3"/>
        <w:pageBreakBefore w:val="0"/>
      </w:pPr>
      <w:r>
        <w:t>4.7.3 Patterns across digital engagement and feedback</w:t>
      </w:r>
      <w:bookmarkEnd w:id="201"/>
    </w:p>
    <w:p>
      <w:pPr>
        <w:pageBreakBefore w:val="0"/>
      </w:pPr>
      <w:r>
        <w:t>Record-level comparison identifies 42 records that rate digital engagement positively and report satisfaction with feedback. Fourteen rate digital engagement positively but are neutral about feedback. Conversely, 13 are neutral about digital engagement while satisfied with feedback. The measures therefore overlap without being interchangeable. A favourable experience in one area does not uniformly extend to the other.</w:t>
      </w:r>
    </w:p>
    <w:p>
      <w:pPr>
        <w:pageBreakBefore w:val="0"/>
      </w:pPr>
      <w:r>
        <w:t>Twenty-two of the 24 records rating digital engagement negatively also report dissatisfaction with feedback; the other two are neutral about feedback. The remaining dissatisfied-feedback record is neutral about digital engagement. This concentration is worth retaining as an observed pattern, but it does not show that feedback was delivered digitally or that a shared technological problem explains both answers. Channel use and causal sequence were not established by these items.</w:t>
      </w:r>
    </w:p>
    <w:p>
      <w:bookmarkStart w:id="202" w:name="m202"/>
      <w:pPr>
        <w:pStyle w:val="Heading3"/>
        <w:pageBreakBefore w:val="0"/>
      </w:pPr>
      <w:r>
        <w:t>4.7.4 Synthesis against the research questions</w:t>
      </w:r>
      <w:bookmarkEnd w:id="202"/>
    </w:p>
    <w:p>
      <w:pPr>
        <w:pageBreakBefore w:val="0"/>
      </w:pPr>
      <w:r>
        <w:t>For Research Question 1, the experience distributions show positive majorities across all five items, alongside identifiable neutral and negative groups. Responsiveness has the highest positive share at 69%, followed by access and emotional engagement at 65%, digital engagement at 56% and feedback satisfaction at 55%. These are descriptive proportions for separately worded questions, not scores on a validated combined scale.</w:t>
      </w:r>
    </w:p>
    <w:p>
      <w:pPr>
        <w:pageBreakBefore w:val="0"/>
      </w:pPr>
      <w:r>
        <w:t>For Research Questions 2 and 4, favourable business comparisons and majority support for adoption coexist with reservations and pronounced differences by involvement. Recognition of improvement potential is widespread but unevenly distributed. The results establish the numerical context for examining conditional usefulness in the written reasons; they do not measure it as an independent construct. The next sections consider staff and volunteer reports of practices, compatibility, leadership and constraints, adding an organisational perspective while preserving the separate questionnaire bases.</w:t>
      </w:r>
    </w:p>
    <w:p>
      <w:bookmarkStart w:id="203" w:name="m203"/>
      <w:pPr>
        <w:pStyle w:val="Heading2"/>
        <w:pageBreakBefore w:val="0"/>
      </w:pPr>
      <w:r>
        <w:t>4.8 Staff and Volunteer Feedback Practices and Tools</w:t>
      </w:r>
      <w:bookmarkEnd w:id="203"/>
    </w:p>
    <w:p>
      <w:bookmarkStart w:id="204" w:name="m204"/>
      <w:pPr>
        <w:pStyle w:val="Heading3"/>
        <w:pageBreakBefore w:val="0"/>
      </w:pPr>
      <w:r>
        <w:t>4.8.1 The organisational perspective</w:t>
      </w:r>
      <w:bookmarkEnd w:id="204"/>
    </w:p>
    <w:p>
      <w:pPr>
        <w:pageBreakBefore w:val="0"/>
      </w:pPr>
      <w:r>
        <w:t>The staff and volunteer questionnaire provides an organisational perspective on service practices and their perceived compatibility with church purposes. Its 140 records form a separate analytical base from the 100 congregant records. The results address reported arrangements and attitudes rather than independently observed church procedures. Multiple records cannot be assumed to represent distinct churches, and the available identifiers do not support matching a staff account to a particular congregant experience.</w:t>
      </w:r>
    </w:p>
    <w:p>
      <w:pPr>
        <w:pageBreakBefore w:val="0"/>
      </w:pPr>
      <w:r>
        <w:t>The analysis develops Research Question 3 through the staff records themselves, before examining compatibility and concerns relevant to Research Questions 4 and 5.</w:t>
      </w:r>
    </w:p>
    <w:p>
      <w:bookmarkStart w:id="205" w:name="m205"/>
      <w:pPr>
        <w:pStyle w:val="Heading3"/>
        <w:pageBreakBefore w:val="0"/>
      </w:pPr>
      <w:r>
        <w:t>4.8.2 Reported feedback collection methods</w:t>
      </w:r>
      <w:bookmarkEnd w:id="205"/>
    </w:p>
    <w:p>
      <w:bookmarkStart w:id="206" w:name="m206"/>
      <w:pPr>
        <w:keepNext/>
        <w:pageBreakBefore w:val="0"/>
      </w:pPr>
      <w:r>
        <w:rPr>
          <w:b/>
        </w:rPr>
        <w:t>Table 4.14  Reported feedback collection methods</w:t>
      </w:r>
      <w:bookmarkEnd w:id="20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Recorded selection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Verbal feedback</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98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70.0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Suggestion box</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63</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Regular surveys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56</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40.0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Pastoral meetings/listening sessions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No formal process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11</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7.9</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Other (digital/WhatsApp/small groups)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7.1</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None</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9</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6.4</w:t>
            </w:r>
          </w:p>
        </w:tc>
      </w:tr>
    </w:tbl>
    <w:p>
      <w:pPr>
        <w:pageBreakBefore w:val="0"/>
        <w:spacing w:line="240" w:lineRule="auto" w:before="80" w:after="160"/>
      </w:pPr>
      <w:r>
        <w:rPr>
          <w:sz w:val="20"/>
        </w:rPr>
        <w:t>Base 140 staff or volunteer records. Multiple selections permitted; percentages need not total 100%.</w:t>
      </w:r>
    </w:p>
    <w:p>
      <w:pPr>
        <w:pageBreakBefore w:val="0"/>
      </w:pPr>
      <w:r>
        <w:t>Verbal feedback is the most frequently recorded method, selected in 98 records, or 70.0%. Suggestion boxes appear in 63 records, regular surveys in 56 and pastoral meetings or listening sessions in 35. These selections indicate a mixture of conversational and more structured channels. Because respondents could record several methods, the percentages describe the proportion mentioning each option rather than mutually exclusive shares of a single process.</w:t>
      </w:r>
    </w:p>
    <w:p>
      <w:pPr>
        <w:pageBreakBefore w:val="0"/>
      </w:pPr>
      <w:r>
        <w:t>The prominence of verbal feedback establishes its visibility in the reported arrangements, but not its quality or effectiveness. A conversation may allow clarification and immediate engagement, yet the questionnaire does not establish whether its content was documented, reviewed or acted upon. Equally, selecting a survey or suggestion box does not demonstrate systematic follow-up. The findings describe collection routes without measuring the organisational sequence from receiving information to implementing a response.</w:t>
      </w:r>
    </w:p>
    <w:p>
      <w:pPr>
        <w:pageBreakBefore w:val="0"/>
      </w:pPr>
      <w:r>
        <w:t>Ten records select the combined other category covering digital communication, WhatsApp or small groups. The aggregate cannot identify how many use each of those routes. It should not be treated as a precise estimate of digital feedback adoption or compared directly with congregants’ broader digital-engagement ratings. The option indicates additional routes outside the principal categories, with insufficient detail to assign them to a single technological or relational model.</w:t>
      </w:r>
    </w:p>
    <w:p>
      <w:bookmarkStart w:id="207" w:name="m207"/>
      <w:pPr>
        <w:pStyle w:val="Heading3"/>
        <w:pageBreakBefore w:val="0"/>
      </w:pPr>
      <w:r>
        <w:t>4.8.3 Informality and ambiguous selections</w:t>
      </w:r>
      <w:bookmarkEnd w:id="207"/>
    </w:p>
    <w:p>
      <w:pPr>
        <w:pageBreakBefore w:val="0"/>
      </w:pPr>
      <w:r>
        <w:t>Eleven records select no formal process alongside at least one collection method. These answers have been retained under the documented preparation rules. The combination may distinguish informal activity from an established organisational procedure: verbal comments can be received even when no formal process exists. Some combinations, including regular surveys with no formal process, are harder to interpret. Retention preserves the original selections without resolving that ambiguity on respondents’ behalf.</w:t>
      </w:r>
    </w:p>
    <w:p>
      <w:pPr>
        <w:pageBreakBefore w:val="0"/>
      </w:pPr>
      <w:r>
        <w:t>Nine records select none. This category remains separate from no formal process, because absence of a reported method and absence of formalisation need not mean the same thing. Combining them would impose an interpretation beyond the available answers. Nor should the eleven ambiguous records be excluded automatically by analogy with the concerns item, where no significant concerns appears alongside substantive concerns. The cleaning decisions depend on the meaning of each question and its response combinations.</w:t>
      </w:r>
    </w:p>
    <w:p>
      <w:pPr>
        <w:pageBreakBefore w:val="0"/>
      </w:pPr>
      <w:r>
        <w:t>Taken together, the feedback results show that collection is often reported through interpersonal contact and that several structured routes are also present. They do not demonstrate a complete feedback-management system. Evidence about responsibility for reviewing comments, communication of decisions and assessment of outcomes would be needed to establish that fuller process. This distinction informs later recommendations without prematurely treating the reported absence of such evidence as proof that the activities never occurred.</w:t>
      </w:r>
    </w:p>
    <w:p>
      <w:bookmarkStart w:id="208" w:name="m208"/>
      <w:pPr>
        <w:pStyle w:val="Heading3"/>
        <w:pageBreakBefore w:val="0"/>
      </w:pPr>
      <w:r>
        <w:t>4.8.4 Reported use of service tools</w:t>
      </w:r>
      <w:bookmarkEnd w:id="208"/>
    </w:p>
    <w:p>
      <w:bookmarkStart w:id="209" w:name="m209"/>
      <w:pPr>
        <w:keepNext/>
        <w:pageBreakBefore w:val="0"/>
      </w:pPr>
      <w:r>
        <w:rPr>
          <w:b/>
        </w:rPr>
        <w:t>Table 4.15  Reported use of service tools</w:t>
      </w:r>
      <w:bookmarkEnd w:id="20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Yes, actively use multiple tools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17.9</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Yes, one or two tools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32.1</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Not yet, considering</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39</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27.9</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No, no plans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31</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22.1</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140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Base 140 staff or volunteer records. Percentages may differ from 100% because of rounding.</w:t>
      </w:r>
    </w:p>
    <w:p>
      <w:pPr>
        <w:pageBreakBefore w:val="0"/>
      </w:pPr>
      <w:r>
        <w:t>Exactly half the staff records report current tool use: 25 actively use multiple tools and 45 use one or two. Thirty-nine are considering tools, while 31 report no plans. The distribution separates current use, consideration and absence of plans. Collapsing the first three categories into adoption would overstate implementation, because considering a tool does not establish that it has been introduced.</w:t>
      </w:r>
    </w:p>
    <w:p>
      <w:pPr>
        <w:pageBreakBefore w:val="0"/>
      </w:pPr>
      <w:r>
        <w:t>The larger current-use category concerns one or two tools, suggesting limited breadth as described by the response options. However, the count of tools is not a measure of organisational maturity. A single well-integrated practice may differ substantially from several disconnected practices, and the questionnaire does not assess that distinction. No independently verified information about duration, intensity, coverage or outcomes accompanies the selections. Current use should therefore remain a reported status rather than an effectiveness judgement.</w:t>
      </w:r>
    </w:p>
    <w:p>
      <w:pPr>
        <w:pageBreakBefore w:val="0"/>
      </w:pPr>
      <w:r>
        <w:t>The 39 considering tools represent a different analytical position from the 31 with no plans. Consideration may indicate openness to change, but the data do not establish a timetable, decision authority or likelihood of implementation. Similarly, no plans does not establish permanent rejection. Maintaining these categories supports a more precise account of organisational readiness while recognising that the questionnaire records a position at one point rather than a trajectory over time.</w:t>
      </w:r>
    </w:p>
    <w:p>
      <w:bookmarkStart w:id="210" w:name="m210"/>
      <w:pPr>
        <w:pStyle w:val="Heading2"/>
        <w:pageBreakBefore w:val="0"/>
      </w:pPr>
      <w:r>
        <w:t>4.9 Compatibility and Leadership Support</w:t>
      </w:r>
      <w:bookmarkEnd w:id="210"/>
    </w:p>
    <w:p>
      <w:bookmarkStart w:id="211" w:name="m211"/>
      <w:pPr>
        <w:pStyle w:val="Heading3"/>
        <w:pageBreakBefore w:val="0"/>
      </w:pPr>
      <w:r>
        <w:t>4.9.1 Perceived compatibility with church purposes</w:t>
      </w:r>
      <w:bookmarkEnd w:id="211"/>
    </w:p>
    <w:p>
      <w:bookmarkStart w:id="212" w:name="m212"/>
      <w:pPr>
        <w:keepNext/>
        <w:pageBreakBefore w:val="0"/>
      </w:pPr>
      <w:r>
        <w:rPr>
          <w:b/>
        </w:rPr>
        <w:t>Table 4.16  Perceived compatibility</w:t>
      </w:r>
      <w:bookmarkEnd w:id="21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Very compatible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31</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22.1</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Somewhat compatible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53</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37.9</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Neutral / Not sure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17.9</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Somewhat incompatible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14.3</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Completely incompatible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11</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7.9</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140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Base 140 staff or volunteer records. Percentages may differ from 100% because of rounding.</w:t>
      </w:r>
    </w:p>
    <w:p>
      <w:pPr>
        <w:pageBreakBefore w:val="0"/>
      </w:pPr>
      <w:r>
        <w:t>Eighty-four records rate business-like practices as compatible, comprising 31 very compatible and 53 somewhat compatible responses. Twenty-five are neutral or unsure, while 31 rate them incompatible. The combined compatible share is 60.0%, but the largest individual category is somewhat compatible. The distribution therefore supports qualified receptiveness more clearly than unrestricted endorsement. The conditions behind that qualification are not specified by this item alone.</w:t>
      </w:r>
    </w:p>
    <w:p>
      <w:pPr>
        <w:pageBreakBefore w:val="0"/>
      </w:pPr>
      <w:r>
        <w:t>The incompatible categories also differ in intensity. Twenty records indicate some incompatibility, compared with eleven indicating complete incompatibility. Treating all opposition as absolute would conceal that distinction. Conversely, neutral / not sure cannot be assigned to either acceptance or rejection. It combines an intermediate judgement with uncertainty and does not explain whether respondents lack experience, require more information or consider compatibility dependent on the practice involved.</w:t>
      </w:r>
    </w:p>
    <w:p>
      <w:pPr>
        <w:pageBreakBefore w:val="0"/>
      </w:pPr>
      <w:r>
        <w:t>The compatible share equals congregants’ 60% support for adoption, but the equality is numerical rather than evidence of agreement between matched groups. The questionnaires have different bases and ask different questions. Compatibility concerns whether practices fit the church setting; adoption support concerns whether to introduce them. Their aggregate similarity can be reported, but it does not establish shared reasoning or equivalent strength of endorsement.</w:t>
      </w:r>
    </w:p>
    <w:p>
      <w:bookmarkStart w:id="213" w:name="m213"/>
      <w:pPr>
        <w:pStyle w:val="Heading3"/>
        <w:pageBreakBefore w:val="0"/>
      </w:pPr>
      <w:r>
        <w:t>4.9.2 Compatibility and current tool use</w:t>
      </w:r>
      <w:bookmarkEnd w:id="213"/>
    </w:p>
    <w:p>
      <w:pPr>
        <w:pageBreakBefore w:val="0"/>
      </w:pPr>
      <w:r>
        <w:t>Cross-tabulation shows that all 70 records reporting current tool use also rate practices as compatible. They comprise 31 very compatible and 39 somewhat compatible responses. Among the 70 not reporting current use, 14 rate practices somewhat compatible, 25 are neutral or unsure and 31 rate them incompatible. Thus, compatibility is not confined to users, but current use is confined to the compatible categories in this transcription.</w:t>
      </w:r>
    </w:p>
    <w:p>
      <w:pPr>
        <w:pageBreakBefore w:val="0"/>
      </w:pPr>
      <w:r>
        <w:t>This pattern identifies a strong descriptive alignment between reported practice and perceived fit. It cannot establish direction: favourable attitudes may precede use, experience of use may influence attitudes, or other factors may shape both. The available records provide no sequence with which to distinguish those possibilities. The complete absence of neutral or incompatible answers among current users should also remain visible during source review, rather than being treated as independent validation of a causal relationship.</w:t>
      </w:r>
    </w:p>
    <w:p>
      <w:pPr>
        <w:pageBreakBefore w:val="0"/>
      </w:pPr>
      <w:r>
        <w:t>Of the 39 considering tools, twelve report compatibility, eight are neutral or unsure and nineteen report incompatibility. Consideration therefore does not uniformly imply confidence in fit. This combination is useful for interpreting readiness: an organisation may be contemplating practices while its respondent expresses reservations. The data do not identify whether those reservations concern particular tools, implementation arrangements or the general business framing.</w:t>
      </w:r>
    </w:p>
    <w:p>
      <w:bookmarkStart w:id="214" w:name="m214"/>
      <w:pPr>
        <w:pStyle w:val="Heading3"/>
        <w:pageBreakBefore w:val="0"/>
      </w:pPr>
      <w:r>
        <w:t>4.9.3 Reported leadership response</w:t>
      </w:r>
      <w:bookmarkEnd w:id="214"/>
    </w:p>
    <w:p>
      <w:bookmarkStart w:id="215" w:name="m215"/>
      <w:pPr>
        <w:keepNext/>
        <w:pageBreakBefore w:val="0"/>
      </w:pPr>
      <w:r>
        <w:rPr>
          <w:b/>
        </w:rPr>
        <w:t>Table 4.17  Reported leadership response</w:t>
      </w:r>
      <w:bookmarkEnd w:id="21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Very supportive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Generally supportive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53</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37.9</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Mixed or divided</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31</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22.1</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Generally resistant</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14.3</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Strongly opposed</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5.7</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140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Base 140 staff or volunteer records. Percentages may differ from 100% because of rounding.</w:t>
      </w:r>
    </w:p>
    <w:p>
      <w:pPr>
        <w:pageBreakBefore w:val="0"/>
      </w:pPr>
      <w:r>
        <w:t>Leadership is described as supportive in 81 records, or 57.9%, comprising 28 very supportive and 53 generally supportive responses. Thirty-one describe leadership as mixed or divided. Twenty report general resistance and eight strong opposition. Support is the majority description, while the mixed category is larger than either resistant category separately. It should remain distinct because divided leadership can contain both supportive and opposing positions.</w:t>
      </w:r>
    </w:p>
    <w:p>
      <w:pPr>
        <w:pageBreakBefore w:val="0"/>
      </w:pPr>
      <w:r>
        <w:t>These are respondents’ accounts of leadership, not a direct survey of every decision-maker. The item does not identify which leaders were considered, how disagreement was expressed or whether a formal decision had been made. A supportive description also does not demonstrate provision of resources or implementation authority. The result establishes perceived leadership receptiveness while leaving the practical consequences of that receptiveness for later investigation.</w:t>
      </w:r>
    </w:p>
    <w:p>
      <w:pPr>
        <w:pageBreakBefore w:val="0"/>
      </w:pPr>
      <w:r>
        <w:t>All 81 supportive-leadership records occur among the 84 records rating practices compatible. The remaining three compatible records describe leadership as mixed or divided in two cases and generally resistant in one. No neutral or incompatible record describes supportive leadership. This close correspondence may reflect a shared organisational outlook or related judgements by the same respondent, but the questionnaire cannot separate these explanations. It should not be interpreted as evidence that leadership support produced compatibility.</w:t>
      </w:r>
    </w:p>
    <w:p>
      <w:bookmarkStart w:id="216" w:name="m216"/>
      <w:pPr>
        <w:pStyle w:val="Heading2"/>
        <w:pageBreakBefore w:val="0"/>
      </w:pPr>
      <w:r>
        <w:t>4.10 Spiritual Authenticity and Specific Concerns</w:t>
      </w:r>
      <w:bookmarkEnd w:id="216"/>
    </w:p>
    <w:p>
      <w:bookmarkStart w:id="217" w:name="m217"/>
      <w:pPr>
        <w:pStyle w:val="Heading3"/>
        <w:pageBreakBefore w:val="0"/>
      </w:pPr>
      <w:r>
        <w:t>4.10.1 Perceived risk to spiritual authenticity</w:t>
      </w:r>
      <w:bookmarkEnd w:id="217"/>
    </w:p>
    <w:p>
      <w:bookmarkStart w:id="218" w:name="m218"/>
      <w:pPr>
        <w:keepNext/>
        <w:pageBreakBefore w:val="0"/>
      </w:pPr>
      <w:r>
        <w:rPr>
          <w:b/>
        </w:rPr>
        <w:t>Table 4.18  Perceived risk to spiritual authenticity</w:t>
      </w:r>
      <w:bookmarkEnd w:id="21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Response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No risk at all</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17</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12.1</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Minimal risk</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21.4</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Neutral / Not sure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17.9</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Some risk</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34.3</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Significant risk</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14.3</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Total</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140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100.0</w:t>
            </w:r>
          </w:p>
        </w:tc>
      </w:tr>
    </w:tbl>
    <w:p>
      <w:pPr>
        <w:pageBreakBefore w:val="0"/>
        <w:spacing w:line="240" w:lineRule="auto" w:before="80" w:after="160"/>
      </w:pPr>
      <w:r>
        <w:rPr>
          <w:sz w:val="20"/>
        </w:rPr>
        <w:t>Base 140 staff or volunteer records. Percentages may differ from 100% because of rounding.</w:t>
      </w:r>
    </w:p>
    <w:p>
      <w:pPr>
        <w:pageBreakBefore w:val="0"/>
      </w:pPr>
      <w:r>
        <w:t>Sixty-eight records identify some or significant risk to spiritual authenticity, equivalent to 48.6% of the staff base. Forty-eight select some risk and twenty significant risk. Forty-seven indicate minimal or no risk, while 25 are neutral or unsure. The risk-identifying group is the largest combined group, but it remains below half the records. Describing it as a majority would misstate the distribution.</w:t>
      </w:r>
    </w:p>
    <w:p>
      <w:pPr>
        <w:pageBreakBefore w:val="0"/>
      </w:pPr>
      <w:r>
        <w:t>Perceived risk differs from demonstrated harm. These answers do not establish that business-like practices have reduced spiritual authenticity in any church. Nor do minimal-risk and no-risk responses demonstrate that safeguards are unnecessary. The item records a judgement about potential consequences without identifying the practices, circumstances or experiences underlying it. Its contribution is to show that spiritual concerns remain relevant within the organisational perspective.</w:t>
      </w:r>
    </w:p>
    <w:p>
      <w:bookmarkStart w:id="219" w:name="m219"/>
      <w:pPr>
        <w:pStyle w:val="Heading3"/>
        <w:pageBreakBefore w:val="0"/>
      </w:pPr>
      <w:r>
        <w:t>4.10.2 Compatibility alongside perceived risk</w:t>
      </w:r>
      <w:bookmarkEnd w:id="219"/>
    </w:p>
    <w:p>
      <w:pPr>
        <w:pageBreakBefore w:val="0"/>
      </w:pPr>
      <w:r>
        <w:t>Twelve of the 84 compatible records also identify some or significant risk: nine select some risk and three significant risk. Forty-seven compatible records indicate minimal or no risk, and 25 are neutral or unsure. Compatibility therefore does not invariably mean absence of concern. This within-record coexistence provides a limited quantitative basis for examining acceptance accompanied by reservations, while the precise nature of those reservations requires further evidence.</w:t>
      </w:r>
    </w:p>
    <w:p>
      <w:pPr>
        <w:pageBreakBefore w:val="0"/>
      </w:pPr>
      <w:r>
        <w:t>All 31 incompatible records identify some or significant risk, as do all 25 neutral or unsure compatibility records. These concentrations show how closely the two answers align in the transcription. They do not establish that spiritual risk is the sole reason for incompatibility, because the questionnaire does not isolate competing explanations or establish their relative influence. The pattern must remain descriptive and subject to the source limitations established in Chapter 3.</w:t>
      </w:r>
    </w:p>
    <w:p>
      <w:bookmarkStart w:id="220" w:name="m220"/>
      <w:pPr>
        <w:pStyle w:val="Heading3"/>
        <w:pageBreakBefore w:val="0"/>
      </w:pPr>
      <w:r>
        <w:t>4.10.3 Specific concerns and the valid response base</w:t>
      </w:r>
      <w:bookmarkEnd w:id="220"/>
    </w:p>
    <w:p>
      <w:bookmarkStart w:id="221" w:name="m221"/>
      <w:pPr>
        <w:keepNext/>
        <w:pageBreakBefore w:val="0"/>
      </w:pPr>
      <w:r>
        <w:rPr>
          <w:b/>
        </w:rPr>
        <w:t>Table 4.19  Specific concerns and sensitivity to exclusions</w:t>
      </w:r>
      <w:bookmarkEnd w:id="22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936"/>
        <w:gridCol w:w="1080"/>
        <w:gridCol w:w="936"/>
        <w:gridCol w:w="1080"/>
        <w:gridCol w:w="1368"/>
      </w:tblGrid>
      <w:tr>
        <w:trPr>
          <w:cantSplit/>
          <w:tblHeader/>
        </w:trPr>
        <w:tc>
          <w:tcPr>
            <w:tcW w:type="dxa" w:w="3240"/>
            <w:vAlign w:val="center"/>
            <w:tcMar>
              <w:top w:w="85" w:type="dxa"/>
              <w:bottom w:w="85" w:type="dxa"/>
              <w:left w:w="85" w:type="dxa"/>
              <w:right w:w="85" w:type="dxa"/>
            </w:tcMar>
            <w:shd w:fill="E7EDF3"/>
          </w:tcPr>
          <w:p>
            <w:pPr>
              <w:keepNext/>
              <w:spacing w:line="240" w:lineRule="auto" w:after="40" w:before="40"/>
              <w:jc w:val="left"/>
            </w:pPr>
            <w:r>
              <w:rPr>
                <w:b/>
                <w:sz w:val="20"/>
              </w:rPr>
              <w:t>Selection</w:t>
            </w:r>
          </w:p>
        </w:tc>
        <w:tc>
          <w:tcPr>
            <w:tcW w:type="dxa" w:w="936"/>
            <w:vAlign w:val="center"/>
            <w:tcMar>
              <w:top w:w="85" w:type="dxa"/>
              <w:bottom w:w="85" w:type="dxa"/>
              <w:left w:w="85" w:type="dxa"/>
              <w:right w:w="85" w:type="dxa"/>
            </w:tcMar>
            <w:shd w:fill="E7EDF3"/>
          </w:tcPr>
          <w:p>
            <w:pPr>
              <w:keepNext/>
              <w:spacing w:line="240" w:lineRule="auto" w:after="40" w:before="40"/>
              <w:jc w:val="center"/>
            </w:pPr>
            <w:r>
              <w:rPr>
                <w:b/>
                <w:sz w:val="20"/>
              </w:rPr>
              <w:t>Valid n</w:t>
            </w:r>
          </w:p>
        </w:tc>
        <w:tc>
          <w:tcPr>
            <w:tcW w:type="dxa" w:w="1080"/>
            <w:vAlign w:val="center"/>
            <w:tcMar>
              <w:top w:w="85" w:type="dxa"/>
              <w:bottom w:w="85" w:type="dxa"/>
              <w:left w:w="85" w:type="dxa"/>
              <w:right w:w="85" w:type="dxa"/>
            </w:tcMar>
            <w:shd w:fill="E7EDF3"/>
          </w:tcPr>
          <w:p>
            <w:pPr>
              <w:keepNext/>
              <w:spacing w:line="240" w:lineRule="auto" w:after="40" w:before="40"/>
              <w:jc w:val="center"/>
            </w:pPr>
            <w:r>
              <w:rPr>
                <w:b/>
                <w:sz w:val="20"/>
              </w:rPr>
              <w:t>Valid %</w:t>
            </w:r>
          </w:p>
        </w:tc>
        <w:tc>
          <w:tcPr>
            <w:tcW w:type="dxa" w:w="936"/>
            <w:vAlign w:val="center"/>
            <w:tcMar>
              <w:top w:w="85" w:type="dxa"/>
              <w:bottom w:w="85" w:type="dxa"/>
              <w:left w:w="85" w:type="dxa"/>
              <w:right w:w="85" w:type="dxa"/>
            </w:tcMar>
            <w:shd w:fill="E7EDF3"/>
          </w:tcPr>
          <w:p>
            <w:pPr>
              <w:keepNext/>
              <w:spacing w:line="240" w:lineRule="auto" w:after="40" w:before="40"/>
              <w:jc w:val="center"/>
            </w:pPr>
            <w:r>
              <w:rPr>
                <w:b/>
                <w:sz w:val="20"/>
              </w:rPr>
              <w:t>Raw n</w:t>
            </w:r>
          </w:p>
        </w:tc>
        <w:tc>
          <w:tcPr>
            <w:tcW w:type="dxa" w:w="1080"/>
            <w:vAlign w:val="center"/>
            <w:tcMar>
              <w:top w:w="85" w:type="dxa"/>
              <w:bottom w:w="85" w:type="dxa"/>
              <w:left w:w="85" w:type="dxa"/>
              <w:right w:w="85" w:type="dxa"/>
            </w:tcMar>
            <w:shd w:fill="E7EDF3"/>
          </w:tcPr>
          <w:p>
            <w:pPr>
              <w:keepNext/>
              <w:spacing w:line="240" w:lineRule="auto" w:after="40" w:before="40"/>
              <w:jc w:val="center"/>
            </w:pPr>
            <w:r>
              <w:rPr>
                <w:b/>
                <w:sz w:val="20"/>
              </w:rPr>
              <w:t>Raw %</w:t>
            </w:r>
          </w:p>
        </w:tc>
        <w:tc>
          <w:tcPr>
            <w:tcW w:type="dxa" w:w="1368"/>
            <w:vAlign w:val="center"/>
            <w:tcMar>
              <w:top w:w="85" w:type="dxa"/>
              <w:bottom w:w="85" w:type="dxa"/>
              <w:left w:w="85" w:type="dxa"/>
              <w:right w:w="85" w:type="dxa"/>
            </w:tcMar>
            <w:shd w:fill="E7EDF3"/>
          </w:tcPr>
          <w:p>
            <w:pPr>
              <w:keepNext/>
              <w:spacing w:line="240" w:lineRule="auto" w:after="40" w:before="40"/>
              <w:jc w:val="center"/>
            </w:pPr>
            <w:r>
              <w:rPr>
                <w:b/>
                <w:sz w:val="20"/>
              </w:rPr>
              <w:t>Change pp</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Fear of commercializing ministry</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57</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49.1</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67</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47.9</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+1.3</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Losing spiritual focus</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50</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43.1</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62</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44.3</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-1.2</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Resistance to change</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40</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34.5</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53</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37.9</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-3.4</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Layperson overreach/loss of control</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29</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25.0</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36</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25.7</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-0.7</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No significant concerns</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7</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6.0</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31</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22.1</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-16.1</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None</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14</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12.1</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14</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10.0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+2.1</w:t>
            </w:r>
          </w:p>
        </w:tc>
      </w:tr>
      <w:tr>
        <w:trPr>
          <w:cantSplit/>
        </w:trPr>
        <w:tc>
          <w:tcPr>
            <w:tcW w:type="dxa" w:w="3240"/>
            <w:vAlign w:val="center"/>
            <w:tcMar>
              <w:top w:w="85" w:type="dxa"/>
              <w:bottom w:w="85" w:type="dxa"/>
              <w:left w:w="85" w:type="dxa"/>
              <w:right w:w="85" w:type="dxa"/>
            </w:tcMar>
          </w:tcPr>
          <w:p>
            <w:pPr>
              <w:keepNext w:val="0"/>
              <w:spacing w:line="240" w:lineRule="auto" w:after="40" w:before="40"/>
              <w:jc w:val="left"/>
            </w:pPr>
            <w:r>
              <w:rPr>
                <w:b w:val="0"/>
                <w:sz w:val="20"/>
              </w:rPr>
              <w:t>Other</w:t>
            </w:r>
          </w:p>
        </w:tc>
        <w:tc>
          <w:tcPr>
            <w:tcW w:type="dxa" w:w="936"/>
            <w:vAlign w:val="center"/>
            <w:tcMar>
              <w:top w:w="85" w:type="dxa"/>
              <w:bottom w:w="85" w:type="dxa"/>
              <w:left w:w="85" w:type="dxa"/>
              <w:right w:w="85" w:type="dxa"/>
            </w:tcMar>
          </w:tcPr>
          <w:p>
            <w:pPr>
              <w:keepNext w:val="0"/>
              <w:spacing w:line="240" w:lineRule="auto" w:after="40" w:before="40"/>
              <w:jc w:val="center"/>
            </w:pPr>
            <w:r>
              <w:rPr>
                <w:b w:val="0"/>
                <w:sz w:val="20"/>
              </w:rPr>
              <w:t>7</w:t>
            </w:r>
          </w:p>
        </w:tc>
        <w:tc>
          <w:tcPr>
            <w:tcW w:type="dxa" w:w="1080"/>
            <w:vAlign w:val="center"/>
            <w:tcMar>
              <w:top w:w="85" w:type="dxa"/>
              <w:bottom w:w="85" w:type="dxa"/>
              <w:left w:w="85" w:type="dxa"/>
              <w:right w:w="85" w:type="dxa"/>
            </w:tcMar>
          </w:tcPr>
          <w:p>
            <w:pPr>
              <w:keepNext w:val="0"/>
              <w:spacing w:line="240" w:lineRule="auto" w:after="40" w:before="40"/>
              <w:jc w:val="center"/>
            </w:pPr>
            <w:r>
              <w:rPr>
                <w:b w:val="0"/>
                <w:sz w:val="20"/>
              </w:rPr>
              <w:t>6.0</w:t>
            </w:r>
          </w:p>
        </w:tc>
        <w:tc>
          <w:tcPr>
            <w:tcW w:type="dxa" w:w="936"/>
            <w:vAlign w:val="center"/>
            <w:tcMar>
              <w:top w:w="85" w:type="dxa"/>
              <w:bottom w:w="85" w:type="dxa"/>
              <w:left w:w="85" w:type="dxa"/>
              <w:right w:w="85" w:type="dxa"/>
            </w:tcMar>
          </w:tcPr>
          <w:p>
            <w:pPr>
              <w:keepNext w:val="0"/>
              <w:spacing w:line="240" w:lineRule="auto" w:after="40" w:before="40"/>
              <w:jc w:val="center"/>
            </w:pPr>
            <w:r>
              <w:rPr>
                <w:b w:val="0"/>
                <w:sz w:val="20"/>
              </w:rPr>
              <w:t>11</w:t>
            </w:r>
          </w:p>
        </w:tc>
        <w:tc>
          <w:tcPr>
            <w:tcW w:type="dxa" w:w="1080"/>
            <w:vAlign w:val="center"/>
            <w:tcMar>
              <w:top w:w="85" w:type="dxa"/>
              <w:bottom w:w="85" w:type="dxa"/>
              <w:left w:w="85" w:type="dxa"/>
              <w:right w:w="85" w:type="dxa"/>
            </w:tcMar>
          </w:tcPr>
          <w:p>
            <w:pPr>
              <w:keepNext w:val="0"/>
              <w:spacing w:line="240" w:lineRule="auto" w:after="40" w:before="40"/>
              <w:jc w:val="center"/>
            </w:pPr>
            <w:r>
              <w:rPr>
                <w:b w:val="0"/>
                <w:sz w:val="20"/>
              </w:rPr>
              <w:t>7.9</w:t>
            </w:r>
          </w:p>
        </w:tc>
        <w:tc>
          <w:tcPr>
            <w:tcW w:type="dxa" w:w="1368"/>
            <w:vAlign w:val="center"/>
            <w:tcMar>
              <w:top w:w="85" w:type="dxa"/>
              <w:bottom w:w="85" w:type="dxa"/>
              <w:left w:w="85" w:type="dxa"/>
              <w:right w:w="85" w:type="dxa"/>
            </w:tcMar>
          </w:tcPr>
          <w:p>
            <w:pPr>
              <w:keepNext w:val="0"/>
              <w:spacing w:line="240" w:lineRule="auto" w:after="40" w:before="40"/>
              <w:jc w:val="center"/>
            </w:pPr>
            <w:r>
              <w:rPr>
                <w:b w:val="0"/>
                <w:sz w:val="20"/>
              </w:rPr>
              <w:t>-1.8</w:t>
            </w:r>
          </w:p>
        </w:tc>
      </w:tr>
    </w:tbl>
    <w:p>
      <w:pPr>
        <w:pageBreakBefore w:val="0"/>
        <w:spacing w:line="240" w:lineRule="auto" w:before="80" w:after="160"/>
      </w:pPr>
      <w:r>
        <w:rPr>
          <w:sz w:val="20"/>
        </w:rPr>
        <w:t>Valid base 116; raw base 140. Multiple selections permitted. Change pp is valid minus raw percentage, calculated before rounding.</w:t>
      </w:r>
    </w:p>
    <w:p>
      <w:pPr>
        <w:pageBreakBefore w:val="0"/>
      </w:pPr>
      <w:r>
        <w:t>The specific-concerns item permits multiple selections. Twenty-four records combine no significant concerns with at least one substantive concern and are excluded from this item’s primary analysis under the documented conflict rule. The valid base is consequently 116. Those records remain available for unaffected questions, including compatibility, leadership response and spiritual risk. An item-level exclusion does not remove a respondent’s entire questionnaire.</w:t>
      </w:r>
    </w:p>
    <w:p>
      <w:pPr>
        <w:pageBreakBefore w:val="0"/>
      </w:pPr>
      <w:r>
        <w:t>Fear of commercialising ministry is the most frequently selected concern among valid records, appearing in 57, or 49.1%. Losing spiritual focus appears in 50, or 43.1%; resistance to change in 40, or 34.5%; and layperson overreach or loss of control in 29, or 25.0%. These concerns distinguish the perceived purpose of church activity from organisational change and authority. Their frequency does not establish which issue is most important to any individual respondent.</w:t>
      </w:r>
    </w:p>
    <w:p>
      <w:pPr>
        <w:pageBreakBefore w:val="0"/>
      </w:pPr>
      <w:r>
        <w:t>Twenty-nine valid records select both commercialisation and loss of spiritual focus. Their overlap means that the two counts cannot be added to estimate the number expressing either concern. The categories can nevertheless retain separate analytical meanings: one names a commercial orientation, while the other names spiritual focus. The questionnaire does not provide sufficient detail to determine whether respondents regarded them as the same problem or as related but distinct risks.</w:t>
      </w:r>
    </w:p>
    <w:p>
      <w:bookmarkStart w:id="222" w:name="m222"/>
      <w:pPr>
        <w:pStyle w:val="Heading3"/>
        <w:pageBreakBefore w:val="0"/>
      </w:pPr>
      <w:r>
        <w:t>4.10.4 Sensitivity to conflicting answers</w:t>
      </w:r>
      <w:bookmarkEnd w:id="222"/>
    </w:p>
    <w:p>
      <w:pPr>
        <w:pageBreakBefore w:val="0"/>
      </w:pPr>
      <w:r>
        <w:t>Table 4.19 retains the raw results alongside the valid results so that the effect of the preparation rule is explicit. The most substantial change concerns no significant concerns, falling from 31 raw selections to seven valid selections. Its percentage falls from 22.1% of 140 to 6.0% of 116. This change arises directly from excluding contradictory combinations, not from evidence that respondents revised their views.</w:t>
      </w:r>
    </w:p>
    <w:p>
      <w:pPr>
        <w:pageBreakBefore w:val="0"/>
      </w:pPr>
      <w:r>
        <w:t>Commercialisation selections fall from 67 to 57, yet their percentage rises from 47.9% to 49.1% because the denominator also decreases. Counts and percentages must therefore be interpreted together. The percentage-point changes in the table are calculated from unrounded proportions; small differences from subtraction of the displayed rounded percentages are expected. The ordering of the four principal substantive concerns remains unchanged after exclusion, supporting a stable descriptive ordering without resolving the underlying conflicts.</w:t>
      </w:r>
    </w:p>
    <w:p>
      <w:pPr>
        <w:pageBreakBefore w:val="0"/>
      </w:pPr>
      <w:r>
        <w:t xml:space="preserve">Fourteen valid records select none and seven select no significant concerns. These labels remain separate in reporting. Seven select other, which cannot be elaborated without additional content. </w:t>
      </w:r>
    </w:p>
    <w:p>
      <w:bookmarkStart w:id="223" w:name="m223"/>
      <w:pPr>
        <w:pStyle w:val="Heading3"/>
        <w:pageBreakBefore w:val="0"/>
      </w:pPr>
      <w:r>
        <w:t>4.10.5 Synthesis of the organisational findings</w:t>
      </w:r>
      <w:bookmarkEnd w:id="223"/>
    </w:p>
    <w:p>
      <w:pPr>
        <w:pageBreakBefore w:val="0"/>
      </w:pPr>
      <w:r>
        <w:t>For Research Question 3, the staff records indicate widespread reporting of verbal feedback, several additional collection routes and current tool use in half the records. For Research Question 4, compatibility and perceived leadership support predominate, accompanied by neutral, divided and opposing positions. For Research Question 5, spiritual risk and specific concerns identify qualifications that cannot be reduced to a simple choice between acceptance and rejection.</w:t>
      </w:r>
    </w:p>
    <w:p>
      <w:pPr>
        <w:pageBreakBefore w:val="0"/>
      </w:pPr>
      <w:r>
        <w:t>The combined findings support examining conditional usefulness as an interpretation across the study, rather than treating it as a directly measured scale. Reported practices, compatible attitudes and concern can coexist, although their relationships are uneven and sometimes sharply separated in the transcription. The next sections examine monitoring and practical barriers before synthesising the quantitative evidence against the research questions and reviewing its analytical limits.</w:t>
      </w:r>
    </w:p>
    <w:p>
      <w:bookmarkStart w:id="224" w:name="m224"/>
      <w:pPr>
        <w:pStyle w:val="Heading2"/>
        <w:pageBreakBefore w:val="0"/>
      </w:pPr>
      <w:r>
        <w:t>4.11 Monitoring Practices</w:t>
      </w:r>
      <w:bookmarkEnd w:id="224"/>
    </w:p>
    <w:p>
      <w:bookmarkStart w:id="225" w:name="m225"/>
      <w:pPr>
        <w:pStyle w:val="Heading3"/>
        <w:pageBreakBefore w:val="0"/>
      </w:pPr>
      <w:r>
        <w:t>4.11.1 Reported approaches to monitoring</w:t>
      </w:r>
      <w:bookmarkEnd w:id="225"/>
    </w:p>
    <w:p>
      <w:pPr>
        <w:pageBreakBefore w:val="0"/>
      </w:pPr>
      <w:r>
        <w:t>Monitoring concerns how staff and volunteer respondents report assessing church activity and experience. It is related to feedback collection but addresses a different organisational function. A church may receive comments without using them systematically to monitor outcomes, while attendance records may be maintained without directly asking about service experience. The present item identifies reported approaches; it does not audit how information is interpreted or used in decisions.</w:t>
      </w:r>
    </w:p>
    <w:p>
      <w:bookmarkStart w:id="226" w:name="m226"/>
      <w:pPr>
        <w:keepNext/>
        <w:pageBreakBefore w:val="0"/>
      </w:pPr>
      <w:r>
        <w:rPr>
          <w:b/>
        </w:rPr>
        <w:t>Table 4.20  Monitoring practices and sensitivity to exclusions</w:t>
      </w:r>
      <w:bookmarkEnd w:id="22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936"/>
        <w:gridCol w:w="1080"/>
        <w:gridCol w:w="936"/>
        <w:gridCol w:w="1080"/>
        <w:gridCol w:w="1368"/>
      </w:tblGrid>
      <w:tr>
        <w:trPr>
          <w:cantSplit/>
          <w:tblHeader/>
        </w:trPr>
        <w:tc>
          <w:tcPr>
            <w:tcW w:type="dxa" w:w="3240"/>
            <w:vAlign w:val="center"/>
            <w:tcMar>
              <w:top w:w="85" w:type="dxa"/>
              <w:bottom w:w="85" w:type="dxa"/>
              <w:left w:w="85" w:type="dxa"/>
              <w:right w:w="85" w:type="dxa"/>
            </w:tcMar>
            <w:shd w:fill="E7EDF3"/>
          </w:tcPr>
          <w:p>
            <w:pPr>
              <w:keepNext/>
              <w:spacing w:line="240" w:lineRule="auto" w:after="40" w:before="40"/>
              <w:jc w:val="left"/>
            </w:pPr>
            <w:r>
              <w:rPr>
                <w:b/>
                <w:sz w:val="20"/>
              </w:rPr>
              <w:t>Selection</w:t>
            </w:r>
          </w:p>
        </w:tc>
        <w:tc>
          <w:tcPr>
            <w:tcW w:type="dxa" w:w="936"/>
            <w:vAlign w:val="center"/>
            <w:tcMar>
              <w:top w:w="85" w:type="dxa"/>
              <w:bottom w:w="85" w:type="dxa"/>
              <w:left w:w="85" w:type="dxa"/>
              <w:right w:w="85" w:type="dxa"/>
            </w:tcMar>
            <w:shd w:fill="E7EDF3"/>
          </w:tcPr>
          <w:p>
            <w:pPr>
              <w:keepNext/>
              <w:spacing w:line="240" w:lineRule="auto" w:after="40" w:before="40"/>
              <w:jc w:val="center"/>
            </w:pPr>
            <w:r>
              <w:rPr>
                <w:b/>
                <w:sz w:val="20"/>
              </w:rPr>
              <w:t>Valid n</w:t>
            </w:r>
          </w:p>
        </w:tc>
        <w:tc>
          <w:tcPr>
            <w:tcW w:type="dxa" w:w="1080"/>
            <w:vAlign w:val="center"/>
            <w:tcMar>
              <w:top w:w="85" w:type="dxa"/>
              <w:bottom w:w="85" w:type="dxa"/>
              <w:left w:w="85" w:type="dxa"/>
              <w:right w:w="85" w:type="dxa"/>
            </w:tcMar>
            <w:shd w:fill="E7EDF3"/>
          </w:tcPr>
          <w:p>
            <w:pPr>
              <w:keepNext/>
              <w:spacing w:line="240" w:lineRule="auto" w:after="40" w:before="40"/>
              <w:jc w:val="center"/>
            </w:pPr>
            <w:r>
              <w:rPr>
                <w:b/>
                <w:sz w:val="20"/>
              </w:rPr>
              <w:t>Valid %</w:t>
            </w:r>
          </w:p>
        </w:tc>
        <w:tc>
          <w:tcPr>
            <w:tcW w:type="dxa" w:w="936"/>
            <w:vAlign w:val="center"/>
            <w:tcMar>
              <w:top w:w="85" w:type="dxa"/>
              <w:bottom w:w="85" w:type="dxa"/>
              <w:left w:w="85" w:type="dxa"/>
              <w:right w:w="85" w:type="dxa"/>
            </w:tcMar>
            <w:shd w:fill="E7EDF3"/>
          </w:tcPr>
          <w:p>
            <w:pPr>
              <w:keepNext/>
              <w:spacing w:line="240" w:lineRule="auto" w:after="40" w:before="40"/>
              <w:jc w:val="center"/>
            </w:pPr>
            <w:r>
              <w:rPr>
                <w:b/>
                <w:sz w:val="20"/>
              </w:rPr>
              <w:t>Raw n</w:t>
            </w:r>
          </w:p>
        </w:tc>
        <w:tc>
          <w:tcPr>
            <w:tcW w:type="dxa" w:w="1080"/>
            <w:vAlign w:val="center"/>
            <w:tcMar>
              <w:top w:w="85" w:type="dxa"/>
              <w:bottom w:w="85" w:type="dxa"/>
              <w:left w:w="85" w:type="dxa"/>
              <w:right w:w="85" w:type="dxa"/>
            </w:tcMar>
            <w:shd w:fill="E7EDF3"/>
          </w:tcPr>
          <w:p>
            <w:pPr>
              <w:keepNext/>
              <w:spacing w:line="240" w:lineRule="auto" w:after="40" w:before="40"/>
              <w:jc w:val="center"/>
            </w:pPr>
            <w:r>
              <w:rPr>
                <w:b/>
                <w:sz w:val="20"/>
              </w:rPr>
              <w:t>Raw %</w:t>
            </w:r>
          </w:p>
        </w:tc>
        <w:tc>
          <w:tcPr>
            <w:tcW w:type="dxa" w:w="1368"/>
            <w:vAlign w:val="center"/>
            <w:tcMar>
              <w:top w:w="85" w:type="dxa"/>
              <w:bottom w:w="85" w:type="dxa"/>
              <w:left w:w="85" w:type="dxa"/>
              <w:right w:w="85" w:type="dxa"/>
            </w:tcMar>
            <w:shd w:fill="E7EDF3"/>
          </w:tcPr>
          <w:p>
            <w:pPr>
              <w:keepNext/>
              <w:spacing w:line="240" w:lineRule="auto" w:after="40" w:before="40"/>
              <w:jc w:val="center"/>
            </w:pPr>
            <w:r>
              <w:rPr>
                <w:b/>
                <w:sz w:val="20"/>
              </w:rPr>
              <w:t>Change pp</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Attendance tracking</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79</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67.5</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98</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70.0</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-2.5</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Informal pastoral feedback</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75</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64.1</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87</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62.1</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+2.0</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Participation in small groups/ministries</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53</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45.3</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64</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45.7</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-0.4</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Formal surveys</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31</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26.5</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39</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27.9</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-1.4</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We do not currently measure this</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2</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1.7</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25</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17.9</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-16.1</w:t>
            </w:r>
          </w:p>
        </w:tc>
      </w:tr>
      <w:tr>
        <w:trPr>
          <w:cantSplit/>
        </w:trPr>
        <w:tc>
          <w:tcPr>
            <w:tcW w:type="dxa" w:w="3240"/>
            <w:vAlign w:val="center"/>
            <w:tcMar>
              <w:top w:w="85" w:type="dxa"/>
              <w:bottom w:w="85" w:type="dxa"/>
              <w:left w:w="85" w:type="dxa"/>
              <w:right w:w="85" w:type="dxa"/>
            </w:tcMar>
          </w:tcPr>
          <w:p>
            <w:pPr>
              <w:keepNext/>
              <w:spacing w:line="240" w:lineRule="auto" w:after="40" w:before="40"/>
              <w:jc w:val="left"/>
            </w:pPr>
            <w:r>
              <w:rPr>
                <w:b w:val="0"/>
                <w:sz w:val="20"/>
              </w:rPr>
              <w:t>None</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6</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5.1</w:t>
            </w:r>
          </w:p>
        </w:tc>
        <w:tc>
          <w:tcPr>
            <w:tcW w:type="dxa" w:w="936"/>
            <w:vAlign w:val="center"/>
            <w:tcMar>
              <w:top w:w="85" w:type="dxa"/>
              <w:bottom w:w="85" w:type="dxa"/>
              <w:left w:w="85" w:type="dxa"/>
              <w:right w:w="85" w:type="dxa"/>
            </w:tcMar>
          </w:tcPr>
          <w:p>
            <w:pPr>
              <w:keepNext/>
              <w:spacing w:line="240" w:lineRule="auto" w:after="40" w:before="40"/>
              <w:jc w:val="center"/>
            </w:pPr>
            <w:r>
              <w:rPr>
                <w:b w:val="0"/>
                <w:sz w:val="20"/>
              </w:rPr>
              <w:t>6</w:t>
            </w:r>
          </w:p>
        </w:tc>
        <w:tc>
          <w:tcPr>
            <w:tcW w:type="dxa" w:w="1080"/>
            <w:vAlign w:val="center"/>
            <w:tcMar>
              <w:top w:w="85" w:type="dxa"/>
              <w:bottom w:w="85" w:type="dxa"/>
              <w:left w:w="85" w:type="dxa"/>
              <w:right w:w="85" w:type="dxa"/>
            </w:tcMar>
          </w:tcPr>
          <w:p>
            <w:pPr>
              <w:keepNext/>
              <w:spacing w:line="240" w:lineRule="auto" w:after="40" w:before="40"/>
              <w:jc w:val="center"/>
            </w:pPr>
            <w:r>
              <w:rPr>
                <w:b w:val="0"/>
                <w:sz w:val="20"/>
              </w:rPr>
              <w:t>4.3</w:t>
            </w:r>
          </w:p>
        </w:tc>
        <w:tc>
          <w:tcPr>
            <w:tcW w:type="dxa" w:w="1368"/>
            <w:vAlign w:val="center"/>
            <w:tcMar>
              <w:top w:w="85" w:type="dxa"/>
              <w:bottom w:w="85" w:type="dxa"/>
              <w:left w:w="85" w:type="dxa"/>
              <w:right w:w="85" w:type="dxa"/>
            </w:tcMar>
          </w:tcPr>
          <w:p>
            <w:pPr>
              <w:keepNext/>
              <w:spacing w:line="240" w:lineRule="auto" w:after="40" w:before="40"/>
              <w:jc w:val="center"/>
            </w:pPr>
            <w:r>
              <w:rPr>
                <w:b w:val="0"/>
                <w:sz w:val="20"/>
              </w:rPr>
              <w:t>+0.8</w:t>
            </w:r>
          </w:p>
        </w:tc>
      </w:tr>
      <w:tr>
        <w:trPr>
          <w:cantSplit/>
        </w:trPr>
        <w:tc>
          <w:tcPr>
            <w:tcW w:type="dxa" w:w="3240"/>
            <w:vAlign w:val="center"/>
            <w:tcMar>
              <w:top w:w="85" w:type="dxa"/>
              <w:bottom w:w="85" w:type="dxa"/>
              <w:left w:w="85" w:type="dxa"/>
              <w:right w:w="85" w:type="dxa"/>
            </w:tcMar>
          </w:tcPr>
          <w:p>
            <w:pPr>
              <w:keepNext w:val="0"/>
              <w:spacing w:line="240" w:lineRule="auto" w:after="40" w:before="40"/>
              <w:jc w:val="left"/>
            </w:pPr>
            <w:r>
              <w:rPr>
                <w:b w:val="0"/>
                <w:sz w:val="20"/>
              </w:rPr>
              <w:t>Other</w:t>
            </w:r>
          </w:p>
        </w:tc>
        <w:tc>
          <w:tcPr>
            <w:tcW w:type="dxa" w:w="936"/>
            <w:vAlign w:val="center"/>
            <w:tcMar>
              <w:top w:w="85" w:type="dxa"/>
              <w:bottom w:w="85" w:type="dxa"/>
              <w:left w:w="85" w:type="dxa"/>
              <w:right w:w="85" w:type="dxa"/>
            </w:tcMar>
          </w:tcPr>
          <w:p>
            <w:pPr>
              <w:keepNext w:val="0"/>
              <w:spacing w:line="240" w:lineRule="auto" w:after="40" w:before="40"/>
              <w:jc w:val="center"/>
            </w:pPr>
            <w:r>
              <w:rPr>
                <w:b w:val="0"/>
                <w:sz w:val="20"/>
              </w:rPr>
              <w:t>7</w:t>
            </w:r>
          </w:p>
        </w:tc>
        <w:tc>
          <w:tcPr>
            <w:tcW w:type="dxa" w:w="1080"/>
            <w:vAlign w:val="center"/>
            <w:tcMar>
              <w:top w:w="85" w:type="dxa"/>
              <w:bottom w:w="85" w:type="dxa"/>
              <w:left w:w="85" w:type="dxa"/>
              <w:right w:w="85" w:type="dxa"/>
            </w:tcMar>
          </w:tcPr>
          <w:p>
            <w:pPr>
              <w:keepNext w:val="0"/>
              <w:spacing w:line="240" w:lineRule="auto" w:after="40" w:before="40"/>
              <w:jc w:val="center"/>
            </w:pPr>
            <w:r>
              <w:rPr>
                <w:b w:val="0"/>
                <w:sz w:val="20"/>
              </w:rPr>
              <w:t>6.0</w:t>
            </w:r>
          </w:p>
        </w:tc>
        <w:tc>
          <w:tcPr>
            <w:tcW w:type="dxa" w:w="936"/>
            <w:vAlign w:val="center"/>
            <w:tcMar>
              <w:top w:w="85" w:type="dxa"/>
              <w:bottom w:w="85" w:type="dxa"/>
              <w:left w:w="85" w:type="dxa"/>
              <w:right w:w="85" w:type="dxa"/>
            </w:tcMar>
          </w:tcPr>
          <w:p>
            <w:pPr>
              <w:keepNext w:val="0"/>
              <w:spacing w:line="240" w:lineRule="auto" w:after="40" w:before="40"/>
              <w:jc w:val="center"/>
            </w:pPr>
            <w:r>
              <w:rPr>
                <w:b w:val="0"/>
                <w:sz w:val="20"/>
              </w:rPr>
              <w:t>10</w:t>
            </w:r>
          </w:p>
        </w:tc>
        <w:tc>
          <w:tcPr>
            <w:tcW w:type="dxa" w:w="1080"/>
            <w:vAlign w:val="center"/>
            <w:tcMar>
              <w:top w:w="85" w:type="dxa"/>
              <w:bottom w:w="85" w:type="dxa"/>
              <w:left w:w="85" w:type="dxa"/>
              <w:right w:w="85" w:type="dxa"/>
            </w:tcMar>
          </w:tcPr>
          <w:p>
            <w:pPr>
              <w:keepNext w:val="0"/>
              <w:spacing w:line="240" w:lineRule="auto" w:after="40" w:before="40"/>
              <w:jc w:val="center"/>
            </w:pPr>
            <w:r>
              <w:rPr>
                <w:b w:val="0"/>
                <w:sz w:val="20"/>
              </w:rPr>
              <w:t>7.1</w:t>
            </w:r>
          </w:p>
        </w:tc>
        <w:tc>
          <w:tcPr>
            <w:tcW w:type="dxa" w:w="1368"/>
            <w:vAlign w:val="center"/>
            <w:tcMar>
              <w:top w:w="85" w:type="dxa"/>
              <w:bottom w:w="85" w:type="dxa"/>
              <w:left w:w="85" w:type="dxa"/>
              <w:right w:w="85" w:type="dxa"/>
            </w:tcMar>
          </w:tcPr>
          <w:p>
            <w:pPr>
              <w:keepNext w:val="0"/>
              <w:spacing w:line="240" w:lineRule="auto" w:after="40" w:before="40"/>
              <w:jc w:val="center"/>
            </w:pPr>
            <w:r>
              <w:rPr>
                <w:b w:val="0"/>
                <w:sz w:val="20"/>
              </w:rPr>
              <w:t>-1.2</w:t>
            </w:r>
          </w:p>
        </w:tc>
      </w:tr>
    </w:tbl>
    <w:p>
      <w:pPr>
        <w:pageBreakBefore w:val="0"/>
        <w:spacing w:line="240" w:lineRule="auto" w:before="80" w:after="160"/>
      </w:pPr>
      <w:r>
        <w:rPr>
          <w:sz w:val="20"/>
        </w:rPr>
        <w:t>Valid base 117; raw base 140. Multiple selections permitted. Change pp is valid minus raw percentage, calculated before rounding.</w:t>
      </w:r>
    </w:p>
    <w:p>
      <w:pPr>
        <w:pageBreakBefore w:val="0"/>
      </w:pPr>
      <w:r>
        <w:t>Attendance tracking is the most frequently selected approach among the 117 valid records, appearing in 79, or 67.5%. Informal pastoral feedback follows in 75 records, or 64.1%. Participation in small groups or ministries appears in 53, or 45.3%, and formal surveys in 31, or 26.5%. Multiple selections were permitted, so these percentages describe the prevalence of each recorded approach rather than exclusive organisational models.</w:t>
      </w:r>
    </w:p>
    <w:p>
      <w:pPr>
        <w:pageBreakBefore w:val="0"/>
      </w:pPr>
      <w:r>
        <w:t>The distribution suggests that reported monitoring relies particularly on participation indicators and interpersonal information. Attendance and group participation can describe involvement, but they do not directly measure the reasons behind involvement or withdrawal. Informal pastoral feedback may provide contextual detail, although the questionnaire does not establish whether it is recorded consistently. The findings therefore identify sources of information without demonstrating that any approach adequately measures the service attributes examined elsewhere in this chapter.</w:t>
      </w:r>
    </w:p>
    <w:p>
      <w:pPr>
        <w:pageBreakBefore w:val="0"/>
      </w:pPr>
      <w:r>
        <w:t>Formal surveys are less frequently selected than the other principal approaches. This does not establish that churches without surveys lack useful knowledge of congregants’ experiences. It does indicate that survey-based monitoring is reported by a smaller share of valid records. The earlier feedback-collection item records regular surveys in 56 of 140 records; its different wording and base prevent treating the difference as a straightforward decline between collection and monitoring.</w:t>
      </w:r>
    </w:p>
    <w:p>
      <w:bookmarkStart w:id="227" w:name="m227"/>
      <w:pPr>
        <w:pStyle w:val="Heading3"/>
        <w:pageBreakBefore w:val="0"/>
      </w:pPr>
      <w:r>
        <w:t>4.11.2 Conflicting monitoring selections</w:t>
      </w:r>
      <w:bookmarkEnd w:id="227"/>
    </w:p>
    <w:p>
      <w:pPr>
        <w:pageBreakBefore w:val="0"/>
      </w:pPr>
      <w:r>
        <w:t>Twenty-three records select we do not currently measure this alongside a monitoring method and are excluded from the primary analysis of this item. The remaining 117 constitute its valid base. The exclusion follows the established rule for conflicting selections and does not determine which part of a conflicting answer was intended. Two valid records select the nonmeasurement option alone, while six select none. These labels remain separate rather than being assumed to express identical circumstances.</w:t>
      </w:r>
    </w:p>
    <w:p>
      <w:pPr>
        <w:pageBreakBefore w:val="0"/>
      </w:pPr>
      <w:r>
        <w:t>The raw and valid columns show how exclusions affect interpretation. Attendance tracking falls from 98 raw selections to 79 valid selections, with its percentage decreasing from 70.0% to 67.5%. Informal pastoral feedback falls from 87 to 75 selections, but its percentage increases from 62.1% to 64.1% because the denominator decreases. The ordering of the four principal approaches remains unchanged. Percentage-point differences are calculated before rounding, explaining small discrepancies from subtracting the displayed percentages.</w:t>
      </w:r>
    </w:p>
    <w:p>
      <w:pPr>
        <w:pageBreakBefore w:val="0"/>
      </w:pPr>
      <w:r>
        <w:t>The largest change concerns we do not currently measure this, which falls from 25 raw selections to two valid selections. It would be misleading to read the raw 17.9% as a coherent group reporting complete absence of monitoring. Most of those records simultaneously identify a method. The valid analysis makes the conflict rule explicit, while the retained raw figures allow readers to assess its effect. Neither presentation resolves the original ambiguity.</w:t>
      </w:r>
    </w:p>
    <w:p>
      <w:bookmarkStart w:id="228" w:name="m228"/>
      <w:pPr>
        <w:pStyle w:val="Heading2"/>
        <w:pageBreakBefore w:val="0"/>
      </w:pPr>
      <w:r>
        <w:t>4.12 Practical Barriers to Service Improvement</w:t>
      </w:r>
      <w:bookmarkEnd w:id="228"/>
    </w:p>
    <w:p>
      <w:bookmarkStart w:id="229" w:name="m229"/>
      <w:pPr>
        <w:pStyle w:val="Heading3"/>
        <w:pageBreakBefore w:val="0"/>
      </w:pPr>
      <w:r>
        <w:t>4.12.1 Distribution of reported barriers</w:t>
      </w:r>
      <w:bookmarkEnd w:id="229"/>
    </w:p>
    <w:p>
      <w:bookmarkStart w:id="230" w:name="m230"/>
      <w:pPr>
        <w:keepNext/>
        <w:pageBreakBefore w:val="0"/>
      </w:pPr>
      <w:r>
        <w:rPr>
          <w:b/>
        </w:rPr>
        <w:t>Table 4.21  Practical barriers to improvement</w:t>
      </w:r>
      <w:bookmarkEnd w:id="23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Recorded selection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Limited budget</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85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60.7</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Volunteer fatigue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77</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55.0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Lack of training</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59</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42.1</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Leadership resistance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46</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32.9</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Not seen as a priority</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39</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27.9</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Other</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14</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10.0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None</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2</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1.4</w:t>
            </w:r>
          </w:p>
        </w:tc>
      </w:tr>
    </w:tbl>
    <w:p>
      <w:pPr>
        <w:pageBreakBefore w:val="0"/>
        <w:spacing w:line="240" w:lineRule="auto" w:before="80" w:after="160"/>
      </w:pPr>
      <w:r>
        <w:rPr>
          <w:sz w:val="20"/>
        </w:rPr>
        <w:t>Base 140 staff or volunteer records. Multiple selections permitted; percentages need not total 100%.</w:t>
      </w:r>
    </w:p>
    <w:p>
      <w:pPr>
        <w:pageBreakBefore w:val="0"/>
      </w:pPr>
      <w:r>
        <w:t>Limited budget is selected in 85 records, or 60.7%, and volunteer fatigue in 77, or 55.0%. These are the only barriers selected by more than half of the staff base. Lack of training appears in 59 records, leadership resistance in 46 and lack of priority in 39. Fourteen select other and two none. Multiple selections mean that a record can identify several constraints; the percentages should not be added as though each described a separate group.</w:t>
      </w:r>
    </w:p>
    <w:p>
      <w:pPr>
        <w:pageBreakBefore w:val="0"/>
      </w:pPr>
      <w:r>
        <w:t>The leading categories identify financial and human-capacity constraints. However, their selection does not measure the size of a budget shortfall, the number of exhausted volunteers or the frequency of service failures. The questionnaire also cannot establish whether the same constraint affects all activities equally. The results indicate what respondents recognise as barriers, leaving their severity and operational consequences unquantified.</w:t>
      </w:r>
    </w:p>
    <w:p>
      <w:pPr>
        <w:pageBreakBefore w:val="0"/>
      </w:pPr>
      <w:r>
        <w:t>Forty-four records select both limited budget and volunteer fatigue. This overlap illustrates why the two leading counts cannot be combined into a total number of affected respondents without accounting for shared selections. It also shows that the concerns can coexist within an individual account. The data do not establish that financial limitations cause fatigue, or that increasing expenditure would necessarily resolve it. Workload, role allocation and other possible explanations were not measured sufficiently to test those relationships.</w:t>
      </w:r>
    </w:p>
    <w:p>
      <w:bookmarkStart w:id="231" w:name="m231"/>
      <w:pPr>
        <w:pStyle w:val="Heading3"/>
        <w:pageBreakBefore w:val="0"/>
      </w:pPr>
      <w:r>
        <w:t>4.12.2 Training and organisational priorities</w:t>
      </w:r>
      <w:bookmarkEnd w:id="231"/>
    </w:p>
    <w:p>
      <w:pPr>
        <w:pageBreakBefore w:val="0"/>
      </w:pPr>
      <w:r>
        <w:t>The 59 lack-of-training selections identify a substantial reported constraint, but do not distinguish induction, technical instruction, interpersonal skills or leadership development. Recommendations should therefore avoid presenting one training package as the demonstrated solution. The finding supports investigating training needs and evaluating a response suited to the local setting. It does not establish the effectiveness of an intervention that has not yet been implemented.</w:t>
      </w:r>
    </w:p>
    <w:p>
      <w:pPr>
        <w:pageBreakBefore w:val="0"/>
      </w:pPr>
      <w:r>
        <w:t>Leadership resistance and low priority concern the organisational conditions surrounding improvement. They should remain distinct from resource shortages: a practice may be financially possible but lack support, or receive support without sufficient capacity. Twenty-four records describe leadership as supportive in the general leadership item while also selecting leadership resistance as a barrier. This combination shows that the items are not interchangeable. Different initiatives, leaders or circumstances could account for the answers, but those explanations remain untested.</w:t>
      </w:r>
    </w:p>
    <w:p>
      <w:pPr>
        <w:pageBreakBefore w:val="0"/>
      </w:pPr>
      <w:r>
        <w:t>These combinations have not been excluded as logical contradictions. General support can coexist with resistance to a particular change, whereas the monitoring exclusion addresses an explicit nonmeasurement selection combined with a reported method. Applying an identical cleaning rule across differently worded items would remove potentially meaningful complexity. The analysis therefore retains the barrier responses while reporting their relationship with the earlier leadership assessment cautiously.</w:t>
      </w:r>
    </w:p>
    <w:p>
      <w:bookmarkStart w:id="232" w:name="m232"/>
      <w:pPr>
        <w:pStyle w:val="Heading2"/>
        <w:pageBreakBefore w:val="0"/>
      </w:pPr>
      <w:r>
        <w:t>4.13 Findings Against the Research Questions</w:t>
      </w:r>
      <w:bookmarkEnd w:id="232"/>
    </w:p>
    <w:p>
      <w:bookmarkStart w:id="233" w:name="m233"/>
      <w:pPr>
        <w:pStyle w:val="Heading3"/>
        <w:pageBreakBefore w:val="0"/>
      </w:pPr>
      <w:r>
        <w:t>4.13.1 Research Question 1 Service attributes and experiences</w:t>
      </w:r>
      <w:bookmarkEnd w:id="233"/>
    </w:p>
    <w:p>
      <w:pPr>
        <w:pageBreakBefore w:val="0"/>
      </w:pPr>
      <w:r>
        <w:t>The importance ratings place welcome and feeling valued at the top of the observed distribution, with 84% and 81% respectively assigning ratings of four or five. All six attributes receive a majority in these upper categories, including accessibility at 65%. Relative ordering therefore identifies differences in emphasis without establishing that lower-ranked attributes are unimportant. These importance judgements describe what respondents value and remain separate from their reported experiences.</w:t>
      </w:r>
    </w:p>
    <w:p>
      <w:pPr>
        <w:pageBreakBefore w:val="0"/>
      </w:pPr>
      <w:r>
        <w:t>Positive experience responses range from 69% for responsiveness to 55% for feedback satisfaction. Access and emotional engagement each receive 65% positive responses, while digital engagement receives 56%. The overall picture combines favourable majorities with neutral and negative experiences that remain relevant to interpretation. Because the measures differ in wording and scale meaning, their percentages do not constitute a validated service-quality index or a numerical expectation–performance gap.</w:t>
      </w:r>
    </w:p>
    <w:p>
      <w:bookmarkStart w:id="234" w:name="m234"/>
      <w:pPr>
        <w:pStyle w:val="Heading3"/>
        <w:pageBreakBefore w:val="0"/>
      </w:pPr>
      <w:r>
        <w:t>4.13.2 Research Question 2 Comparison with other service settings</w:t>
      </w:r>
      <w:bookmarkEnd w:id="234"/>
    </w:p>
    <w:p>
      <w:pPr>
        <w:pageBreakBefore w:val="0"/>
      </w:pPr>
      <w:r>
        <w:t>Fifty-three congregant records judge church service better than business service, 28 about the same and 19 worse. This answers the perceptual comparison within the questionnaire. It does not independently benchmark churches against hospitality or nonprofit organisations, since respondents were not assessed alongside a comparable external sample using the same instrument. Comparison with published research must therefore concern bounded similarities and differences in concepts and findings.</w:t>
      </w:r>
    </w:p>
    <w:p>
      <w:pPr>
        <w:pageBreakBefore w:val="0"/>
      </w:pPr>
      <w:r>
        <w:t>The joint responses also complicate any simple equation of favourable comparison with absence of improvement needs. All 53 favourable-comparison records recognise scope for improvement. Relative approval and a desire for change can consequently coexist in these records. The contrasting pattern among less favourable records remains an interpretive limit rather than grounds for supplying an explanation the respondents did not provide.</w:t>
      </w:r>
    </w:p>
    <w:p>
      <w:bookmarkStart w:id="235" w:name="m235"/>
      <w:pPr>
        <w:pStyle w:val="Heading3"/>
        <w:pageBreakBefore w:val="0"/>
      </w:pPr>
      <w:r>
        <w:t>4.13.3 Research Question 3 Reported service practices</w:t>
      </w:r>
      <w:bookmarkEnd w:id="235"/>
    </w:p>
    <w:p>
      <w:pPr>
        <w:pageBreakBefore w:val="0"/>
      </w:pPr>
      <w:r>
        <w:t>The staff records describe feedback collection through several routes, with verbal feedback most prominent, and current use of service tools in half the records. Monitoring is reported most frequently through attendance tracking and informal pastoral feedback among valid responses. These findings establish a descriptive account of practices rather than an assessment of how successfully those practices operate.</w:t>
      </w:r>
    </w:p>
    <w:p>
      <w:pPr>
        <w:pageBreakBefore w:val="0"/>
      </w:pPr>
      <w:r>
        <w:t>The distinction between availability and effectiveness is central to this answer. A reported feedback channel does not establish satisfaction with that channel, and a reported monitoring method does not demonstrate that information informs decisions. Nor can staff practices be matched to individual congregant experiences at church level using the available identifiers. The findings support examining these organisational connections in future work without asserting that the present study has verified them.</w:t>
      </w:r>
    </w:p>
    <w:p>
      <w:bookmarkStart w:id="236" w:name="m236"/>
      <w:pPr>
        <w:pStyle w:val="Heading3"/>
        <w:pageBreakBefore w:val="0"/>
      </w:pPr>
      <w:r>
        <w:t>4.13.4 Research Question 4 Adoption and compatibility</w:t>
      </w:r>
      <w:bookmarkEnd w:id="236"/>
    </w:p>
    <w:p>
      <w:pPr>
        <w:pageBreakBefore w:val="0"/>
      </w:pPr>
      <w:r>
        <w:t>Sixty congregant records support adopting business-like practices, while 84 of 140 staff records rate them compatible. Both proportions are 60%, but the questions and respondent bases differ. Opposition, uncertainty and qualified endorsement remain visible within each distribution. Recorded involvement is also sharply associated with congregant adoption responses, and staff tool use aligns closely with compatibility in the transcription. These are descriptive relationships without established causal direction.</w:t>
      </w:r>
    </w:p>
    <w:p>
      <w:pPr>
        <w:pageBreakBefore w:val="0"/>
      </w:pPr>
      <w:r>
        <w:t>Twelve compatible staff records also identify some or significant spiritual risk. This coexistence supports investigating how acceptance may be qualified, but it does not quantify a validated construct of conditional usefulness. The written reasons in Chapter 5 provide the material for examining explicit conditions. The quantitative analysis supplies the distributional context and identifies combinations of answers requiring careful interpretation.</w:t>
      </w:r>
    </w:p>
    <w:p>
      <w:bookmarkStart w:id="237" w:name="m237"/>
      <w:pPr>
        <w:pStyle w:val="Heading3"/>
        <w:pageBreakBefore w:val="0"/>
      </w:pPr>
      <w:r>
        <w:t>4.13.5 Research Question 5 Concerns and barriers</w:t>
      </w:r>
      <w:bookmarkEnd w:id="237"/>
    </w:p>
    <w:p>
      <w:pPr>
        <w:pageBreakBefore w:val="0"/>
      </w:pPr>
      <w:r>
        <w:t>The valid concerns analysis identifies commercialisation and loss of spiritual focus as the most frequent substantive concerns. The barriers item identifies budget and volunteer fatigue as the most frequent practical constraints. Their separate treatment preserves an important distinction: concerns about the purpose or legitimacy of a practice differ from difficulties in resourcing it. Both may matter to adoption, but their relative explanatory influence has not been established.</w:t>
      </w:r>
    </w:p>
    <w:p>
      <w:pPr>
        <w:pageBreakBefore w:val="0"/>
      </w:pPr>
      <w:r>
        <w:t>The 68 staff records identifying some or significant spiritual risk constitute 48.6%, the largest combined risk grouping but not a majority. This result warrants attention without being exaggerated. Similarly, frequent budget selections indicate a reported constraint rather than proof that finance explains non-adoption. The study lacks the temporal and organisational detail required to model these factors as determinants of implementation.</w:t>
      </w:r>
    </w:p>
    <w:p>
      <w:bookmarkStart w:id="238" w:name="m238"/>
      <w:pPr>
        <w:pStyle w:val="Heading3"/>
        <w:pageBreakBefore w:val="0"/>
      </w:pPr>
      <w:r>
        <w:t>4.13.6 Research Question 6 Improvements and evaluation</w:t>
      </w:r>
      <w:bookmarkEnd w:id="238"/>
    </w:p>
    <w:p>
      <w:pPr>
        <w:pageBreakBefore w:val="0"/>
      </w:pPr>
      <w:r>
        <w:t>The quantitative findings identify areas for considering improvement, including feedback experience, digital engagement and the resource conditions surrounding implementation. They do not test a programme or establish that a proposed recommendation will work. Recommendations must therefore combine these patterns with the written suggestions and supported literature, with their proposed status clearly stated.</w:t>
      </w:r>
    </w:p>
    <w:p>
      <w:pPr>
        <w:pageBreakBefore w:val="0"/>
      </w:pPr>
      <w:r>
        <w:t>Evaluation would require measures appropriate to the chosen intervention and a defined starting position. For example, a future feedback initiative could examine accessibility, acknowledgement and follow-up rather than relying solely on whether a channel exists. Such measures are proposals for subsequent implementation, not outcomes collected in this study. Chapter 7 develops the recommendations and their evaluation implications from that distinction.</w:t>
      </w:r>
    </w:p>
    <w:p>
      <w:bookmarkStart w:id="239" w:name="m239"/>
      <w:pPr>
        <w:pStyle w:val="Heading2"/>
        <w:pageBreakBefore w:val="0"/>
      </w:pPr>
      <w:r>
        <w:t>4.14 Written Responses and the Transition to Qualitative Analysis</w:t>
      </w:r>
      <w:bookmarkEnd w:id="239"/>
    </w:p>
    <w:p>
      <w:bookmarkStart w:id="240" w:name="m240"/>
      <w:pPr>
        <w:keepNext/>
        <w:pageBreakBefore w:val="0"/>
      </w:pPr>
      <w:r>
        <w:rPr>
          <w:b/>
        </w:rPr>
        <w:t>Table 4.22  Availability of written responses</w:t>
      </w:r>
      <w:bookmarkEnd w:id="24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08"/>
        <w:gridCol w:w="2016"/>
        <w:gridCol w:w="2016"/>
      </w:tblGrid>
      <w:tr>
        <w:trPr>
          <w:cantSplit/>
          <w:tblHeader/>
        </w:trPr>
        <w:tc>
          <w:tcPr>
            <w:tcW w:type="dxa" w:w="4608"/>
            <w:vAlign w:val="center"/>
            <w:tcMar>
              <w:top w:w="85" w:type="dxa"/>
              <w:bottom w:w="85" w:type="dxa"/>
              <w:left w:w="85" w:type="dxa"/>
              <w:right w:w="85" w:type="dxa"/>
            </w:tcMar>
            <w:shd w:fill="E7EDF3"/>
          </w:tcPr>
          <w:p>
            <w:pPr>
              <w:keepNext/>
              <w:spacing w:line="240" w:lineRule="auto" w:after="40" w:before="40"/>
              <w:jc w:val="left"/>
            </w:pPr>
            <w:r>
              <w:rPr>
                <w:b/>
                <w:sz w:val="20"/>
              </w:rPr>
              <w:t>Recorded field</w:t>
            </w:r>
          </w:p>
        </w:tc>
        <w:tc>
          <w:tcPr>
            <w:tcW w:type="dxa" w:w="2016"/>
            <w:vAlign w:val="center"/>
            <w:tcMar>
              <w:top w:w="85" w:type="dxa"/>
              <w:bottom w:w="85" w:type="dxa"/>
              <w:left w:w="85" w:type="dxa"/>
              <w:right w:w="85" w:type="dxa"/>
            </w:tcMar>
            <w:shd w:fill="E7EDF3"/>
          </w:tcPr>
          <w:p>
            <w:pPr>
              <w:keepNext/>
              <w:spacing w:line="240" w:lineRule="auto" w:after="40" w:before="40"/>
              <w:jc w:val="center"/>
            </w:pPr>
            <w:r>
              <w:rPr>
                <w:b/>
                <w:sz w:val="20"/>
              </w:rPr>
              <w:t>Nonempty records</w:t>
            </w:r>
          </w:p>
        </w:tc>
        <w:tc>
          <w:tcPr>
            <w:tcW w:type="dxa" w:w="2016"/>
            <w:vAlign w:val="center"/>
            <w:tcMar>
              <w:top w:w="85" w:type="dxa"/>
              <w:bottom w:w="85" w:type="dxa"/>
              <w:left w:w="85" w:type="dxa"/>
              <w:right w:w="85" w:type="dxa"/>
            </w:tcMar>
            <w:shd w:fill="E7EDF3"/>
          </w:tcPr>
          <w:p>
            <w:pPr>
              <w:keepNext/>
              <w:spacing w:line="240" w:lineRule="auto" w:after="40" w:before="40"/>
              <w:jc w:val="center"/>
            </w:pPr>
            <w:r>
              <w:rPr>
                <w:b/>
                <w:sz w:val="20"/>
              </w:rPr>
              <w:t>Distinct text strings</w:t>
            </w:r>
          </w:p>
        </w:tc>
      </w:tr>
      <w:tr>
        <w:trPr>
          <w:cantSplit/>
        </w:trPr>
        <w:tc>
          <w:tcPr>
            <w:tcW w:type="dxa" w:w="4608"/>
            <w:vAlign w:val="center"/>
            <w:tcMar>
              <w:top w:w="85" w:type="dxa"/>
              <w:bottom w:w="85" w:type="dxa"/>
              <w:left w:w="85" w:type="dxa"/>
              <w:right w:w="85" w:type="dxa"/>
            </w:tcMar>
          </w:tcPr>
          <w:p>
            <w:pPr>
              <w:keepNext/>
              <w:spacing w:line="240" w:lineRule="auto" w:after="40" w:before="40"/>
              <w:jc w:val="left"/>
            </w:pPr>
            <w:r>
              <w:rPr>
                <w:b w:val="0"/>
                <w:sz w:val="20"/>
              </w:rPr>
              <w:t>Q5 reason</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100</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20</w:t>
            </w:r>
          </w:p>
        </w:tc>
      </w:tr>
      <w:tr>
        <w:trPr>
          <w:cantSplit/>
        </w:trPr>
        <w:tc>
          <w:tcPr>
            <w:tcW w:type="dxa" w:w="4608"/>
            <w:vAlign w:val="center"/>
            <w:tcMar>
              <w:top w:w="85" w:type="dxa"/>
              <w:bottom w:w="85" w:type="dxa"/>
              <w:left w:w="85" w:type="dxa"/>
              <w:right w:w="85" w:type="dxa"/>
            </w:tcMar>
          </w:tcPr>
          <w:p>
            <w:pPr>
              <w:keepNext/>
              <w:spacing w:line="240" w:lineRule="auto" w:after="40" w:before="40"/>
              <w:jc w:val="left"/>
            </w:pPr>
            <w:r>
              <w:rPr>
                <w:b w:val="0"/>
                <w:sz w:val="20"/>
              </w:rPr>
              <w:t>Q6 suggested improvement</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100</w:t>
            </w:r>
          </w:p>
        </w:tc>
        <w:tc>
          <w:tcPr>
            <w:tcW w:type="dxa" w:w="2016"/>
            <w:vAlign w:val="center"/>
            <w:tcMar>
              <w:top w:w="85" w:type="dxa"/>
              <w:bottom w:w="85" w:type="dxa"/>
              <w:left w:w="85" w:type="dxa"/>
              <w:right w:w="85" w:type="dxa"/>
            </w:tcMar>
          </w:tcPr>
          <w:p>
            <w:pPr>
              <w:keepNext/>
              <w:spacing w:line="240" w:lineRule="auto" w:after="40" w:before="40"/>
              <w:jc w:val="center"/>
            </w:pPr>
            <w:r>
              <w:rPr>
                <w:b w:val="0"/>
                <w:sz w:val="20"/>
              </w:rPr>
              <w:t>16</w:t>
            </w:r>
          </w:p>
        </w:tc>
      </w:tr>
      <w:tr>
        <w:trPr>
          <w:cantSplit/>
        </w:trPr>
        <w:tc>
          <w:tcPr>
            <w:tcW w:type="dxa" w:w="4608"/>
            <w:vAlign w:val="center"/>
            <w:tcMar>
              <w:top w:w="85" w:type="dxa"/>
              <w:bottom w:w="85" w:type="dxa"/>
              <w:left w:w="85" w:type="dxa"/>
              <w:right w:w="85" w:type="dxa"/>
            </w:tcMar>
          </w:tcPr>
          <w:p>
            <w:pPr>
              <w:keepNext w:val="0"/>
              <w:spacing w:line="240" w:lineRule="auto" w:after="40" w:before="40"/>
              <w:jc w:val="left"/>
            </w:pPr>
            <w:r>
              <w:rPr>
                <w:b w:val="0"/>
                <w:sz w:val="20"/>
              </w:rPr>
              <w:t>Suggested practice to improve service</w:t>
            </w:r>
          </w:p>
        </w:tc>
        <w:tc>
          <w:tcPr>
            <w:tcW w:type="dxa" w:w="2016"/>
            <w:vAlign w:val="center"/>
            <w:tcMar>
              <w:top w:w="85" w:type="dxa"/>
              <w:bottom w:w="85" w:type="dxa"/>
              <w:left w:w="85" w:type="dxa"/>
              <w:right w:w="85" w:type="dxa"/>
            </w:tcMar>
          </w:tcPr>
          <w:p>
            <w:pPr>
              <w:keepNext w:val="0"/>
              <w:spacing w:line="240" w:lineRule="auto" w:after="40" w:before="40"/>
              <w:jc w:val="center"/>
            </w:pPr>
            <w:r>
              <w:rPr>
                <w:b w:val="0"/>
                <w:sz w:val="20"/>
              </w:rPr>
              <w:t>100</w:t>
            </w:r>
          </w:p>
        </w:tc>
        <w:tc>
          <w:tcPr>
            <w:tcW w:type="dxa" w:w="2016"/>
            <w:vAlign w:val="center"/>
            <w:tcMar>
              <w:top w:w="85" w:type="dxa"/>
              <w:bottom w:w="85" w:type="dxa"/>
              <w:left w:w="85" w:type="dxa"/>
              <w:right w:w="85" w:type="dxa"/>
            </w:tcMar>
          </w:tcPr>
          <w:p>
            <w:pPr>
              <w:keepNext w:val="0"/>
              <w:spacing w:line="240" w:lineRule="auto" w:after="40" w:before="40"/>
              <w:jc w:val="center"/>
            </w:pPr>
            <w:r>
              <w:rPr>
                <w:b w:val="0"/>
                <w:sz w:val="20"/>
              </w:rPr>
              <w:t>15</w:t>
            </w:r>
          </w:p>
        </w:tc>
      </w:tr>
    </w:tbl>
    <w:p>
      <w:pPr>
        <w:pageBreakBefore w:val="0"/>
        <w:spacing w:line="240" w:lineRule="auto" w:before="80" w:after="160"/>
      </w:pPr>
      <w:r>
        <w:rPr>
          <w:sz w:val="20"/>
        </w:rPr>
        <w:t>Each field contains 100 entries. Distinct strings describe recorded wording within each field.</w:t>
      </w:r>
    </w:p>
    <w:p>
      <w:pPr>
        <w:pageBreakBefore w:val="0"/>
      </w:pPr>
      <w:r>
        <w:t>The three congregant text fields contain 300 nonempty entries across 100 records. They comprise reasons for adoption attitudes, suggested improvements and a final suggested practice. Nonempty does not necessarily mean substantively informative: the documented qualitative preparation identifies 22 entries without a substantive improvement suggestion, leaving 278 substantive entries across the three fields. These are entries, not 278 separate participants.</w:t>
      </w:r>
    </w:p>
    <w:p>
      <w:pPr>
        <w:pageBreakBefore w:val="0"/>
      </w:pPr>
      <w:r>
        <w:t>The transcription contains 20 distinct reason strings, 16 improvement strings and 15 final-practice strings. Repetition matters when interpreting the apparent volume of material. Repeated wording remains attached to its records, but frequency does not by itself establish independent richness or depth. Chapter 5 distinguishes recurring content, explicit qualifications and contrasting suggestions without treating these brief written answers as interview transcripts.</w:t>
      </w:r>
    </w:p>
    <w:p>
      <w:bookmarkStart w:id="241" w:name="m241"/>
      <w:pPr>
        <w:pStyle w:val="Heading2"/>
        <w:pageBreakBefore w:val="0"/>
      </w:pPr>
      <w:r>
        <w:t>4.15 Analytical Limits and Preparation Audit</w:t>
      </w:r>
      <w:bookmarkEnd w:id="241"/>
    </w:p>
    <w:p>
      <w:bookmarkStart w:id="242" w:name="m242"/>
      <w:pPr>
        <w:keepNext/>
        <w:pageBreakBefore w:val="0"/>
      </w:pPr>
      <w:r>
        <w:rPr>
          <w:b/>
        </w:rPr>
        <w:t>Table 4.23  Item level preparation audit</w:t>
      </w:r>
      <w:bookmarkEnd w:id="24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20"/>
        <w:gridCol w:w="1440"/>
        <w:gridCol w:w="1440"/>
        <w:gridCol w:w="1440"/>
      </w:tblGrid>
      <w:tr>
        <w:trPr>
          <w:cantSplit/>
          <w:tblHeader/>
        </w:trPr>
        <w:tc>
          <w:tcPr>
            <w:tcW w:type="dxa" w:w="4320"/>
            <w:vAlign w:val="center"/>
            <w:tcMar>
              <w:top w:w="85" w:type="dxa"/>
              <w:bottom w:w="85" w:type="dxa"/>
              <w:left w:w="85" w:type="dxa"/>
              <w:right w:w="85" w:type="dxa"/>
            </w:tcMar>
            <w:shd w:fill="E7EDF3"/>
          </w:tcPr>
          <w:p>
            <w:pPr>
              <w:keepNext/>
              <w:spacing w:line="240" w:lineRule="auto" w:after="40" w:before="40"/>
              <w:jc w:val="left"/>
            </w:pPr>
            <w:r>
              <w:rPr>
                <w:b/>
                <w:sz w:val="20"/>
              </w:rPr>
              <w:t>Item</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Available</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Excluded</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Valid</w:t>
            </w:r>
          </w:p>
        </w:tc>
      </w:tr>
      <w:tr>
        <w:trPr>
          <w:cantSplit/>
        </w:trPr>
        <w:tc>
          <w:tcPr>
            <w:tcW w:type="dxa" w:w="4320"/>
            <w:vAlign w:val="center"/>
            <w:tcMar>
              <w:top w:w="85" w:type="dxa"/>
              <w:bottom w:w="85" w:type="dxa"/>
              <w:left w:w="85" w:type="dxa"/>
              <w:right w:w="85" w:type="dxa"/>
            </w:tcMar>
          </w:tcPr>
          <w:p>
            <w:pPr>
              <w:keepNext/>
              <w:spacing w:line="240" w:lineRule="auto" w:after="40" w:before="40"/>
              <w:jc w:val="left"/>
            </w:pPr>
            <w:r>
              <w:rPr>
                <w:b w:val="0"/>
                <w:sz w:val="20"/>
              </w:rPr>
              <w:t>Staff concerns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140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24</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116</w:t>
            </w:r>
          </w:p>
        </w:tc>
      </w:tr>
      <w:tr>
        <w:trPr>
          <w:cantSplit/>
        </w:trPr>
        <w:tc>
          <w:tcPr>
            <w:tcW w:type="dxa" w:w="4320"/>
            <w:vAlign w:val="center"/>
            <w:tcMar>
              <w:top w:w="85" w:type="dxa"/>
              <w:bottom w:w="85" w:type="dxa"/>
              <w:left w:w="85" w:type="dxa"/>
              <w:right w:w="85" w:type="dxa"/>
            </w:tcMar>
          </w:tcPr>
          <w:p>
            <w:pPr>
              <w:keepNext/>
              <w:spacing w:line="240" w:lineRule="auto" w:after="40" w:before="40"/>
              <w:jc w:val="left"/>
            </w:pPr>
            <w:r>
              <w:rPr>
                <w:b w:val="0"/>
                <w:sz w:val="20"/>
              </w:rPr>
              <w:t>Staff monitoring</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140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23</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117</w:t>
            </w:r>
          </w:p>
        </w:tc>
      </w:tr>
      <w:tr>
        <w:trPr>
          <w:cantSplit/>
        </w:trPr>
        <w:tc>
          <w:tcPr>
            <w:tcW w:type="dxa" w:w="4320"/>
            <w:vAlign w:val="center"/>
            <w:tcMar>
              <w:top w:w="85" w:type="dxa"/>
              <w:bottom w:w="85" w:type="dxa"/>
              <w:left w:w="85" w:type="dxa"/>
              <w:right w:w="85" w:type="dxa"/>
            </w:tcMar>
          </w:tcPr>
          <w:p>
            <w:pPr>
              <w:keepNext w:val="0"/>
              <w:spacing w:line="240" w:lineRule="auto" w:after="40" w:before="40"/>
              <w:jc w:val="left"/>
            </w:pPr>
            <w:r>
              <w:rPr>
                <w:b w:val="0"/>
                <w:sz w:val="20"/>
              </w:rPr>
              <w:t>Other closed-response fields</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 or 140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100 or 140</w:t>
            </w:r>
          </w:p>
        </w:tc>
      </w:tr>
    </w:tbl>
    <w:p>
      <w:pPr>
        <w:pageBreakBefore w:val="0"/>
        <w:spacing w:line="240" w:lineRule="auto" w:before="80" w:after="160"/>
      </w:pPr>
      <w:r>
        <w:rPr>
          <w:sz w:val="20"/>
        </w:rPr>
        <w:t>Exclusions apply only to the specified item. Unaffected answers remain in their respective analyses.</w:t>
      </w:r>
    </w:p>
    <w:p>
      <w:pPr>
        <w:pageBreakBefore w:val="0"/>
      </w:pPr>
      <w:r>
        <w:t>The concerns and monitoring exclusions affect 44 distinct staff records because three records contain conflicts in both items. The analysis retains unaffected answers rather than deleting all data from those records. Consequently, the valid bases differ by item: 116 for concerns, 117 for monitoring and 140 for other staff closed-response fields. Congregant closed-response results use 100 records. Denominators are stated to prevent comparisons based on incompatible assumptions about the available cases.</w:t>
      </w:r>
    </w:p>
    <w:p>
      <w:pPr>
        <w:pageBreakBefore w:val="0"/>
      </w:pPr>
      <w:r>
        <w:t>The preparation audit improves traceability but cannot independently authenticate the transcription. The researcher has confirmed that the records were transcribed from completed questionnaires; the original completed forms have not been independently checked within this analysis. The results therefore remain an analysis of the supplied records, subject to possible transcription limitations. Unexpected combinations and unusually sharp separations between categories are reported rather than silently corrected.</w:t>
      </w:r>
    </w:p>
    <w:p>
      <w:pPr>
        <w:pageBreakBefore w:val="0"/>
      </w:pPr>
      <w:r>
        <w:t>The sample does not support population prevalence estimates or verified church-level comparisons. Recruitment probabilities, the number of distinct represented churches and possible overlap between respondent groups are not established sufficiently to justify those claims. Denominational labels provide descriptive context without verifying geographic eligibility or representing the full diversity of churches. No statistical significance, causal effects or generalisable subgroup differences are claimed from the descriptive comparisons.</w:t>
      </w:r>
    </w:p>
    <w:p>
      <w:pPr>
        <w:pageBreakBefore w:val="0"/>
      </w:pPr>
      <w:r>
        <w:t>Measurement limits also constrain interpretation. Single items capture selected attitudes or experiences and do not establish comprehensive measures of loyalty, spiritual authenticity or organisational effectiveness. The absence of a longitudinal sequence prevents determining whether practices preceded attitudes or experiences. These limits do not remove the descriptive value of the findings; they define the level at which the evidence can support the subsequent discussion.</w:t>
      </w:r>
    </w:p>
    <w:p>
      <w:bookmarkStart w:id="243" w:name="m243"/>
      <w:pPr>
        <w:pStyle w:val="Heading2"/>
        <w:pageBreakBefore w:val="0"/>
      </w:pPr>
      <w:r>
        <w:t>4.16 Chapter Summary</w:t>
      </w:r>
      <w:bookmarkEnd w:id="243"/>
    </w:p>
    <w:p>
      <w:pPr>
        <w:pageBreakBefore w:val="0"/>
      </w:pPr>
      <w:r>
        <w:t>The quantitative findings show substantial importance attached to relational and practical service attributes, generally favourable congregant experiences and majority support for considering business-like practices. Staff records identify existing feedback and monitoring approaches alongside uneven tool use, spiritual concerns and practical constraints. Positive aggregate results coexist with less favourable experiences and sharply differentiated response patterns that require careful interpretation.</w:t>
      </w:r>
    </w:p>
    <w:p>
      <w:pPr>
        <w:pageBreakBefore w:val="0"/>
      </w:pPr>
      <w:r>
        <w:t>The chapter provides a transparent descriptive foundation through explicit denominators, retained response categories and sensitivity comparisons for conflicting selections. Its contribution is to specify what the questionnaire records show and where interpretation remains limited. Chapter 5 develops the written reasons and suggestions, allowing the discussion to connect numerical patterns with expressed meanings while preserving the distinction between measured findings, interpretation and proposed action.</w:t>
      </w:r>
    </w:p>
    <w:p>
      <w:bookmarkStart w:id="244" w:name="m244"/>
      <w:pPr>
        <w:pStyle w:val="Heading1"/>
        <w:pageBreakBefore/>
      </w:pPr>
      <w:r>
        <w:t>CHAPTER 5</w:t>
        <w:br/>
        <w:t>QUALITATIVE FINDINGS</w:t>
      </w:r>
      <w:bookmarkEnd w:id="244"/>
    </w:p>
    <w:p>
      <w:bookmarkStart w:id="245" w:name="m245"/>
      <w:pPr>
        <w:pStyle w:val="Heading2"/>
        <w:pageBreakBefore w:val="0"/>
      </w:pPr>
      <w:r>
        <w:t>5.1 Scope and Interpretation of the Written Responses</w:t>
      </w:r>
      <w:bookmarkEnd w:id="245"/>
    </w:p>
    <w:p>
      <w:bookmarkStart w:id="246" w:name="m246"/>
      <w:pPr>
        <w:pStyle w:val="Heading3"/>
        <w:pageBreakBefore w:val="0"/>
      </w:pPr>
      <w:r>
        <w:t>5.1.1 The qualitative contribution</w:t>
      </w:r>
      <w:bookmarkEnd w:id="246"/>
    </w:p>
    <w:p>
      <w:pPr>
        <w:pageBreakBefore w:val="0"/>
      </w:pPr>
      <w:r>
        <w:t>The congregants’ written reasons present service improvement as a question of purpose as well as practice. Many entries identify practical value in organisation, communication and hospitality, while others question commercial language or insist that ministry retain priority. These positions sometimes occur within the same statement. The central interpretation developed here is conditional usefulness: practical benefits can be recognised while acceptance remains qualified by the setting, the practice or its relationship to spiritual purpose.</w:t>
      </w:r>
    </w:p>
    <w:p>
      <w:pPr>
        <w:pageBreakBefore w:val="0"/>
      </w:pPr>
      <w:r>
        <w:t>This interpretation extends the quantitative account without replacing it. Chapter 4 establishes the distribution of adoption attitudes, importance ratings and reported experiences. The written responses help identify what respondents explicitly associate with useful service practices and what they consider problematic. They do not establish unrecorded motives, explain every quantitative association or demonstrate that a proposed improvement would produce a particular outcome.</w:t>
      </w:r>
    </w:p>
    <w:p>
      <w:pPr>
        <w:pageBreakBefore w:val="0"/>
      </w:pPr>
      <w:r>
        <w:t>The chapter addresses three congregant fields: reasons for adoption attitudes, suggestions linked to the improvement question and a final suggested practice. This opening section examines the reasons, especially the relationship between practical value and limits on commercial approaches. Later sections develop the suggestions concerning welcome, pastoral contact, communication, feedback, volunteers, inclusion and community provision. These fields remain separate because they invite different responses from the same records.</w:t>
      </w:r>
    </w:p>
    <w:p>
      <w:bookmarkStart w:id="247" w:name="m247"/>
      <w:pPr>
        <w:pStyle w:val="Heading3"/>
        <w:pageBreakBefore w:val="0"/>
      </w:pPr>
      <w:r>
        <w:t>5.1.2 Corpus and units of interpretation</w:t>
      </w:r>
      <w:bookmarkEnd w:id="247"/>
    </w:p>
    <w:p>
      <w:pPr>
        <w:pageBreakBefore w:val="0"/>
      </w:pPr>
      <w:r>
        <w:t>The corpus contains 300 nonempty entries across 100 congregant records. Twenty-two improvement entries state that no specific improvement is suggested, leaving 278 substantive entries across the three fields. These totals describe entries rather than separate people. The reason field contains 100 substantive entries represented by 20 distinct text strings; the other two fields contain 16 and 15 distinct strings respectively.</w:t>
      </w:r>
    </w:p>
    <w:p>
      <w:pPr>
        <w:pageBreakBefore w:val="0"/>
      </w:pPr>
      <w:r>
        <w:t>Repeated wording is preserved because it forms part of the supplied transcription. A statement appearing in several records contributes to its distributional frequency, but repetition does not establish independent elaboration or depth. The records do not disclose whether wording was standardised during transcription. The analysis therefore reports exact recurring formulations without treating them as evidence of thematic saturation or reconstructing conversations that are not available.</w:t>
      </w:r>
    </w:p>
    <w:p>
      <w:pPr>
        <w:pageBreakBefore w:val="0"/>
      </w:pPr>
      <w:r>
        <w:t>All quotations in this chapter reproduce the supplied transcription. They are not independently verified verbatim speech from the original completed questionnaires. Record identifiers such as C001 refer to the existing congregant sequence; they are not interview identifiers. Where wording recurs, the discussion identifies an illustrative record and the number of records containing that formulation, rather than presenting each occurrence as a separate extended narrative.</w:t>
      </w:r>
    </w:p>
    <w:p>
      <w:bookmarkStart w:id="248" w:name="m248"/>
      <w:pPr>
        <w:pStyle w:val="Heading3"/>
        <w:pageBreakBefore w:val="0"/>
      </w:pPr>
      <w:r>
        <w:t>5.1.3 Coding and the status of the findings</w:t>
      </w:r>
      <w:bookmarkEnd w:id="248"/>
    </w:p>
    <w:p>
      <w:pPr>
        <w:pageBreakBefore w:val="0"/>
      </w:pPr>
      <w:r>
        <w:t>The descriptive thematic content analysis uses the explicit meaning of each reason statement. Five established codes distinguish practical value, protection of spiritual purpose, concern about commercial models or language, selective or conditional adoption, and preference for pastoral approaches. A statement can receive several codes when it expresses several ideas. Each record contributes at most once to a particular code within this field.</w:t>
      </w:r>
    </w:p>
    <w:p>
      <w:pPr>
        <w:pageBreakBefore w:val="0"/>
      </w:pPr>
      <w:r>
        <w:t>The coding was prepared with AI assistance and remains interpretive. No independent second coding, agreement statistic or participant validation is claimed. The coding audit links the distinct formulations to their assigned codes and record identifiers. This allows the interpretation to be examined against the supplied wording, while recognising that traceability does not remove the need for researcher judgement.</w:t>
      </w:r>
    </w:p>
    <w:p>
      <w:pPr>
        <w:pageBreakBefore w:val="0"/>
      </w:pPr>
      <w:r>
        <w:t>Code frequencies describe how the analytical categories are distributed within these records. They do not measure the intensity of belief or population prevalence. A less frequent view can still identify a substantive alternative, and an omitted code does not demonstrate that a respondent rejects the corresponding idea. It means that the particular reason entry did not meet the documented coding rule.</w:t>
      </w:r>
    </w:p>
    <w:p>
      <w:bookmarkStart w:id="249" w:name="m249"/>
      <w:pPr>
        <w:pStyle w:val="Heading2"/>
        <w:pageBreakBefore w:val="0"/>
      </w:pPr>
      <w:r>
        <w:t>5.2 Practical Value and Conditional Usefulness</w:t>
      </w:r>
      <w:bookmarkEnd w:id="249"/>
    </w:p>
    <w:p>
      <w:bookmarkStart w:id="250" w:name="m250"/>
      <w:pPr>
        <w:pStyle w:val="Heading3"/>
        <w:pageBreakBefore w:val="0"/>
      </w:pPr>
      <w:r>
        <w:t>5.2.1 Distribution of the reason categories</w:t>
      </w:r>
      <w:bookmarkEnd w:id="250"/>
    </w:p>
    <w:p>
      <w:bookmarkStart w:id="251" w:name="m251"/>
      <w:pPr>
        <w:keepNext/>
        <w:pageBreakBefore w:val="0"/>
      </w:pPr>
      <w:r>
        <w:rPr>
          <w:b/>
        </w:rPr>
        <w:t>Table 5.1  Categories in the adoption reasons</w:t>
      </w:r>
      <w:bookmarkEnd w:id="25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0"/>
        <w:gridCol w:w="1440"/>
        <w:gridCol w:w="1440"/>
      </w:tblGrid>
      <w:tr>
        <w:trPr>
          <w:cantSplit/>
          <w:tblHeader/>
        </w:trPr>
        <w:tc>
          <w:tcPr>
            <w:tcW w:type="dxa" w:w="5760"/>
            <w:vAlign w:val="center"/>
            <w:tcMar>
              <w:top w:w="85" w:type="dxa"/>
              <w:bottom w:w="85" w:type="dxa"/>
              <w:left w:w="85" w:type="dxa"/>
              <w:right w:w="85" w:type="dxa"/>
            </w:tcMar>
            <w:shd w:fill="E7EDF3"/>
          </w:tcPr>
          <w:p>
            <w:pPr>
              <w:keepNext/>
              <w:spacing w:line="240" w:lineRule="auto" w:after="40" w:before="40"/>
              <w:jc w:val="left"/>
            </w:pPr>
            <w:r>
              <w:rPr>
                <w:b/>
                <w:sz w:val="20"/>
              </w:rPr>
              <w:t>Code and category</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Records 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 of 100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B  Practical value of service practices</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74</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74.0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M  Protection of spiritual purpose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49</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49.0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R  Concern about commercial models or language</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41</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41.0</w:t>
            </w:r>
          </w:p>
        </w:tc>
      </w:tr>
      <w:tr>
        <w:trPr>
          <w:cantSplit/>
        </w:trPr>
        <w:tc>
          <w:tcPr>
            <w:tcW w:type="dxa" w:w="5760"/>
            <w:vAlign w:val="center"/>
            <w:tcMar>
              <w:top w:w="85" w:type="dxa"/>
              <w:bottom w:w="85" w:type="dxa"/>
              <w:left w:w="85" w:type="dxa"/>
              <w:right w:w="85" w:type="dxa"/>
            </w:tcMar>
          </w:tcPr>
          <w:p>
            <w:pPr>
              <w:keepNext/>
              <w:spacing w:line="240" w:lineRule="auto" w:after="40" w:before="40"/>
              <w:jc w:val="left"/>
            </w:pPr>
            <w:r>
              <w:rPr>
                <w:b w:val="0"/>
                <w:sz w:val="20"/>
              </w:rPr>
              <w:t>A  Selective or conditional adoption</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39</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39.0</w:t>
            </w:r>
          </w:p>
        </w:tc>
      </w:tr>
      <w:tr>
        <w:trPr>
          <w:cantSplit/>
        </w:trPr>
        <w:tc>
          <w:tcPr>
            <w:tcW w:type="dxa" w:w="5760"/>
            <w:vAlign w:val="center"/>
            <w:tcMar>
              <w:top w:w="85" w:type="dxa"/>
              <w:bottom w:w="85" w:type="dxa"/>
              <w:left w:w="85" w:type="dxa"/>
              <w:right w:w="85" w:type="dxa"/>
            </w:tcMar>
          </w:tcPr>
          <w:p>
            <w:pPr>
              <w:keepNext w:val="0"/>
              <w:spacing w:line="240" w:lineRule="auto" w:after="40" w:before="40"/>
              <w:jc w:val="left"/>
            </w:pPr>
            <w:r>
              <w:rPr>
                <w:b w:val="0"/>
                <w:sz w:val="20"/>
              </w:rPr>
              <w:t>E  Preference for pastoral rather than business approaches</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2</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2.0</w:t>
            </w:r>
          </w:p>
        </w:tc>
      </w:tr>
    </w:tbl>
    <w:p>
      <w:pPr>
        <w:pageBreakBefore w:val="0"/>
        <w:spacing w:line="240" w:lineRule="auto" w:before="80" w:after="160"/>
      </w:pPr>
      <w:r>
        <w:rPr>
          <w:sz w:val="20"/>
        </w:rPr>
        <w:t>Base 100 reason entries. Multiple codes permitted; counts and percentages do not sum to 100. Codes describe explicit content rather than replacing closed adoption responses.</w:t>
      </w:r>
    </w:p>
    <w:p>
      <w:pPr>
        <w:pageBreakBefore w:val="0"/>
      </w:pPr>
      <w:r>
        <w:t>Practical value appears in 74 reason entries, protection of spiritual purpose in 49, commercial concerns in 41, and selective or conditional adoption in 39. Two entries explicitly prefer pastoral rather than business approaches. These counts overlap: 22 records receive both practical-value and commercial-concern codes, while 34 receive both practical-value and spiritual-purpose codes. The distribution therefore cannot be represented as mutually exclusive groups of supporters and critics.</w:t>
      </w:r>
    </w:p>
    <w:p>
      <w:pPr>
        <w:pageBreakBefore w:val="0"/>
      </w:pPr>
      <w:r>
        <w:t>The category for conditional adoption is narrower than the chapter’s broader interpretation of conditional usefulness. The code identifies explicit selectivity, dependence or limits on adoption under the established rules. The interpretation considers the relationship between benefit, purpose and reservation across the wording. Consequently, 39 is the frequency of an assigned code, not an estimate of everyone whose acceptance might be qualified in some way.</w:t>
      </w:r>
    </w:p>
    <w:p>
      <w:pPr>
        <w:pageBreakBefore w:val="0"/>
      </w:pPr>
      <w:r>
        <w:t>This distinction matters for the claim of contribution. Conditional usefulness is an interpretive description grounded in the responses, not a validated scale, a tested causal model or a demonstrated universal feature of church management. Its value here lies in explaining why a positive account of service practices need not entail unrestricted acceptance of business models. The findings must remain close to the language supporting that distinction.</w:t>
      </w:r>
    </w:p>
    <w:p>
      <w:bookmarkStart w:id="252" w:name="m252"/>
      <w:pPr>
        <w:pStyle w:val="Heading3"/>
        <w:pageBreakBefore w:val="0"/>
      </w:pPr>
      <w:r>
        <w:t>5.2.2 Structure as support for ministry</w:t>
      </w:r>
      <w:bookmarkEnd w:id="252"/>
    </w:p>
    <w:p>
      <w:pPr>
        <w:pageBreakBefore w:val="0"/>
      </w:pPr>
      <w:r>
        <w:t>One recurring formulation states: “There is value in structure, as long as it supports rather than replaces ministry.” This appears in eight records, including C001 and C041. The sentence contains an affirmative assessment, a condition and an explicit statement of purpose. It receives the practical-value, conditional-adoption and spiritual-purpose codes because all three elements are present in the wording.</w:t>
      </w:r>
    </w:p>
    <w:p>
      <w:pPr>
        <w:pageBreakBefore w:val="0"/>
      </w:pPr>
      <w:r>
        <w:t>The relationship between structure and ministry is the substantive point. Structure is not rejected; it is assigned a supporting role. The qualification concerns what happens if organisational arrangements displace the activity they are intended to assist. The response does not specify which structures are acceptable or identify an instance of displacement. Its contribution is to articulate a criterion for judging usefulness, rather than to document a particular organisational failure.</w:t>
      </w:r>
    </w:p>
    <w:p>
      <w:pPr>
        <w:pageBreakBefore w:val="0"/>
      </w:pPr>
      <w:r>
        <w:t>A related statement, appearing in seven records including C002, reads: “Professional service standards can strengthen ministry without changing its purpose.” Here, professionalism and ministry are presented as potentially compatible. The statement receives practical-value and spiritual-purpose codes. The analysis preserves that coding rather than adding conditional adoption merely because the sentence contains a qualification. The established codebook distinguishes formulations of selective adoption from an assertion that useful standards can coexist with continuity of purpose.</w:t>
      </w:r>
    </w:p>
    <w:p>
      <w:pPr>
        <w:pageBreakBefore w:val="0"/>
      </w:pPr>
      <w:r>
        <w:t>Together, these statements identify two related positions: structure should remain subordinate to ministry, and professional standards may strengthen ministry. Neither warrants the conclusion that respondents favour every practice associated with professionalism. Their wording establishes a relationship between means and purpose while leaving the practical boundaries incompletely specified. That incompleteness is part of the evidence and should remain visible in the discussion.</w:t>
      </w:r>
    </w:p>
    <w:p>
      <w:bookmarkStart w:id="253" w:name="m253"/>
      <w:pPr>
        <w:pStyle w:val="Heading3"/>
        <w:pageBreakBefore w:val="0"/>
      </w:pPr>
      <w:r>
        <w:t>5.2.3 Communication and hospitality as expressions of care</w:t>
      </w:r>
      <w:bookmarkEnd w:id="253"/>
    </w:p>
    <w:p>
      <w:pPr>
        <w:pageBreakBefore w:val="0"/>
      </w:pPr>
      <w:r>
        <w:t>Seven records, including C004, state: “Some business practices are useful, especially communication and hospitality, but mission must come first.” The example identifies particular activities and places their value under a mission-related qualification. It is more specific than a general preference for better management, although it does not describe how communication or hospitality should be organised. Its selectivity supports the interpretation that practices can be assessed individually rather than accepted as an indivisible business package.</w:t>
      </w:r>
    </w:p>
    <w:p>
      <w:pPr>
        <w:pageBreakBefore w:val="0"/>
      </w:pPr>
      <w:r>
        <w:t>Another formulation, present in nine records including C025, states: “Good communication, follow-up and hospitality are practical expressions of care.” This wording locates service actions within a relational purpose. It receives the practical-value code without a commercial-concern or explicit spiritual-purpose code. Although care may have religious significance for respondents, that significance cannot be inferred automatically where it is not named in the text.</w:t>
      </w:r>
    </w:p>
    <w:p>
      <w:pPr>
        <w:pageBreakBefore w:val="0"/>
      </w:pPr>
      <w:r>
        <w:t>The distinction between these formulations strengthens the analysis. The first explicitly subordinates selected practices to mission; the second identifies their caring function without voicing a condition. Both recognise practical benefit, but they do not make identical claims. Combining them into an undifferentiated statement that respondents demand mission safeguards would overstate the second formulation. Treating them as unrelated would overlook their shared attention to what service practices accomplish for people.</w:t>
      </w:r>
    </w:p>
    <w:p>
      <w:bookmarkStart w:id="254" w:name="m254"/>
      <w:pPr>
        <w:pStyle w:val="Heading3"/>
        <w:pageBreakBefore w:val="0"/>
      </w:pPr>
      <w:r>
        <w:t>5.2.4 Welcome and respect as anticipated benefits</w:t>
      </w:r>
      <w:bookmarkEnd w:id="254"/>
    </w:p>
    <w:p>
      <w:pPr>
        <w:pageBreakBefore w:val="0"/>
      </w:pPr>
      <w:r>
        <w:t>The most frequent distinct reason, appearing in eleven records including C018, states: “Using proven service practices can help people feel welcomed and respected.” The anticipated benefit concerns interpersonal experience rather than revenue, growth or competitive position. This provides a textual counterpart to the importance attached to welcome and feeling valued in Chapter 4. The connection concerns the content of the response sets, not a demonstrated effect of any intervention.</w:t>
      </w:r>
    </w:p>
    <w:p>
      <w:pPr>
        <w:pageBreakBefore w:val="0"/>
      </w:pPr>
      <w:r>
        <w:t>The word proven belongs to the supplied statement. The present study does not establish that the unspecified practices have been independently tested or that they produce welcome and respect in this setting. The response is evidence of a perceived rationale for using them. Preserving this distinction allows the dissertation to report the respondent’s formulation faithfully without adopting its implied evidential claim as an established research finding.</w:t>
      </w:r>
    </w:p>
    <w:p>
      <w:pPr>
        <w:pageBreakBefore w:val="0"/>
      </w:pPr>
      <w:r>
        <w:t>These benefit-oriented statements also prevent the analysis from depicting the reason field solely as resistance to commercialisation. Twenty records share the welcome-and-respect or communication-as-care formulations, and neither formulation receives a reservation code. The absence of an expressed reservation in a short answer does not establish unconditional endorsement, but it does show that the recorded emphasis in those entries is positive practical value.</w:t>
      </w:r>
    </w:p>
    <w:p>
      <w:bookmarkStart w:id="255" w:name="m255"/>
      <w:pPr>
        <w:pStyle w:val="Heading2"/>
        <w:pageBreakBefore w:val="0"/>
      </w:pPr>
      <w:r>
        <w:t>5.3 Conditions and Boundaries of Acceptance</w:t>
      </w:r>
      <w:bookmarkEnd w:id="255"/>
    </w:p>
    <w:p>
      <w:bookmarkStart w:id="256" w:name="m256"/>
      <w:pPr>
        <w:pStyle w:val="Heading3"/>
        <w:pageBreakBefore w:val="0"/>
      </w:pPr>
      <w:r>
        <w:t>5.3.1 Context and selective adoption</w:t>
      </w:r>
      <w:bookmarkEnd w:id="256"/>
    </w:p>
    <w:p>
      <w:pPr>
        <w:pageBreakBefore w:val="0"/>
      </w:pPr>
      <w:r>
        <w:t>Six records, including C006, state: “It depends on the congregation and whether the practice supports its spiritual purpose.” The sentence makes context and purpose explicit criteria without identifying a particular practical benefit. It consequently receives conditional-adoption and spiritual-purpose codes, but not practical value. This example illustrates why the conditional and benefit counts are related yet cannot be treated as interchangeable measures.</w:t>
      </w:r>
    </w:p>
    <w:p>
      <w:pPr>
        <w:pageBreakBefore w:val="0"/>
      </w:pPr>
      <w:r>
        <w:t>A shorter formulation, recorded once in C012, states: “The idea could work if applied carefully and selectively.” It receives the conditional-adoption code alone. Although the sentence permits a possibility of success, it does not specify a service benefit, spiritual criterion or commercial concern. The analysis should not supply those missing details by association with richer statements elsewhere. The example demonstrates both selective openness and the limits of a brief reason entry.</w:t>
      </w:r>
    </w:p>
    <w:p>
      <w:pPr>
        <w:pageBreakBefore w:val="0"/>
      </w:pPr>
      <w:r>
        <w:t>Five records, including C016, state: “Some structure is useful, but not every business method belongs in a church.” This formulation joins benefit with a limit on the range of acceptable methods. It does not identify the rejected methods. The finding is therefore selectivity itself, not endorsement of a particular approved list. Developing such a list would require further contextual judgement and evidence.</w:t>
      </w:r>
    </w:p>
    <w:p>
      <w:bookmarkStart w:id="257" w:name="m257"/>
      <w:pPr>
        <w:pStyle w:val="Heading3"/>
        <w:pageBreakBefore w:val="0"/>
      </w:pPr>
      <w:r>
        <w:t>5.3.2 Benefit accompanied by commercial concern</w:t>
      </w:r>
      <w:bookmarkEnd w:id="257"/>
    </w:p>
    <w:p>
      <w:pPr>
        <w:pageBreakBefore w:val="0"/>
      </w:pPr>
      <w:r>
        <w:t>Six records, including C017, state: “Better organization would help, provided the church does not become overly corporate.” The condition links an anticipated organisational benefit with a concern about corporate character. The statement receives conditional-adoption, practical-value and commercial-concern codes. It does not define overly corporate, so the analysis cannot convert the phrase into a precise threshold of acceptable formalisation.</w:t>
      </w:r>
    </w:p>
    <w:p>
      <w:pPr>
        <w:pageBreakBefore w:val="0"/>
      </w:pPr>
      <w:r>
        <w:t>Three records, including C011, offer another boundary: “Professionalism is useful, but copying business methods can make worship feel transactional.” The potential benefit and concern appear within one sentence. The object of concern is the experienced character of worship rather than a stated objection to all organisation. This interpretation follows the wording but does not establish that transactional worship has actually occurred in the respondent’s church.</w:t>
      </w:r>
    </w:p>
    <w:p>
      <w:pPr>
        <w:pageBreakBefore w:val="0"/>
      </w:pPr>
      <w:r>
        <w:t>Seven records, including C007, state: “Training and responsiveness are worthwhile, but faith should not be reduced to metrics.” The qualification concerns the scope of measurement. It supports identifying a boundary against reducing faith to numerical indicators; it does not establish opposition to every form of monitoring. Attendance, feedback and participation measures discussed in Chapter 4 therefore cannot be rejected on the basis of this statement alone. Their relevance and limits require a more specific discussion.</w:t>
      </w:r>
    </w:p>
    <w:p>
      <w:bookmarkStart w:id="258" w:name="m258"/>
      <w:pPr>
        <w:pStyle w:val="Heading3"/>
        <w:pageBreakBefore w:val="0"/>
      </w:pPr>
      <w:r>
        <w:t>5.3.3 Preserving dissent and pastoral alternatives</w:t>
      </w:r>
      <w:bookmarkEnd w:id="258"/>
    </w:p>
    <w:p>
      <w:pPr>
        <w:pageBreakBefore w:val="0"/>
      </w:pPr>
      <w:r>
        <w:t>Some reasons express a stronger objection to commercial framing. Four records, including C013, state: “The church should not mimic corporations or treat worshippers like customers.” Three, including C014, state that customer-service language does not fit their understanding of church operation. These formulations identify a boundary around organisational identity and language. They should not be recast as disguised endorsement simply because other entries recognise practical benefits.</w:t>
      </w:r>
    </w:p>
    <w:p>
      <w:pPr>
        <w:pageBreakBefore w:val="0"/>
      </w:pPr>
      <w:r>
        <w:t>Two records, C035 and C080, state: “I would prefer improvements to come from pastoral care rather than business models.” Their low frequency does not make the alternative analytically negligible. The wording accepts the possibility of improvement while preferring a different source or orientation for it. Retaining this narrow category ensures that the interpretation of conditional usefulness does not absorb every position into a single account of selective business adoption.</w:t>
      </w:r>
    </w:p>
    <w:p>
      <w:bookmarkStart w:id="259" w:name="m259"/>
      <w:pPr>
        <w:pStyle w:val="Heading3"/>
        <w:pageBreakBefore w:val="0"/>
      </w:pPr>
      <w:r>
        <w:t>5.3.4 Relationship with the closed adoption responses</w:t>
      </w:r>
      <w:bookmarkEnd w:id="259"/>
    </w:p>
    <w:p>
      <w:pPr>
        <w:pageBreakBefore w:val="0"/>
      </w:pPr>
      <w:r>
        <w:t>Linking the reason codes to the closed question clarifies why recognising benefit differs from endorsing adoption. The 74 practical-value records include all 60 supporting responses, eight neutral / depends responses and six somewhat-opposed responses. Conversely, commercial concerns occur in all 25 opposed responses, thirteen somewhat-supportive responses and three neutral / depends responses. These are descriptive links within the same records, not inferred motives.</w:t>
      </w:r>
    </w:p>
    <w:p>
      <w:pPr>
        <w:pageBreakBefore w:val="0"/>
      </w:pPr>
      <w:r>
        <w:t>The conditional-adoption code appears in 21 somewhat-supportive, fifteen neutral / depends and three somewhat-opposed records. Its presence across these categories demonstrates that an explicit condition does not uniquely identify a closed-response position. A respondent may express a condition while leaning towards adoption, remaining undecided or leaning against it. The text adds specificity to the recorded stance without authorising a replacement of that stance with the analyst’s preferred classification.</w:t>
      </w:r>
    </w:p>
    <w:p>
      <w:pPr>
        <w:pageBreakBefore w:val="0"/>
      </w:pPr>
      <w:r>
        <w:t>The overlap also helps specify what conditional usefulness does not explain. Thirty-two records receive both conditional-adoption and practical-value codes, but the remaining seven conditional entries do not name a concrete benefit under the coding rules. Their acceptance depends on context or selectivity without articulating the service outcome anticipated. Conversely, many benefit-coded entries do not receive the conditional code. These differences prevent constructing a single continuum from opposition through conditions to enthusiastic support. The questionnaire records several dimensions of judgement, and the coding retains those dimensions rather than forcing all reasons into an ordered progression.</w:t>
      </w:r>
    </w:p>
    <w:p>
      <w:bookmarkStart w:id="260" w:name="m260"/>
      <w:pPr>
        <w:pStyle w:val="Heading3"/>
        <w:pageBreakBefore w:val="0"/>
      </w:pPr>
      <w:r>
        <w:t>5.3.5 Interim synthesis</w:t>
      </w:r>
      <w:bookmarkEnd w:id="260"/>
    </w:p>
    <w:p>
      <w:pPr>
        <w:pageBreakBefore w:val="0"/>
      </w:pPr>
      <w:r>
        <w:t>The reasons support conditional usefulness as an interpretation of how practical value can coexist with boundaries concerning purpose, context and commercial framing. They also contain benefit-focused formulations without explicit reservations and dissenting formulations that prefer pastoral approaches. The strength of the analysis rests on preserving these differences. The next sections examine the concrete improvements and final suggested practices, assessing whether and how those proposals extend the meanings expressed in the adoption reasons.</w:t>
      </w:r>
    </w:p>
    <w:p>
      <w:bookmarkStart w:id="261" w:name="m261"/>
      <w:pPr>
        <w:pStyle w:val="Heading2"/>
        <w:pageBreakBefore w:val="0"/>
      </w:pPr>
      <w:r>
        <w:t>5.4 Suggestions for Improvement</w:t>
      </w:r>
      <w:bookmarkEnd w:id="261"/>
    </w:p>
    <w:p>
      <w:bookmarkStart w:id="262" w:name="m262"/>
      <w:pPr>
        <w:pStyle w:val="Heading3"/>
        <w:pageBreakBefore w:val="0"/>
      </w:pPr>
      <w:r>
        <w:t>5.4.1 Scope and response bases</w:t>
      </w:r>
      <w:bookmarkEnd w:id="262"/>
    </w:p>
    <w:p>
      <w:pPr>
        <w:pageBreakBefore w:val="0"/>
      </w:pPr>
      <w:r>
        <w:t>The improvement field moves from attitudes towards business-like practices to suggestions about church life. Seventy-eight of the 100 congregant records contain a substantive suggestion. The other 22 contain the exact wording “No specific improvement suggested.” These are the same records that answer no to whether the church could improve. Their entries remain part of the transcription but are not counted as a substantive improvement theme.</w:t>
      </w:r>
    </w:p>
    <w:p>
      <w:bookmarkStart w:id="263" w:name="m263"/>
      <w:pPr>
        <w:keepNext/>
        <w:pageBreakBefore w:val="0"/>
      </w:pPr>
      <w:r>
        <w:rPr>
          <w:b/>
        </w:rPr>
        <w:t>Table 5.2  Categories in the improvement suggestions</w:t>
      </w:r>
      <w:bookmarkEnd w:id="26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752"/>
        <w:gridCol w:w="1008"/>
        <w:gridCol w:w="1440"/>
        <w:gridCol w:w="1440"/>
      </w:tblGrid>
      <w:tr>
        <w:trPr>
          <w:cantSplit/>
          <w:tblHeader/>
        </w:trPr>
        <w:tc>
          <w:tcPr>
            <w:tcW w:type="dxa" w:w="4752"/>
            <w:vAlign w:val="center"/>
            <w:tcMar>
              <w:top w:w="85" w:type="dxa"/>
              <w:bottom w:w="85" w:type="dxa"/>
              <w:left w:w="85" w:type="dxa"/>
              <w:right w:w="85" w:type="dxa"/>
            </w:tcMar>
            <w:shd w:fill="E7EDF3"/>
          </w:tcPr>
          <w:p>
            <w:pPr>
              <w:keepNext/>
              <w:spacing w:line="240" w:lineRule="auto" w:after="40" w:before="40"/>
              <w:jc w:val="left"/>
            </w:pPr>
            <w:r>
              <w:rPr>
                <w:b/>
                <w:sz w:val="20"/>
              </w:rPr>
              <w:t>Code and category</w:t>
            </w:r>
          </w:p>
        </w:tc>
        <w:tc>
          <w:tcPr>
            <w:tcW w:type="dxa" w:w="1008"/>
            <w:vAlign w:val="center"/>
            <w:tcMar>
              <w:top w:w="85" w:type="dxa"/>
              <w:bottom w:w="85" w:type="dxa"/>
              <w:left w:w="85" w:type="dxa"/>
              <w:right w:w="85" w:type="dxa"/>
            </w:tcMar>
            <w:shd w:fill="E7EDF3"/>
          </w:tcPr>
          <w:p>
            <w:pPr>
              <w:keepNext/>
              <w:spacing w:line="240" w:lineRule="auto" w:after="40" w:before="40"/>
              <w:jc w:val="center"/>
            </w:pPr>
            <w:r>
              <w:rPr>
                <w:b/>
                <w:sz w:val="20"/>
              </w:rPr>
              <w:t>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 of 100</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 of 78</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RC  Personal welcome and pastoral connection</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20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20.0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25.6</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VC  Volunteer training and coordination</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13</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13.0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16.7</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CO  Clear information and digital communication</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15.4</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FC  Family provision and small-group community</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15.4</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FB  Listening and acting on feedback</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10.0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12.8</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FR  Restraint in fundraising appeals</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8</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8.0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10.3</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AI  Accessibility and linguistic inclusion</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7</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7.0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9.0</w:t>
            </w:r>
          </w:p>
        </w:tc>
      </w:tr>
      <w:tr>
        <w:trPr>
          <w:cantSplit/>
        </w:trPr>
        <w:tc>
          <w:tcPr>
            <w:tcW w:type="dxa" w:w="4752"/>
            <w:vAlign w:val="center"/>
            <w:tcMar>
              <w:top w:w="85" w:type="dxa"/>
              <w:bottom w:w="85" w:type="dxa"/>
              <w:left w:w="85" w:type="dxa"/>
              <w:right w:w="85" w:type="dxa"/>
            </w:tcMar>
          </w:tcPr>
          <w:p>
            <w:pPr>
              <w:keepNext/>
              <w:spacing w:line="240" w:lineRule="auto" w:after="40" w:before="40"/>
              <w:jc w:val="left"/>
            </w:pPr>
            <w:r>
              <w:rPr>
                <w:b w:val="0"/>
                <w:sz w:val="20"/>
              </w:rPr>
              <w:t>WR  Engaging and contextually relevant worship</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5</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5.0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6.4</w:t>
            </w:r>
          </w:p>
        </w:tc>
      </w:tr>
      <w:tr>
        <w:trPr>
          <w:cantSplit/>
        </w:trPr>
        <w:tc>
          <w:tcPr>
            <w:tcW w:type="dxa" w:w="4752"/>
            <w:vAlign w:val="center"/>
            <w:tcMar>
              <w:top w:w="85" w:type="dxa"/>
              <w:bottom w:w="85" w:type="dxa"/>
              <w:left w:w="85" w:type="dxa"/>
              <w:right w:w="85" w:type="dxa"/>
            </w:tcMar>
          </w:tcPr>
          <w:p>
            <w:pPr>
              <w:keepNext w:val="0"/>
              <w:spacing w:line="240" w:lineRule="auto" w:after="40" w:before="40"/>
              <w:jc w:val="left"/>
            </w:pPr>
            <w:r>
              <w:rPr>
                <w:b w:val="0"/>
                <w:sz w:val="20"/>
              </w:rPr>
              <w:t>OU  Practical community outreach</w:t>
            </w:r>
          </w:p>
        </w:tc>
        <w:tc>
          <w:tcPr>
            <w:tcW w:type="dxa" w:w="1008"/>
            <w:vAlign w:val="center"/>
            <w:tcMar>
              <w:top w:w="85" w:type="dxa"/>
              <w:bottom w:w="85" w:type="dxa"/>
              <w:left w:w="85" w:type="dxa"/>
              <w:right w:w="85" w:type="dxa"/>
            </w:tcMar>
          </w:tcPr>
          <w:p>
            <w:pPr>
              <w:keepNext w:val="0"/>
              <w:spacing w:line="240" w:lineRule="auto" w:after="40" w:before="40"/>
              <w:jc w:val="center"/>
            </w:pPr>
            <w:r>
              <w:rPr>
                <w:b w:val="0"/>
                <w:sz w:val="20"/>
              </w:rPr>
              <w:t>2</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2.0</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2.6</w:t>
            </w:r>
          </w:p>
        </w:tc>
      </w:tr>
    </w:tbl>
    <w:p>
      <w:pPr>
        <w:pageBreakBefore w:val="0"/>
        <w:spacing w:line="240" w:lineRule="auto" w:before="80" w:after="160"/>
      </w:pPr>
      <w:r>
        <w:rPr>
          <w:sz w:val="20"/>
        </w:rPr>
        <w:t>Primary base 100 records; supplementary base 78 substantive suggestions. Twenty-two non-suggestions are excluded only from the supplementary base. Multiple codes permitted.</w:t>
      </w:r>
    </w:p>
    <w:p>
      <w:pPr>
        <w:pageBreakBefore w:val="0"/>
      </w:pPr>
      <w:r>
        <w:t>This distinction prevents the presence of text from being mistaken for the presence of a proposal. It also preserves the difference between the full record base and the subset offering substantive content. Table 5.2 reports percentages against both 100 records and 78 substantive suggestions. The former shows how often a theme occurs across the congregant records; the latter describes its prominence among suggestions. Neither denominator represents a separate sample of people.</w:t>
      </w:r>
    </w:p>
    <w:p>
      <w:pPr>
        <w:pageBreakBefore w:val="0"/>
      </w:pPr>
      <w:r>
        <w:t>Personal welcome and pastoral connection is the most frequent category, appearing in 20 records, followed by volunteer training and coordination in thirteen. Communication and family or small-group provision each appear in twelve. Listening and acting on feedback appears in ten. The remaining categories concern fundraising restraint, accessibility and linguistic inclusion, worship and outreach. This section develops the relational and organisational themes; subsequent sections examine the remaining suggestions and the final-practice field.</w:t>
      </w:r>
    </w:p>
    <w:p>
      <w:bookmarkStart w:id="264" w:name="m264"/>
      <w:pPr>
        <w:pStyle w:val="Heading3"/>
        <w:pageBreakBefore w:val="0"/>
      </w:pPr>
      <w:r>
        <w:t>5.4.2 Interpreting requests without assuming failure</w:t>
      </w:r>
      <w:bookmarkEnd w:id="264"/>
    </w:p>
    <w:p>
      <w:pPr>
        <w:pageBreakBefore w:val="0"/>
      </w:pPr>
      <w:r>
        <w:t>The suggestions are usually brief and framed as desired changes. Requests for more contact, better information or improved coordination identify a direction of preference. They do not independently establish what current provision looks like, how often a problem occurs or who is responsible. The analysis therefore examines the meaning of the requested change without reconstructing an unrecorded incident to explain it.</w:t>
      </w:r>
    </w:p>
    <w:p>
      <w:pPr>
        <w:pageBreakBefore w:val="0"/>
      </w:pPr>
      <w:r>
        <w:t>Frequency also requires restraint. Twenty records mentioning welcome or pastoral connection do not establish that the other eighty consider those matters unimportant. Respondents may select one issue from several possible concerns, and the prompt does not provide a comprehensive inventory of their priorities. Likewise, a smaller category can identify an important need for those affected. The table describes recorded emphasis rather than a ranked mandate for allocating church resources.</w:t>
      </w:r>
    </w:p>
    <w:p>
      <w:pPr>
        <w:pageBreakBefore w:val="0"/>
      </w:pPr>
      <w:r>
        <w:t>Several statements receive overlapping codes. The six requests for friendlier and better-trained ushers and greeters receive both volunteer and relational codes. This reflects two explicit elements in one suggestion, not two separate respondents. The overlap is substantively useful because it links an organisational activity, training, with an interpersonal quality, friendliness. It also explains why adding category totals does not yield the number of substantive entries.</w:t>
      </w:r>
    </w:p>
    <w:p>
      <w:bookmarkStart w:id="265" w:name="m265"/>
      <w:pPr>
        <w:pStyle w:val="Heading2"/>
        <w:pageBreakBefore w:val="0"/>
      </w:pPr>
      <w:r>
        <w:t>5.5 Personal Welcome and Pastoral Connection</w:t>
      </w:r>
      <w:bookmarkEnd w:id="265"/>
    </w:p>
    <w:p>
      <w:bookmarkStart w:id="266" w:name="m266"/>
      <w:pPr>
        <w:pStyle w:val="Heading3"/>
        <w:pageBreakBefore w:val="0"/>
      </w:pPr>
      <w:r>
        <w:t>5.5.1 Pastoral contact after services</w:t>
      </w:r>
      <w:bookmarkEnd w:id="266"/>
    </w:p>
    <w:p>
      <w:pPr>
        <w:pageBreakBefore w:val="0"/>
      </w:pPr>
      <w:r>
        <w:t>Eight records, including C001 and C041, state: “More pastoral engagement with members after services.” The request identifies an actor, an intended relationship and a particular occasion. It concerns contact with members after the service rather than only participation during worship. This specificity gives the relational category practical content while leaving the desired frequency, duration and form of engagement unspecified.</w:t>
      </w:r>
    </w:p>
    <w:p>
      <w:pPr>
        <w:pageBreakBefore w:val="0"/>
      </w:pPr>
      <w:r>
        <w:t>The wording can support an interpretation of greater pastoral availability in an ordinary church setting. It cannot establish that pastoral staff are currently inaccessible or inattentive. More is comparative language, but the transcription supplies no starting level against which an increase can be assessed. The finding is an expressed preference for additional engagement, not an independently observed deficit in pastoral performance.</w:t>
      </w:r>
    </w:p>
    <w:p>
      <w:pPr>
        <w:pageBreakBefore w:val="0"/>
      </w:pPr>
      <w:r>
        <w:t>The setting after services is also analytically relevant. It situates the request around an existing gathering, rather than explicitly proposing a new appointment system or programme. That distinction should be preserved when moving towards recommendations. A formal consultation scheme might be one possible response, but it is not what these entries specifically request. The qualitative finding concerns the opportunity for contact, with implementation requiring further local judgement.</w:t>
      </w:r>
    </w:p>
    <w:p>
      <w:bookmarkStart w:id="267" w:name="m267"/>
      <w:pPr>
        <w:pStyle w:val="Heading3"/>
        <w:pageBreakBefore w:val="0"/>
      </w:pPr>
      <w:r>
        <w:t>5.5.2 Personal attention to newcomers</w:t>
      </w:r>
      <w:bookmarkEnd w:id="267"/>
    </w:p>
    <w:p>
      <w:pPr>
        <w:pageBreakBefore w:val="0"/>
      </w:pPr>
      <w:r>
        <w:t>Six records, including C025 and C080, state: “Make first-time visitors feel personally welcomed.” Here the intended beneficiary is a newcomer, whereas the preceding formulation names members. Both concern connection, but they address different relationships with the congregation. Combining them within one category should not remove that distinction or imply that the same approach necessarily serves both groups equally well.</w:t>
      </w:r>
    </w:p>
    <w:p>
      <w:pPr>
        <w:pageBreakBefore w:val="0"/>
      </w:pPr>
      <w:r>
        <w:t>The word personally gives the suggestion its particular emphasis. It points towards recognition of an individual rather than merely the availability of a general welcome. The records do not specify whether this should involve conversation, accompaniment, introductions or another action. Such examples may inform future planning, but they are not reported practices or additional respondent suggestions in this field.</w:t>
      </w:r>
    </w:p>
    <w:p>
      <w:pPr>
        <w:pageBreakBefore w:val="0"/>
      </w:pPr>
      <w:r>
        <w:t>The newcomer suggestion appears across different closed adoption positions: four strongly supportive records, one neutral / depends record and one somewhat-opposed record. This distribution provides a concrete example of an improvement preference that is not restricted to advocates of business-like practices. Its small size precludes generalising across attitude groups, but it shows why the suggestion should not automatically be labelled a demand for commercial service management.</w:t>
      </w:r>
    </w:p>
    <w:p>
      <w:bookmarkStart w:id="268" w:name="m268"/>
      <w:pPr>
        <w:pStyle w:val="Heading3"/>
        <w:pageBreakBefore w:val="0"/>
      </w:pPr>
      <w:r>
        <w:t>5.5.3 Friendliness and preparation as connected requests</w:t>
      </w:r>
      <w:bookmarkEnd w:id="268"/>
    </w:p>
    <w:p>
      <w:pPr>
        <w:pageBreakBefore w:val="0"/>
      </w:pPr>
      <w:r>
        <w:t>Six records, including C018 and C027, state: “Friendlier and better-trained ushers and greeters.” The wording joins a quality of interaction to a form of preparation. Friendliness concerns how the encounter is experienced; training concerns support for those undertaking it. The dual coding preserves this connection without claiming that insufficient training has been demonstrated as the cause of an unfriendly encounter.</w:t>
      </w:r>
    </w:p>
    <w:p>
      <w:pPr>
        <w:pageBreakBefore w:val="0"/>
      </w:pPr>
      <w:r>
        <w:t>These records add a different form of relational contact to pastoral engagement and newcomer welcome. Ushers and greeters are named roles, while the other statements focus on clergy contact or the visitor’s experience. The category therefore encompasses several points at which personal connection is requested. It does not reduce welcome to the conduct of one individual or imply that responsibility belongs exclusively to designated greeters.</w:t>
      </w:r>
    </w:p>
    <w:p>
      <w:pPr>
        <w:pageBreakBefore w:val="0"/>
      </w:pPr>
      <w:r>
        <w:t>Together, the three formulations account for the twenty relationally coded suggestions: eight concern pastoral contact, six personal newcomer welcome and six ushers and greeters. Their common element is the quality or availability of interpersonal contact. Their differences identify distinct subjects for further discussion, including member relationships, entry into congregational life and preparation for designated service roles.</w:t>
      </w:r>
    </w:p>
    <w:p>
      <w:bookmarkStart w:id="269" w:name="m269"/>
      <w:pPr>
        <w:pStyle w:val="Heading2"/>
        <w:pageBreakBefore w:val="0"/>
      </w:pPr>
      <w:r>
        <w:t>5.6 Volunteer Preparation and Coordination</w:t>
      </w:r>
      <w:bookmarkEnd w:id="269"/>
    </w:p>
    <w:p>
      <w:bookmarkStart w:id="270" w:name="m270"/>
      <w:pPr>
        <w:pStyle w:val="Heading3"/>
        <w:pageBreakBefore w:val="0"/>
      </w:pPr>
      <w:r>
        <w:t>5.6.1 Coordination as an organisational request</w:t>
      </w:r>
      <w:bookmarkEnd w:id="270"/>
    </w:p>
    <w:p>
      <w:pPr>
        <w:pageBreakBefore w:val="0"/>
      </w:pPr>
      <w:r>
        <w:t>Seven records, including C006 and C017, state: “Coordinate volunteers more professionally.” Combined with the six greeter-training suggestions, these produce thirteen records in the volunteer category. The coordination formulation does not name a particular role or activity. Its scope is consequently broader than the greeter request, but its practical meaning is less fully specified.</w:t>
      </w:r>
    </w:p>
    <w:p>
      <w:pPr>
        <w:pageBreakBefore w:val="0"/>
      </w:pPr>
      <w:r>
        <w:t>Professional coordination may suggest a desire for greater organisation, yet the text does not identify scheduling, role allocation or supervision as the specific problem. These are possible subjects for subsequent clarification, not subthemes directly established by the wording. The analysis retains coordination as the explicit request and avoids expanding the short statement into a detailed diagnosis of volunteer management.</w:t>
      </w:r>
    </w:p>
    <w:p>
      <w:pPr>
        <w:pageBreakBefore w:val="0"/>
      </w:pPr>
      <w:r>
        <w:t>The distinction between coordinating people and training them matters. Coordination concerns how work is arranged, whereas training concerns preparation to perform it. The available suggestions name both, but do not evaluate their relative effectiveness or describe how they interact in practice. A recommendation that addresses only training would therefore respond to part of this category while leaving the separate coordination request insufficiently considered.</w:t>
      </w:r>
    </w:p>
    <w:p>
      <w:bookmarkStart w:id="271" w:name="m271"/>
      <w:pPr>
        <w:pStyle w:val="Heading3"/>
        <w:pageBreakBefore w:val="0"/>
      </w:pPr>
      <w:r>
        <w:t>5.6.2 Professionalisation and qualified adoption</w:t>
      </w:r>
      <w:bookmarkEnd w:id="271"/>
    </w:p>
    <w:p>
      <w:pPr>
        <w:pageBreakBefore w:val="0"/>
      </w:pPr>
      <w:r>
        <w:t>The seven coordination suggestions occur in three neutral / depends, three somewhat-supportive and one strongly supportive adoption records. The distribution shows that a request for professional organisation can accompany qualified or uncertain adoption attitudes. It supports distinguishing a specific improvement from endorsement of a general business model. The word professionally in a suggestion is not itself evidence of acceptance of commercial priorities.</w:t>
      </w:r>
    </w:p>
    <w:p>
      <w:pPr>
        <w:pageBreakBefore w:val="0"/>
      </w:pPr>
      <w:r>
        <w:t>Record C017 makes this relationship particularly visible. Its adoption reason states: “Better organization would help, provided the church does not become overly corporate.” Its improvement suggestion requests more professional volunteer coordination. Reading the fields together identifies a specific organisational request alongside an explicit boundary. The connection supports conditional usefulness within one record without establishing how that boundary would be implemented.</w:t>
      </w:r>
    </w:p>
    <w:p>
      <w:pPr>
        <w:pageBreakBefore w:val="0"/>
      </w:pPr>
      <w:r>
        <w:t>The example should not be made to stand for every volunteer-related entry. Other records express different reasons, and their short suggestions do not all name a religious qualification. Its value lies in demonstrating one documented combination rather than supplying a universal explanation. Chapter 6 can examine the implications for management practice while keeping the difference between an observed combination and a general proposition clear.</w:t>
      </w:r>
    </w:p>
    <w:p>
      <w:bookmarkStart w:id="272" w:name="m272"/>
      <w:pPr>
        <w:pStyle w:val="Heading3"/>
        <w:pageBreakBefore w:val="0"/>
      </w:pPr>
      <w:r>
        <w:t>5.6.3 Relationship to staff accounts of capacity</w:t>
      </w:r>
      <w:bookmarkEnd w:id="272"/>
    </w:p>
    <w:p>
      <w:pPr>
        <w:pageBreakBefore w:val="0"/>
      </w:pPr>
      <w:r>
        <w:t>Chapter 4 records lack of training in 59 of 140 staff entries and volunteer fatigue in 77. These staff accounts provide a separate organisational context for considering volunteer preparation. They cannot be treated as verified explanations of a particular congregant’s suggestion because the two questionnaires are not matched at church level. The relationship is between topics appearing in separate response sets.</w:t>
      </w:r>
    </w:p>
    <w:p>
      <w:pPr>
        <w:pageBreakBefore w:val="0"/>
      </w:pPr>
      <w:r>
        <w:t>This separation also limits claims about feasibility. The congregant suggestions identify desired changes but contain no assessment of available volunteer time, budgets or staff support. The staff findings indicate that capacity concerns exist within those records, without quantifying what any proposed training or coordination change would require. The qualitative contribution is to specify the requested direction; feasibility remains a question for implementation planning.</w:t>
      </w:r>
    </w:p>
    <w:p>
      <w:bookmarkStart w:id="273" w:name="m273"/>
      <w:pPr>
        <w:pStyle w:val="Heading2"/>
        <w:pageBreakBefore w:val="0"/>
      </w:pPr>
      <w:r>
        <w:t>5.7 Communication and Information</w:t>
      </w:r>
      <w:bookmarkEnd w:id="273"/>
    </w:p>
    <w:p>
      <w:bookmarkStart w:id="274" w:name="m274"/>
      <w:pPr>
        <w:pStyle w:val="Heading3"/>
        <w:pageBreakBefore w:val="0"/>
      </w:pPr>
      <w:r>
        <w:t>5.7.1 Information about activities and support</w:t>
      </w:r>
      <w:bookmarkEnd w:id="274"/>
    </w:p>
    <w:p>
      <w:pPr>
        <w:pageBreakBefore w:val="0"/>
      </w:pPr>
      <w:r>
        <w:t>Six records, including C021 and C026, state: “Provide clearer information about activities and support services.” The request names both participation opportunities and sources of assistance. Clearer information could matter to finding an activity or locating support, but the entry does not describe a failed attempt to do either. Its meaning is a request for clarity across these areas rather than documented evidence that information is absent.</w:t>
      </w:r>
    </w:p>
    <w:p>
      <w:pPr>
        <w:pageBreakBefore w:val="0"/>
      </w:pPr>
      <w:r>
        <w:t>Clarity should remain distinct from the quantity of communication. Sending more messages would not necessarily address a request for clearer information. The wording does not specify whether the desired change concerns content, language, timing or presentation, and these possibilities should not be assigned as separate findings. The statement establishes the criterion of clarity while leaving its operational expression open.</w:t>
      </w:r>
    </w:p>
    <w:p>
      <w:bookmarkStart w:id="275" w:name="m275"/>
      <w:pPr>
        <w:pStyle w:val="Heading3"/>
        <w:pageBreakBefore w:val="0"/>
      </w:pPr>
      <w:r>
        <w:t>5.7.2 Digital communication about events</w:t>
      </w:r>
      <w:bookmarkEnd w:id="275"/>
    </w:p>
    <w:p>
      <w:pPr>
        <w:pageBreakBefore w:val="0"/>
      </w:pPr>
      <w:r>
        <w:t>Six other records, including C039 and C043, state: “Better email, app and social-media communication about events.” Together, the two formulations account for twelve communication suggestions. This second formulation names channels and an information purpose. It is more specific about the means of communication than the clarity request, but it still does not identify which channel is used or evaluated by each respondent.</w:t>
      </w:r>
    </w:p>
    <w:p>
      <w:pPr>
        <w:pageBreakBefore w:val="0"/>
      </w:pPr>
      <w:r>
        <w:t>The combined wording prevents separate counts for email, apps and social media. Each occurrence is one entry naming several channels, not three independent channel-specific assessments. Nor does better identify a particular technical fault. The suggestion could inform a review of event communication, but the records do not justify concluding that a website, application or social-media platform requires replacement.</w:t>
      </w:r>
    </w:p>
    <w:p>
      <w:pPr>
        <w:pageBreakBefore w:val="0"/>
      </w:pPr>
      <w:r>
        <w:t>The comparison between the two formulations identifies complementary emphases: information that is understandable and communication through named digital routes. Neither implies that in-person contact is dispensable. The corpus simultaneously contains requests for personal welcome and pastoral engagement, so the chapter should preserve the variety of desired contact rather than infer a single preferred channel from the communication category.</w:t>
      </w:r>
    </w:p>
    <w:p>
      <w:bookmarkStart w:id="276" w:name="m276"/>
      <w:pPr>
        <w:pStyle w:val="Heading3"/>
        <w:pageBreakBefore w:val="0"/>
      </w:pPr>
      <w:r>
        <w:t>5.7.3 Communication as a practical expression of service</w:t>
      </w:r>
      <w:bookmarkEnd w:id="276"/>
    </w:p>
    <w:p>
      <w:pPr>
        <w:pageBreakBefore w:val="0"/>
      </w:pPr>
      <w:r>
        <w:t>The communication suggestions give concrete content to the practical-value reasons discussed earlier. They identify activities, support services and events as matters on which respondents want information. However, the conceptual connection across fields is not proof that every communication suggestion comes from the same care-oriented rationale. Any claim about an individual’s reasoning requires reference to that record’s own answer.</w:t>
      </w:r>
    </w:p>
    <w:p>
      <w:pPr>
        <w:pageBreakBefore w:val="0"/>
      </w:pPr>
      <w:r>
        <w:t>The suggestions also differ from the digital-effectiveness rating in Chapter 4. A rating summarises a stated assessment, whereas a suggestion identifies a direction for change. Their relationship can be explored without assuming that every requested improvement indicates dissatisfaction. Maintaining these distinctions allows the discussion to consider information provision as part of church service without turning a brief request into a comprehensive account of digital experience.</w:t>
      </w:r>
    </w:p>
    <w:p>
      <w:bookmarkStart w:id="277" w:name="m277"/>
      <w:pPr>
        <w:pStyle w:val="Heading2"/>
        <w:pageBreakBefore w:val="0"/>
      </w:pPr>
      <w:r>
        <w:t>5.8 Listening and Responding to Feedback</w:t>
      </w:r>
      <w:bookmarkEnd w:id="277"/>
    </w:p>
    <w:p>
      <w:bookmarkStart w:id="278" w:name="m278"/>
      <w:pPr>
        <w:pStyle w:val="Heading3"/>
        <w:pageBreakBefore w:val="0"/>
      </w:pPr>
      <w:r>
        <w:t>5.8.1 Opportunities to express concerns</w:t>
      </w:r>
      <w:bookmarkEnd w:id="278"/>
    </w:p>
    <w:p>
      <w:pPr>
        <w:pageBreakBefore w:val="0"/>
      </w:pPr>
      <w:r>
        <w:t>Five records, including C003 and C012, state: “More opportunities for members to express concerns and be heard.” The entry joins access to an opportunity with the experience of being heard. The latter wording gives the request a relational dimension, but does not independently establish that existing concerns were ignored. The suggestion identifies what respondents would like to strengthen.</w:t>
      </w:r>
    </w:p>
    <w:p>
      <w:pPr>
        <w:pageBreakBefore w:val="0"/>
      </w:pPr>
      <w:r>
        <w:t>The statement does not prescribe an anonymous questionnaire, public meeting or pastoral conversation. Selecting one of those formats as the proven answer would exceed the evidence. The qualitative finding concerns the opportunity and reception of expression, leaving format and safeguards for later consideration. This distinction helps preserve the respondent’s stated aim without substituting the analyst’s preferred mechanism.</w:t>
      </w:r>
    </w:p>
    <w:p>
      <w:bookmarkStart w:id="279" w:name="m279"/>
      <w:pPr>
        <w:pStyle w:val="Heading3"/>
        <w:pageBreakBefore w:val="0"/>
      </w:pPr>
      <w:r>
        <w:t>5.8.2 Follow-up after feedback</w:t>
      </w:r>
      <w:bookmarkEnd w:id="279"/>
    </w:p>
    <w:p>
      <w:pPr>
        <w:pageBreakBefore w:val="0"/>
      </w:pPr>
      <w:r>
        <w:t>Five records, including C002 and C022, state: “Follow up when members provide feedback.” This request concerns what happens after views have been submitted. It is therefore distinct from providing an opportunity to speak, although both belong to the broader feedback category. The two formulations together account for ten records, or 10.0% of all congregant records and 12.8% of substantive improvement entries.</w:t>
      </w:r>
    </w:p>
    <w:p>
      <w:pPr>
        <w:pageBreakBefore w:val="0"/>
      </w:pPr>
      <w:r>
        <w:t>Follow-up is not equivalent to accepting every suggestion. The wording requests a subsequent response but does not specify that all proposals must be implemented. Nor does it identify a particular submission that went unanswered. The interpretation should therefore remain focused on continuity after feedback, rather than infer a documented history of neglect or a demand for automatic agreement.</w:t>
      </w:r>
    </w:p>
    <w:p>
      <w:bookmarkStart w:id="280" w:name="m280"/>
      <w:pPr>
        <w:pStyle w:val="Heading3"/>
        <w:pageBreakBefore w:val="0"/>
      </w:pPr>
      <w:r>
        <w:t>5.8.3 Feedback suggestions alongside satisfaction</w:t>
      </w:r>
      <w:bookmarkEnd w:id="280"/>
    </w:p>
    <w:p>
      <w:pPr>
        <w:pageBreakBefore w:val="0"/>
      </w:pPr>
      <w:r>
        <w:t>Within these ten feedback-coded records, six report being satisfied or very satisfied with feedback channels and four are neutral. None reports dissatisfaction in the closed feedback item. The comparison directly demonstrates that a suggestion for improvement need not originate from a negative rating. It also cautions against interpreting this category as a count of dissatisfied respondents.</w:t>
      </w:r>
    </w:p>
    <w:p>
      <w:pPr>
        <w:pageBreakBefore w:val="0"/>
      </w:pPr>
      <w:r>
        <w:t>The pattern does not explain why favourable ratings coexist with improvement requests. Existing strengths, rising expectations or different understandings of channels and follow-up are possible explanations, but the records do not adjudicate among them. The supported finding is the coexistence itself. It strengthens the broader distinction between judging provision positively and recognising an opportunity to develop it further.</w:t>
      </w:r>
    </w:p>
    <w:p>
      <w:pPr>
        <w:pageBreakBefore w:val="0"/>
      </w:pPr>
      <w:r>
        <w:t>The themes examined here concern different aspects of service: personal contact, volunteer preparation, usable information and responses to expressed views. Their overlap provides an account of desired improvement without proving an integrated intervention. The next section examines accessibility, family and small-group provision, fundraising restraint, worship and outreach before turning to the final suggested practices.</w:t>
      </w:r>
    </w:p>
    <w:p>
      <w:bookmarkStart w:id="281" w:name="m281"/>
      <w:pPr>
        <w:pStyle w:val="Heading2"/>
        <w:pageBreakBefore w:val="0"/>
      </w:pPr>
      <w:r>
        <w:t>5.9 Accessibility and Wider Participation</w:t>
      </w:r>
      <w:bookmarkEnd w:id="281"/>
    </w:p>
    <w:p>
      <w:bookmarkStart w:id="282" w:name="m282"/>
      <w:pPr>
        <w:pStyle w:val="Heading3"/>
        <w:pageBreakBefore w:val="0"/>
      </w:pPr>
      <w:r>
        <w:t>5.9.1 Physical access and the circumstances of participation</w:t>
      </w:r>
      <w:bookmarkEnd w:id="282"/>
    </w:p>
    <w:p>
      <w:pPr>
        <w:pageBreakBefore w:val="0"/>
      </w:pPr>
      <w:r>
        <w:t>The improvement suggestions extend service beyond encounters with staff or volunteers to the conditions under which people can participate. Seven of the 100 congregant records identify accessibility or language provision, representing 9.0% of the 78 substantive improvement entries. Five concern parking and access for older members; two concern bilingual services or translation. Their shared category reflects an interest in making participation possible, while their different wording identifies distinct practical requirements.</w:t>
      </w:r>
    </w:p>
    <w:p>
      <w:pPr>
        <w:pageBreakBefore w:val="0"/>
      </w:pPr>
      <w:r>
        <w:t>C004 and C054 are among five records stating: “Improve parking and accessibility for older members.” The reference to older members gives the suggestion a specific intended beneficiary. It does not establish the ages of the respondents themselves. Equally, naming parking alongside accessibility does not show whether the concern involves distance, availability, building entrances or another feature. The finding is a request to improve the practical conditions of attendance for the group named.</w:t>
      </w:r>
    </w:p>
    <w:p>
      <w:pPr>
        <w:pageBreakBefore w:val="0"/>
      </w:pPr>
      <w:r>
        <w:t>This wording adds something different from the welcome suggestions considered in Section 5.5. Personal welcome concerns the reception people receive; physical accessibility concerns their ability to reach and use the setting in which that reception occurs. Analytically, these are complementary aspects of participation. A positive interpersonal encounter would not, by itself, resolve a parking or access difficulty. The records identify both concerns across the corpus, although they do not document an individual sequence from arrival to participation.</w:t>
      </w:r>
    </w:p>
    <w:p>
      <w:bookmarkStart w:id="283" w:name="m283"/>
      <w:pPr>
        <w:pStyle w:val="Heading3"/>
        <w:pageBreakBefore w:val="0"/>
      </w:pPr>
      <w:r>
        <w:t>5.9.2 Language provision and the meaning of inclusion</w:t>
      </w:r>
      <w:bookmarkEnd w:id="283"/>
    </w:p>
    <w:p>
      <w:pPr>
        <w:pageBreakBefore w:val="0"/>
      </w:pPr>
      <w:r>
        <w:t>C016 and C062 state: “Offer bilingual services or translations where needed.” The qualification “where needed” matters. It presents language provision as responsive to circumstances, without demanding an identical arrangement in every congregation. The alternatives of bilingual services and translation also leave room for different ways of responding. No languages, delivery arrangements or preferred format are specified.</w:t>
      </w:r>
    </w:p>
    <w:p>
      <w:pPr>
        <w:pageBreakBefore w:val="0"/>
      </w:pPr>
      <w:r>
        <w:t>Language access concerns whether participants can understand and engage with what is communicated. This differs from the request for clearer information in Section 5.7, although the concerns can intersect. Clearer wording in one language may still leave another language group unable to participate fully. The two entries therefore give the accessibility category a communicative dimension beyond buildings and parking. They do not establish the size or composition of any language group in the churches concerned.</w:t>
      </w:r>
    </w:p>
    <w:p>
      <w:pPr>
        <w:pageBreakBefore w:val="0"/>
      </w:pPr>
      <w:r>
        <w:t>Across the seven accessibility records, four strongly support adopting business-like practices, one somewhat supports them and two are neutral or dependent on circumstances. This small descriptive comparison shows that accessibility requests coexist with different degrees of endorsement. It does not make accessibility a business-derived practice or demonstrate that adoption would improve it. C016, for example, requests language provision while explaining that some structure is useful but not every business method belongs in a church. The improvement sought can be identified more precisely than the respondent’s preferred organisational model.</w:t>
      </w:r>
    </w:p>
    <w:p>
      <w:bookmarkStart w:id="284" w:name="m284"/>
      <w:pPr>
        <w:pStyle w:val="Heading2"/>
        <w:pageBreakBefore w:val="0"/>
      </w:pPr>
      <w:r>
        <w:t>5.10 Family Provision and Opportunities for Community</w:t>
      </w:r>
      <w:bookmarkEnd w:id="284"/>
    </w:p>
    <w:p>
      <w:bookmarkStart w:id="285" w:name="m285"/>
      <w:pPr>
        <w:pStyle w:val="Heading3"/>
        <w:pageBreakBefore w:val="0"/>
      </w:pPr>
      <w:r>
        <w:t>5.10.1 Distinguishing the elements of family and group provision</w:t>
      </w:r>
      <w:bookmarkEnd w:id="285"/>
    </w:p>
    <w:p>
      <w:pPr>
        <w:pageBreakBefore w:val="0"/>
      </w:pPr>
      <w:r>
        <w:t>Twelve records contain suggestions coded as family or small-group provision: five concern small groups during the week, five combine engaging services with programmes for younger families, and two concern childcare and youth activities. These represent 12.0% of all congregant records and 15.4% of substantive improvement entries. The category captures related opportunities for participation but contains different desired activities and beneficiaries.</w:t>
      </w:r>
    </w:p>
    <w:p>
      <w:pPr>
        <w:pageBreakBefore w:val="0"/>
      </w:pPr>
      <w:r>
        <w:t>The category should therefore be read through its component statements. A small-group request is not equivalent to a childcare request, and a reference to younger families does not describe every age group within a congregation. Examining the components prevents the combined frequency from implying a single agreed programme. It also makes visible the different locations of improvement: weekly community activity, the worship setting and provision for children or young people.</w:t>
      </w:r>
    </w:p>
    <w:p>
      <w:bookmarkStart w:id="286" w:name="m286"/>
      <w:pPr>
        <w:pStyle w:val="Heading3"/>
        <w:pageBreakBefore w:val="0"/>
      </w:pPr>
      <w:r>
        <w:t>5.10.2 Small groups and continuity beyond services</w:t>
      </w:r>
      <w:bookmarkEnd w:id="286"/>
    </w:p>
    <w:p>
      <w:pPr>
        <w:pageBreakBefore w:val="0"/>
      </w:pPr>
      <w:r>
        <w:t>C007 and C024 are among five records stating: “More small groups during the week to strengthen community.” Here, unlike several other brief suggestions, the wording includes a stated purpose. Strengthening community is the respondent’s intended benefit, while additional small groups provide the proposed means. The reference to weekdays extends the desired opportunity beyond the main service without specifying whether meetings should take place in homes, church buildings or online.</w:t>
      </w:r>
    </w:p>
    <w:p>
      <w:pPr>
        <w:pageBreakBefore w:val="0"/>
      </w:pPr>
      <w:r>
        <w:t>The term “more” suggests a wish for additional opportunities, but it supplies neither a baseline count nor an assessment of existing groups. It cannot establish that small groups are absent or ineffective. The useful qualitative detail is the connection respondents themselves make between opportunities for repeated contact and community. This provides an account of what the requested activity is expected to support, without proving that increasing provision would achieve that outcome.</w:t>
      </w:r>
    </w:p>
    <w:p>
      <w:pPr>
        <w:pageBreakBefore w:val="0"/>
      </w:pPr>
      <w:r>
        <w:t>This request also broadens the meaning of service improvement within the responses. Better service is not confined to faster replies or clearer procedures; it can include settings in which relationships develop over time. That interpretation follows the explicit reference to community. Claims about reduced isolation, stronger faith or increased retention would require additional evidence, because none of those outcomes is measured by the suggestion itself.</w:t>
      </w:r>
    </w:p>
    <w:p>
      <w:bookmarkStart w:id="287" w:name="m287"/>
      <w:pPr>
        <w:pStyle w:val="Heading3"/>
        <w:pageBreakBefore w:val="0"/>
      </w:pPr>
      <w:r>
        <w:t>5.10.3 Younger families and provision for children</w:t>
      </w:r>
      <w:bookmarkEnd w:id="287"/>
    </w:p>
    <w:p>
      <w:pPr>
        <w:pageBreakBefore w:val="0"/>
      </w:pPr>
      <w:r>
        <w:t>Five records, including C028 and C031, state: “More engaging services and stronger programs for younger families.” The statement receives both family-provision and worship codes. Its two elements should remain connected in interpretation, but they should not be counted as separate respondents. It brings the form of services and provision for a named group into the same improvement request.</w:t>
      </w:r>
    </w:p>
    <w:p>
      <w:pPr>
        <w:pageBreakBefore w:val="0"/>
      </w:pPr>
      <w:r>
        <w:t>Two further records, C068 and C087, state: “Improve childcare and youth activities.” This wording identifies areas of provision without specifying whether respondents seek greater availability, different activities or changes in quality. Nor does it establish that the respondents are parents or carers. The evidence concerns the services they mention, rather than demographic characteristics inferred from their interests.</w:t>
      </w:r>
    </w:p>
    <w:p>
      <w:pPr>
        <w:pageBreakBefore w:val="0"/>
      </w:pPr>
      <w:r>
        <w:t>The twelve family-related records include seven expressing somewhat supportive adoption attitudes, three strongly supportive, one neutral and one strongly opposed. The strongly opposed record, C081, nevertheless requests more engaging services and stronger programmes for younger families. This is a useful contrasting case: opposition to business-style approaches does not necessarily entail opposition to practical change. Its presence prevents the family category from being interpreted as an exclusively pro-adoption agenda. The content of an improvement proposal and the organisational language used to justify change remain separate analytical questions.</w:t>
      </w:r>
    </w:p>
    <w:p>
      <w:bookmarkStart w:id="288" w:name="m288"/>
      <w:pPr>
        <w:pStyle w:val="Heading2"/>
        <w:pageBreakBefore w:val="0"/>
      </w:pPr>
      <w:r>
        <w:t>5.11 Fundraising Concerns and Religious Purpose</w:t>
      </w:r>
      <w:bookmarkEnd w:id="288"/>
    </w:p>
    <w:p>
      <w:bookmarkStart w:id="289" w:name="m289"/>
      <w:pPr>
        <w:pStyle w:val="Heading3"/>
        <w:pageBreakBefore w:val="0"/>
      </w:pPr>
      <w:r>
        <w:t>5.11.1 The requested restraint</w:t>
      </w:r>
      <w:bookmarkEnd w:id="289"/>
    </w:p>
    <w:p>
      <w:pPr>
        <w:pageBreakBefore w:val="0"/>
      </w:pPr>
      <w:r>
        <w:t>Eight records state: “Reduce the emphasis on repeated fundraising appeals.” They represent 8.0% of all congregant records and 10.3% of substantive improvement entries. The wording identifies both emphasis and repetition as aspects respondents would like reduced. It does not reject all fundraising, specify an acceptable frequency or describe the financial circumstances behind the appeals.</w:t>
      </w:r>
    </w:p>
    <w:p>
      <w:pPr>
        <w:pageBreakBefore w:val="0"/>
      </w:pPr>
      <w:r>
        <w:t>The distinction between restraint and abolition is important to the meaning of the finding. A request for reduced emphasis leaves open the possibility that fundraising has a place in congregational life. Respondents do not explain whether they object to the timing, tone, frequency or relative prominence of appeals. The combined wording therefore supports a concern about how fundraising features in church experience, without separating those possible sources of concern.</w:t>
      </w:r>
    </w:p>
    <w:p>
      <w:pPr>
        <w:pageBreakBefore w:val="0"/>
      </w:pPr>
      <w:r>
        <w:t>Among the eight records, four are neutral or dependent on circumstances about business-like adoption, three somewhat support it and one somewhat opposes it. None strongly supports or strongly opposes adoption. This distribution places the concern across qualified positions, rather than within only an oppositional group. It also illustrates why an overall adoption response cannot substitute for examining the particular practice a respondent discusses.</w:t>
      </w:r>
    </w:p>
    <w:p>
      <w:bookmarkStart w:id="290" w:name="m290"/>
      <w:pPr>
        <w:pStyle w:val="Heading3"/>
        <w:pageBreakBefore w:val="0"/>
      </w:pPr>
      <w:r>
        <w:t>5.11.2 Connections with commercialisation concerns</w:t>
      </w:r>
      <w:bookmarkEnd w:id="290"/>
    </w:p>
    <w:p>
      <w:pPr>
        <w:pageBreakBefore w:val="0"/>
      </w:pPr>
      <w:r>
        <w:t>C020 and C056 combine the fundraising suggestion with this adoption reason: “It depends on the practice; some would help, while others could make church feel too commercial.” The pairing provides direct evidence that, within those records, a request for fundraising restraint accompanies concern about commercial character. However, the reason does not explicitly identify fundraising as the practice responsible. The connection is an observed combination of answers, not a demonstrated causal explanation.</w:t>
      </w:r>
    </w:p>
    <w:p>
      <w:pPr>
        <w:pageBreakBefore w:val="0"/>
      </w:pPr>
      <w:r>
        <w:t>C090 provides a related combination. Its adoption reason states: “Professionalism is useful, but copying business methods can make worship feel transactional.” The same record asks for reduced emphasis on repeated fundraising appeals. Together, these answers place practical usefulness alongside concern about the character of worship. They support the interpretation of conditional usefulness developed earlier: organisational benefits may be acknowledged while the acceptable expression of those benefits remains qualified.</w:t>
      </w:r>
    </w:p>
    <w:p>
      <w:pPr>
        <w:pageBreakBefore w:val="0"/>
      </w:pPr>
      <w:r>
        <w:t>Other fundraising records express qualifications through religious purpose rather than explicit commercial language. C044 and C053, for example, both state: “Some business practices are useful, especially communication and hospitality, but mission must come first.” The difference matters. Commercialisation concern and mission priority overlap conceptually, but they are not interchangeable descriptions of what respondents wrote. The analysis preserves the wording that supports each interpretation instead of assigning an identical rationale to all eight requests.</w:t>
      </w:r>
    </w:p>
    <w:p>
      <w:bookmarkStart w:id="291" w:name="m291"/>
      <w:pPr>
        <w:pStyle w:val="Heading3"/>
        <w:pageBreakBefore w:val="0"/>
      </w:pPr>
      <w:r>
        <w:t>5.11.3 What the fundraising theme contributes</w:t>
      </w:r>
      <w:bookmarkEnd w:id="291"/>
    </w:p>
    <w:p>
      <w:pPr>
        <w:pageBreakBefore w:val="0"/>
      </w:pPr>
      <w:r>
        <w:t>Fundraising restraint gives the broader discussion of boundaries a concrete organisational referent. Earlier reasons sometimes speak generally about corporations, transactions or ministry. Here, respondents name an activity whose prominence they would like reconsidered. The contribution is greater specificity about a desired change, rather than evidence that a particular funding model is inappropriate.</w:t>
      </w:r>
    </w:p>
    <w:p>
      <w:pPr>
        <w:pageBreakBefore w:val="0"/>
      </w:pPr>
      <w:r>
        <w:t>The questionnaire contains no financial accounts, appeal schedules, donation histories or observations of services with which to assess the request. Financial dependence on fundraising and respondents’ experience of repeated appeals are different questions. Chapter 6 can examine the tension between organisational resources and religious purpose, but the qualitative finding remains a stated preference for reduced emphasis. Any implementation proposal would require attention to local circumstances beyond what these entries establish.</w:t>
      </w:r>
    </w:p>
    <w:p>
      <w:bookmarkStart w:id="292" w:name="m292"/>
      <w:pPr>
        <w:pStyle w:val="Heading2"/>
        <w:pageBreakBefore w:val="0"/>
      </w:pPr>
      <w:r>
        <w:t>5.12 Worship and the Experience of Engagement</w:t>
      </w:r>
      <w:bookmarkEnd w:id="292"/>
    </w:p>
    <w:p>
      <w:bookmarkStart w:id="293" w:name="m293"/>
      <w:pPr>
        <w:pStyle w:val="Heading3"/>
        <w:pageBreakBefore w:val="0"/>
      </w:pPr>
      <w:r>
        <w:t>5.12.1 Engagement within the combined suggestion</w:t>
      </w:r>
      <w:bookmarkEnd w:id="293"/>
    </w:p>
    <w:p>
      <w:pPr>
        <w:pageBreakBefore w:val="0"/>
      </w:pPr>
      <w:r>
        <w:t>The five worship-related improvement entries are the same five statements about engaging services and stronger programmes for younger families discussed in Section 5.10. They account for 5.0% of all congregant records and 6.4% of substantive improvement entries. Their appearance under a second theme reflects multiple coding, not an additional set of respondents or an independent group of worship-only suggestions.</w:t>
      </w:r>
    </w:p>
    <w:p>
      <w:pPr>
        <w:pageBreakBefore w:val="0"/>
      </w:pPr>
      <w:r>
        <w:t>“More engaging services” expresses a desired quality of experience but leaves engagement undefined. It could be understood in several ways; the entries do not specify music, preaching, participation, duration or liturgical form. Selecting one of these as the intended solution would go beyond the recorded wording. The supported finding is that these respondents seek services they would experience as more engaging, alongside stronger provision for younger families.</w:t>
      </w:r>
    </w:p>
    <w:p>
      <w:pPr>
        <w:pageBreakBefore w:val="0"/>
      </w:pPr>
      <w:r>
        <w:t>The combined statement places worship experience and family provision together without explaining their relationship. It might reflect a shared concern or two separate priorities. Consequently, the analysis cannot conclude that changes to services would increase family participation, or that family programmes would improve worship engagement. The value of preserving the whole statement is to retain the association respondents actually expressed while leaving its mechanism unresolved.</w:t>
      </w:r>
    </w:p>
    <w:p>
      <w:bookmarkStart w:id="294" w:name="m294"/>
      <w:pPr>
        <w:pStyle w:val="Heading3"/>
        <w:pageBreakBefore w:val="0"/>
      </w:pPr>
      <w:r>
        <w:t>5.12.2 Engagement across differing adoption positions</w:t>
      </w:r>
      <w:bookmarkEnd w:id="294"/>
    </w:p>
    <w:p>
      <w:pPr>
        <w:pageBreakBefore w:val="0"/>
      </w:pPr>
      <w:r>
        <w:t>C028 somewhat supports business-like adoption and gives a reason prioritising mission while acknowledging communication and hospitality. C081 strongly opposes adoption and states: “Business-style approaches risk turning ministry into a transaction.” Both nevertheless provide the same combined request for engaging services and stronger family programmes. This contrast makes the distinction between desired experience and preferred management model particularly clear.</w:t>
      </w:r>
    </w:p>
    <w:p>
      <w:pPr>
        <w:pageBreakBefore w:val="0"/>
      </w:pPr>
      <w:r>
        <w:t>The shared wording does not mean that the two respondents would endorse the same changes in practice. It shows agreement at the level of a broad aspiration alongside disagreement about business-style approaches. Conditional usefulness therefore cannot be treated as a uniform position across the corpus. Some records qualify acceptance; others reject the broader model while still seeking improvement. Preserving this difference is necessary for a discussion that recognises competing interpretations of how church service should develop.</w:t>
      </w:r>
    </w:p>
    <w:p>
      <w:bookmarkStart w:id="295" w:name="m295"/>
      <w:pPr>
        <w:pStyle w:val="Heading2"/>
        <w:pageBreakBefore w:val="0"/>
      </w:pPr>
      <w:r>
        <w:t>5.13 Outreach and the Boundaries of Improvement</w:t>
      </w:r>
      <w:bookmarkEnd w:id="295"/>
    </w:p>
    <w:p>
      <w:bookmarkStart w:id="296" w:name="m296"/>
      <w:pPr>
        <w:pStyle w:val="Heading3"/>
        <w:pageBreakBefore w:val="0"/>
      </w:pPr>
      <w:r>
        <w:t>5.13.1 Service directed towards the wider community</w:t>
      </w:r>
      <w:bookmarkEnd w:id="296"/>
    </w:p>
    <w:p>
      <w:pPr>
        <w:pageBreakBefore w:val="0"/>
      </w:pPr>
      <w:r>
        <w:t>Two records, C070 and C094, state: “Create more community outreach opportunities.” They represent 2.0% of all congregant records and 2.6% of substantive improvement entries. Although infrequent in this particular field, the suggestion introduces a direction of service extending beyond activities focused on those already attending. It identifies outreach opportunities as part of what respondents consider improvable.</w:t>
      </w:r>
    </w:p>
    <w:p>
      <w:pPr>
        <w:pageBreakBefore w:val="0"/>
      </w:pPr>
      <w:r>
        <w:t>The wording does not identify intended recipients, preferred activities or whether respondents want to volunteer themselves. It also gives no account of existing outreach provision. Its contribution is to widen the field of attention: service improvement can involve opportunities to engage with the community, as well as experiences within church services and internal programmes. The relatively small count describes mentions in this prompt, not the importance of outreach to every respondent.</w:t>
      </w:r>
    </w:p>
    <w:p>
      <w:pPr>
        <w:pageBreakBefore w:val="0"/>
      </w:pPr>
      <w:r>
        <w:t>C070 is neutral or dependent on circumstances about adoption, while C094 somewhat supports it. Their reasons respectively limit the applicability of business methods and condition the value of structure on support for ministry. These combinations show that outward-facing improvement requests can coexist with qualified organisational positions. Neither record establishes that importing business practices is necessary to create outreach opportunities.</w:t>
      </w:r>
    </w:p>
    <w:p>
      <w:bookmarkStart w:id="297" w:name="m297"/>
      <w:pPr>
        <w:pStyle w:val="Heading3"/>
        <w:pageBreakBefore w:val="0"/>
      </w:pPr>
      <w:r>
        <w:t>5.13.2 Synthesis and transition to suggested practices</w:t>
      </w:r>
      <w:bookmarkEnd w:id="297"/>
    </w:p>
    <w:p>
      <w:pPr>
        <w:pageBreakBefore w:val="0"/>
      </w:pPr>
      <w:r>
        <w:t>The themes in this section extend the account of improvement in several directions. Accessibility concerns the conditions of participation; family and small-group provision concern opportunities for connection; fundraising restraint identifies a boundary around organisational emphasis. Worship suggestions express a desired experience, while outreach directs attention towards community engagement. Together they give practical content to improvement without reducing it to one model of service delivery.</w:t>
      </w:r>
    </w:p>
    <w:p>
      <w:pPr>
        <w:pageBreakBefore w:val="0"/>
      </w:pPr>
      <w:r>
        <w:t>The contrasts within these themes are equally relevant. Respondents may seek similar activities while differing in their acceptance of business-like approaches. A desired change can therefore be discussed separately from agreement about its rationale or implementation. The next section examines the final suggested-practice field, retaining its separate denominator and comparing its emphases with these improvement requests. That comparison will distinguish recurring priorities across prompts from evidence of effectiveness, which the questionnaire does not establish.</w:t>
      </w:r>
    </w:p>
    <w:p>
      <w:bookmarkStart w:id="298" w:name="m298"/>
      <w:pPr>
        <w:pStyle w:val="Heading2"/>
        <w:pageBreakBefore w:val="0"/>
      </w:pPr>
      <w:r>
        <w:t>5.14 Suggested Practices</w:t>
      </w:r>
      <w:bookmarkEnd w:id="298"/>
    </w:p>
    <w:p>
      <w:bookmarkStart w:id="299" w:name="m299"/>
      <w:pPr>
        <w:pStyle w:val="Heading3"/>
        <w:pageBreakBefore w:val="0"/>
      </w:pPr>
      <w:r>
        <w:t>5.14.1 A separate field of practical proposals</w:t>
      </w:r>
      <w:bookmarkEnd w:id="299"/>
    </w:p>
    <w:p>
      <w:pPr>
        <w:pageBreakBefore w:val="0"/>
      </w:pPr>
      <w:r>
        <w:t>The final congregant field asks for a suggested practice to improve service. All 100 records contain substantive entries, distributed across fifteen distinct formulations. This field supplies proposals from respondents who did and did not identify improvement needs in the earlier question. It therefore provides an additional view of desired practice, with its own denominator and coding distribution. Table 5.3 summarises the categories; individual entries can receive more than one code.</w:t>
      </w:r>
    </w:p>
    <w:p>
      <w:bookmarkStart w:id="300" w:name="m300"/>
      <w:pPr>
        <w:keepNext/>
        <w:pageBreakBefore w:val="0"/>
      </w:pPr>
      <w:r>
        <w:rPr>
          <w:b/>
        </w:rPr>
        <w:t>Table 5.3  Categories in the final suggested practices</w:t>
      </w:r>
      <w:bookmarkEnd w:id="30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192"/>
        <w:gridCol w:w="1008"/>
        <w:gridCol w:w="1440"/>
      </w:tblGrid>
      <w:tr>
        <w:trPr>
          <w:cantSplit/>
          <w:tblHeader/>
        </w:trPr>
        <w:tc>
          <w:tcPr>
            <w:tcW w:type="dxa" w:w="6192"/>
            <w:vAlign w:val="center"/>
            <w:tcMar>
              <w:top w:w="85" w:type="dxa"/>
              <w:bottom w:w="85" w:type="dxa"/>
              <w:left w:w="85" w:type="dxa"/>
              <w:right w:w="85" w:type="dxa"/>
            </w:tcMar>
            <w:shd w:fill="E7EDF3"/>
          </w:tcPr>
          <w:p>
            <w:pPr>
              <w:keepNext/>
              <w:spacing w:line="240" w:lineRule="auto" w:after="40" w:before="40"/>
              <w:jc w:val="left"/>
            </w:pPr>
            <w:r>
              <w:rPr>
                <w:b/>
                <w:sz w:val="20"/>
              </w:rPr>
              <w:t>Code and category</w:t>
            </w:r>
          </w:p>
        </w:tc>
        <w:tc>
          <w:tcPr>
            <w:tcW w:type="dxa" w:w="1008"/>
            <w:vAlign w:val="center"/>
            <w:tcMar>
              <w:top w:w="85" w:type="dxa"/>
              <w:bottom w:w="85" w:type="dxa"/>
              <w:left w:w="85" w:type="dxa"/>
              <w:right w:w="85" w:type="dxa"/>
            </w:tcMar>
            <w:shd w:fill="E7EDF3"/>
          </w:tcPr>
          <w:p>
            <w:pPr>
              <w:keepNext/>
              <w:spacing w:line="240" w:lineRule="auto" w:after="40" w:before="40"/>
              <w:jc w:val="center"/>
            </w:pPr>
            <w:r>
              <w:rPr>
                <w:b/>
                <w:sz w:val="20"/>
              </w:rPr>
              <w:t>Records n</w:t>
            </w:r>
          </w:p>
        </w:tc>
        <w:tc>
          <w:tcPr>
            <w:tcW w:type="dxa" w:w="1440"/>
            <w:vAlign w:val="center"/>
            <w:tcMar>
              <w:top w:w="85" w:type="dxa"/>
              <w:bottom w:w="85" w:type="dxa"/>
              <w:left w:w="85" w:type="dxa"/>
              <w:right w:w="85" w:type="dxa"/>
            </w:tcMar>
            <w:shd w:fill="E7EDF3"/>
          </w:tcPr>
          <w:p>
            <w:pPr>
              <w:keepNext/>
              <w:spacing w:line="240" w:lineRule="auto" w:after="40" w:before="40"/>
              <w:jc w:val="center"/>
            </w:pPr>
            <w:r>
              <w:rPr>
                <w:b/>
                <w:sz w:val="20"/>
              </w:rPr>
              <w:t>% of 100</w:t>
            </w:r>
          </w:p>
        </w:tc>
      </w:tr>
      <w:tr>
        <w:trPr>
          <w:cantSplit/>
        </w:trPr>
        <w:tc>
          <w:tcPr>
            <w:tcW w:type="dxa" w:w="6192"/>
            <w:vAlign w:val="center"/>
            <w:tcMar>
              <w:top w:w="85" w:type="dxa"/>
              <w:bottom w:w="85" w:type="dxa"/>
              <w:left w:w="85" w:type="dxa"/>
              <w:right w:w="85" w:type="dxa"/>
            </w:tcMar>
          </w:tcPr>
          <w:p>
            <w:pPr>
              <w:keepNext/>
              <w:spacing w:line="240" w:lineRule="auto" w:after="40" w:before="40"/>
              <w:jc w:val="left"/>
            </w:pPr>
            <w:r>
              <w:rPr>
                <w:b w:val="0"/>
                <w:sz w:val="20"/>
              </w:rPr>
              <w:t>FB  Listening and acting on feedback</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22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22.0</w:t>
            </w:r>
          </w:p>
        </w:tc>
      </w:tr>
      <w:tr>
        <w:trPr>
          <w:cantSplit/>
        </w:trPr>
        <w:tc>
          <w:tcPr>
            <w:tcW w:type="dxa" w:w="6192"/>
            <w:vAlign w:val="center"/>
            <w:tcMar>
              <w:top w:w="85" w:type="dxa"/>
              <w:bottom w:w="85" w:type="dxa"/>
              <w:left w:w="85" w:type="dxa"/>
              <w:right w:w="85" w:type="dxa"/>
            </w:tcMar>
          </w:tcPr>
          <w:p>
            <w:pPr>
              <w:keepNext/>
              <w:spacing w:line="240" w:lineRule="auto" w:after="40" w:before="40"/>
              <w:jc w:val="left"/>
            </w:pPr>
            <w:r>
              <w:rPr>
                <w:b w:val="0"/>
                <w:sz w:val="20"/>
              </w:rPr>
              <w:t>VC  Volunteer training and coordination</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17</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17.0</w:t>
            </w:r>
          </w:p>
        </w:tc>
      </w:tr>
      <w:tr>
        <w:trPr>
          <w:cantSplit/>
        </w:trPr>
        <w:tc>
          <w:tcPr>
            <w:tcW w:type="dxa" w:w="6192"/>
            <w:vAlign w:val="center"/>
            <w:tcMar>
              <w:top w:w="85" w:type="dxa"/>
              <w:bottom w:w="85" w:type="dxa"/>
              <w:left w:w="85" w:type="dxa"/>
              <w:right w:w="85" w:type="dxa"/>
            </w:tcMar>
          </w:tcPr>
          <w:p>
            <w:pPr>
              <w:keepNext/>
              <w:spacing w:line="240" w:lineRule="auto" w:after="40" w:before="40"/>
              <w:jc w:val="left"/>
            </w:pPr>
            <w:r>
              <w:rPr>
                <w:b w:val="0"/>
                <w:sz w:val="20"/>
              </w:rPr>
              <w:t>AI  Accessibility and linguistic inclusion</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14</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14.0</w:t>
            </w:r>
          </w:p>
        </w:tc>
      </w:tr>
      <w:tr>
        <w:trPr>
          <w:cantSplit/>
        </w:trPr>
        <w:tc>
          <w:tcPr>
            <w:tcW w:type="dxa" w:w="6192"/>
            <w:vAlign w:val="center"/>
            <w:tcMar>
              <w:top w:w="85" w:type="dxa"/>
              <w:bottom w:w="85" w:type="dxa"/>
              <w:left w:w="85" w:type="dxa"/>
              <w:right w:w="85" w:type="dxa"/>
            </w:tcMar>
          </w:tcPr>
          <w:p>
            <w:pPr>
              <w:keepNext/>
              <w:spacing w:line="240" w:lineRule="auto" w:after="40" w:before="40"/>
              <w:jc w:val="left"/>
            </w:pPr>
            <w:r>
              <w:rPr>
                <w:b w:val="0"/>
                <w:sz w:val="20"/>
              </w:rPr>
              <w:t>RC  Personal welcome and pastoral connection</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14</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14.0</w:t>
            </w:r>
          </w:p>
        </w:tc>
      </w:tr>
      <w:tr>
        <w:trPr>
          <w:cantSplit/>
        </w:trPr>
        <w:tc>
          <w:tcPr>
            <w:tcW w:type="dxa" w:w="6192"/>
            <w:vAlign w:val="center"/>
            <w:tcMar>
              <w:top w:w="85" w:type="dxa"/>
              <w:bottom w:w="85" w:type="dxa"/>
              <w:left w:w="85" w:type="dxa"/>
              <w:right w:w="85" w:type="dxa"/>
            </w:tcMar>
          </w:tcPr>
          <w:p>
            <w:pPr>
              <w:keepNext/>
              <w:spacing w:line="240" w:lineRule="auto" w:after="40" w:before="40"/>
              <w:jc w:val="left"/>
            </w:pPr>
            <w:r>
              <w:rPr>
                <w:b w:val="0"/>
                <w:sz w:val="20"/>
              </w:rPr>
              <w:t>FC  Family provision and small-group community</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12</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12.0</w:t>
            </w:r>
          </w:p>
        </w:tc>
      </w:tr>
      <w:tr>
        <w:trPr>
          <w:cantSplit/>
        </w:trPr>
        <w:tc>
          <w:tcPr>
            <w:tcW w:type="dxa" w:w="6192"/>
            <w:vAlign w:val="center"/>
            <w:tcMar>
              <w:top w:w="85" w:type="dxa"/>
              <w:bottom w:w="85" w:type="dxa"/>
              <w:left w:w="85" w:type="dxa"/>
              <w:right w:w="85" w:type="dxa"/>
            </w:tcMar>
          </w:tcPr>
          <w:p>
            <w:pPr>
              <w:keepNext/>
              <w:spacing w:line="240" w:lineRule="auto" w:after="40" w:before="40"/>
              <w:jc w:val="left"/>
            </w:pPr>
            <w:r>
              <w:rPr>
                <w:b w:val="0"/>
                <w:sz w:val="20"/>
              </w:rPr>
              <w:t>OU  Practical community outreach</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11</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11.0</w:t>
            </w:r>
          </w:p>
        </w:tc>
      </w:tr>
      <w:tr>
        <w:trPr>
          <w:cantSplit/>
        </w:trPr>
        <w:tc>
          <w:tcPr>
            <w:tcW w:type="dxa" w:w="6192"/>
            <w:vAlign w:val="center"/>
            <w:tcMar>
              <w:top w:w="85" w:type="dxa"/>
              <w:bottom w:w="85" w:type="dxa"/>
              <w:left w:w="85" w:type="dxa"/>
              <w:right w:w="85" w:type="dxa"/>
            </w:tcMar>
          </w:tcPr>
          <w:p>
            <w:pPr>
              <w:keepNext/>
              <w:spacing w:line="240" w:lineRule="auto" w:after="40" w:before="40"/>
              <w:jc w:val="left"/>
            </w:pPr>
            <w:r>
              <w:rPr>
                <w:b w:val="0"/>
                <w:sz w:val="20"/>
              </w:rPr>
              <w:t>CO  Clear information and digital communication</w:t>
            </w:r>
          </w:p>
        </w:tc>
        <w:tc>
          <w:tcPr>
            <w:tcW w:type="dxa" w:w="1008"/>
            <w:vAlign w:val="center"/>
            <w:tcMar>
              <w:top w:w="85" w:type="dxa"/>
              <w:bottom w:w="85" w:type="dxa"/>
              <w:left w:w="85" w:type="dxa"/>
              <w:right w:w="85" w:type="dxa"/>
            </w:tcMar>
          </w:tcPr>
          <w:p>
            <w:pPr>
              <w:keepNext/>
              <w:spacing w:line="240" w:lineRule="auto" w:after="40" w:before="40"/>
              <w:jc w:val="center"/>
            </w:pPr>
            <w:r>
              <w:rPr>
                <w:b w:val="0"/>
                <w:sz w:val="20"/>
              </w:rPr>
              <w:t>10</w:t>
            </w:r>
          </w:p>
        </w:tc>
        <w:tc>
          <w:tcPr>
            <w:tcW w:type="dxa" w:w="1440"/>
            <w:vAlign w:val="center"/>
            <w:tcMar>
              <w:top w:w="85" w:type="dxa"/>
              <w:bottom w:w="85" w:type="dxa"/>
              <w:left w:w="85" w:type="dxa"/>
              <w:right w:w="85" w:type="dxa"/>
            </w:tcMar>
          </w:tcPr>
          <w:p>
            <w:pPr>
              <w:keepNext/>
              <w:spacing w:line="240" w:lineRule="auto" w:after="40" w:before="40"/>
              <w:jc w:val="center"/>
            </w:pPr>
            <w:r>
              <w:rPr>
                <w:b w:val="0"/>
                <w:sz w:val="20"/>
              </w:rPr>
              <w:t>10.0</w:t>
            </w:r>
          </w:p>
        </w:tc>
      </w:tr>
      <w:tr>
        <w:trPr>
          <w:cantSplit/>
        </w:trPr>
        <w:tc>
          <w:tcPr>
            <w:tcW w:type="dxa" w:w="6192"/>
            <w:vAlign w:val="center"/>
            <w:tcMar>
              <w:top w:w="85" w:type="dxa"/>
              <w:bottom w:w="85" w:type="dxa"/>
              <w:left w:w="85" w:type="dxa"/>
              <w:right w:w="85" w:type="dxa"/>
            </w:tcMar>
          </w:tcPr>
          <w:p>
            <w:pPr>
              <w:keepNext w:val="0"/>
              <w:spacing w:line="240" w:lineRule="auto" w:after="40" w:before="40"/>
              <w:jc w:val="left"/>
            </w:pPr>
            <w:r>
              <w:rPr>
                <w:b w:val="0"/>
                <w:sz w:val="20"/>
              </w:rPr>
              <w:t>WR  Engaging and contextually relevant worship</w:t>
            </w:r>
          </w:p>
        </w:tc>
        <w:tc>
          <w:tcPr>
            <w:tcW w:type="dxa" w:w="1008"/>
            <w:vAlign w:val="center"/>
            <w:tcMar>
              <w:top w:w="85" w:type="dxa"/>
              <w:bottom w:w="85" w:type="dxa"/>
              <w:left w:w="85" w:type="dxa"/>
              <w:right w:w="85" w:type="dxa"/>
            </w:tcMar>
          </w:tcPr>
          <w:p>
            <w:pPr>
              <w:keepNext w:val="0"/>
              <w:spacing w:line="240" w:lineRule="auto" w:after="40" w:before="40"/>
              <w:jc w:val="center"/>
            </w:pPr>
            <w:r>
              <w:rPr>
                <w:b w:val="0"/>
                <w:sz w:val="20"/>
              </w:rPr>
              <w:t>8</w:t>
            </w:r>
          </w:p>
        </w:tc>
        <w:tc>
          <w:tcPr>
            <w:tcW w:type="dxa" w:w="1440"/>
            <w:vAlign w:val="center"/>
            <w:tcMar>
              <w:top w:w="85" w:type="dxa"/>
              <w:bottom w:w="85" w:type="dxa"/>
              <w:left w:w="85" w:type="dxa"/>
              <w:right w:w="85" w:type="dxa"/>
            </w:tcMar>
          </w:tcPr>
          <w:p>
            <w:pPr>
              <w:keepNext w:val="0"/>
              <w:spacing w:line="240" w:lineRule="auto" w:after="40" w:before="40"/>
              <w:jc w:val="center"/>
            </w:pPr>
            <w:r>
              <w:rPr>
                <w:b w:val="0"/>
                <w:sz w:val="20"/>
              </w:rPr>
              <w:t>8.0</w:t>
            </w:r>
          </w:p>
        </w:tc>
      </w:tr>
    </w:tbl>
    <w:p>
      <w:pPr>
        <w:pageBreakBefore w:val="0"/>
        <w:spacing w:line="240" w:lineRule="auto" w:before="80" w:after="160"/>
      </w:pPr>
      <w:r>
        <w:rPr>
          <w:sz w:val="20"/>
        </w:rPr>
        <w:t>Base 100 congregant records. All final-practice entries are substantive. Multiple codes permitted; percentages need not sum to 100.0%.</w:t>
      </w:r>
    </w:p>
    <w:p>
      <w:pPr>
        <w:pageBreakBefore w:val="0"/>
      </w:pPr>
      <w:r>
        <w:t>Listening and acting on feedback is the most frequently coded category in this field, appearing in 22 records. Volunteer preparation follows in seventeen, while accessibility and personal connection each appear in fourteen. These counts describe the supplied responses to this particular prompt. They are not a ranking exercise in which each respondent assessed every possible practice, and a category’s absence from an answer does not establish rejection of it.</w:t>
      </w:r>
    </w:p>
    <w:p>
      <w:bookmarkStart w:id="301" w:name="m301"/>
      <w:pPr>
        <w:pStyle w:val="Heading3"/>
        <w:pageBreakBefore w:val="0"/>
      </w:pPr>
      <w:r>
        <w:t>5.14.2 Feedback as a process with a visible response</w:t>
      </w:r>
      <w:bookmarkEnd w:id="301"/>
    </w:p>
    <w:p>
      <w:pPr>
        <w:pageBreakBefore w:val="0"/>
      </w:pPr>
      <w:r>
        <w:t>Thirteen records, including C012 and C021, state: “Follow up on suggestions and explain what action was taken.” This formulation adds a request for explanation to the follow-up theme examined earlier. The desired process includes receiving a suggestion, responding to it and communicating the resulting action. The wording supports an expectation of visible response without specifying that every suggestion must be accepted.</w:t>
      </w:r>
    </w:p>
    <w:p>
      <w:pPr>
        <w:pageBreakBefore w:val="0"/>
      </w:pPr>
      <w:r>
        <w:t>Nine further records, including C008 and C025, state: “Hold structured feedback sessions at least twice a year.” These entries offer a more explicit arrangement than a general request to be heard. They identify a format and minimum frequency. The proposed timetable belongs to the respondents’ suggestion; it is not an empirically demonstrated optimum or an institutional requirement. Its significance is that some records move from a broad concern with listening to a recognisable recurring practice.</w:t>
      </w:r>
    </w:p>
    <w:p>
      <w:pPr>
        <w:pageBreakBefore w:val="0"/>
      </w:pPr>
      <w:r>
        <w:t>Together, the two formulations distinguish opportunities for expression from what happens after expression. A session can provide an occasion to speak, while explanation of action addresses the subsequent response. Their appearance in the same category does not show that the same respondents requested both. Nor does the questionnaire test whether combining them improves satisfaction. They identify complementary elements that can inform later recommendations, subject to evaluation.</w:t>
      </w:r>
    </w:p>
    <w:p>
      <w:bookmarkStart w:id="302" w:name="m302"/>
      <w:pPr>
        <w:pStyle w:val="Heading3"/>
        <w:pageBreakBefore w:val="0"/>
      </w:pPr>
      <w:r>
        <w:t>5.14.3 Volunteer preparation and personal contact</w:t>
      </w:r>
      <w:bookmarkEnd w:id="302"/>
    </w:p>
    <w:p>
      <w:pPr>
        <w:pageBreakBefore w:val="0"/>
      </w:pPr>
      <w:r>
        <w:t>The seventeen volunteer-coded entries comprise eight requests for service and follow-through training, four for clearer roles and coordination, and five for training greeters in warm welcome. C005 and C030, for example, state: “Train ushers and volunteers in service and follow-through.” The reference to follow-through extends the proposal beyond an initial encounter to the completion or continuation of a response.</w:t>
      </w:r>
    </w:p>
    <w:p>
      <w:pPr>
        <w:pageBreakBefore w:val="0"/>
      </w:pPr>
      <w:r>
        <w:t>C020 and C034 request: “Give volunteers clearer roles and better coordination.” This identifies role clarity alongside coordination, adding specificity to the earlier organisational suggestions. Five records, including C023 and C029, instead state: “Train greeters to welcome newcomers warmly.” These receive both volunteer-preparation and personal-connection codes because the means proposed is training and the desired encounter is welcome.</w:t>
      </w:r>
    </w:p>
    <w:p>
      <w:pPr>
        <w:pageBreakBefore w:val="0"/>
      </w:pPr>
      <w:r>
        <w:t>The personal-connection category also includes six records requesting more time with clergy and leaders after services and three combining digital communication with online pastoral support. These components bring the category total to fourteen. They describe different forms of contact rather than a single preferred channel. For example, C068 states: “Improve digital communication and online pastoral support.” Its coding recognises both communication and pastoral connection, while retaining the entry as one record.</w:t>
      </w:r>
    </w:p>
    <w:p>
      <w:bookmarkStart w:id="303" w:name="m303"/>
      <w:pPr>
        <w:pStyle w:val="Heading3"/>
        <w:pageBreakBefore w:val="0"/>
      </w:pPr>
      <w:r>
        <w:t>5.14.4 Inclusion and opportunities beyond the service</w:t>
      </w:r>
      <w:bookmarkEnd w:id="303"/>
    </w:p>
    <w:p>
      <w:pPr>
        <w:pageBreakBefore w:val="0"/>
      </w:pPr>
      <w:r>
        <w:t>Accessibility comprises seven requests for bilingual services for immigrant families and seven for more accessible and inclusive facilities. The language formulation is more specific about intended beneficiaries than the earlier conditional request for translation where needed. C002 and C043 state: “Offer bilingual services for immigrant families.” This identifies the group named in the proposal without establishing respondents’ migration histories or the languages required.</w:t>
      </w:r>
    </w:p>
    <w:p>
      <w:pPr>
        <w:pageBreakBefore w:val="0"/>
      </w:pPr>
      <w:r>
        <w:t>Family and small-group provision appears in twelve records: six request weekday groups for young families and six additional activities for children and teenagers. Eleven records request practical outreach for the local community. These proposals extend the account of service towards continuing relationships and activities, rather than restricting improvement to the main worship gathering. Their wording establishes desired directions but contains no assessment of staffing, cost or likely participation.</w:t>
      </w:r>
    </w:p>
    <w:p>
      <w:pPr>
        <w:pageBreakBefore w:val="0"/>
      </w:pPr>
      <w:r>
        <w:t>Eight records, including C011 and C039, state: “Make services feel more relevant and less formal where appropriate.” The qualification preserves contextual discretion. The proposal should not be interpreted as a universal preference for informality or as evidence that current formality is harmful. The communication category, meanwhile, contains one request for consistent updates, six concerning social media for events and testimonies, and the three entries involving online pastoral support. Its different purposes remain visible within the combined count of ten.</w:t>
      </w:r>
    </w:p>
    <w:p>
      <w:bookmarkStart w:id="304" w:name="m304"/>
      <w:pPr>
        <w:pStyle w:val="Heading2"/>
        <w:pageBreakBefore w:val="0"/>
      </w:pPr>
      <w:r>
        <w:t>5.15 Synthesis Across the Written Responses</w:t>
      </w:r>
      <w:bookmarkEnd w:id="304"/>
    </w:p>
    <w:p>
      <w:bookmarkStart w:id="305" w:name="m305"/>
      <w:pPr>
        <w:pStyle w:val="Heading3"/>
        <w:pageBreakBefore w:val="0"/>
      </w:pPr>
      <w:r>
        <w:t>5.15.1 Recurrence across prompts and continuity within records</w:t>
      </w:r>
      <w:bookmarkEnd w:id="305"/>
    </w:p>
    <w:p>
      <w:pPr>
        <w:pageBreakBefore w:val="0"/>
      </w:pPr>
      <w:r>
        <w:t>Several categories recur in the improvement and final-practice fields, but recurrence at category level is not the same as repetition by individual respondents. Feedback appears in ten earlier improvement entries and 22 final-practice entries. Only two records, C012 and C051, receive a feedback code in both fields. Eight identify it only in the earlier field and twenty only in the final field. The comparison demonstrates how aggregate similarity can conceal differences in which records supply a theme.</w:t>
      </w:r>
    </w:p>
    <w:p>
      <w:pPr>
        <w:pageBreakBefore w:val="0"/>
      </w:pPr>
      <w:r>
        <w:t>Outreach provides a second example. It appears in two improvement entries and eleven final-practice entries, with no overlap between the records making those requests. The larger final-field count cannot be described as an increase in concern over time: these are separate answers within the supplied questionnaire records, not successive observations of change. Nor does it establish that a final answer supersedes an earlier one. Each field captures a different expressed emphasis.</w:t>
      </w:r>
    </w:p>
    <w:p>
      <w:pPr>
        <w:pageBreakBefore w:val="0"/>
      </w:pPr>
      <w:r>
        <w:t>Both comparisons support retaining the fields separately. Pooling their counts would obscure the prompt under which a suggestion appeared and could count one record twice. Where a claim concerns a respondent’s combination of views, the relevant fields must be examined within that record. Where it concerns thematic recurrence across the corpus, the analysis should state that broader level explicitly.</w:t>
      </w:r>
    </w:p>
    <w:p>
      <w:bookmarkStart w:id="306" w:name="m306"/>
      <w:pPr>
        <w:pStyle w:val="Heading3"/>
        <w:pageBreakBefore w:val="0"/>
      </w:pPr>
      <w:r>
        <w:t>5.15.2 Proposals alongside the absence of a stated improvement need</w:t>
      </w:r>
      <w:bookmarkEnd w:id="306"/>
    </w:p>
    <w:p>
      <w:pPr>
        <w:pageBreakBefore w:val="0"/>
      </w:pPr>
      <w:r>
        <w:t>All 22 records containing “No specific improvement suggested.” in the earlier field give a substantive final-practice proposal. These same records answer “No” to the earlier improvement item. Thirteen somewhat oppose business-like adoption and nine strongly oppose it. Their final proposals cover twelve distinct formulations, including volunteer training, feedback follow-up, family provision and outreach.</w:t>
      </w:r>
    </w:p>
    <w:p>
      <w:pPr>
        <w:pageBreakBefore w:val="0"/>
      </w:pPr>
      <w:r>
        <w:t>This pattern complicates any simple separation between respondents who want change and those who do not. A negative answer about improvement need does not prevent a later practical proposal from appearing in the same record. The wording and context of the questions may contribute to that difference, but the transcription cannot establish why it occurs. Different interpretations of need and possible improvement are plausible; so are other explanations that would require clarification from the original questionnaires or respondents.</w:t>
      </w:r>
    </w:p>
    <w:p>
      <w:pPr>
        <w:pageBreakBefore w:val="0"/>
      </w:pPr>
      <w:r>
        <w:t>The analysis retains both answers. It does not recode the earlier “No” as “Yes”, discard the final proposal or assume that one is more authentic. The finding is the coexistence of the responses. This is particularly relevant to the adoption question: opposition to business-style approaches is compatible, within these records, with naming practical ways to improve service. The organisational framing and the proposed activity cannot be treated as interchangeable measures.</w:t>
      </w:r>
    </w:p>
    <w:p>
      <w:bookmarkStart w:id="307" w:name="m307"/>
      <w:pPr>
        <w:pStyle w:val="Heading3"/>
        <w:pageBreakBefore w:val="0"/>
      </w:pPr>
      <w:r>
        <w:t>5.15.3 Conditional usefulness and variation in the grounds for change</w:t>
      </w:r>
      <w:bookmarkEnd w:id="307"/>
    </w:p>
    <w:p>
      <w:pPr>
        <w:pageBreakBefore w:val="0"/>
      </w:pPr>
      <w:r>
        <w:t>The written reasons identify practical benefit in 74 records, explicit spiritual-purpose priority in 49, commercial or transactional concerns in 41, selective or conditional adoption in 39, and a pastoral alternative in two. These codes overlap. They describe elements present in the reasons rather than mutually exclusive respondent types. For example, practical benefit and commercial concern coexist in 22 records, while practical benefit and spiritual-purpose priority coexist in 34.</w:t>
      </w:r>
    </w:p>
    <w:p>
      <w:pPr>
        <w:pageBreakBefore w:val="0"/>
      </w:pPr>
      <w:r>
        <w:t>Conditional usefulness provides an interpretive connection among these combinations: respondents can acknowledge organisational value while qualifying its acceptable application. The improvement and practice fields add concrete settings in which such qualifications may matter, including pastoral contact, volunteer organisation and fundraising emphasis. However, not every proposal explicitly invokes religious purpose, and not every record expresses conditional acceptance. Some offer straightforward practical endorsement; others reject the business model while suggesting change.</w:t>
      </w:r>
    </w:p>
    <w:p>
      <w:pPr>
        <w:pageBreakBefore w:val="0"/>
      </w:pPr>
      <w:r>
        <w:t>The synthesis therefore supports a differentiated account. There is evidence of desired practical improvement and evidence of boundaries around the language, purpose or form of organisational change. Their relationship must be demonstrated through actual combinations of answers rather than assumed for every respondent. The contribution at this stage is descriptive and interpretive. Establishing conditional usefulness as a general explanatory construct would require further conceptual development and empirical testing.</w:t>
      </w:r>
    </w:p>
    <w:p>
      <w:bookmarkStart w:id="308" w:name="m308"/>
      <w:pPr>
        <w:pStyle w:val="Heading2"/>
        <w:pageBreakBefore w:val="0"/>
      </w:pPr>
      <w:r>
        <w:t>5.16 Analytical Limits and the Strength of the Evidence</w:t>
      </w:r>
      <w:bookmarkEnd w:id="308"/>
    </w:p>
    <w:p>
      <w:bookmarkStart w:id="309" w:name="m309"/>
      <w:pPr>
        <w:pStyle w:val="Heading3"/>
        <w:pageBreakBefore w:val="0"/>
      </w:pPr>
      <w:r>
        <w:t>5.16.1 Brevity and repeated formulations</w:t>
      </w:r>
      <w:bookmarkEnd w:id="309"/>
    </w:p>
    <w:p>
      <w:pPr>
        <w:pageBreakBefore w:val="0"/>
      </w:pPr>
      <w:r>
        <w:t>The qualitative corpus consists of 300 non-empty entries from three fields across 100 congregant records. Excluding the 22 non-suggestions leaves 278 substantive entries. These are contributions across fields, not 278 individual participants. The corpus contains 51 distinct formulations: twenty reasons, sixteen improvement responses including the non-suggestion, and fifteen final-practice responses.</w:t>
      </w:r>
    </w:p>
    <w:p>
      <w:pPr>
        <w:pageBreakBefore w:val="0"/>
      </w:pPr>
      <w:r>
        <w:t>Repeated wording contributes to the frequency of a formulation but does not provide additional contextual detail. Eleven appearances of a short outreach sentence do not offer the explanatory depth of eleven extended accounts. Frequencies can establish how often wording appears in the supplied transcription; they cannot establish independent elaboration, thematic saturation or the reasons for repetition. Those distinctions are necessary when assessing the reach of the qualitative findings.</w:t>
      </w:r>
    </w:p>
    <w:p>
      <w:pPr>
        <w:pageBreakBefore w:val="0"/>
      </w:pPr>
      <w:r>
        <w:t>The analysis can identify expressed priorities, qualifications and combinations. It cannot reconstruct incidents, conversational context or meanings that respondents were not asked to explain further. Anonymised identifiers make the selected examples traceable to records, but the study has not independently checked each transcription against its completed original. Quotations consequently represent wording in the supplied transcription, subject to that provenance limit.</w:t>
      </w:r>
    </w:p>
    <w:p>
      <w:bookmarkStart w:id="310" w:name="m310"/>
      <w:pPr>
        <w:pStyle w:val="Heading3"/>
        <w:pageBreakBefore w:val="0"/>
      </w:pPr>
      <w:r>
        <w:t>5.16.2 Coding and interpretive judgement</w:t>
      </w:r>
      <w:bookmarkEnd w:id="310"/>
    </w:p>
    <w:p>
      <w:pPr>
        <w:pageBreakBefore w:val="0"/>
      </w:pPr>
      <w:r>
        <w:t>Coding groups different formulations under shared categories while retaining the distinctions within them. Family provision, for instance, includes childcare, youth activities and small groups; personal connection includes welcome and pastoral contact. These groupings are useful for comparison but remain analytical decisions. Their meaning depends on the stated definitions and the examples, not solely on the resulting totals.</w:t>
      </w:r>
    </w:p>
    <w:p>
      <w:pPr>
        <w:pageBreakBefore w:val="0"/>
      </w:pPr>
      <w:r>
        <w:t>Multiple coding preserves compound requests. It also means category percentages need not sum to 100.0%. The same worship-and-family statement contributes to two categories, while remaining one entry. Counts should therefore be interpreted as records containing a coded element. They are not independent observations of separate interventions, and they do not quantify the intensity of a respondent’s concern.</w:t>
      </w:r>
    </w:p>
    <w:p>
      <w:pPr>
        <w:pageBreakBefore w:val="0"/>
      </w:pPr>
      <w:r>
        <w:t>The AI-assisted coding and drafting process described in Chapter 3 does not supply independent coder agreement or participant validation. The documented coding audit supports traceability, but traceability is different from independent corroboration. Alternative defensible interpretations may remain possible, especially where entries are brief. Keeping quotations, code definitions and record references together allows the reader to assess the interpretation against its stated basis.</w:t>
      </w:r>
    </w:p>
    <w:p>
      <w:bookmarkStart w:id="311" w:name="m311"/>
      <w:pPr>
        <w:pStyle w:val="Heading3"/>
        <w:pageBreakBefore w:val="0"/>
      </w:pPr>
      <w:r>
        <w:t>5.16.3 Transfer and evaluation limits</w:t>
      </w:r>
      <w:bookmarkEnd w:id="311"/>
    </w:p>
    <w:p>
      <w:pPr>
        <w:pageBreakBefore w:val="0"/>
      </w:pPr>
      <w:r>
        <w:t>The findings describe the supplied congregant records and should not be generalised to a verified national church population. Denominational labels alone do not establish representative coverage, and the available records do not support matching congregants’ suggestions to particular staff accounts at church level. Similar topics across the two questionnaires provide context, rather than proof of a shared local cause.</w:t>
      </w:r>
    </w:p>
    <w:p>
      <w:pPr>
        <w:pageBreakBefore w:val="0"/>
      </w:pPr>
      <w:r>
        <w:t>The proposals also remain untested. A requested practice is evidence of what a respondent suggests, not evidence that the practice improves satisfaction, participation or spiritual experience. No intervention comparison or follow-up outcome is available here. This distinction sets the boundary between Chapter 5’s findings and Chapter 7’s recommendations: proposals can guide context-sensitive planning, while claims of effectiveness require subsequent assessment.</w:t>
      </w:r>
    </w:p>
    <w:p>
      <w:bookmarkStart w:id="312" w:name="m312"/>
      <w:pPr>
        <w:pStyle w:val="Heading2"/>
        <w:pageBreakBefore w:val="0"/>
      </w:pPr>
      <w:r>
        <w:t>5.17 Chapter Summary</w:t>
      </w:r>
      <w:bookmarkEnd w:id="312"/>
    </w:p>
    <w:p>
      <w:pPr>
        <w:pageBreakBefore w:val="0"/>
      </w:pPr>
      <w:r>
        <w:t>The written responses give detail to the attitudes and experiences reported quantitatively. They identify practical value in communication, welcome and organisation, while also expressing concern about commercialisation and the preservation of religious purpose. The improvement suggestions and final practices extend this account to pastoral connection, volunteer preparation, feedback, accessibility, family provision, worship and outreach.</w:t>
      </w:r>
    </w:p>
    <w:p>
      <w:pPr>
        <w:pageBreakBefore w:val="0"/>
      </w:pPr>
      <w:r>
        <w:t>The chapter’s central interpretive finding is that practical improvement and acceptance of business-like approaches are not equivalent. Conditional acceptance appears in some reasons, while other records combine opposition to the broader model with concrete proposals for change. Similar activities can therefore be supported from different positions. This variation is essential to understanding compatibility and to avoiding recommendations that assume one shared rationale.</w:t>
      </w:r>
    </w:p>
    <w:p>
      <w:pPr>
        <w:pageBreakBefore w:val="0"/>
      </w:pPr>
      <w:r>
        <w:t>The analysis also shows why prompt-specific counts, contrasting cases and evidence limits matter. Themes recur across fields without necessarily recurring in the same records; negative improvement responses can coexist with later suggestions. These patterns are retained rather than resolved through unsupported assumptions. Chapter 6 will examine their academic meaning alongside the quantitative findings and supported literature, distinguishing the study’s observed patterns from broader propositions requiring further research.</w:t>
      </w:r>
    </w:p>
    <w:p>
      <w:bookmarkStart w:id="313" w:name="m313"/>
      <w:pPr>
        <w:pStyle w:val="Heading1"/>
        <w:pageBreakBefore/>
      </w:pPr>
      <w:r>
        <w:t>CHAPTER 6</w:t>
        <w:br/>
        <w:t>DISCUSSION</w:t>
      </w:r>
      <w:bookmarkEnd w:id="313"/>
    </w:p>
    <w:p>
      <w:bookmarkStart w:id="314" w:name="m314"/>
      <w:pPr>
        <w:pStyle w:val="Heading2"/>
        <w:pageBreakBefore w:val="0"/>
      </w:pPr>
      <w:r>
        <w:t>6.1 Introduction and Basis of the Discussion</w:t>
      </w:r>
      <w:bookmarkEnd w:id="314"/>
    </w:p>
    <w:p>
      <w:bookmarkStart w:id="315" w:name="m315"/>
      <w:pPr>
        <w:pStyle w:val="Heading3"/>
        <w:pageBreakBefore w:val="0"/>
      </w:pPr>
      <w:r>
        <w:t>6.1.1 From reported findings to academic interpretation</w:t>
      </w:r>
      <w:bookmarkEnd w:id="315"/>
    </w:p>
    <w:p>
      <w:pPr>
        <w:pageBreakBefore w:val="0"/>
      </w:pPr>
      <w:r>
        <w:t>The central argument of this discussion is that the practical value of a service practice and its acceptability within religious life are related but distinct judgements. The findings identify support for welcome, recognition, communication and organisational responsiveness. They also show reservations about commercial language, transactional relationships and displacement of spiritual purpose. Understanding that combination requires more than classifying respondents as supporters or opponents of business-like practices.</w:t>
      </w:r>
    </w:p>
    <w:p>
      <w:pPr>
        <w:pageBreakBefore w:val="0"/>
      </w:pPr>
      <w:r>
        <w:t>This chapter develops conditional usefulness as an interpretation of those combinations. The term refers to recognition of potential practical benefit alongside qualifications concerning a practice’s purpose, form or application. It is not a scale administered to respondents or a theory validated by the questionnaire. Its value is to make a recurring relationship in the evidence available for critical examination: usefulness may be acknowledged without being treated as sufficient justification for adoption.</w:t>
      </w:r>
    </w:p>
    <w:p>
      <w:pPr>
        <w:pageBreakBefore w:val="0"/>
      </w:pPr>
      <w:r>
        <w:t>The discussion draws on 100 congregant records, their written responses, and a separate set of 140 staff or volunteer records. It relates these findings to the six research questions and the literature retained in Chapter 2. The opening sections examine service priorities and the meaning of conditional usefulness. Subsequent sections consider comparisons with other sectors, feedback, organisational capacity, digital provision and the implications for the conceptual framework.</w:t>
      </w:r>
    </w:p>
    <w:p>
      <w:bookmarkStart w:id="316" w:name="m316"/>
      <w:pPr>
        <w:pStyle w:val="Heading3"/>
        <w:pageBreakBefore w:val="0"/>
      </w:pPr>
      <w:r>
        <w:t>6.1.2 The role of comparison with previous research</w:t>
      </w:r>
      <w:bookmarkEnd w:id="316"/>
    </w:p>
    <w:p>
      <w:pPr>
        <w:pageBreakBefore w:val="0"/>
      </w:pPr>
      <w:r>
        <w:t>Literature comparison serves two purposes here. It locates the subject of the findings within established service-management questions, and it identifies where religious context complicates the transfer of concepts. Agreement in subject matter is not necessarily replication. Studies using different constructs, populations and research designs cannot be treated as measuring the same phenomenon simply because they discuss service or participation.</w:t>
      </w:r>
    </w:p>
    <w:p>
      <w:pPr>
        <w:pageBreakBefore w:val="0"/>
      </w:pPr>
      <w:r>
        <w:t>The source checks also impose boundaries on the discussion. Some retained claims are supported by accessible abstracts rather than complete appraisal of an article’s methods and results. Those sources support narrow comparisons, not unexamined claims about mechanisms or effect sizes. The present narrative review cannot establish that conditional usefulness has never been considered elsewhere. The contribution must be judged by how clearly this study develops and supports its interpretation, rather than by an unsupported claim of priority.</w:t>
      </w:r>
    </w:p>
    <w:p>
      <w:bookmarkStart w:id="317" w:name="m317"/>
      <w:pPr>
        <w:pStyle w:val="Heading2"/>
        <w:pageBreakBefore w:val="0"/>
      </w:pPr>
      <w:r>
        <w:t>6.2 Service Priorities and the Meaning of Organisational Care</w:t>
      </w:r>
      <w:bookmarkEnd w:id="317"/>
    </w:p>
    <w:p>
      <w:bookmarkStart w:id="318" w:name="m318"/>
      <w:pPr>
        <w:pStyle w:val="Heading3"/>
        <w:pageBreakBefore w:val="0"/>
      </w:pPr>
      <w:r>
        <w:t>6.2.1 Interpersonal priorities within the measured attributes</w:t>
      </w:r>
      <w:bookmarkEnd w:id="318"/>
    </w:p>
    <w:p>
      <w:pPr>
        <w:pageBreakBefore w:val="0"/>
      </w:pPr>
      <w:r>
        <w:t>Welcome received the highest mean importance rating among the six specified attributes, at 4.32 out of 5. Feeling valued and recognised followed at 4.23, and clear, timely communication at 4.10. Responsiveness averaged 3.98, professionalism 3.92 and accessibility 3.80. The ordering gives interpersonal treatment prominence within the questionnaire’s defined set. It does not establish a statistically significant hierarchy or an exhaustive account of what matters in congregational life.</w:t>
      </w:r>
    </w:p>
    <w:p>
      <w:pPr>
        <w:pageBreakBefore w:val="0"/>
      </w:pPr>
      <w:r>
        <w:t>Santos and Mathews (2001) identify responsiveness, credibility and commitment as important in religious services. Their work provides a relevant comparison because it directs attention to relational and organisational qualities within a religious setting. The present findings share that broad concern, but the measures are different. Feeling valued is not automatically equivalent to commitment, and this questionnaire does not separately operationalise credibility. The connection is contextual rather than a replication of their constructs.</w:t>
      </w:r>
    </w:p>
    <w:p>
      <w:pPr>
        <w:pageBreakBefore w:val="0"/>
      </w:pPr>
      <w:r>
        <w:t>The written material helps interpret the practical content of these priorities. Personal welcome and pastoral connection appear in twenty improvement entries, including requests for attention to newcomers and more contact after services. These statements indicate that service can concern access to a person and the quality of an encounter. They give organisational care a concrete expression without establishing that respondents understand courtesy, belonging and pastoral support as the same experience.</w:t>
      </w:r>
    </w:p>
    <w:p>
      <w:pPr>
        <w:pageBreakBefore w:val="0"/>
      </w:pPr>
      <w:r>
        <w:t>The distinction matters academically because a service encounter may be valued for what it enables beyond the encounter itself. A clear response can help someone locate support; personal contact can provide an opportunity to discuss a concern. These are interpretations of the kinds of activity requested, not outcomes demonstrated by this study. The questionnaire does not establish whether those opportunities result in stronger belonging, sustained participation or spiritual development.</w:t>
      </w:r>
    </w:p>
    <w:p>
      <w:bookmarkStart w:id="319" w:name="m319"/>
      <w:pPr>
        <w:pStyle w:val="Heading3"/>
        <w:pageBreakBefore w:val="0"/>
      </w:pPr>
      <w:r>
        <w:t>6.2.2 Importance is not evidence of performance</w:t>
      </w:r>
      <w:bookmarkEnd w:id="319"/>
    </w:p>
    <w:p>
      <w:pPr>
        <w:pageBreakBefore w:val="0"/>
      </w:pPr>
      <w:r>
        <w:t>SERVQUAL provides a familiar framework for considering service quality, including interpersonal and organisational dimensions (Parasuraman et al., 1988). However, its paired expectation and perception measurements are not reproduced by six importance ratings. The present instrument therefore cannot generate validated SERVQUAL gaps. A high welcome score means that welcome is considered important on the question asked; it does not show that the church provides either excellent or inadequate welcome.</w:t>
      </w:r>
    </w:p>
    <w:p>
      <w:pPr>
        <w:pageBreakBefore w:val="0"/>
      </w:pPr>
      <w:r>
        <w:t>Cronin and Taylor (1992) argue that performance-based measurement may improve the measurement of service quality. Their contribution reinforces the importance of identifying what an instrument actually measures. It does not allow an importance response to be reinterpreted as performance. Consequently, the present discussion keeps attribute importance separate from the selected experience items, including responsiveness, pastoral access and feedback satisfaction.</w:t>
      </w:r>
    </w:p>
    <w:p>
      <w:pPr>
        <w:pageBreakBefore w:val="0"/>
      </w:pPr>
      <w:r>
        <w:t>This separation also changes how findings should inform organisational attention. An attribute with high importance may deserve careful consideration, but importance alone does not locate a service failure. A suggestion supplies a direction for improvement, yet it may arise alongside a favourable assessment. In Chapter 5, six of the ten records requesting better listening or feedback follow-up report satisfaction with feedback channels, while four are neutral. This combination directly cautions against reading a request as proof of dissatisfaction.</w:t>
      </w:r>
    </w:p>
    <w:p>
      <w:pPr>
        <w:pageBreakBefore w:val="0"/>
      </w:pPr>
      <w:r>
        <w:t>The conceptual implication is that valued provision, reported experience and desired improvement are different aspects of evaluation. Their relationship can be explored within the records, but they should not be collapsed into an overall service-quality score. Preserving them separately allows the discussion to recognise that people may value existing arrangements while seeking their further development.</w:t>
      </w:r>
    </w:p>
    <w:p>
      <w:bookmarkStart w:id="320" w:name="m320"/>
      <w:pPr>
        <w:pStyle w:val="Heading3"/>
        <w:pageBreakBefore w:val="0"/>
      </w:pPr>
      <w:r>
        <w:t>6.2.3 Accessibility and the limits of aggregate priority</w:t>
      </w:r>
      <w:bookmarkEnd w:id="320"/>
    </w:p>
    <w:p>
      <w:pPr>
        <w:pageBreakBefore w:val="0"/>
      </w:pPr>
      <w:r>
        <w:t>Accessibility had the lowest mean among the listed attributes, but 65 respondents still rated it four or five. Accessibility or linguistic inclusion also appears in seven improvement entries and fourteen final-practice entries. These observations make it inappropriate to interpret relative position as lack of relevance. A lower average within a generally favourable set of importance ratings is not the same as a low absolute rating.</w:t>
      </w:r>
    </w:p>
    <w:p>
      <w:pPr>
        <w:pageBreakBefore w:val="0"/>
      </w:pPr>
      <w:r>
        <w:t>The qualitative requests identify parking and access for older members, language provision and inclusive facilities. Their specificity adds meaning that an average cannot provide. At the same time, the instrument does not identify the severity of barriers or establish respondents’ membership of the groups named. The discussion can therefore identify participation conditions as an important consideration without claiming to have measured exclusion or its consequences.</w:t>
      </w:r>
    </w:p>
    <w:p>
      <w:pPr>
        <w:pageBreakBefore w:val="0"/>
      </w:pPr>
      <w:r>
        <w:t>For the conceptual framework, this illustrates a limit of frequency-led prioritisation. A practice may matter because of the particular difficulty it addresses, even when fewer records mention it. That is an implication for interpreting evidence, not an empirical finding about the intensity of unmet need. Further assessment would be required before allocating resources on the basis of presumed severity.</w:t>
      </w:r>
    </w:p>
    <w:p>
      <w:bookmarkStart w:id="321" w:name="m321"/>
      <w:pPr>
        <w:pStyle w:val="Heading2"/>
        <w:pageBreakBefore w:val="0"/>
      </w:pPr>
      <w:r>
        <w:t>6.3 Conditional Usefulness and the Acceptability of Service Practices</w:t>
      </w:r>
      <w:bookmarkEnd w:id="321"/>
    </w:p>
    <w:p>
      <w:bookmarkStart w:id="322" w:name="m322"/>
      <w:pPr>
        <w:pStyle w:val="Heading3"/>
        <w:pageBreakBefore w:val="0"/>
      </w:pPr>
      <w:r>
        <w:t>6.3.1 Evidence beyond the support and opposition categories</w:t>
      </w:r>
      <w:bookmarkEnd w:id="322"/>
    </w:p>
    <w:p>
      <w:pPr>
        <w:pageBreakBefore w:val="0"/>
      </w:pPr>
      <w:r>
        <w:t>Sixty congregant records support adopting business-like practices, fifteen are neutral or dependent on circumstances, and twenty-five oppose adoption. The reasons introduce distinctions that these categories alone cannot express. Practical benefit appears in 74 records, explicit spiritual-purpose priority in 49, commercial or transactional concern in 41, and selective or conditional adoption in 39. Two records explicitly favour a pastoral alternative. These overlapping codes describe statements, not separate populations.</w:t>
      </w:r>
    </w:p>
    <w:p>
      <w:pPr>
        <w:pageBreakBefore w:val="0"/>
      </w:pPr>
      <w:r>
        <w:t>The combinations within records are especially informative. Benefit-coded reasons include all sixty supportive responses, eight neutral responses and six somewhat-opposed responses. Commercial concerns occur in all twenty-five opposed responses, thirteen somewhat-supportive responses and three neutral responses. Recognition of benefit therefore extends beyond support, while concern extends beyond opposition. Neither element can stand alone as an equivalent measure of adoption attitude.</w:t>
      </w:r>
    </w:p>
    <w:p>
      <w:pPr>
        <w:pageBreakBefore w:val="0"/>
      </w:pPr>
      <w:r>
        <w:t>This pattern supports examining the grounds on which a practice is judged, rather than assuming that a positive attitude means unqualified acceptance. It also prevents interpreting concern as a uniform barrier. A person may recognise a risk while still favouring selective use. The records establish those combinations but cannot show whether concern would prevent actual implementation or be resolved through adaptation.</w:t>
      </w:r>
    </w:p>
    <w:p>
      <w:bookmarkStart w:id="323" w:name="m323"/>
      <w:pPr>
        <w:pStyle w:val="Heading3"/>
        <w:pageBreakBefore w:val="0"/>
      </w:pPr>
      <w:r>
        <w:t>6.3.2 Defining the interpretation and preserving contrasting positions</w:t>
      </w:r>
      <w:bookmarkEnd w:id="323"/>
    </w:p>
    <w:p>
      <w:pPr>
        <w:pageBreakBefore w:val="0"/>
      </w:pPr>
      <w:r>
        <w:t>Conditional usefulness identifies an evaluative relationship: a practice is seen as potentially helpful, while its acceptability depends on conditions attached to its use. The clearest examples connect a practical benefit with a stated boundary. C017, for instance, values better organisation subject to avoiding an overly corporate character. Its improvement request concerns volunteer coordination. The combination identifies both an organisational interest and a qualification, although it does not specify how coordination should be designed.</w:t>
      </w:r>
    </w:p>
    <w:p>
      <w:pPr>
        <w:pageBreakBefore w:val="0"/>
      </w:pPr>
      <w:r>
        <w:t>Three questions help clarify this interpretation. What benefit is recognised? What condition or boundary accompanies it? What does the record actually say about acceptance? These questions are an analytical aid developed from the findings, not three dimensions validated through statistical testing. They distinguish the content of the benefit from the condition attached to it and from the direction of the adoption response.</w:t>
      </w:r>
    </w:p>
    <w:p>
      <w:pPr>
        <w:pageBreakBefore w:val="0"/>
      </w:pPr>
      <w:r>
        <w:t>Conditional usefulness should not absorb every position in the corpus. C081 strongly opposes business-style approaches while requesting engaging services and stronger family programmes. That record demonstrates a distinction between practical improvement and endorsement of the broader model; it does not demonstrate conditional acceptance of that model. Similarly, the two pastoral-alternative reasons deserve attention as expressed preferences rather than being recast as reluctant support for professionalisation.</w:t>
      </w:r>
    </w:p>
    <w:p>
      <w:pPr>
        <w:pageBreakBefore w:val="0"/>
      </w:pPr>
      <w:r>
        <w:t>The 39 selective or conditional codes should consequently not be described as a measured prevalence of the broader interpretation. The coding identifies explicit content under a defined category; conditional usefulness connects several types of evidence. Some benefit statements contain purpose qualifications without receiving the selective-adoption code. Keeping coding and interpretation distinct avoids presenting an analytical synthesis as though it were an additional questionnaire variable.</w:t>
      </w:r>
    </w:p>
    <w:p>
      <w:bookmarkStart w:id="324" w:name="m324"/>
      <w:pPr>
        <w:pStyle w:val="Heading3"/>
        <w:pageBreakBefore w:val="0"/>
      </w:pPr>
      <w:r>
        <w:t>6.3.3 A critical comparison with church market orientation</w:t>
      </w:r>
      <w:bookmarkEnd w:id="324"/>
    </w:p>
    <w:p>
      <w:pPr>
        <w:pageBreakBefore w:val="0"/>
      </w:pPr>
      <w:r>
        <w:t>Mulyanegara et al. (2010) report a relationship between market orientation and church participation in a study of 344 respondents from an Australian denomination. Their caution concerning competitive uses of ministries is relevant to the present distinction between responsiveness and commercial positioning. It indicates that applying management concepts in religious settings can raise questions about how practices are directed, rather than only whether they are adopted.</w:t>
      </w:r>
    </w:p>
    <w:p>
      <w:pPr>
        <w:pageBreakBefore w:val="0"/>
      </w:pPr>
      <w:r>
        <w:t>The present study does not reproduce their market-orientation model. Its adoption item concerns business-like practices broadly, while the reasons name benefits and reservations in brief statements. It does not estimate an effect on participation. The comparison therefore locates a shared problem of organisational purpose while preserving the difference between a tested relationship in the earlier research and an interpretation of attitudes in this corpus.</w:t>
      </w:r>
    </w:p>
    <w:p>
      <w:pPr>
        <w:pageBreakBefore w:val="0"/>
      </w:pPr>
      <w:r>
        <w:t>Mulyanegara et al. (2011) also examine market orientation, perceived benefits and participation in an Australian church setting. Their work provides a reason to distinguish organisational orientation from what participants perceive as beneficial. However, the present benefit code is not their perceived-benefits measure. Coding acknowledgement of communication or organisation cannot establish the pathways examined in that study. The two Australian articles should also not be counted as independent replications without verification of their sample relationship.</w:t>
      </w:r>
    </w:p>
    <w:p>
      <w:pPr>
        <w:pageBreakBefore w:val="0"/>
      </w:pPr>
      <w:r>
        <w:t>The current evidence adds a contextual question to this comparison: under what expressed conditions does perceived practical value remain acceptable? That question concerns interpretation of benefit, rather than simply its existence. A useful practice may be framed as support for ministry or experienced as excessive commercialisation. The findings support investigating that distinction, but they do not demonstrate that framing alone changes participation or explains the earlier studies’ associations.</w:t>
      </w:r>
    </w:p>
    <w:p>
      <w:bookmarkStart w:id="325" w:name="m325"/>
      <w:pPr>
        <w:pStyle w:val="Heading3"/>
        <w:pageBreakBefore w:val="0"/>
      </w:pPr>
      <w:r>
        <w:t>6.3.4 Purpose and organisational form as distinct considerations</w:t>
      </w:r>
      <w:bookmarkEnd w:id="325"/>
    </w:p>
    <w:p>
      <w:pPr>
        <w:pageBreakBefore w:val="0"/>
      </w:pPr>
      <w:r>
        <w:t>Religious purpose appears explicitly in reasons that prioritise mission or ministry. Commercial concerns refer to corporate imitation, transactional relationships or similar reservations. These can overlap, yet they are not identical. Prioritising ministry states a desired orientation; rejecting transactional worship identifies a feared character of experience. Treating both as generic resistance would lose the content of the qualification.</w:t>
      </w:r>
    </w:p>
    <w:p>
      <w:pPr>
        <w:pageBreakBefore w:val="0"/>
      </w:pPr>
      <w:r>
        <w:t>This distinction strengthens the potential contribution of conditional usefulness. The interpretation suggests that a judgement about operational benefit may remain incomplete until a question about purpose or form is addressed. It does not require assuming that all service-management practices are commercialising. Nor does it presume that religious language makes an otherwise inappropriate practice acceptable. The empirical task is to identify the grounds expressed in particular records; the later practical task is to assess proposals in context.</w:t>
      </w:r>
    </w:p>
    <w:p>
      <w:pPr>
        <w:pageBreakBefore w:val="0"/>
      </w:pPr>
      <w:r>
        <w:t>Fundraising illustrates the boundary. Eight improvement entries request reduced emphasis on repeated appeals. Some of those same records acknowledge useful practices while prioritising mission or expressing commercial concern. This combination provides a concrete setting for the broader tension, but it does not establish that appeals caused the concern. A discussion of religious purpose must preserve that difference between an observed association of answers and an explanatory account of experience.</w:t>
      </w:r>
    </w:p>
    <w:p>
      <w:bookmarkStart w:id="326" w:name="m326"/>
      <w:pPr>
        <w:pStyle w:val="Heading3"/>
        <w:pageBreakBefore w:val="0"/>
      </w:pPr>
      <w:r>
        <w:t>6.3.5 Contribution and questions for further testing</w:t>
      </w:r>
      <w:bookmarkEnd w:id="326"/>
    </w:p>
    <w:p>
      <w:pPr>
        <w:pageBreakBefore w:val="0"/>
      </w:pPr>
      <w:r>
        <w:t>The contribution developed here is a structured interpretation of variation that a single adoption percentage conceals. It draws attention to usefulness, qualifications and endorsement as related but distinguishable elements. Within this study, the strongest support comes from their coexistence in the same congregant records. The interpretation remains bounded by brief, repeated text and the absence of independent verification of the completed originals.</w:t>
      </w:r>
    </w:p>
    <w:p>
      <w:pPr>
        <w:pageBreakBefore w:val="0"/>
      </w:pPr>
      <w:r>
        <w:t>A further study could examine whether more detailed accounts sustain this distinction and identify the conditions respondents consider decisive. It could also compare evaluations of the same practical proposal under different descriptions, while allowing participants to explain their reasoning. These are possibilities for testing the interpretation, not methods undertaken in this dissertation or evidence that wording effects have already been established.</w:t>
      </w:r>
    </w:p>
    <w:p>
      <w:pPr>
        <w:pageBreakBefore w:val="0"/>
      </w:pPr>
      <w:r>
        <w:t>Conditional usefulness thus supplies a starting point for the remaining discussion. Service priorities identify what respondents value; their reasons qualify how organisational improvement may be understood. The following sections examine favourable experiences alongside requests for change, the limits of business comparisons, and the role of feedback and visible response. Those comparisons will develop the interpretation without assuming that practical effectiveness or theological acceptability has been demonstrated.</w:t>
      </w:r>
    </w:p>
    <w:p>
      <w:bookmarkStart w:id="327" w:name="m327"/>
      <w:pPr>
        <w:pStyle w:val="Heading2"/>
        <w:pageBreakBefore w:val="0"/>
      </w:pPr>
      <w:r>
        <w:t>6.4 Positive Experiences and Requests for Improvement</w:t>
      </w:r>
      <w:bookmarkEnd w:id="327"/>
    </w:p>
    <w:p>
      <w:bookmarkStart w:id="328" w:name="m328"/>
      <w:pPr>
        <w:pStyle w:val="Heading3"/>
        <w:pageBreakBefore w:val="0"/>
      </w:pPr>
      <w:r>
        <w:t>6.4.1 Improvement as a judgement distinct from dissatisfaction</w:t>
      </w:r>
      <w:bookmarkEnd w:id="328"/>
    </w:p>
    <w:p>
      <w:pPr>
        <w:pageBreakBefore w:val="0"/>
      </w:pPr>
      <w:r>
        <w:t>The findings challenge an interpretation of service improvement as a response only to dissatisfaction. Fifty-three congregants describe church service as better than businesses, 69 report positive responsiveness, and 65 report easy access to leadership or pastoral support. Seventy-eight nevertheless indicate scope for improvement. These distributions concern different evaluations: comparison with another setting, experience of particular interactions, and recognition of possible change.</w:t>
      </w:r>
    </w:p>
    <w:p>
      <w:pPr>
        <w:pageBreakBefore w:val="0"/>
      </w:pPr>
      <w:r>
        <w:t>Chapter 4’s comparison within records strengthens this distinction. All 53 records giving a favourable business comparison also indicate that improvement is possible. A positive relative judgement therefore coexists directly with a wish for improvement, rather than merely appearing in different parts of the sample. The comparison does not reveal whether respondents seek minor refinements or substantial change. It establishes that judging provision favourably does not exhaust their evaluation of it.</w:t>
      </w:r>
    </w:p>
    <w:p>
      <w:pPr>
        <w:pageBreakBefore w:val="0"/>
      </w:pPr>
      <w:r>
        <w:t>One interpretation is that respondents recognise current strengths while still identifying opportunities. Another is that a broad improvement question encourages proposals independently of satisfaction. These possibilities have different implications. The first would suggest an evaluative distinction between adequacy and aspiration; the second would place greater emphasis on how the question elicits an answer. The available text is insufficient to choose between them, so neither is treated as an established explanation.</w:t>
      </w:r>
    </w:p>
    <w:p>
      <w:bookmarkStart w:id="329" w:name="m329"/>
      <w:pPr>
        <w:pStyle w:val="Heading3"/>
        <w:pageBreakBefore w:val="0"/>
      </w:pPr>
      <w:r>
        <w:t>6.4.2 The uneven pattern and its interpretive consequences</w:t>
      </w:r>
      <w:bookmarkEnd w:id="329"/>
    </w:p>
    <w:p>
      <w:pPr>
        <w:pageBreakBefore w:val="0"/>
      </w:pPr>
      <w:r>
        <w:t>The contrasting pattern also requires attention. Of nineteen records describing church service as worse than businesses, only two indicate scope for improvement and seventeen answer negatively. Similarly, all 55 records satisfied with feedback channels indicate improvement is possible, whereas only three of the 23 dissatisfied records do so. These are unusually concentrated combinations in the supplied transcription. A discussion focused only on positive evaluations alongside improvement would overlook the less intuitive part of the evidence.</w:t>
      </w:r>
    </w:p>
    <w:p>
      <w:pPr>
        <w:pageBreakBefore w:val="0"/>
      </w:pPr>
      <w:r>
        <w:t>It would be tempting to explain the latter pattern through disengagement, resignation or low expectations. Those explanations are not demonstrated. The questionnaire does not ask why a dissatisfied respondent might deny improvement need, and the original completed forms have not been independently checked against the transcription. Question interpretation, recording processes and other unmeasured influences remain possible. The pattern should therefore constrain explanatory confidence rather than invite an unsupported psychological account.</w:t>
      </w:r>
    </w:p>
    <w:p>
      <w:pPr>
        <w:pageBreakBefore w:val="0"/>
      </w:pPr>
      <w:r>
        <w:t>Chapter 5 provides an additional qualification: the 22 records containing no specific improvement in the earlier field all supply a practical proposal in the final field. Their answers cannot be reduced to an absence of ideas or a consistent refusal of change. The analysis retains the different answers under their respective prompts. Their coexistence makes wording and context relevant questions for further investigation, without establishing that either answer is erroneous.</w:t>
      </w:r>
    </w:p>
    <w:p>
      <w:bookmarkStart w:id="330" w:name="m330"/>
      <w:pPr>
        <w:pStyle w:val="Heading3"/>
        <w:pageBreakBefore w:val="0"/>
      </w:pPr>
      <w:r>
        <w:t>6.4.3 Service experience as a set of related encounters</w:t>
      </w:r>
      <w:bookmarkEnd w:id="330"/>
    </w:p>
    <w:p>
      <w:pPr>
        <w:pageBreakBefore w:val="0"/>
      </w:pPr>
      <w:r>
        <w:t>Lemon and Verhoef (2016) consider customer experience across a journey involving multiple touchpoints. Their perspective is useful here as a way of organising questions about welcome, communication, pastoral access and feedback. A respondent could value one encounter while seeking improvement in another. However, this questionnaire does not reconstruct individual journeys or determine the sequence through which experiences shape later evaluations.</w:t>
      </w:r>
    </w:p>
    <w:p>
      <w:pPr>
        <w:pageBreakBefore w:val="0"/>
      </w:pPr>
      <w:r>
        <w:t>The comparison therefore offers a conceptual possibility rather than an explanation of the observed combinations. It encourages attention to differences between encounters instead of assuming one uniform church experience. The present records support that caution because their items address distinct aspects of provision. They do not demonstrate that dissatisfaction at one touchpoint is offset by satisfaction at another, or identify which encounter is decisive.</w:t>
      </w:r>
    </w:p>
    <w:p>
      <w:pPr>
        <w:pageBreakBefore w:val="0"/>
      </w:pPr>
      <w:r>
        <w:t>For the dissertation’s framework, the implication is to preserve the relationship between specific experience and broader appraisal as a question for analysis. A favourable comparison, a particular difficulty and a practical suggestion can each convey information. None should automatically override the others. Conditional usefulness operates alongside this distinction: judging a practice helpful, evaluating current provision and accepting a business-like approach remain separate judgements, even where they inform one another.</w:t>
      </w:r>
    </w:p>
    <w:p>
      <w:bookmarkStart w:id="331" w:name="m331"/>
      <w:pPr>
        <w:pStyle w:val="Heading2"/>
        <w:pageBreakBefore w:val="0"/>
      </w:pPr>
      <w:r>
        <w:t>6.5 Business Comparisons and the Transfer of Service Concepts</w:t>
      </w:r>
      <w:bookmarkEnd w:id="331"/>
    </w:p>
    <w:p>
      <w:bookmarkStart w:id="332" w:name="m332"/>
      <w:pPr>
        <w:pStyle w:val="Heading3"/>
        <w:pageBreakBefore w:val="0"/>
      </w:pPr>
      <w:r>
        <w:t>6.5.1 A perceived benchmark rather than a sector performance test</w:t>
      </w:r>
      <w:bookmarkEnd w:id="332"/>
    </w:p>
    <w:p>
      <w:pPr>
        <w:pageBreakBefore w:val="0"/>
      </w:pPr>
      <w:r>
        <w:t>The business-comparison item addresses the second research question only in a bounded sense. Fifty-three records judge church service better, 28 about the same and nineteen worse. These findings describe respondents’ perceptions. They do not establish a common business benchmark because respondents were not required to evaluate the same organisation, service encounter or set of performance indicators.</w:t>
      </w:r>
    </w:p>
    <w:p>
      <w:pPr>
        <w:pageBreakBefore w:val="0"/>
      </w:pPr>
      <w:r>
        <w:t>The reference category may therefore carry different meanings across records. A respondent could be comparing communication, staff conduct or some other aspect, but the item does not identify which. It also groups businesses broadly rather than separating hospitality from other industries. The dissertation cannot conclude that churches outperform hotels, equal nonprofit organisations or fall below a verified commercial standard on the basis of this distribution.</w:t>
      </w:r>
    </w:p>
    <w:p>
      <w:pPr>
        <w:pageBreakBefore w:val="0"/>
      </w:pPr>
      <w:r>
        <w:t>The academic value of the comparison is more modest but still useful. It shows that a business reference is available within respondents’ evaluations without establishing what underlies the judgement. Read alongside the adoption reasons, it also discourages assuming that a favourable view of church service entails rejection of organisational learning. A perceived comparison and an attitude towards adopting practices ask different questions and must remain analytically distinct.</w:t>
      </w:r>
    </w:p>
    <w:p>
      <w:bookmarkStart w:id="333" w:name="m333"/>
      <w:pPr>
        <w:pStyle w:val="Heading3"/>
        <w:pageBreakBefore w:val="0"/>
      </w:pPr>
      <w:r>
        <w:t>6.5.2 Learning from a concept while retaining contextual differences</w:t>
      </w:r>
      <w:bookmarkEnd w:id="333"/>
    </w:p>
    <w:p>
      <w:pPr>
        <w:pageBreakBefore w:val="0"/>
      </w:pPr>
      <w:r>
        <w:t>Cross-sector literature is most defensible here when it helps formulate a question rather than supplies a ready-made answer. Bitner’s (1992) servicescape framework considers the possible significance of physical surroundings for service experiences. It provides a conceptual reason to attend to environments, but it does not establish that changing church facilities produces a specified outcome. The accessibility requests in this study identify areas for examination, not a tested servicescape effect.</w:t>
      </w:r>
    </w:p>
    <w:p>
      <w:pPr>
        <w:pageBreakBefore w:val="0"/>
      </w:pPr>
      <w:r>
        <w:t>This distinction matters because environmental improvement can serve different purposes. Clear access to a building is not the same proposal as creating a commercially impressive setting. The records request parking, accessibility and inclusive facilities; they do not prescribe luxury, visual branding or a hotel-like appearance. Using the conceptual literature to notice environmental conditions is therefore compatible with retaining the practical and religious purposes expressed in the responses.</w:t>
      </w:r>
    </w:p>
    <w:p>
      <w:pPr>
        <w:pageBreakBefore w:val="0"/>
      </w:pPr>
      <w:r>
        <w:t>Leventhal (2008) discusses the complexity of customer expectations in aged care, including the involvement of multiple stakeholders. The source belongs to aged care, not hospitality, and should not be presented as evidence about church performance. Its relevance is an interpretive question: whose expectations are being considered when an organisation evaluates service? That question becomes useful where different participants may understand an activity’s purpose differently.</w:t>
      </w:r>
    </w:p>
    <w:p>
      <w:pPr>
        <w:pageBreakBefore w:val="0"/>
      </w:pPr>
      <w:r>
        <w:t>Applied to this dissertation, the question encourages keeping congregants’ evaluations separate from staff or volunteer accounts. The groups answer different instruments and are not matched within identified churches. Their perspectives can be compared by topic, but neither can be used as a substitute for the other. The literature helps identify the need for that distinction without proving that the two response sets represent a particular local disagreement.</w:t>
      </w:r>
    </w:p>
    <w:p>
      <w:bookmarkStart w:id="334" w:name="m334"/>
      <w:pPr>
        <w:pStyle w:val="Heading3"/>
        <w:pageBreakBefore w:val="0"/>
      </w:pPr>
      <w:r>
        <w:t>6.5.3 Transfer at the level of a specified practice</w:t>
      </w:r>
      <w:bookmarkEnd w:id="334"/>
    </w:p>
    <w:p>
      <w:pPr>
        <w:pageBreakBefore w:val="0"/>
      </w:pPr>
      <w:r>
        <w:t>Conditional usefulness suggests examining transfer at the level of a defined practice rather than endorsing a whole sector as a model. A proposal to clarify volunteer responsibilities can be considered in terms of the problem it addresses and the conditions of its use. Its acceptability cannot be inferred solely from describing it as professional, commercial or pastoral. The reasons in Chapter 5 show why those broader descriptions can carry different implications for respondents.</w:t>
      </w:r>
    </w:p>
    <w:p>
      <w:pPr>
        <w:pageBreakBefore w:val="0"/>
      </w:pPr>
      <w:r>
        <w:t>This is a contribution to how the findings are interpreted, rather than proof that one approach to transfer will succeed. The evidence identifies desired activities and expressed reservations. It does not compare alternative implementations. A later recommendation can therefore explain the intended practical benefit and invite assessment of its fit with ministry, while acknowledging that effectiveness and acceptance still require evaluation.</w:t>
      </w:r>
    </w:p>
    <w:p>
      <w:pPr>
        <w:pageBreakBefore w:val="0"/>
      </w:pPr>
      <w:r>
        <w:t>Such an approach also preserves the possibility of rejecting a proposed practice. Conditional usefulness should not become a presumption that every commercial method can be made acceptable through different language. Some respondents oppose the broader model, and two explicitly prefer pastoral approaches. The analytical task is to retain those positions while identifying areas of practical concern that may be discussed without requiring prior agreement on commercial terminology.</w:t>
      </w:r>
    </w:p>
    <w:p>
      <w:bookmarkStart w:id="335" w:name="m335"/>
      <w:pPr>
        <w:pStyle w:val="Heading2"/>
        <w:pageBreakBefore w:val="0"/>
      </w:pPr>
      <w:r>
        <w:t>6.6 Feedback and Visible Organisational Response</w:t>
      </w:r>
      <w:bookmarkEnd w:id="335"/>
    </w:p>
    <w:p>
      <w:bookmarkStart w:id="336" w:name="m336"/>
      <w:pPr>
        <w:pStyle w:val="Heading3"/>
        <w:pageBreakBefore w:val="0"/>
      </w:pPr>
      <w:r>
        <w:t>6.6.1 Availability of a channel and experience of being heard</w:t>
      </w:r>
      <w:bookmarkEnd w:id="336"/>
    </w:p>
    <w:p>
      <w:pPr>
        <w:pageBreakBefore w:val="0"/>
      </w:pPr>
      <w:r>
        <w:t>Feedback offers a particularly clear setting in which to connect the quantitative and qualitative findings. Fifty-five congregants are satisfied or very satisfied with feedback channels, 22 are neutral and 23 dissatisfied or very dissatisfied. In the written material, ten improvement entries concern listening or follow-up, while 22 final-practice entries concern feedback. The latter comprise thirteen requests for follow-up and explanation of action, and nine for structured sessions.</w:t>
      </w:r>
    </w:p>
    <w:p>
      <w:pPr>
        <w:pageBreakBefore w:val="0"/>
      </w:pPr>
      <w:r>
        <w:t>These proposals distinguish an opportunity to express a view from the subsequent organisational response. A channel can receive a suggestion, but the respondent may still want to know whether it has been considered and what follows. That interpretation comes from the recorded wording. The questionnaire does not separately measure acknowledgement, decision-making and explanation, so the elements should not be presented as tested dimensions of feedback quality.</w:t>
      </w:r>
    </w:p>
    <w:p>
      <w:pPr>
        <w:pageBreakBefore w:val="0"/>
      </w:pPr>
      <w:r>
        <w:t>The comparison between fields also matters. Only two records receive a feedback code in both the improvement and final-practice fields. The recurrence of a category therefore reflects a wider distribution across prompts rather than repeated emphasis by the same 22 individuals. This prevents treating the final-practice frequency as an intensity score or as evidence that those respondents had already reported a feedback problem.</w:t>
      </w:r>
    </w:p>
    <w:p>
      <w:bookmarkStart w:id="337" w:name="m337"/>
      <w:pPr>
        <w:pStyle w:val="Heading3"/>
        <w:pageBreakBefore w:val="0"/>
      </w:pPr>
      <w:r>
        <w:t>6.6.2 Information and coordination in the literature</w:t>
      </w:r>
      <w:bookmarkEnd w:id="337"/>
    </w:p>
    <w:p>
      <w:pPr>
        <w:pageBreakBefore w:val="0"/>
      </w:pPr>
      <w:r>
        <w:t>Vuokko’s (2000) discussion of customer-oriented thinking within the Finnish Lutheran Church includes information and coordination concerns. This provides a contextual comparison for the present interest in listening and organisational response. The comparison does not demonstrate equivalent organisational processes across the two settings. It identifies information and coordination as relevant topics for examining how an orientation towards people is expressed in practice.</w:t>
      </w:r>
    </w:p>
    <w:p>
      <w:pPr>
        <w:pageBreakBefore w:val="0"/>
      </w:pPr>
      <w:r>
        <w:t>The present findings add a specific recipient-facing question: can someone who offers a suggestion see what response it receives? That question extends the discussion beyond whether a mechanism exists, but the extension is this dissertation’s interpretation of the questionnaire wording. It should not be attributed to Vuokko as an independently tested explanation of these results. The distinction keeps the literature comparison precise while allowing the current evidence to contribute its own emphasis.</w:t>
      </w:r>
    </w:p>
    <w:p>
      <w:pPr>
        <w:pageBreakBefore w:val="0"/>
      </w:pPr>
      <w:r>
        <w:t>The separate staff records describe several mechanisms: 98 select verbal feedback, 63 suggestion boxes, 56 regular surveys and 35 pastoral meetings or listening sessions. Multiple selections are permitted. These accounts establish that different mechanisms are reported within the staff dataset; they do not show how reliably suggestions move from receipt to consideration. The eleven selections of “No formal process” alongside other methods remain an ambiguity documented in Chapter 4.</w:t>
      </w:r>
    </w:p>
    <w:p>
      <w:bookmarkStart w:id="338" w:name="m338"/>
      <w:pPr>
        <w:pStyle w:val="Heading3"/>
        <w:pageBreakBefore w:val="0"/>
      </w:pPr>
      <w:r>
        <w:t>6.6.3 Receiving a suggestion and explaining a decision</w:t>
      </w:r>
      <w:bookmarkEnd w:id="338"/>
    </w:p>
    <w:p>
      <w:pPr>
        <w:pageBreakBefore w:val="0"/>
      </w:pPr>
      <w:r>
        <w:t>A process-oriented interpretation of the findings distinguishes receipt, consideration and response. Receipt concerns whether a view reaches an appropriate person. Consideration concerns how responsibility and a decision are handled. Response concerns whether the contributor receives an acknowledgement or explanation. These are proposed distinctions for understanding the requested practices, not stages observed directly in this study.</w:t>
      </w:r>
    </w:p>
    <w:p>
      <w:pPr>
        <w:pageBreakBefore w:val="0"/>
      </w:pPr>
      <w:r>
        <w:t>Their usefulness lies in making a broad improvement request more examinable. If a suggestion box exists, a review of provision could still ask how entries are collected and who responds. If verbal feedback is common, it could ask whether follow-up depends on the individual receiving it. These examples illustrate questions for subsequent assessment; they are not claims that the churches represented have such failures.</w:t>
      </w:r>
    </w:p>
    <w:p>
      <w:pPr>
        <w:pageBreakBefore w:val="0"/>
      </w:pPr>
      <w:r>
        <w:t>Explaining a decision also differs from agreeing with a suggestion. The request for follow-up does not establish that respondents expect every proposal to be implemented. A reasoned explanation could identify a practical constraint or a conflict with an organisation’s purpose. In that sense, visible response can be considered alongside conditional usefulness: listening to a proposal and assessing its appropriateness are compatible activities. Whether respondents find a particular explanation satisfactory remains an empirical question.</w:t>
      </w:r>
    </w:p>
    <w:p>
      <w:bookmarkStart w:id="339" w:name="m339"/>
      <w:pPr>
        <w:pStyle w:val="Heading3"/>
        <w:pageBreakBefore w:val="0"/>
      </w:pPr>
      <w:r>
        <w:t>6.6.4 Satisfaction and proposals for further development</w:t>
      </w:r>
      <w:bookmarkEnd w:id="339"/>
    </w:p>
    <w:p>
      <w:pPr>
        <w:pageBreakBefore w:val="0"/>
      </w:pPr>
      <w:r>
        <w:t>The ten feedback-coded improvement records contain six satisfied or very satisfied responses and four neutral responses on the feedback item. None is dissatisfied. This finding narrows what can be inferred from the suggestions: the category cannot be presented as a tally of dissatisfied people. It demonstrates coexistence of a proposed improvement with a non-negative rating within those records.</w:t>
      </w:r>
    </w:p>
    <w:p>
      <w:pPr>
        <w:pageBreakBefore w:val="0"/>
      </w:pPr>
      <w:r>
        <w:t>It does not follow that satisfied respondents generally demand more or that feedback channels are already effective. Satisfaction is reported on the specified item, while effectiveness would require a clearer criterion and evidence about what the channel achieves. Equally, the 23 dissatisfied responses deserve attention even when a particular written field does not contain a matching complaint. Absence of a coded suggestion is not evidence that the reported dissatisfaction lacks a basis.</w:t>
      </w:r>
    </w:p>
    <w:p>
      <w:pPr>
        <w:pageBreakBefore w:val="0"/>
      </w:pPr>
      <w:r>
        <w:t>The contribution of integrating the fields is therefore to complicate the interpretation of each. The ratings describe evaluation, and the suggestions identify desired practices. Together they support asking more precise questions about experience, without supplying a causal explanation. This is especially important where the staff reports cannot be linked to individual congregants: no reported staff mechanism can be assigned as the cause of a particular rating.</w:t>
      </w:r>
    </w:p>
    <w:p>
      <w:bookmarkStart w:id="340" w:name="m340"/>
      <w:pPr>
        <w:pStyle w:val="Heading3"/>
        <w:pageBreakBefore w:val="0"/>
      </w:pPr>
      <w:r>
        <w:t>6.6.5 Implications for the next stage of the discussion</w:t>
      </w:r>
      <w:bookmarkEnd w:id="340"/>
    </w:p>
    <w:p>
      <w:pPr>
        <w:pageBreakBefore w:val="0"/>
      </w:pPr>
      <w:r>
        <w:t>The findings support considering feedback as an organisational responsibility extending beyond collection. Any recommendation for clearer follow-up would nevertheless require attention to who can undertake it, how decisions are communicated and what level of activity is sustainable. The respondents’ suggestion of sessions at least twice a year is one recorded proposal, not an evaluated optimum for every congregation.</w:t>
      </w:r>
    </w:p>
    <w:p>
      <w:pPr>
        <w:pageBreakBefore w:val="0"/>
      </w:pPr>
      <w:r>
        <w:t>This moves the discussion towards capacity. A practice may be welcomed in principle yet be difficult to maintain, while a well-resourced process may still be questioned on grounds of purpose. The following sections examine staff-reported tools, leadership, compatibility, spiritual-authenticity concerns and resource barriers. It will consider how those separate findings qualify proposals for improvement while preserving the distinction between organisational feasibility and demonstrated outcomes.</w:t>
      </w:r>
    </w:p>
    <w:p>
      <w:bookmarkStart w:id="341" w:name="m341"/>
      <w:pPr>
        <w:pStyle w:val="Heading2"/>
        <w:pageBreakBefore w:val="0"/>
      </w:pPr>
      <w:r>
        <w:t>6.7 Organisational Capacity and Adoption</w:t>
      </w:r>
      <w:bookmarkEnd w:id="341"/>
    </w:p>
    <w:p>
      <w:bookmarkStart w:id="342" w:name="m342"/>
      <w:pPr>
        <w:pStyle w:val="Heading3"/>
        <w:pageBreakBefore w:val="0"/>
      </w:pPr>
      <w:r>
        <w:t>6.7.1 Adoption status and the work a practice performs</w:t>
      </w:r>
      <w:bookmarkEnd w:id="342"/>
    </w:p>
    <w:p>
      <w:pPr>
        <w:pageBreakBefore w:val="0"/>
      </w:pPr>
      <w:r>
        <w:t>The staff and volunteer findings distinguish current use of service tools from consideration and absence of plans. Seventy of the 140 records report current use: 25 identify multiple tools and 45 one or two. Thirty-nine are considering tools, while 31 report no plans. These categories answer the question of reported adoption status, but they do not assess how well any tool is integrated into everyday activity.</w:t>
      </w:r>
    </w:p>
    <w:p>
      <w:pPr>
        <w:pageBreakBefore w:val="0"/>
      </w:pPr>
      <w:r>
        <w:t>The distinction is important when interpreting organisational capacity. Several tools could coexist without clear responsibility for their use, while a single practice could be consistently maintained. The questionnaire does not establish either situation. Consequently, counting tools cannot substitute for examining the work they perform. The study describes reported use without ranking organisations by maturity or assuming that more extensive adoption produces better congregant experiences.</w:t>
      </w:r>
    </w:p>
    <w:p>
      <w:pPr>
        <w:pageBreakBefore w:val="0"/>
      </w:pPr>
      <w:r>
        <w:t>Hilton et al. (2020) develop customer success management as a conceptual research agenda concerned with proactively supporting customers’ goals and value in use. The relevant comparison is a shift in attention from possessing a management mechanism to considering what it enables. Their commercial discussion does not establish that churches need a customer-success department, nor does the present tool item measure adoption of that specific model.</w:t>
      </w:r>
    </w:p>
    <w:p>
      <w:pPr>
        <w:pageBreakBefore w:val="0"/>
      </w:pPr>
      <w:r>
        <w:t>Applied cautiously, this comparison suggests asking what a service practice helps people accomplish. A process for directing enquiries might support access to pastoral help; volunteer coordination might make responsibilities clearer. These are possible purposes grounded in the types of requests recorded in Chapter 5. They remain candidates for assessment because the study has not observed their implementation or measured their results. The conceptual literature helps articulate a question of purpose rather than supplying evidence of local effectiveness.</w:t>
      </w:r>
    </w:p>
    <w:p>
      <w:bookmarkStart w:id="343" w:name="m343"/>
      <w:pPr>
        <w:pStyle w:val="Heading3"/>
        <w:pageBreakBefore w:val="0"/>
      </w:pPr>
      <w:r>
        <w:t>6.7.2 Compatibility and use without an established causal order</w:t>
      </w:r>
      <w:bookmarkEnd w:id="343"/>
    </w:p>
    <w:p>
      <w:pPr>
        <w:pageBreakBefore w:val="0"/>
      </w:pPr>
      <w:r>
        <w:t>All seventy current-use records rate business-like practices as compatible: 31 very compatible and 39 somewhat compatible. Fourteen additional records rate them somewhat compatible without reporting current use. This combination shows why perceived fit and implementation should remain distinct. Compatibility occurs beyond adoption, even though adoption is confined to compatible responses in this transcription.</w:t>
      </w:r>
    </w:p>
    <w:p>
      <w:pPr>
        <w:pageBreakBefore w:val="0"/>
      </w:pPr>
      <w:r>
        <w:t>The direction of the relationship is unresolved. A favourable view could encourage use; experience of use could inform the judgement; or the same underlying outlook could influence both answers. No sequence of decisions or observations separates these possibilities. The absence of neutral or incompatible ratings among users is also unusually sharp and should remain visible as a property of the supplied records, rather than be treated as independent corroboration of an adoption mechanism.</w:t>
      </w:r>
    </w:p>
    <w:p>
      <w:pPr>
        <w:pageBreakBefore w:val="0"/>
      </w:pPr>
      <w:r>
        <w:t>The consideration group adds useful complexity. Of 39 records considering tools, twelve rate practices compatible, eight are neutral or unsure, and nineteen rate them incompatible. Consideration therefore cannot be read as a completed judgement that practices fit. It may involve examining an option about which the respondent has reservations, but the questionnaire does not identify the particular tools or conditions under consideration.</w:t>
      </w:r>
    </w:p>
    <w:p>
      <w:pPr>
        <w:pageBreakBefore w:val="0"/>
      </w:pPr>
      <w:r>
        <w:t>These results support a more precise interpretation of readiness. Thinking about a practice, judging its fit, authorising it and sustaining its use are different matters. Only some of these are directly represented by the questionnaire. The discussion can identify their distinction without presenting a staged adoption model as an observed process. Research Question 3 is answered descriptively through reported practices; explanations of movement between adoption positions remain open.</w:t>
      </w:r>
    </w:p>
    <w:p>
      <w:bookmarkStart w:id="344" w:name="m344"/>
      <w:pPr>
        <w:pStyle w:val="Heading3"/>
        <w:pageBreakBefore w:val="0"/>
      </w:pPr>
      <w:r>
        <w:t>6.7.3 Leadership support and the meaning of authorisation</w:t>
      </w:r>
      <w:bookmarkEnd w:id="344"/>
    </w:p>
    <w:p>
      <w:pPr>
        <w:pageBreakBefore w:val="0"/>
      </w:pPr>
      <w:r>
        <w:t>Leadership is described as supportive in 81 records, mixed or divided in 31, and resistant or strongly opposed in 28. These are respondents’ accounts of leadership response, not independently verified decisions by governing bodies. A supportive description does not by itself establish that time, training or funding has been allocated. It supplies evidence about perceived receptiveness rather than the full organisational conditions of implementation.</w:t>
      </w:r>
    </w:p>
    <w:p>
      <w:pPr>
        <w:pageBreakBefore w:val="0"/>
      </w:pPr>
      <w:r>
        <w:t>All 81 supportive-leadership records occur among the 84 compatible records. The close correspondence could reflect a shared organisational orientation or related judgements made by the same person. It cannot establish that leadership support causes compatibility. Conversely, the three compatible records without supportive leadership show that perceived fit and reported leadership position are not entirely interchangeable.</w:t>
      </w:r>
    </w:p>
    <w:p>
      <w:pPr>
        <w:pageBreakBefore w:val="0"/>
      </w:pPr>
      <w:r>
        <w:t>The barrier item further complicates the relationship: 24 records describing supportive leadership also select leadership resistance as a barrier. These answers are retained because general support can coexist with resistance in another respect. Different initiatives, leaders or circumstances might account for the combination, but those explanations are not established. The pattern cautions against treating a broad description of support as evidence that every relevant decision will receive approval.</w:t>
      </w:r>
    </w:p>
    <w:p>
      <w:bookmarkStart w:id="345" w:name="m345"/>
      <w:pPr>
        <w:pStyle w:val="Heading2"/>
        <w:pageBreakBefore w:val="0"/>
      </w:pPr>
      <w:r>
        <w:t>6.8 Compatibility and Concerns About Spiritual Authenticity</w:t>
      </w:r>
      <w:bookmarkEnd w:id="345"/>
    </w:p>
    <w:p>
      <w:bookmarkStart w:id="346" w:name="m346"/>
      <w:pPr>
        <w:pStyle w:val="Heading3"/>
        <w:pageBreakBefore w:val="0"/>
      </w:pPr>
      <w:r>
        <w:t>6.8.1 Acceptance of fit alongside perceived risk</w:t>
      </w:r>
      <w:bookmarkEnd w:id="346"/>
    </w:p>
    <w:p>
      <w:pPr>
        <w:pageBreakBefore w:val="0"/>
      </w:pPr>
      <w:r>
        <w:t>Eighty-four staff or volunteer records describe practices as compatible, while 68 identify some or significant risk to spiritual authenticity. These totals describe different questions and cannot be combined to infer how many respondents hold both views. The within-record analysis supplies the relevant result: twelve compatible records also identify some or significant risk, comprising nine with some risk and three with significant risk.</w:t>
      </w:r>
    </w:p>
    <w:p>
      <w:pPr>
        <w:pageBreakBefore w:val="0"/>
      </w:pPr>
      <w:r>
        <w:t>This coexistence is relevant to conditional usefulness because it shows that a favourable judgement of fit need not remove reservations. Nevertheless, the staff items do not reproduce congregants’ written explanations. Compatibility alongside risk provides an analogous pattern of qualified judgement, not a second validated measure of the same construct. It does not reveal which practices are considered risky or the conditions under which a respondent would accept them.</w:t>
      </w:r>
    </w:p>
    <w:p>
      <w:pPr>
        <w:pageBreakBefore w:val="0"/>
      </w:pPr>
      <w:r>
        <w:t>The remainder of the compatible group comprises 47 minimal-risk or no-risk responses and 25 neutral or unsure responses. All 31 incompatible records and all 25 neutral or unsure compatibility records identify some or significant risk. This concentration indicates a strong descriptive alignment within the transcription. It cannot demonstrate that authenticity concern is the sole reason for incompatibility or uncertainty.</w:t>
      </w:r>
    </w:p>
    <w:p>
      <w:pPr>
        <w:pageBreakBefore w:val="0"/>
      </w:pPr>
      <w:r>
        <w:t>The 68 risk-identifying records represent 48.6% of the staff base. They form the largest combined risk group but not a majority. Their importance to the discussion lies in the question they raise about acceptable organisational practice, rather than in an exaggerated claim of consensus. A risk judgement is also different from evidence that harm has occurred. The study has no independent measure of diminished spiritual authenticity.</w:t>
      </w:r>
    </w:p>
    <w:p>
      <w:bookmarkStart w:id="347" w:name="m347"/>
      <w:pPr>
        <w:pStyle w:val="Heading3"/>
        <w:pageBreakBefore w:val="0"/>
      </w:pPr>
      <w:r>
        <w:t>6.8.2 Specific concerns and their different meanings</w:t>
      </w:r>
      <w:bookmarkEnd w:id="347"/>
    </w:p>
    <w:p>
      <w:pPr>
        <w:pageBreakBefore w:val="0"/>
      </w:pPr>
      <w:r>
        <w:t>The specific-concerns item uses a valid base of 116 after excluding 24 records that combine no significant concerns with substantive concerns. Among valid records, 57 identify commercialisation of ministry, 50 loss of spiritual focus, forty resistance to change and 29 layperson overreach or loss of control. These represent 49.1%, 43.1%, 34.5% and 25.0%, respectively. Multiple selections mean that the concerns can coexist within a record.</w:t>
      </w:r>
    </w:p>
    <w:p>
      <w:pPr>
        <w:pageBreakBefore w:val="0"/>
      </w:pPr>
      <w:r>
        <w:t>These categories should not be compressed into a single resistance score. Commercialisation concerns how ministry may be framed or conducted. Loss of spiritual focus concerns the priority of its purpose. Resistance to change and loss of control raise different organisational questions. Their separation matters because a practical response suited to one concern may not address another. More training, for example, would not necessarily answer an objection about the purpose of a proposed practice.</w:t>
      </w:r>
    </w:p>
    <w:p>
      <w:pPr>
        <w:pageBreakBefore w:val="0"/>
      </w:pPr>
      <w:r>
        <w:t>The comparison with Mulyanegara et al. (2010) remains useful at this point. Their Australian church study links market orientation with participation while cautioning against competitive uses of ministries. That distinction provides a contextual parallel for examining organisational responsiveness separately from commercial positioning. It does not establish the content of respondents’ concerns here or show that the two studies measure equivalent attitudes.</w:t>
      </w:r>
    </w:p>
    <w:p>
      <w:pPr>
        <w:pageBreakBefore w:val="0"/>
      </w:pPr>
      <w:r>
        <w:t>The exclusion rule also affects interpretation. A finding among 116 valid records cannot be reported as a percentage of all 140. The excluded answers remain part of unaffected analyses, including the risk item. Their removal resolves an internal conflict for the primary concerns table, but it does not authenticate the remaining answers or eliminate possible differences between included and excluded records. The raw comparison in Chapter 4 therefore remains relevant to the strength of any conclusion.</w:t>
      </w:r>
    </w:p>
    <w:p>
      <w:bookmarkStart w:id="348" w:name="m348"/>
      <w:pPr>
        <w:pStyle w:val="Heading3"/>
        <w:pageBreakBefore w:val="0"/>
      </w:pPr>
      <w:r>
        <w:t>6.8.3 Religious purpose and the limits of managerial judgement</w:t>
      </w:r>
      <w:bookmarkEnd w:id="348"/>
    </w:p>
    <w:p>
      <w:pPr>
        <w:pageBreakBefore w:val="0"/>
      </w:pPr>
      <w:r>
        <w:t>Taken together, compatibility and concern suggest that perceived organisational fit is not solely a technical question. A practice can be discussed in terms of its likely usefulness and also in terms of what it represents. This is an interpretation supported by the kinds of concerns selected and the qualifications in congregants’ reasons. It does not give the survey authority to decide whether a practice is theologically appropriate.</w:t>
      </w:r>
    </w:p>
    <w:p>
      <w:pPr>
        <w:pageBreakBefore w:val="0"/>
      </w:pPr>
      <w:r>
        <w:t>That boundary matters for the contribution of conditional usefulness. The interpretation can clarify the questions surrounding acceptance without resolving religious disagreements through a management framework. In particular, a majority favourable response would not, by itself, settle questions of purpose. The dissertation’s role is to describe expressed judgements and examine their relationships, while keeping practical assessment and theological authorisation distinct.</w:t>
      </w:r>
    </w:p>
    <w:p>
      <w:bookmarkStart w:id="349" w:name="m349"/>
      <w:pPr>
        <w:pStyle w:val="Heading2"/>
        <w:pageBreakBefore w:val="0"/>
      </w:pPr>
      <w:r>
        <w:t>6.9 Resource Barriers and Sustainable Service Improvement</w:t>
      </w:r>
      <w:bookmarkEnd w:id="349"/>
    </w:p>
    <w:p>
      <w:bookmarkStart w:id="350" w:name="m350"/>
      <w:pPr>
        <w:pStyle w:val="Heading3"/>
        <w:pageBreakBefore w:val="0"/>
      </w:pPr>
      <w:r>
        <w:t>6.9.1 Financial and human capacity</w:t>
      </w:r>
      <w:bookmarkEnd w:id="350"/>
    </w:p>
    <w:p>
      <w:pPr>
        <w:pageBreakBefore w:val="0"/>
      </w:pPr>
      <w:r>
        <w:t>Limited budget is selected in 85 staff records, volunteer fatigue in 77 and lack of training in 59. Budget and fatigue are the only barriers selected by more than half of the 140 records. Forty-four select both. Their coexistence establishes that financial and human-capacity concerns can appear together; it does not show that financial constraint causes fatigue or that additional funding would resolve it.</w:t>
      </w:r>
    </w:p>
    <w:p>
      <w:pPr>
        <w:pageBreakBefore w:val="0"/>
      </w:pPr>
      <w:r>
        <w:t>This distinction changes how the qualitative requests should inform recommendations. Congregants request warmer welcome, more pastoral contact, better coordination and follow-up. Those requests describe desired provision, but implementation would require someone to undertake the activity. The staff results introduce a separate reason to examine that requirement. Because the datasets are not linked by church, they cannot establish that a particular request would burden a particular volunteer team.</w:t>
      </w:r>
    </w:p>
    <w:p>
      <w:pPr>
        <w:pageBreakBefore w:val="0"/>
      </w:pPr>
      <w:r>
        <w:t>The combined discussion nevertheless exposes an important planning question: what resources would a proposed improvement require to continue operating? A practice that depends on repeated personal contact may have demands not visible in its initial introduction. This is an implication for assessment, not a measured account of workload. The questionnaire contains no time-use records, staffing ratios or cost estimates from which to calculate the requirement.</w:t>
      </w:r>
    </w:p>
    <w:p>
      <w:bookmarkStart w:id="351" w:name="m351"/>
      <w:pPr>
        <w:pStyle w:val="Heading3"/>
        <w:pageBreakBefore w:val="0"/>
      </w:pPr>
      <w:r>
        <w:t>6.9.2 Preparation and coordination as distinct responses</w:t>
      </w:r>
      <w:bookmarkEnd w:id="351"/>
    </w:p>
    <w:p>
      <w:pPr>
        <w:pageBreakBefore w:val="0"/>
      </w:pPr>
      <w:r>
        <w:t>The 59 training selections identify a reported constraint without specifying the type of preparation required. Chapter 5 gives possible areas of interest through requests for trained ushers, warm welcome and follow-through. Those separate findings justify examining preparation more closely, but they do not establish a single training deficit or validate a standard package as the solution.</w:t>
      </w:r>
    </w:p>
    <w:p>
      <w:pPr>
        <w:pageBreakBefore w:val="0"/>
      </w:pPr>
      <w:r>
        <w:t>Training and coordination should also remain distinct. Learning how to respond to an enquiry differs from knowing who is responsible for responding. A request for clearer volunteer roles points towards allocation of responsibility, while a request for warmer greeting concerns an encounter. These interpretations follow the supplied wording. They suggest different questions for local assessment rather than proving that either change would improve outcomes.</w:t>
      </w:r>
    </w:p>
    <w:p>
      <w:pPr>
        <w:pageBreakBefore w:val="0"/>
      </w:pPr>
      <w:r>
        <w:t>Hilton et al.’s (2020) attention to learning and organisational support provides a conceptual comparison for this distinction. The current study contributes the practical complication of reported capacity constraints in its church-related records. It supports asking how preparation can be proportionate to a defined task. It does not demonstrate that introducing a commercially derived role or programme is necessary, affordable or acceptable.</w:t>
      </w:r>
    </w:p>
    <w:p>
      <w:bookmarkStart w:id="352" w:name="m352"/>
      <w:pPr>
        <w:pStyle w:val="Heading3"/>
        <w:pageBreakBefore w:val="0"/>
      </w:pPr>
      <w:r>
        <w:t>6.9.3 Organisational activity and value experienced by recipients</w:t>
      </w:r>
      <w:bookmarkEnd w:id="352"/>
    </w:p>
    <w:p>
      <w:pPr>
        <w:pageBreakBefore w:val="0"/>
      </w:pPr>
      <w:r>
        <w:t>Prohl-Schwenke and Kleinaltenkamp (2021) examine how business customers judge suppliers’ customer success management activities and their perceived value. The study’s business-to-business setting differs from congregational life, but its recipient perspective provides a useful comparison. Reporting that an organisation undertakes an activity is not equivalent to establishing what those receiving it experience or value.</w:t>
      </w:r>
    </w:p>
    <w:p>
      <w:pPr>
        <w:pageBreakBefore w:val="0"/>
      </w:pPr>
      <w:r>
        <w:t>This distinction is material here because staff report tools and mechanisms while congregants report selected experiences and suggestions. Neither dataset supplies a complete evaluation of an intervention. A process may be reported without its results being measured; a positive experience may be reported without identifying the process that produced it. The discussion therefore retains organisational activity and recipient evaluation as separate evidential contributions.</w:t>
      </w:r>
    </w:p>
    <w:p>
      <w:pPr>
        <w:pageBreakBefore w:val="0"/>
      </w:pPr>
      <w:r>
        <w:t>The implication for future evaluation is to examine both. A proposed follow-up process could be assessed in terms of whether it is maintained and whether participants understand the responses they receive. These would be different criteria. They are offered as possibilities for later assessment, not as measures collected in this dissertation. Their connection to the findings lies in the simultaneous appearance of capacity concerns and requests for visible response.</w:t>
      </w:r>
    </w:p>
    <w:p>
      <w:bookmarkStart w:id="353" w:name="m353"/>
      <w:pPr>
        <w:pStyle w:val="Heading3"/>
        <w:pageBreakBefore w:val="0"/>
      </w:pPr>
      <w:r>
        <w:t>6.9.4 Integrating benefit purpose and feasibility</w:t>
      </w:r>
      <w:bookmarkEnd w:id="353"/>
    </w:p>
    <w:p>
      <w:pPr>
        <w:pageBreakBefore w:val="0"/>
      </w:pPr>
      <w:r>
        <w:t>The findings support distinguishing recognised benefit, perceived fit with religious purpose and practical feasibility. These considerations emerge from different parts of the evidence: congregants’ reasons, staff compatibility and concern items, and reported barriers. They should not be treated as a validated three-factor model. Their contribution is to clarify why an adoption percentage alone cannot provide a complete account of implementation.</w:t>
      </w:r>
    </w:p>
    <w:p>
      <w:pPr>
        <w:pageBreakBefore w:val="0"/>
      </w:pPr>
      <w:r>
        <w:t>A practice may be regarded as useful while its form remains contested. It may be acceptable in principle while resources are constrained. Alternatively, respondents may reject the broader business framing while still identifying an activity they would like improved. Each possibility is grounded in a type of combination found in the records, but the study does not establish their frequency as complete organisational scenarios.</w:t>
      </w:r>
    </w:p>
    <w:p>
      <w:pPr>
        <w:pageBreakBefore w:val="0"/>
      </w:pPr>
      <w:r>
        <w:t>This synthesis extends conditional usefulness without converting it into a promise that all reservations can be overcome. Expressed conditions may identify boundaries that remain decisive. Capacity constraints may also require modifying, postponing or declining a proposal. The academic contribution is to preserve those distinctions when interpreting service improvement, while Chapter 7 will develop proposals whose feasibility and effects still require local evaluation.</w:t>
      </w:r>
    </w:p>
    <w:p>
      <w:pPr>
        <w:pageBreakBefore w:val="0"/>
      </w:pPr>
      <w:r>
        <w:t>The following sections consider digital provision and emotional experience, then draws together the conceptual contribution, answers to the research questions and limitations of the discussion. This will connect the organisational perspective developed here with the remaining congregant findings, without assuming that reported tools or leadership attitudes explain individual experiences.</w:t>
      </w:r>
    </w:p>
    <w:p>
      <w:bookmarkStart w:id="354" w:name="m354"/>
      <w:pPr>
        <w:pStyle w:val="Heading2"/>
        <w:pageBreakBefore w:val="0"/>
      </w:pPr>
      <w:r>
        <w:t>6.10 Digital Provision and Emotional Experience</w:t>
      </w:r>
      <w:bookmarkEnd w:id="354"/>
    </w:p>
    <w:p>
      <w:bookmarkStart w:id="355" w:name="m355"/>
      <w:pPr>
        <w:pStyle w:val="Heading3"/>
        <w:pageBreakBefore w:val="0"/>
      </w:pPr>
      <w:r>
        <w:t>6.10.1 Digital effectiveness as a specific judgement</w:t>
      </w:r>
      <w:bookmarkEnd w:id="355"/>
    </w:p>
    <w:p>
      <w:pPr>
        <w:pageBreakBefore w:val="0"/>
      </w:pPr>
      <w:r>
        <w:t>Fifty-six congregant records agree or strongly agree with the digital-engagement effectiveness item, twenty are neutral and 24 disagree or strongly disagree. These responses establish a distribution of evaluations within the supplied records. They do not identify the platforms evaluated, frequency of use, technical accessibility or the extent to which digital provision supplements attendance. The favourable majority therefore supports attention to perceived effectiveness without establishing which digital activities produce it.</w:t>
      </w:r>
    </w:p>
    <w:p>
      <w:pPr>
        <w:pageBreakBefore w:val="0"/>
      </w:pPr>
      <w:r>
        <w:t>The written suggestions give the result more practical context. Requests include clearer electronic communication, better use of social media and online pastoral support. These activities serve different purposes: informing people, making activities visible and enabling contact. Combining them under digital provision is useful for organising the discussion, but evaluating them requires distinguishing their intended functions. A timely event notice and a response to a pastoral enquiry cannot be judged solely by the same measure of online activity.</w:t>
      </w:r>
    </w:p>
    <w:p>
      <w:pPr>
        <w:pageBreakBefore w:val="0"/>
      </w:pPr>
      <w:r>
        <w:t>Pew Research Center’s (2023) November 2022 survey provides a bounded comparison. It reports regular online or television participation among 27% of U.S. adults and a preference for in-person attendance among 76% of those regularly participating through both modes. These findings demonstrate that remote participation and preference for physical attendance can coexist. Their population, questions and sampling differ from the present study, so they cannot benchmark its effectiveness percentage or establish the geographical identity of its respondents.</w:t>
      </w:r>
    </w:p>
    <w:p>
      <w:pPr>
        <w:pageBreakBefore w:val="0"/>
      </w:pPr>
      <w:r>
        <w:t>The implication is to examine digital provision in relation to a specified purpose. Agreement with a broad effectiveness statement cannot establish that every function works well, while disagreement cannot identify the cause of difficulty. Further enquiry could distinguish information quality, ease of contact and opportunities for participation. Such differentiation would extend the current evidence rather than retrospectively convert its single item into several validated measures.</w:t>
      </w:r>
    </w:p>
    <w:p>
      <w:bookmarkStart w:id="356" w:name="m356"/>
      <w:pPr>
        <w:pStyle w:val="Heading3"/>
        <w:pageBreakBefore w:val="0"/>
      </w:pPr>
      <w:r>
        <w:t>6.10.2 Emotional experience without an inferred loyalty mechanism</w:t>
      </w:r>
      <w:bookmarkEnd w:id="356"/>
    </w:p>
    <w:p>
      <w:pPr>
        <w:pageBreakBefore w:val="0"/>
      </w:pPr>
      <w:r>
        <w:t>Sixty-five congregant records agree or strongly agree with the emotional-engagement item, eighteen are neutral and seventeen disagree or strongly disagree. This favourable distribution is relevant to the study’s relational concerns, but it does not measure retention, commitment over time or subsequent participation. Emotional experience must therefore remain a reported aspect of church experience rather than an established explanation of loyalty.</w:t>
      </w:r>
    </w:p>
    <w:p>
      <w:pPr>
        <w:pageBreakBefore w:val="0"/>
      </w:pPr>
      <w:r>
        <w:t>The qualitative requests for pastoral contact, warm welcome and opportunities to be heard provide plausible areas for exploring relational experience. However, their presence does not show that a particular practice created a particular emotional response. Respondents were not followed through an intervention, and the written answers do not provide detailed accounts of changes in feeling. The discussion can connect related topics while retaining that distinction between thematic relevance and demonstrated influence.</w:t>
      </w:r>
    </w:p>
    <w:p>
      <w:pPr>
        <w:pageBreakBefore w:val="0"/>
      </w:pPr>
      <w:r>
        <w:t>This boundary also matters normatively. A church may value care without making emotional satisfaction its sole criterion of ministry. The evidence records evaluations and requests; it does not decide how religious communities should balance comfort, challenge, worship and obligation. Conditional usefulness helps keep such questions visible because practical benefit is assessed alongside purpose. It cannot turn a favourable emotional response into proof that a practice is spiritually appropriate.</w:t>
      </w:r>
    </w:p>
    <w:p>
      <w:bookmarkStart w:id="357" w:name="m357"/>
      <w:pPr>
        <w:pStyle w:val="Heading3"/>
        <w:pageBreakBefore w:val="0"/>
      </w:pPr>
      <w:r>
        <w:t>6.10.3 Related evaluations and unresolved explanations</w:t>
      </w:r>
      <w:bookmarkEnd w:id="357"/>
    </w:p>
    <w:p>
      <w:pPr>
        <w:pageBreakBefore w:val="0"/>
      </w:pPr>
      <w:r>
        <w:t>The within-record comparison between digital effectiveness and feedback satisfaction shows a marked alignment. Among 56 favourable digital evaluations, 42 accompany positive feedback satisfaction and fourteen neutral satisfaction. Among 24 unfavourable digital evaluations, 22 accompany negative feedback satisfaction and two neutral satisfaction. The twenty neutral digital evaluations comprise thirteen positive, six neutral and one negative feedback-satisfaction response.</w:t>
      </w:r>
    </w:p>
    <w:p>
      <w:pPr>
        <w:pageBreakBefore w:val="0"/>
      </w:pPr>
      <w:r>
        <w:t>These combinations identify a descriptive pattern, but the items do not establish a digital feedback process. It would be unwarranted to conclude that online communication caused satisfaction with feedback. A broader evaluative outlook, differing experiences or properties of the transcription could contribute to the alignment. No temporal sequence or independent observation distinguishes those possibilities. Digital effectiveness and feedback satisfaction remain separate measures whose close correspondence warrants further examination.</w:t>
      </w:r>
    </w:p>
    <w:p>
      <w:bookmarkStart w:id="358" w:name="m358"/>
      <w:pPr>
        <w:pStyle w:val="Heading2"/>
        <w:pageBreakBefore w:val="0"/>
      </w:pPr>
      <w:r>
        <w:t>6.11 The Study’s Contribution</w:t>
      </w:r>
      <w:bookmarkEnd w:id="358"/>
    </w:p>
    <w:p>
      <w:bookmarkStart w:id="359" w:name="m359"/>
      <w:pPr>
        <w:pStyle w:val="Heading3"/>
        <w:pageBreakBefore w:val="0"/>
      </w:pPr>
      <w:r>
        <w:t>6.11.1 Conceptual contribution through conditional usefulness</w:t>
      </w:r>
      <w:bookmarkEnd w:id="359"/>
    </w:p>
    <w:p>
      <w:pPr>
        <w:pageBreakBefore w:val="0"/>
      </w:pPr>
      <w:r>
        <w:t>The principal conceptual contribution is an interpretation of acceptance that preserves qualification. Conditional usefulness describes recognition of a practice’s potential benefits alongside conditions concerning its form, purpose or limits. Its value lies in explaining why a simple division between support and opposition can obscure respondents’ reasoning. A person can favour clearer organisation while resisting corporate language, or oppose a business framing while requesting improvements to welcome or family provision.</w:t>
      </w:r>
    </w:p>
    <w:p>
      <w:pPr>
        <w:pageBreakBefore w:val="0"/>
      </w:pPr>
      <w:r>
        <w:t>The interpretation rests on both qualifying statements and combinations across answers. Nevertheless, the 39 reason entries assigned the selective-adoption code are not a prevalence estimate for the whole concept. Other codes capture practical benefit, spiritual purpose and commercialisation concerns, and these overlap. Conditional usefulness is the synthesis developed from those relationships; it was not administered as a scale or tested as a latent variable.</w:t>
      </w:r>
    </w:p>
    <w:p>
      <w:pPr>
        <w:pageBreakBefore w:val="0"/>
      </w:pPr>
      <w:r>
        <w:t>The analysis extends this interpretation by distinguishing usefulness, fit with religious purpose and feasibility. Each raises a different question. What would an activity enable? Under what conditions would its use be acceptable? What would be required to sustain it? Staff reports contribute evidence about compatibility and capacity, while congregants’ reasons articulate benefits and boundaries. The datasets cannot establish how these considerations interact within a particular church because they are not linked at that level.</w:t>
      </w:r>
    </w:p>
    <w:p>
      <w:pPr>
        <w:pageBreakBefore w:val="0"/>
      </w:pPr>
      <w:r>
        <w:t>The proposed contribution is consequently an analytical distinction, not a universal adoption theory. Earlier discussion of Mulyanegara et al. (2010) already establishes that organisational responsiveness and religious purpose are not new concerns. The present contribution is to specify how their relationship can be interpreted in these questionnaire records, including cases that complicate unqualified acceptance. Establishing broader originality or explanatory superiority would require more extensive theoretical comparison and independent empirical testing.</w:t>
      </w:r>
    </w:p>
    <w:p>
      <w:bookmarkStart w:id="360" w:name="m360"/>
      <w:pPr>
        <w:pStyle w:val="Heading3"/>
        <w:pageBreakBefore w:val="0"/>
      </w:pPr>
      <w:r>
        <w:t>6.11.2 Empirical contribution through differentiated evidence</w:t>
      </w:r>
      <w:bookmarkEnd w:id="360"/>
    </w:p>
    <w:p>
      <w:pPr>
        <w:pageBreakBefore w:val="0"/>
      </w:pPr>
      <w:r>
        <w:t>The empirical contribution is the documented relationship between service priorities, selected experiences, reported practices and expressed reservations in the supplied dataset. Importance ratings show what respondents prioritise; experience items show how they evaluate selected aspects of provision. Written answers add qualifications and practical suggestions. Keeping these measures separate prevents an importance ranking from becoming an unsupported claim about performance failure.</w:t>
      </w:r>
    </w:p>
    <w:p>
      <w:pPr>
        <w:pageBreakBefore w:val="0"/>
      </w:pPr>
      <w:r>
        <w:t>The evidence also complicates a deficit-only interpretation of improvement requests. Positive evaluations coexist with requests for change, while opposition to business-style adoption does not eliminate all practical suggestions. These combinations matter because they challenge the assumption that improvement requests necessarily express general dissatisfaction or that resistance to a management label means rejection of every associated activity. The findings support examining the content of a judgement rather than interpreting it solely through its category.</w:t>
      </w:r>
    </w:p>
    <w:p>
      <w:pPr>
        <w:pageBreakBefore w:val="0"/>
      </w:pPr>
      <w:r>
        <w:t>This contribution remains bounded by provenance. The study analyses a supplied transcription described by the researcher as derived from completed questionnaires. It does not independently authenticate the original responses. Detailed counting and transparent coding strengthen traceability within that material; they cannot establish representativeness or resolve unknowns about recruitment. The empirical value should therefore be presented as a carefully documented analysis of these records, with external applicability left for assessment.</w:t>
      </w:r>
    </w:p>
    <w:p>
      <w:bookmarkStart w:id="361" w:name="m361"/>
      <w:pPr>
        <w:pStyle w:val="Heading3"/>
        <w:pageBreakBefore w:val="0"/>
      </w:pPr>
      <w:r>
        <w:t>6.11.3 Practical contribution as a basis for evaluation</w:t>
      </w:r>
      <w:bookmarkEnd w:id="361"/>
    </w:p>
    <w:p>
      <w:pPr>
        <w:pageBreakBefore w:val="0"/>
      </w:pPr>
      <w:r>
        <w:t>The practical contribution is a disciplined basis for selecting and evaluating possible improvements. Welcome, clearer communication, pastoral contact, volunteer preparation and visible feedback response are supported as areas of expressed interest. Resource constraints and authenticity concerns identify additional questions that implementation should address. Together, these findings justify local investigation and proportionate proposals without demonstrating that a standard programme will succeed.</w:t>
      </w:r>
    </w:p>
    <w:p>
      <w:pPr>
        <w:pageBreakBefore w:val="0"/>
      </w:pPr>
      <w:r>
        <w:t>A recommendation should therefore state the problem it addresses, its intended benefit, who would undertake it and how its acceptability and effects could be reviewed. These are criteria developed from the discussion, not activities already completed. Chapter 7 will translate them into recommendations while distinguishing the study’s findings from proposed implementation arrangements. This preserves the usefulness of the research without attributing unmeasured outcomes to it.</w:t>
      </w:r>
    </w:p>
    <w:p>
      <w:bookmarkStart w:id="362" w:name="m362"/>
      <w:pPr>
        <w:pStyle w:val="Heading2"/>
        <w:pageBreakBefore w:val="0"/>
      </w:pPr>
      <w:r>
        <w:t>6.12 Synthesis Against the Research Questions</w:t>
      </w:r>
      <w:bookmarkEnd w:id="362"/>
    </w:p>
    <w:p>
      <w:bookmarkStart w:id="363" w:name="m363"/>
      <w:pPr>
        <w:pStyle w:val="Heading3"/>
        <w:pageBreakBefore w:val="0"/>
      </w:pPr>
      <w:r>
        <w:t>6.12.1 Service priorities and comparative interpretation</w:t>
      </w:r>
      <w:bookmarkEnd w:id="363"/>
    </w:p>
    <w:p>
      <w:pPr>
        <w:pageBreakBefore w:val="0"/>
      </w:pPr>
      <w:r>
        <w:t>For Research Question 1, welcome, feeling valued and communication receive particularly strong importance ratings, while the experience items display favourable majorities alongside neutral and negative evaluations. The answer is therefore differentiated by measure. It does not support a single overall service-quality score, and it cannot identify a gap between matched expectations and performance because the questionnaire does not supply that design.</w:t>
      </w:r>
    </w:p>
    <w:p>
      <w:pPr>
        <w:pageBreakBefore w:val="0"/>
      </w:pPr>
      <w:r>
        <w:t>For Research Question 2, the business-comparison item records respondents’ judgements, while the literature provides concepts for interpretation. Neither supplies an independently measured comparison between churches and hospitality organisations. The defensible conclusion concerns perceived comparison and the potential relevance of selected service ideas. Differences in religious purpose and study design limit how far findings from commercial or other nonprofit settings can be transferred.</w:t>
      </w:r>
    </w:p>
    <w:p>
      <w:bookmarkStart w:id="364" w:name="m364"/>
      <w:pPr>
        <w:pStyle w:val="Heading3"/>
        <w:pageBreakBefore w:val="0"/>
      </w:pPr>
      <w:r>
        <w:t>6.12.2 Organisational practices and qualified adoption</w:t>
      </w:r>
      <w:bookmarkEnd w:id="364"/>
    </w:p>
    <w:p>
      <w:pPr>
        <w:pageBreakBefore w:val="0"/>
      </w:pPr>
      <w:r>
        <w:t>Research Question 3 is answered through reported feedback collection, tools, monitoring and leadership response. These findings describe the presence or reported status of practices. They do not establish consistent implementation or effectiveness. Multiple feedback channels may exist without a demonstrated response process, and monitoring attendance cannot by itself explain whether people experience care or understand organisational decisions.</w:t>
      </w:r>
    </w:p>
    <w:p>
      <w:pPr>
        <w:pageBreakBefore w:val="0"/>
      </w:pPr>
      <w:r>
        <w:t>Research Question 4 concerns adoption and compatibility. The congregant findings combine support with qualifications, while staff responses show that perceived compatibility can coexist with spiritual risk. Conditional usefulness integrates these observations cautiously. The two questionnaires contribute different perspectives, rather than interchangeable measures, and no matched organisational analysis establishes that staff attitudes explain congregants’ judgements.</w:t>
      </w:r>
    </w:p>
    <w:p>
      <w:bookmarkStart w:id="365" w:name="m365"/>
      <w:pPr>
        <w:pStyle w:val="Heading3"/>
        <w:pageBreakBefore w:val="0"/>
      </w:pPr>
      <w:r>
        <w:t>6.12.3 Barriers and context-sensitive improvement</w:t>
      </w:r>
      <w:bookmarkEnd w:id="365"/>
    </w:p>
    <w:p>
      <w:pPr>
        <w:pageBreakBefore w:val="0"/>
      </w:pPr>
      <w:r>
        <w:t>Research Question 5 is addressed by the concerns and barriers reported by staff or volunteers. Religious-purpose concerns require consideration alongside budget, volunteer fatigue, training and leadership issues. These categories identify different possible constraints. The findings do not demonstrate that every objection can be overcome through resources or that every implementation difficulty expresses theological opposition.</w:t>
      </w:r>
    </w:p>
    <w:p>
      <w:pPr>
        <w:pageBreakBefore w:val="0"/>
      </w:pPr>
      <w:r>
        <w:t>For Research Question 6, the evidence supports proposals directed towards identifiable experiences and activities, with evaluation built into their introduction. It does not support promises of greater attendance, loyalty or spiritual benefit. An appropriate recommendation must remain open to modification or withdrawal if local assessment reveals unacceptable demands or conflict with purpose. This is the practical consequence of treating usefulness as conditional.</w:t>
      </w:r>
    </w:p>
    <w:p>
      <w:bookmarkStart w:id="366" w:name="m366"/>
      <w:pPr>
        <w:pStyle w:val="Heading2"/>
        <w:pageBreakBefore w:val="0"/>
      </w:pPr>
      <w:r>
        <w:t>6.13 Limitations of the Integrated Interpretation</w:t>
      </w:r>
      <w:bookmarkEnd w:id="366"/>
    </w:p>
    <w:p>
      <w:bookmarkStart w:id="367" w:name="m367"/>
      <w:pPr>
        <w:pStyle w:val="Heading3"/>
        <w:pageBreakBefore w:val="0"/>
      </w:pPr>
      <w:r>
        <w:t>6.13.1 Provenance and the boundaries of inference</w:t>
      </w:r>
      <w:bookmarkEnd w:id="367"/>
    </w:p>
    <w:p>
      <w:pPr>
        <w:pageBreakBefore w:val="0"/>
      </w:pPr>
      <w:r>
        <w:t>The analysis contains 100 congregant and 140 staff or volunteer records, but these totals do not independently establish 240 unique people or a verified set of churches. Recruitment, organisational clustering and population eligibility are insufficiently documented for representative claims. Denominational labels describe the records; they do not establish balanced coverage. The earlier ambition to study U.S. churches cannot substitute for verified location information.</w:t>
      </w:r>
    </w:p>
    <w:p>
      <w:pPr>
        <w:pageBreakBefore w:val="0"/>
      </w:pPr>
      <w:r>
        <w:t>The cross-sectional material also leaves causal order unresolved. Associations between evaluations may reflect related experiences, a general outlook or features of the supplied data. Particularly sharp patterns, including the concentration of adoption support by involvement category, require caution rather than stronger causal language. Without checking original questionnaires or collecting independent evidence, the discussion cannot determine why these combinations occur.</w:t>
      </w:r>
    </w:p>
    <w:p>
      <w:bookmarkStart w:id="368" w:name="m368"/>
      <w:pPr>
        <w:pStyle w:val="Heading3"/>
        <w:pageBreakBefore w:val="0"/>
      </w:pPr>
      <w:r>
        <w:t>6.13.2 Measurement and analytical limits</w:t>
      </w:r>
      <w:bookmarkEnd w:id="368"/>
    </w:p>
    <w:p>
      <w:pPr>
        <w:pageBreakBefore w:val="0"/>
      </w:pPr>
      <w:r>
        <w:t>Single items cannot establish comprehensive measures of emotional engagement, digital quality or spiritual authenticity. Importance items are not equivalent to a validated service-quality instrument. Item-level exclusions for conflicting concern and monitoring answers make the primary tables more interpretable, but the resulting denominators differ. They do not correct every possible ambiguity or justify treating the remaining records as independently verified.</w:t>
      </w:r>
    </w:p>
    <w:p>
      <w:pPr>
        <w:pageBreakBefore w:val="0"/>
      </w:pPr>
      <w:r>
        <w:t>The qualitative material adds interpretive detail but remains brief and repetitive. Three hundred non-empty entries include 278 substantive responses across three prompts, with only 51 distinct response strings. These are entries rather than 278 different participants. Repeated wording supports counts of its occurrence, not claims of independent narrative depth, saturation or agreement among separately interviewed participants. Coding offers an organised reading of the transcription, with the researcher responsible for reviewing AI-assisted interpretation.</w:t>
      </w:r>
    </w:p>
    <w:p>
      <w:bookmarkStart w:id="369" w:name="m369"/>
      <w:pPr>
        <w:pStyle w:val="Heading3"/>
        <w:pageBreakBefore w:val="0"/>
      </w:pPr>
      <w:r>
        <w:t>6.13.3 Literature and the status of the contribution</w:t>
      </w:r>
      <w:bookmarkEnd w:id="369"/>
    </w:p>
    <w:p>
      <w:pPr>
        <w:pageBreakBefore w:val="0"/>
      </w:pPr>
      <w:r>
        <w:t>The literature provides useful comparisons across commercial services, nonprofit organisations and religious settings, but those contexts are not equivalent. Some discussions rely on accessible abstracts or bibliographic records, with claims bounded accordingly. Full-text limitations restrict the depth of comparison with particular studies and should remain explicit when assessing the contribution. Correct references do not alone establish that every wider theoretical inference is supported.</w:t>
      </w:r>
    </w:p>
    <w:p>
      <w:pPr>
        <w:pageBreakBefore w:val="0"/>
      </w:pPr>
      <w:r>
        <w:t>These limitations determine the status of conditional usefulness. It is a reasoned interpretation that can guide further enquiry, not a validated explanatory model. Future research could examine specific practices over time, explore contrasting interpretations through fuller accounts and link organisational provision with recipient experience. Such work would test where the interpretation helps and where it requires revision.</w:t>
      </w:r>
    </w:p>
    <w:p>
      <w:bookmarkStart w:id="370" w:name="m370"/>
      <w:pPr>
        <w:pStyle w:val="Heading2"/>
        <w:pageBreakBefore w:val="0"/>
      </w:pPr>
      <w:r>
        <w:t>6.14 Chapter Conclusion</w:t>
      </w:r>
      <w:bookmarkEnd w:id="370"/>
    </w:p>
    <w:p>
      <w:pPr>
        <w:pageBreakBefore w:val="0"/>
      </w:pPr>
      <w:r>
        <w:t>This chapter has connected the questionnaire findings with relevant literature while preserving differences between priorities, experiences, reported practices and proposed outcomes. Its central argument is that recognition of practical benefit can coexist with conditions concerning religious purpose and organisational capacity. Positive experience does not remove the desire for improvement, and concern about business framing does not necessarily eliminate interest in clearer communication, care or coordination.</w:t>
      </w:r>
    </w:p>
    <w:p>
      <w:pPr>
        <w:pageBreakBefore w:val="0"/>
      </w:pPr>
      <w:r>
        <w:t>Conditional usefulness provides a way to interpret these combinations without reducing acceptance to a single favourable percentage. Its contribution is bounded by the supplied records and the measures available. Chapter 7 develops the resulting conclusions and recommendations, distinguishing empirical findings, conceptual interpretation and practical proposals. Recommendations will therefore address identifiable needs while making their feasibility, acceptability and effects matters for evaluation rather than assumptions of success.</w:t>
      </w:r>
    </w:p>
    <w:p>
      <w:bookmarkStart w:id="371" w:name="m371"/>
      <w:pPr>
        <w:pStyle w:val="Heading1"/>
        <w:pageBreakBefore/>
      </w:pPr>
      <w:r>
        <w:t>CHAPTER 7</w:t>
        <w:br/>
        <w:t>CONCLUSIONS AND RECOMMENDATIONS</w:t>
      </w:r>
      <w:bookmarkEnd w:id="371"/>
    </w:p>
    <w:p>
      <w:bookmarkStart w:id="372" w:name="m372"/>
      <w:pPr>
        <w:pStyle w:val="Heading2"/>
        <w:pageBreakBefore w:val="0"/>
      </w:pPr>
      <w:r>
        <w:t>7.1 Introduction</w:t>
      </w:r>
      <w:bookmarkEnd w:id="372"/>
    </w:p>
    <w:p>
      <w:bookmarkStart w:id="373" w:name="m373"/>
      <w:pPr>
        <w:pStyle w:val="Heading3"/>
        <w:pageBreakBefore w:val="0"/>
      </w:pPr>
      <w:r>
        <w:t>7.1.1 The central conclusion</w:t>
      </w:r>
      <w:bookmarkEnd w:id="373"/>
    </w:p>
    <w:p>
      <w:pPr>
        <w:pageBreakBefore w:val="0"/>
      </w:pPr>
      <w:r>
        <w:t>This study concludes that selected service-management practices warrant consideration as possible supports for church organisational life when their purpose, acceptability and practical demands are examined explicitly. Within the supplied questionnaire records, respondents identify welcome, recognition, communication and opportunities for improvement as meaningful concerns. Their answers also qualify the adoption of business-like practices through reference to spiritual purpose and commercialisation. Organisational improvement is therefore a matter of discerning particular practices and their conditions of use.</w:t>
      </w:r>
    </w:p>
    <w:p>
      <w:pPr>
        <w:pageBreakBefore w:val="0"/>
      </w:pPr>
      <w:r>
        <w:t>The interpretation of conditional usefulness developed in Chapter 6 expresses this relationship. Recognising a benefit does not necessarily entail accepting the language, assumptions or complete organisational model associated with it. Similarly, rejecting a business framing does not necessarily mean opposing warmer welcome, clearer information or stronger family provision. This distinction provides the basis for conclusions that preserve both practical interest and expressed reservations.</w:t>
      </w:r>
    </w:p>
    <w:p>
      <w:pPr>
        <w:pageBreakBefore w:val="0"/>
      </w:pPr>
      <w:r>
        <w:t>The findings do not establish that service-management interventions increase attendance, retention or spiritual growth. Those outcomes were not tested. The chapter consequently moves from documented priorities and evaluations towards recommendations for local consideration and assessment. It distinguishes what the records show, what the discussion interprets and what subsequent action could investigate. This separation is necessary if practical recommendations are to remain accountable to the evidence.</w:t>
      </w:r>
    </w:p>
    <w:p>
      <w:bookmarkStart w:id="374" w:name="m374"/>
      <w:pPr>
        <w:pStyle w:val="Heading3"/>
        <w:pageBreakBefore w:val="0"/>
      </w:pPr>
      <w:r>
        <w:t>7.1.2 Scope and organisation of the conclusions</w:t>
      </w:r>
      <w:bookmarkEnd w:id="374"/>
    </w:p>
    <w:p>
      <w:pPr>
        <w:pageBreakBefore w:val="0"/>
      </w:pPr>
      <w:r>
        <w:t>The empirical basis comprises 100 congregant records and 140 staff or volunteer records. Congregants’ three written-answer fields contain 300 non-empty entries, of which 278 are substantive responses. These totals describe records and entries rather than independently verified unique participants. The two questionnaire groups are not linked by church, so their perspectives can inform a combined discussion without establishing relationships within particular organisations.</w:t>
      </w:r>
    </w:p>
    <w:p>
      <w:pPr>
        <w:pageBreakBefore w:val="0"/>
      </w:pPr>
      <w:r>
        <w:t>The conclusions follow the six research questions and distinguish the study’s conceptual, empirical and practical contributions. Later sections develop recommendations, implementation and evaluation, followed by limitations and further research. Detailed findings remain in Chapters 4 and 5; this chapter selects evidence needed to explain what follows from them. Its purpose is to make the dissertation’s answer clear while preserving the scope established by the revised methodology.</w:t>
      </w:r>
    </w:p>
    <w:p>
      <w:bookmarkStart w:id="375" w:name="m375"/>
      <w:pPr>
        <w:pStyle w:val="Heading2"/>
        <w:pageBreakBefore w:val="0"/>
      </w:pPr>
      <w:r>
        <w:t>7.2 Conclusions in Relation to the Research Questions</w:t>
      </w:r>
      <w:bookmarkEnd w:id="375"/>
    </w:p>
    <w:p>
      <w:bookmarkStart w:id="376" w:name="m376"/>
      <w:pPr>
        <w:pStyle w:val="Heading3"/>
        <w:pageBreakBefore w:val="0"/>
      </w:pPr>
      <w:r>
        <w:t>7.2.1 Service priorities and reported experience</w:t>
      </w:r>
      <w:bookmarkEnd w:id="376"/>
    </w:p>
    <w:p>
      <w:pPr>
        <w:pageBreakBefore w:val="0"/>
      </w:pPr>
      <w:r>
        <w:t>Research Question 1 concerns the importance assigned to specified service attributes and reported aspects of church experience. Welcome receives the highest mean importance rating, 4.32 out of five, followed by feeling valued and recognised at 4.23 and communication at 4.10. Responsiveness, professionalism and facilities accessibility average 3.98, 3.92 and 3.80 respectively. These descriptive results identify relative emphasis among six supplied attributes, rather than an exhaustive account of what matters in church life.</w:t>
      </w:r>
    </w:p>
    <w:p>
      <w:pPr>
        <w:pageBreakBefore w:val="0"/>
      </w:pPr>
      <w:r>
        <w:t>The prominence of welcome and recognition supports attention to how people encounter organisational provision. Practical arrangements can be evaluated through their relationship to being received, obtaining information and accessing contact. Nevertheless, the ranking does not establish the effects of these attributes on participation, nor does it show that lower-ranked attributes are dispensable. A comparatively lower average for accessibility cannot determine the seriousness of a barrier for someone affected by it.</w:t>
      </w:r>
    </w:p>
    <w:p>
      <w:pPr>
        <w:pageBreakBefore w:val="0"/>
      </w:pPr>
      <w:r>
        <w:t>Experience items require a separate conclusion. Positive evaluations appear alongside neutral and negative responses concerning responsiveness, pastoral access, emotional engagement, digital effectiveness and feedback satisfaction. Importance cannot be subtracted from these differently framed items to calculate a service-quality gap. The defensible answer is that respondents express identifiable priorities and varied experiences; the questionnaire does not provide a validated overall performance measure.</w:t>
      </w:r>
    </w:p>
    <w:p>
      <w:pPr>
        <w:pageBreakBefore w:val="0"/>
      </w:pPr>
      <w:r>
        <w:t>Improvement requests also coexist with positive experience. All 55 records reporting satisfaction or strong satisfaction with feedback indicate that improvement is possible. This pattern does not reveal why those respondents want change, but it prevents improvement from being equated automatically with dissatisfaction. Recommendations should therefore examine the specific content of requests rather than assume that every request identifies a generally negative church experience.</w:t>
      </w:r>
    </w:p>
    <w:p>
      <w:bookmarkStart w:id="377" w:name="m377"/>
      <w:pPr>
        <w:pStyle w:val="Heading3"/>
        <w:pageBreakBefore w:val="0"/>
      </w:pPr>
      <w:r>
        <w:t>7.2.2 Business comparisons and the limits of sector transfer</w:t>
      </w:r>
      <w:bookmarkEnd w:id="377"/>
    </w:p>
    <w:p>
      <w:pPr>
        <w:pageBreakBefore w:val="0"/>
      </w:pPr>
      <w:r>
        <w:t>Research Question 2 concerns perceived comparisons with businesses and bounded interpretation through hospitality and nonprofit literature. Fifty-three congregant records rate church service better than businesses, 28 about the same and nineteen worse. These are respondent comparisons. The study did not obtain matched organisational performance data or apply a common independent measure across sectors, so the figures cannot establish sectoral superiority or inferiority.</w:t>
      </w:r>
    </w:p>
    <w:p>
      <w:pPr>
        <w:pageBreakBefore w:val="0"/>
      </w:pPr>
      <w:r>
        <w:t>The conclusion is that cross-sector ideas are useful for formulating questions about practice, provided their meaning is reconsidered in the religious setting. Communication, access and responsiveness can be examined without assuming that church participation has the same purposes as a commercial service encounter. The literature contributes interpretive resources; it does not supply missing observations or prove that a practice will transfer successfully.</w:t>
      </w:r>
    </w:p>
    <w:p>
      <w:pPr>
        <w:pageBreakBefore w:val="0"/>
      </w:pPr>
      <w:r>
        <w:t>This distinction changes the role of benchmarking in the dissertation. A comparison can prompt examination of how enquiries are answered or how information is made available. It cannot determine religious priorities through a commercial standard alone. The study supports selective investigation of organisational practices, with their appropriateness assessed alongside their intended practical function. It does not endorse copying an entire business model on the basis of favourable comparisons.</w:t>
      </w:r>
    </w:p>
    <w:p>
      <w:bookmarkStart w:id="378" w:name="m378"/>
      <w:pPr>
        <w:pStyle w:val="Heading3"/>
        <w:pageBreakBefore w:val="0"/>
      </w:pPr>
      <w:r>
        <w:t>7.2.3 Reported organisational practices</w:t>
      </w:r>
      <w:bookmarkEnd w:id="378"/>
    </w:p>
    <w:p>
      <w:pPr>
        <w:pageBreakBefore w:val="0"/>
      </w:pPr>
      <w:r>
        <w:t>Research Question 3 examines staff and volunteer reports of service-related practices. Verbal feedback appears in 98 records, suggestion boxes in 63, regular surveys in 56 and pastoral meetings or listening sessions in 35. Multiple selections are permitted, so these channels can coexist. Seventy records report current use of at least one business or nonprofit tool. These figures describe reported mechanisms and adoption status, rather than the number of distinct churches implementing them.</w:t>
      </w:r>
    </w:p>
    <w:p>
      <w:pPr>
        <w:pageBreakBefore w:val="0"/>
      </w:pPr>
      <w:r>
        <w:t>The principal conclusion is that reporting a practice and demonstrating its value are different evidential tasks. A channel for collecting views does not establish that contributors receive an explanation of subsequent decisions. Likewise, reporting a tool does not indicate how consistently it operates or how its recipients experience it. The questionnaire identifies organisational activity but does not independently evaluate its implementation.</w:t>
      </w:r>
    </w:p>
    <w:p>
      <w:pPr>
        <w:pageBreakBefore w:val="0"/>
      </w:pPr>
      <w:r>
        <w:t>Leadership and compatibility responses add context without resolving effectiveness. Supportive leadership appears in 81 records, all within the 84 records describing practices as compatible. However, 24 supportive-leadership records also identify leadership resistance as a barrier. These combinations are retained because general support and resistance in some respect need not be mutually exclusive. The evidence supports a more specific enquiry into authorisation and implementation; it does not establish the circumstances behind each combination.</w:t>
      </w:r>
    </w:p>
    <w:p>
      <w:bookmarkStart w:id="379" w:name="m379"/>
      <w:pPr>
        <w:pStyle w:val="Heading3"/>
        <w:pageBreakBefore w:val="0"/>
      </w:pPr>
      <w:r>
        <w:t>7.2.4 Adoption and compatibility as qualified judgements</w:t>
      </w:r>
      <w:bookmarkEnd w:id="379"/>
    </w:p>
    <w:p>
      <w:pPr>
        <w:pageBreakBefore w:val="0"/>
      </w:pPr>
      <w:r>
        <w:t>Research Question 4 concerns evaluations of adoption and compatibility, including qualifications in congregants’ written reasons. Sixty congregant records support adoption, fifteen are neutral or conditional, and 25 oppose it. The reason coding identifies practical benefit in 74 entries, spiritual-purpose protection in 49, commercialisation concerns in 41 and selective adoption in 39. These overlapping codes describe the content of answers and should not be substituted for the closed-question categories.</w:t>
      </w:r>
    </w:p>
    <w:p>
      <w:pPr>
        <w:pageBreakBefore w:val="0"/>
      </w:pPr>
      <w:r>
        <w:t>The central conclusion is that support and qualification can coexist. A practical benefit may be recognised while a respondent remains uncertain or opposed to the broader framing. Conversely, support may include concern about the conditions under which a practice is introduced. Conditional usefulness preserves these combinations and directs attention to what is being accepted, for what purpose and within which boundaries.</w:t>
      </w:r>
    </w:p>
    <w:p>
      <w:pPr>
        <w:pageBreakBefore w:val="0"/>
      </w:pPr>
      <w:r>
        <w:t>Staff responses supply a related but distinct observation. Twelve of the 84 compatible records also identify some or significant risk to spiritual authenticity. Compatibility therefore does not necessarily imply an absence of perceived risk. This overlap does not validate the same construct across both questionnaires, but it strengthens the case for keeping acceptance and reservation analytically separate. Neither questionnaire gives the study authority to decide theological appropriateness.</w:t>
      </w:r>
    </w:p>
    <w:p>
      <w:bookmarkStart w:id="380" w:name="m380"/>
      <w:pPr>
        <w:pStyle w:val="Heading3"/>
        <w:pageBreakBefore w:val="0"/>
      </w:pPr>
      <w:r>
        <w:t>7.2.5 Organisational barriers and concerns about purpose</w:t>
      </w:r>
      <w:bookmarkEnd w:id="380"/>
    </w:p>
    <w:p>
      <w:pPr>
        <w:pageBreakBefore w:val="0"/>
      </w:pPr>
      <w:r>
        <w:t>Research Question 5 concerns reported barriers and concerns relevant to improvement and adoption. Limited budget is selected in 85 staff or volunteer records, volunteer fatigue in 77 and lack of training in 59. Forty-four records identify both budget and fatigue. These results support examining financial and human capacity together, while leaving the direction and nature of any relationship unresolved.</w:t>
      </w:r>
    </w:p>
    <w:p>
      <w:pPr>
        <w:pageBreakBefore w:val="0"/>
      </w:pPr>
      <w:r>
        <w:t>The specific-concerns analysis uses 116 valid records after the documented item-level exclusions. Commercialisation is selected in 57 and loss of spiritual focus in fifty, representing 49.1% and 43.1% of that valid base. These concerns raise questions of purpose and meaning that differ from shortages of money or preparation. A proposal could address practical capacity while leaving an objection about religious purpose unanswered.</w:t>
      </w:r>
    </w:p>
    <w:p>
      <w:pPr>
        <w:pageBreakBefore w:val="0"/>
      </w:pPr>
      <w:r>
        <w:t>The conclusion is that implementation should be considered through several distinct questions rather than a single assumed obstacle. Reported training needs do not establish that training resolves opposition; favourable compatibility does not establish affordability. Because the questionnaires do not follow actual decisions over time, the study identifies considerations relevant to adoption rather than causal determinants or their relative effects.</w:t>
      </w:r>
    </w:p>
    <w:p>
      <w:bookmarkStart w:id="381" w:name="m381"/>
      <w:pPr>
        <w:pStyle w:val="Heading3"/>
        <w:pageBreakBefore w:val="0"/>
      </w:pPr>
      <w:r>
        <w:t>7.2.6 Improvements justified for local consideration</w:t>
      </w:r>
      <w:bookmarkEnd w:id="381"/>
    </w:p>
    <w:p>
      <w:pPr>
        <w:pageBreakBefore w:val="0"/>
      </w:pPr>
      <w:r>
        <w:t>Research Question 6 concerns context-sensitive improvements and their possible evaluation. Seventy-eight congregant records indicate scope for improvement. Written suggestions identify welcome, pastoral connection, volunteer preparation, communication, access and feedback among the areas of interest. In the final-practice field, feedback and visible response appear in 22 records, volunteer preparation or coordination in seventeen, and accessibility or linguistic inclusion and welcome or pastoral connection in fourteen each.</w:t>
      </w:r>
    </w:p>
    <w:p>
      <w:pPr>
        <w:pageBreakBefore w:val="0"/>
      </w:pPr>
      <w:r>
        <w:t>These findings justify considering focused changes with clearly stated purposes. They do not establish a proven intervention package or an order of expected effectiveness. Frequencies differ across prompts and cannot be added to count distinct people. Less frequent suggestions concerning particular needs also deserve consideration on their substance; frequency alone cannot determine either urgency or the consequences of inaction.</w:t>
      </w:r>
    </w:p>
    <w:p>
      <w:pPr>
        <w:pageBreakBefore w:val="0"/>
      </w:pPr>
      <w:r>
        <w:t>The practical answer is to assess a defined issue locally, identify a proportionate response and evaluate its operation and effects. Recommendations should specify their empirical basis and acknowledge where implementation details are proposed by the researcher. This approach permits useful action while retaining the possibility that a proposed practice should be adapted, delayed or declined after examining purpose and resources.</w:t>
      </w:r>
    </w:p>
    <w:p>
      <w:bookmarkStart w:id="382" w:name="m382"/>
      <w:pPr>
        <w:pStyle w:val="Heading2"/>
        <w:pageBreakBefore w:val="0"/>
      </w:pPr>
      <w:r>
        <w:t>7.3 Contributions of the Study</w:t>
      </w:r>
      <w:bookmarkEnd w:id="382"/>
    </w:p>
    <w:p>
      <w:bookmarkStart w:id="383" w:name="m383"/>
      <w:pPr>
        <w:pStyle w:val="Heading3"/>
        <w:pageBreakBefore w:val="0"/>
      </w:pPr>
      <w:r>
        <w:t>7.3.1 Theoretical contribution and its status</w:t>
      </w:r>
      <w:bookmarkEnd w:id="383"/>
    </w:p>
    <w:p>
      <w:pPr>
        <w:pageBreakBefore w:val="0"/>
      </w:pPr>
      <w:r>
        <w:t>The theoretical contribution is a contextual interpretation of qualified acceptance. Conditional usefulness makes explicit the distinction between recognising a potential benefit and endorsing its organisational framing or implementation. It connects the practical reasons respondents give with the boundaries they express. This provides a more discriminating reading of the corpus than treating every positive comment as unconditional support or every objection as opposition to improvement.</w:t>
      </w:r>
    </w:p>
    <w:p>
      <w:pPr>
        <w:pageBreakBefore w:val="0"/>
      </w:pPr>
      <w:r>
        <w:t>The concept also helps distinguish three questions developed in the discussion: usefulness, fit with religious purpose and feasibility. These considerations arise from different measures and groups, rather than from an administered three-factor instrument. They are offered as an analytical framework for enquiry. The study has not established their independence, tested their predictive relationships or shown that they exhaust the considerations involved in adoption.</w:t>
      </w:r>
    </w:p>
    <w:p>
      <w:pPr>
        <w:pageBreakBefore w:val="0"/>
      </w:pPr>
      <w:r>
        <w:t>Its contribution is therefore to conceptual clarification within this study, not to a validated general theory of church management. The literature already recognises relationships between organisational responsiveness and religious purpose. The dissertation’s distinctive emphasis lies in preserving the combinations found in its records and specifying what they allow the researcher to conclude. Broader claims of novelty or explanatory superiority require further theoretical comparison and independent evidence.</w:t>
      </w:r>
    </w:p>
    <w:p>
      <w:bookmarkStart w:id="384" w:name="m384"/>
      <w:pPr>
        <w:pStyle w:val="Heading3"/>
        <w:pageBreakBefore w:val="0"/>
      </w:pPr>
      <w:r>
        <w:t>7.3.2 Empirical contribution and traceability</w:t>
      </w:r>
      <w:bookmarkEnd w:id="384"/>
    </w:p>
    <w:p>
      <w:pPr>
        <w:pageBreakBefore w:val="0"/>
      </w:pPr>
      <w:r>
        <w:t>The empirical contribution is an organised account of selected priorities, evaluations, practices and reservations within the supplied records. Quantitative analysis describes distributions and bounded comparisons; qualitative coding preserves the content of reasons and suggestions. Their integration makes visible combinations that separate totals could conceal, including recognition of benefit alongside concern and improvement requests alongside favourable evaluations.</w:t>
      </w:r>
    </w:p>
    <w:p>
      <w:pPr>
        <w:pageBreakBefore w:val="0"/>
      </w:pPr>
      <w:r>
        <w:t>Traceability is part of the value of this account. The distinction between raw and valid denominators, retention of unaffected answers and separation of the three written prompts make the analysis inspectable. These decisions reduce ambiguity about what a reported number represents. They do not establish the authenticity of the transcription, correct unknown recruitment problems or convert the records into a representative sample.</w:t>
      </w:r>
    </w:p>
    <w:p>
      <w:pPr>
        <w:pageBreakBefore w:val="0"/>
      </w:pPr>
      <w:r>
        <w:t>The material consequently contributes evidence at a defined level. It can support discussion of patterns present in this corpus and identify questions for subsequent research. It cannot establish national prevalence, causal explanations or independently verified differences between churches. Presenting that boundary clearly allows the empirical contribution to be assessed on the analysis actually undertaken.</w:t>
      </w:r>
    </w:p>
    <w:p>
      <w:bookmarkStart w:id="385" w:name="m385"/>
      <w:pPr>
        <w:pStyle w:val="Heading3"/>
        <w:pageBreakBefore w:val="0"/>
      </w:pPr>
      <w:r>
        <w:t>7.3.3 Practical contribution and accountable recommendations</w:t>
      </w:r>
      <w:bookmarkEnd w:id="385"/>
    </w:p>
    <w:p>
      <w:pPr>
        <w:pageBreakBefore w:val="0"/>
      </w:pPr>
      <w:r>
        <w:t>The practical contribution is a basis for recommendations that connect a stated need with a proposed action and a means of review. The findings support attention to understandable communication, personal contact, volunteer roles and visible responses to feedback. Staff reports add reasons to assess workload, preparation and affordability before expanding provision. These perspectives inform planning without establishing conditions within the same church.</w:t>
      </w:r>
    </w:p>
    <w:p>
      <w:pPr>
        <w:pageBreakBefore w:val="0"/>
      </w:pPr>
      <w:r>
        <w:t>A useful recommendation should therefore remain accountable to both purpose and evidence. It should explain which finding motivates it, what it is intended to enable and what would count as a reason to reconsider it. This includes recognising that maintaining a practice may impose demands beyond its initial introduction. The study supplies grounds for asking these questions, although it does not quantify the required time or cost.</w:t>
      </w:r>
    </w:p>
    <w:p>
      <w:pPr>
        <w:pageBreakBefore w:val="0"/>
      </w:pPr>
      <w:r>
        <w:t>The next sections develop recommendations on this basis, beginning with listening and visible response, personal welcome and pastoral connection, and volunteer preparation and coordination. Subsequent implementation guidance will distinguish evidence of a functioning process from evidence of wider benefit. Local evaluation will remain necessary because no recommendation presented here has been tested as an intervention within this research.</w:t>
      </w:r>
    </w:p>
    <w:p>
      <w:bookmarkStart w:id="386" w:name="m386"/>
      <w:pPr>
        <w:pStyle w:val="Heading2"/>
        <w:pageBreakBefore w:val="0"/>
      </w:pPr>
      <w:r>
        <w:t>7.4 Recommendations Grounded in the Findings</w:t>
      </w:r>
      <w:bookmarkEnd w:id="386"/>
    </w:p>
    <w:p>
      <w:bookmarkStart w:id="387" w:name="m387"/>
      <w:pPr>
        <w:pStyle w:val="Heading3"/>
        <w:pageBreakBefore w:val="0"/>
      </w:pPr>
      <w:r>
        <w:t>7.4.1 From findings to proposals for local assessment</w:t>
      </w:r>
      <w:bookmarkEnd w:id="387"/>
    </w:p>
    <w:p>
      <w:pPr>
        <w:pageBreakBefore w:val="0"/>
      </w:pPr>
      <w:r>
        <w:t>The recommendations in this section concern listening, visible response, personal welcome, pastoral connection and volunteer preparation. Each addresses an area identified in the questionnaire material, while its operational details are proposals developed from the analysis. No arrangement described below was tested as an intervention. The appropriate starting point is therefore a local assessment of whether the identified concern exists, what provision already addresses it and what change would be feasible.</w:t>
      </w:r>
    </w:p>
    <w:p>
      <w:pPr>
        <w:pageBreakBefore w:val="0"/>
      </w:pPr>
      <w:r>
        <w:t>This distinction prevents the dissertation’s descriptive findings from becoming a universal prescription. The records do not identify which churches need a particular procedure, whether existing arrangements are adequate or how resources are distributed. Leadership considering a recommendation should explain the specific problem it intends to address. A general aspiration to improve service is insufficient if the proposed action has no clear relationship to an experience, task or expressed concern.</w:t>
      </w:r>
    </w:p>
    <w:p>
      <w:pPr>
        <w:pageBreakBefore w:val="0"/>
      </w:pPr>
      <w:r>
        <w:t>Conditional usefulness supplies a consistent basis for this assessment. Consider what the proposal would enable, whether its form respects religious purpose and whether those responsible can sustain it. These questions should remain open throughout implementation. A proposal may be useful in principle but require adaptation in its language, scale or allocation of work. Deciding not to introduce a practice can also be a reasoned outcome of the assessment.</w:t>
      </w:r>
    </w:p>
    <w:p>
      <w:bookmarkStart w:id="388" w:name="m388"/>
      <w:pPr>
        <w:pStyle w:val="Heading3"/>
        <w:pageBreakBefore w:val="0"/>
      </w:pPr>
      <w:r>
        <w:t>7.4.2 Establish a clear route from listening to response</w:t>
      </w:r>
      <w:bookmarkEnd w:id="388"/>
    </w:p>
    <w:p>
      <w:pPr>
        <w:pageBreakBefore w:val="0"/>
      </w:pPr>
      <w:r>
        <w:t>Listening and acting on feedback appear in ten improvement entries and 22 final-practice entries. These counts belong to separate prompts and should not be added as distinct participants. The final-practice wording includes both structured opportunities for feedback and explanations of action taken. Staff records, meanwhile, describe several collection mechanisms. Taken together, these findings justify examining what happens after an issue is raised, without assuming that any particular reported mechanism has failed.</w:t>
      </w:r>
    </w:p>
    <w:p>
      <w:pPr>
        <w:pageBreakBefore w:val="0"/>
      </w:pPr>
      <w:r>
        <w:t>The first recommendation is to define a simple route through which a suggestion can be received, considered and answered. An existing administrator, ministry coordinator or designated leader could oversee that route, according to local governance. The role is to keep responsibility visible, not necessarily to make every decision. Matters beyond that person’s authority should be passed to the appropriate decision-maker with an agreed means of reporting back.</w:t>
      </w:r>
    </w:p>
    <w:p>
      <w:pPr>
        <w:pageBreakBefore w:val="0"/>
      </w:pPr>
      <w:r>
        <w:t>A practical starting point would be to describe the route in language participants understand: where to raise an organisational issue, who initially receives it and how a response can be expected. Existing verbal and written channels could be retained where manageable. Introducing additional channels should depend on their usefulness and the capacity to maintain them. The number of channels is a poor substitute for knowing whether a concern reaches someone able to address it.</w:t>
      </w:r>
    </w:p>
    <w:p>
      <w:pPr>
        <w:pageBreakBefore w:val="0"/>
      </w:pPr>
      <w:r>
        <w:t>An acknowledgement should distinguish receipt from agreement. Contributors need to know that their suggestion has entered a process, but acknowledgement should not imply that implementation is promised. Where a decision requires discussion, the response can explain that stage and identify when further information is expected. The study establishes no universal response deadline; any local commitment should reflect the frequency of meetings and the time available to those responsible.</w:t>
      </w:r>
    </w:p>
    <w:p>
      <w:bookmarkStart w:id="389" w:name="m389"/>
      <w:pPr>
        <w:pStyle w:val="Heading3"/>
        <w:pageBreakBefore w:val="0"/>
      </w:pPr>
      <w:r>
        <w:t>7.4.3 Make decisions understandable and assess the response process</w:t>
      </w:r>
      <w:bookmarkEnd w:id="389"/>
    </w:p>
    <w:p>
      <w:pPr>
        <w:pageBreakBefore w:val="0"/>
      </w:pPr>
      <w:r>
        <w:t>The second recommendation is to make the outcome of consideration understandable to the contributor. A response could explain that a suggestion has been adopted, adapted, deferred or declined and give the relevant reason. Explaining a decision is part of the proposed process even when the preferred change cannot be made. The study does not demonstrate that explanation produces satisfaction, but the explicit requests for follow-up justify testing whether contributors find it useful.</w:t>
      </w:r>
    </w:p>
    <w:p>
      <w:pPr>
        <w:pageBreakBefore w:val="0"/>
      </w:pPr>
      <w:r>
        <w:t>Public updates may be appropriate for general organisational matters, such as changes to event information. Personal or pastoral matters require a different route. A general update should avoid revealing details that identify an individual concern unnecessarily. Contributors should also be able to indicate whether they want further contact. An anonymous suggestion can inform consideration, although an individual reply may be impossible; the process should make that limitation clear.</w:t>
      </w:r>
    </w:p>
    <w:p>
      <w:pPr>
        <w:pageBreakBefore w:val="0"/>
      </w:pPr>
      <w:r>
        <w:t>Evaluation should distinguish the operation of the process from the contributor’s experience of it. Operational questions include whether responsibility was assigned and whether a decision was communicated. Experience questions include whether the contributor understood the answer and knew what would happen next. Agreement with the decision is a separate issue. A respondent can understand a clearly explained refusal while remaining dissatisfied with its substance.</w:t>
      </w:r>
    </w:p>
    <w:p>
      <w:pPr>
        <w:pageBreakBefore w:val="0"/>
      </w:pPr>
      <w:r>
        <w:t>A small review of completed cases could identify missed handovers or recurring delays, using only the information needed for that purpose. Such a review would be a proposed local evaluation, not a new finding of this dissertation. A falling number of suggestions should not automatically be treated as improvement: the study provides no basis for deciding whether fewer submissions indicate fewer problems or greater difficulty speaking up. Interpretation requires direct enquiry into how the route is experienced.</w:t>
      </w:r>
    </w:p>
    <w:p>
      <w:bookmarkStart w:id="390" w:name="m390"/>
      <w:pPr>
        <w:pStyle w:val="Heading3"/>
        <w:pageBreakBefore w:val="0"/>
      </w:pPr>
      <w:r>
        <w:t>7.4.4 Strengthen personal welcome without imposing participation</w:t>
      </w:r>
      <w:bookmarkEnd w:id="390"/>
    </w:p>
    <w:p>
      <w:pPr>
        <w:pageBreakBefore w:val="0"/>
      </w:pPr>
      <w:r>
        <w:t>Welcome receives the highest mean importance rating among the six specified attributes. Personal welcome and pastoral connection also appear in twenty improvement entries, including requests concerning newcomers, greeters and contact after services. The combined category covers different encounters. A response should identify which encounter needs attention locally rather than treat every mention as evidence of the same shortcoming.</w:t>
      </w:r>
    </w:p>
    <w:p>
      <w:pPr>
        <w:pageBreakBefore w:val="0"/>
      </w:pPr>
      <w:r>
        <w:t>The recommendation is to clarify what an existing welcome role is intended to enable. It could help an unfamiliar visitor find the service, understand available activities or locate someone who can answer a question. Brief preparation should address accurate information and the means of obtaining assistance when a volunteer does not know the answer. These activities translate the requests into possible tasks; their usefulness should be assessed with those receiving and providing them.</w:t>
      </w:r>
    </w:p>
    <w:p>
      <w:pPr>
        <w:pageBreakBefore w:val="0"/>
      </w:pPr>
      <w:r>
        <w:t>Personal welcome should allow people to choose the degree of interaction they want. Offering assistance need not require a visitor to disclose personal information, explain their circumstances or agree to subsequent contact. This is a proposed design principle for the recommendation, rather than an attitude directly measured by the questionnaire. It recognises that a standardised welcome procedure should leave room for different preferences and circumstances.</w:t>
      </w:r>
    </w:p>
    <w:p>
      <w:pPr>
        <w:pageBreakBefore w:val="0"/>
      </w:pPr>
      <w:r>
        <w:t>Evaluation could ask whether visitors knew where to go, could obtain an answer and experienced the contact as appropriate. These questions would assess the intended encounter more directly than counting greetings alone. Returning attendance could be recorded in a separate, appropriately designed study, but it would not establish that welcome caused a person to return. The present recommendation does not promise an effect on retention or spiritual engagement.</w:t>
      </w:r>
    </w:p>
    <w:p>
      <w:bookmarkStart w:id="391" w:name="m391"/>
      <w:pPr>
        <w:pStyle w:val="Heading3"/>
        <w:pageBreakBefore w:val="0"/>
      </w:pPr>
      <w:r>
        <w:t>7.4.5 Make routes to pastoral connection clearer</w:t>
      </w:r>
      <w:bookmarkEnd w:id="391"/>
    </w:p>
    <w:p>
      <w:pPr>
        <w:pageBreakBefore w:val="0"/>
      </w:pPr>
      <w:r>
        <w:t>Requests for greater pastoral engagement after services identify an area for local enquiry. They do not establish that leaders were unavailable, that all requests required clergy involvement or that more contact would produce a measured emotional benefit. The pastoral-access item also includes both favourable and unfavourable evaluations. The recommendation should therefore concern the clarity and usability of access rather than presume a uniform failure of pastoral provision.</w:t>
      </w:r>
    </w:p>
    <w:p>
      <w:pPr>
        <w:pageBreakBefore w:val="0"/>
      </w:pPr>
      <w:r>
        <w:t>Leadership could review how a person requests contact, what options exist and how the request reaches the appropriate person. Where suitable, a short conversation after a service may help someone identify the next step. More private or extended matters may require a separate arrangement. The practical objective is to reduce uncertainty about seeking contact, while leaving the content and responsibilities of pastoral care within the church’s own arrangements.</w:t>
      </w:r>
    </w:p>
    <w:p>
      <w:pPr>
        <w:pageBreakBefore w:val="0"/>
      </w:pPr>
      <w:r>
        <w:t>A welcome volunteer’s task might be to explain the route or help make a connection, rather than assume responsibility for the pastoral matter. Preparation should make that boundary explicit. The same applies to administrative follow-up: confirming that a request reached the designated person is different from recording the substance of a private conversation. General service evaluation should not require unnecessary access to those details.</w:t>
      </w:r>
    </w:p>
    <w:p>
      <w:pPr>
        <w:pageBreakBefore w:val="0"/>
      </w:pPr>
      <w:r>
        <w:t>The church could assess whether people understand how to request contact and whether requests reach the intended person. Those providing contact should also be asked whether the arrangement creates manageable demands. A shorter waiting period might be useful for a specified purpose, but the dissertation supplies no universal standard. Availability, continuity and the appropriateness of contact need to be considered alongside any proposed timing measure.</w:t>
      </w:r>
    </w:p>
    <w:p>
      <w:bookmarkStart w:id="392" w:name="m392"/>
      <w:pPr>
        <w:pStyle w:val="Heading3"/>
        <w:pageBreakBefore w:val="0"/>
      </w:pPr>
      <w:r>
        <w:t>7.4.6 Prepare volunteers for defined tasks</w:t>
      </w:r>
      <w:bookmarkEnd w:id="392"/>
    </w:p>
    <w:p>
      <w:pPr>
        <w:pageBreakBefore w:val="0"/>
      </w:pPr>
      <w:r>
        <w:t>Volunteer training and coordination appear in thirteen improvement entries and seventeen final-practice entries. The staff questionnaire separately records lack of training in 59 responses. These findings justify examining preparation, although the unlinked datasets cannot establish that a staff-reported training barrier caused a particular congregant experience. They also do not identify a single training programme suitable for every role.</w:t>
      </w:r>
    </w:p>
    <w:p>
      <w:pPr>
        <w:pageBreakBefore w:val="0"/>
      </w:pPr>
      <w:r>
        <w:t>The recommendation is to begin with the task rather than a generic course. For a greeter, relevant preparation might concern welcoming someone, answering common questions and knowing where to obtain assistance. For someone receiving organisational suggestions, it might concern acknowledgement and referral. These examples follow the activities identified in the written responses. Their exact content and delivery would require local assessment of responsibilities and existing knowledge.</w:t>
      </w:r>
    </w:p>
    <w:p>
      <w:pPr>
        <w:pageBreakBefore w:val="0"/>
      </w:pPr>
      <w:r>
        <w:t>Preparation could use ordinary situations drawn from the role, followed by discussion of how the volunteer would respond. A brief opportunity to practise finding information or passing on an enquiry may reveal uncertainties that a written instruction leaves unresolved. This is an implementation proposal, not evidence that rehearsal is superior to other approaches. The evaluation should examine whether the chosen preparation helps volunteers perform the agreed task.</w:t>
      </w:r>
    </w:p>
    <w:p>
      <w:pPr>
        <w:pageBreakBefore w:val="0"/>
      </w:pPr>
      <w:r>
        <w:t>Completion of training should not be treated as proof of effective service. A volunteer may attend a session while remaining uncertain about an unusual request or a change in arrangements. Subsequent review should therefore allow questions and correction of outdated information. The intended outcome is usable preparation for a defined responsibility, with a clear route for obtaining support when that responsibility is exceeded.</w:t>
      </w:r>
    </w:p>
    <w:p>
      <w:bookmarkStart w:id="393" w:name="m393"/>
      <w:pPr>
        <w:pStyle w:val="Heading3"/>
        <w:pageBreakBefore w:val="0"/>
      </w:pPr>
      <w:r>
        <w:t>7.4.7 Coordinate roles and handovers</w:t>
      </w:r>
      <w:bookmarkEnd w:id="393"/>
    </w:p>
    <w:p>
      <w:pPr>
        <w:pageBreakBefore w:val="0"/>
      </w:pPr>
      <w:r>
        <w:t>Preparation addresses how a task is performed; coordination addresses who performs it and how related tasks connect. Written requests for clearer roles and better organisation warrant attention to both. Providing additional instruction may have limited value if an enquiry is repeatedly passed between people or everyone assumes that someone else will respond. These are possible implementation problems to investigate, not incidents established by the survey.</w:t>
      </w:r>
    </w:p>
    <w:p>
      <w:pPr>
        <w:pageBreakBefore w:val="0"/>
      </w:pPr>
      <w:r>
        <w:t>An existing coordinator could agree the boundaries of each relevant role and identify the point at which responsibility passes to another person. The arrangement should be simple enough to use during ordinary activity. For example, a volunteer who cannot answer an enquiry should know where to direct it and whether further acknowledgement is needed. The appropriate process depends on the type of enquiry and should avoid promising follow-up that no one has accepted responsibility for providing.</w:t>
      </w:r>
    </w:p>
    <w:p>
      <w:pPr>
        <w:pageBreakBefore w:val="0"/>
      </w:pPr>
      <w:r>
        <w:t>A handover review could ask whether the receiving person understood the request and whether the original task was completed or appropriately transferred. This offers a more specific question than whether coordination is generally good. It also permits the church to identify whether the difficulty concerns missing information, unclear authority or insufficient capacity. The present research does not establish the relative frequency of those explanations.</w:t>
      </w:r>
    </w:p>
    <w:p>
      <w:bookmarkStart w:id="394" w:name="m394"/>
      <w:pPr>
        <w:pStyle w:val="Heading3"/>
        <w:pageBreakBefore w:val="0"/>
      </w:pPr>
      <w:r>
        <w:t>7.4.8 Assess workload before extending responsibilities</w:t>
      </w:r>
      <w:bookmarkEnd w:id="394"/>
    </w:p>
    <w:p>
      <w:pPr>
        <w:pageBreakBefore w:val="0"/>
      </w:pPr>
      <w:r>
        <w:t>Volunteer fatigue is selected in 77 staff records and limited budget in 85, with 44 selecting both. These findings make workload and affordability relevant to the recommendations. A new response procedure or more extensive welcome role involves continuing work, even if no new software or paid position is required. The study contains no time-use or cost data from which to calculate those demands.</w:t>
      </w:r>
    </w:p>
    <w:p>
      <w:pPr>
        <w:pageBreakBefore w:val="0"/>
      </w:pPr>
      <w:r>
        <w:t>Before expanding a role, those responsible should describe the additional tasks and discuss who can undertake them. This assessment could identify whether an existing activity needs to be simplified, shared or discontinued. A proposal should not assume that an already supportive volunteer will absorb every new responsibility. Agreement about the work should include a way to report when the arrangement becomes difficult to sustain.</w:t>
      </w:r>
    </w:p>
    <w:p>
      <w:pPr>
        <w:pageBreakBefore w:val="0"/>
      </w:pPr>
      <w:r>
        <w:t>Initial use could be limited to one existing activity or team where that is appropriate. The purpose would be to learn about practical demands before wider introduction. Review should consider both recipients’ experience and volunteers’ accounts of the work involved. The study does not establish an optimal trial duration or staffing ratio, so these should be agreed locally rather than presented as research findings.</w:t>
      </w:r>
    </w:p>
    <w:p>
      <w:bookmarkStart w:id="395" w:name="m395"/>
      <w:pPr>
        <w:pStyle w:val="Heading3"/>
        <w:pageBreakBefore w:val="0"/>
      </w:pPr>
      <w:r>
        <w:t>7.4.9 Use evaluation to revise the recommendations</w:t>
      </w:r>
      <w:bookmarkEnd w:id="395"/>
    </w:p>
    <w:p>
      <w:pPr>
        <w:pageBreakBefore w:val="0"/>
      </w:pPr>
      <w:r>
        <w:t>These recommendations require evaluation at several distinct levels. A process may operate as described without being useful to its intended recipients. Recipients may appreciate it while the workload proves unsustainable. Participants may also disagree about whether its language or form fits the church’s purpose. Each result would raise a different question for revision, and a single satisfaction percentage would conceal those distinctions.</w:t>
      </w:r>
    </w:p>
    <w:p>
      <w:pPr>
        <w:pageBreakBefore w:val="0"/>
      </w:pPr>
      <w:r>
        <w:t>The local review should therefore ask what was implemented, what people experienced and what demands arose. It should also provide space for objections about purpose. Feedback from those delivering the activity and those receiving it should be considered together without assuming that one perspective explains the other. Where experiences differ, further clarification is more informative than averaging them into a general judgement of success.</w:t>
      </w:r>
    </w:p>
    <w:p>
      <w:pPr>
        <w:pageBreakBefore w:val="0"/>
      </w:pPr>
      <w:r>
        <w:t>Continuation should depend on the review rather than on the mere fact that effort has already been invested. An activity could be simplified, its responsibilities reassigned or its scope reduced. It could also be discontinued where the intended benefit is unclear or its demands are unacceptable. These are proposed decision options, not evidence that any option has already produced better outcomes in the participating records.</w:t>
      </w:r>
    </w:p>
    <w:p>
      <w:pPr>
        <w:pageBreakBefore w:val="0"/>
      </w:pPr>
      <w:r>
        <w:t>The following section extends the recommendations to communication, accessibility, digital provision and other areas of participation identified in the written material. It will retain the same distinction between the empirical basis for considering an improvement and the operational arrangements that require local assessment. Together, these recommendations will inform the later discussion of implementation, wider evaluation and future research.</w:t>
      </w:r>
    </w:p>
    <w:p>
      <w:bookmarkStart w:id="396" w:name="m396"/>
      <w:pPr>
        <w:pStyle w:val="Heading2"/>
        <w:pageBreakBefore w:val="0"/>
      </w:pPr>
      <w:r>
        <w:t>7.5 Communication, Accessibility and Wider Participation</w:t>
      </w:r>
      <w:bookmarkEnd w:id="396"/>
    </w:p>
    <w:p>
      <w:bookmarkStart w:id="397" w:name="m397"/>
      <w:pPr>
        <w:pStyle w:val="Heading3"/>
        <w:pageBreakBefore w:val="0"/>
      </w:pPr>
      <w:r>
        <w:t>7.5.1 Define the participation need before selecting a response</w:t>
      </w:r>
      <w:bookmarkEnd w:id="397"/>
    </w:p>
    <w:p>
      <w:pPr>
        <w:pageBreakBefore w:val="0"/>
      </w:pPr>
      <w:r>
        <w:t>The remaining qualitative themes extend the recommendations beyond individual encounters to information, access and opportunities for participation. They include digital communication, facilities and language, family activities, fundraising appeals, worship and outreach. These subjects require different decisions and forms of expertise. Their appearance in the same questionnaire does not make them components of a single intervention or establish that all should receive equal resources.</w:t>
      </w:r>
    </w:p>
    <w:p>
      <w:pPr>
        <w:pageBreakBefore w:val="0"/>
      </w:pPr>
      <w:r>
        <w:t>The recommendation is to begin each local assessment with a defined participation need. A request for information may concern finding an activity, while a request for translation concerns understanding what takes place. A proposal for family provision may involve opportunities for children, parents or both. Clarifying these differences helps leadership identify the relevant decision, those affected and the arrangements that already exist.</w:t>
      </w:r>
    </w:p>
    <w:p>
      <w:pPr>
        <w:pageBreakBefore w:val="0"/>
      </w:pPr>
      <w:r>
        <w:t>The findings justify asking these questions, but they do not identify the precise circumstances of each request. The short written entries lack detailed accounts of costs, previous attempts or competing preferences. Local consultation is therefore needed before selecting a response. Its purpose should be to establish what participants mean and what can reasonably be provided, rather than seek endorsement for a solution already chosen.</w:t>
      </w:r>
    </w:p>
    <w:p>
      <w:bookmarkStart w:id="398" w:name="m398"/>
      <w:pPr>
        <w:pStyle w:val="Heading3"/>
        <w:pageBreakBefore w:val="0"/>
      </w:pPr>
      <w:r>
        <w:t>7.5.2 Make organisational information clear and consistent</w:t>
      </w:r>
      <w:bookmarkEnd w:id="398"/>
    </w:p>
    <w:p>
      <w:pPr>
        <w:pageBreakBefore w:val="0"/>
      </w:pPr>
      <w:r>
        <w:t>Communication appears in twelve improvement entries and ten final-practice entries. The wording covers information about activities and support, electronic updates, social media and online pastoral contact. These counts belong to separate prompts and include different functions. They support reviewing how information reaches people, without establishing that one channel or communication style is universally preferred.</w:t>
      </w:r>
    </w:p>
    <w:p>
      <w:pPr>
        <w:pageBreakBefore w:val="0"/>
      </w:pPr>
      <w:r>
        <w:t>An existing communication coordinator or appropriate ministry lead could review a small set of routinely needed information. Examples include the location and timing of activities, whom to contact and how to learn about changes. The proposed review should examine whether the information is current and understandable to someone unfamiliar with the organisation. It should also identify who is responsible for correcting it when arrangements change.</w:t>
      </w:r>
    </w:p>
    <w:p>
      <w:pPr>
        <w:pageBreakBefore w:val="0"/>
      </w:pPr>
      <w:r>
        <w:t>Consistency requires attention to the information itself as well as its distribution. A printed notice and an online announcement may both exist but require updating when an event changes. A locally agreed source for the current details could help those preparing different notices work from the same information. This is a proposed arrangement for assessment, not a demonstrated solution to inconsistencies observed by the study.</w:t>
      </w:r>
    </w:p>
    <w:p>
      <w:pPr>
        <w:pageBreakBefore w:val="0"/>
      </w:pPr>
      <w:r>
        <w:t>Evaluation could ask whether people can find the information they need and whether enquiries repeatedly concern details that are absent or unclear. Publication frequency alone would not answer these questions. More messages may add work without resolving uncertainty. The intended benefit is usable information for a defined purpose, with the delivery method adjusted to the people who need it.</w:t>
      </w:r>
    </w:p>
    <w:p>
      <w:bookmarkStart w:id="399" w:name="m399"/>
      <w:pPr>
        <w:pStyle w:val="Heading3"/>
        <w:pageBreakBefore w:val="0"/>
      </w:pPr>
      <w:r>
        <w:t>7.5.3 Evaluate digital provision by the task it enables</w:t>
      </w:r>
      <w:bookmarkEnd w:id="399"/>
    </w:p>
    <w:p>
      <w:pPr>
        <w:pageBreakBefore w:val="0"/>
      </w:pPr>
      <w:r>
        <w:t>Fifty-six congregant records agree with the digital-effectiveness item, twenty are neutral and 24 disagree. The item does not identify the platforms used or explain the evaluations. Written requests for better digital communication add areas for consideration, but they cannot establish whether the difficulty concerns access, content, responsiveness or another feature. A recommendation to purchase a particular platform would therefore exceed the evidence.</w:t>
      </w:r>
    </w:p>
    <w:p>
      <w:pPr>
        <w:pageBreakBefore w:val="0"/>
      </w:pPr>
      <w:r>
        <w:t>The proposed starting point is to state the purpose of each existing digital activity. Sharing event details, enabling someone to follow a service and receiving a request for contact are different tasks. Those responsible could then ask whether people can perform the intended task and where difficulties arise. A small review involving users with differing levels of familiarity could provide more specific information than a general question about whether technology is effective.</w:t>
      </w:r>
    </w:p>
    <w:p>
      <w:pPr>
        <w:pageBreakBefore w:val="0"/>
      </w:pPr>
      <w:r>
        <w:t>For an event-information channel, evaluation might concern locating current details. For a contact channel, it might concern whether a message reaches the intended recipient and whether the next step is clear. These examples are prospective evaluation questions, not measures administered in this dissertation. Their value would depend on whether they accurately represent the local task and are understandable to those asked.</w:t>
      </w:r>
    </w:p>
    <w:p>
      <w:pPr>
        <w:pageBreakBefore w:val="0"/>
      </w:pPr>
      <w:r>
        <w:t>Online activity counts should remain separate from claims about belonging or spiritual benefit. A view or message can describe an interaction without establishing its meaning. The study also provides no basis for replacing in-person provision with digital activity. Suitable alternatives should be considered where the chosen channel does not serve those who need the information or contact. Maintaining alternatives has resource implications that should be assessed alongside the digital proposal.</w:t>
      </w:r>
    </w:p>
    <w:p>
      <w:bookmarkStart w:id="400" w:name="m400"/>
      <w:pPr>
        <w:pStyle w:val="Heading3"/>
        <w:pageBreakBefore w:val="0"/>
      </w:pPr>
      <w:r>
        <w:t>7.5.4 Investigate physical access through specific experiences</w:t>
      </w:r>
      <w:bookmarkEnd w:id="400"/>
    </w:p>
    <w:p>
      <w:pPr>
        <w:pageBreakBefore w:val="0"/>
      </w:pPr>
      <w:r>
        <w:t>Accessibility and linguistic inclusion appear together in seven improvement entries and fourteen final-practice entries. The combined code groups related concerns about participation, but the underlying requests distinguish facilities access from language provision. In the improvement field, five entries mention parking and accessibility for older members and two mention bilingual services or translation. These details warrant distinct local enquiries rather than a single general accessibility initiative.</w:t>
      </w:r>
    </w:p>
    <w:p>
      <w:pPr>
        <w:pageBreakBefore w:val="0"/>
      </w:pPr>
      <w:r>
        <w:t>For physical access, those responsible for facilities could invite people experiencing difficulty to describe the particular task or route involved. The initial enquiry might concern finding an entrance, moving between relevant areas or obtaining assistance. These are examples of questions that could clarify a request; the questionnaire itself does not establish defects in any particular building. Technical alterations would require an appropriate local assessment beyond the scope of this research.</w:t>
      </w:r>
    </w:p>
    <w:p>
      <w:pPr>
        <w:pageBreakBefore w:val="0"/>
      </w:pPr>
      <w:r>
        <w:t>The comparatively lower mean importance rating for facilities accessibility should not be used to dismiss individual difficulties. An average describes the distribution of the supplied ratings, while the effect of a barrier depends on the person and situation. Prioritisation should therefore consider the seriousness and practical consequences of the difficulty as well as how often it is mentioned.</w:t>
      </w:r>
    </w:p>
    <w:p>
      <w:pPr>
        <w:pageBreakBefore w:val="0"/>
      </w:pPr>
      <w:r>
        <w:t>Evaluation should return to the task identified at the outset. An alteration or revised arrangement should be assessed by whether it addresses the reported difficulty, with further feedback from those affected. Counting completed changes would document activity but would not establish improved access. Where a proposed response cannot yet be implemented, leadership could explain the constraint and investigate an appropriate interim arrangement without presenting it as an equivalent solution.</w:t>
      </w:r>
    </w:p>
    <w:p>
      <w:bookmarkStart w:id="401" w:name="m401"/>
      <w:pPr>
        <w:pStyle w:val="Heading3"/>
        <w:pageBreakBefore w:val="0"/>
      </w:pPr>
      <w:r>
        <w:t>7.5.5 Clarify language needs and the scope of provision</w:t>
      </w:r>
      <w:bookmarkEnd w:id="401"/>
    </w:p>
    <w:p>
      <w:pPr>
        <w:pageBreakBefore w:val="0"/>
      </w:pPr>
      <w:r>
        <w:t>The language-related requests identify an interest in bilingual services or translation, including a final-practice statement concerning immigrant families. They do not establish respondents’ own immigration status, preferred languages or the number of people requiring assistance. These demographic and practical details should not be inferred from the wording. The recommendation is to clarify the actual communication need before deciding what language provision to introduce.</w:t>
      </w:r>
    </w:p>
    <w:p>
      <w:pPr>
        <w:pageBreakBefore w:val="0"/>
      </w:pPr>
      <w:r>
        <w:t>Local enquiry could distinguish understanding routine information from following worship or requesting pastoral contact. Each may require a different arrangement and level of preparation. Someone able to assist with a simple announcement should not automatically be assigned responsibility for sensitive or complex communication. The appropriate scope should be agreed with those seeking assistance and those able to provide it.</w:t>
      </w:r>
    </w:p>
    <w:p>
      <w:pPr>
        <w:pageBreakBefore w:val="0"/>
      </w:pPr>
      <w:r>
        <w:t>A limited proposal could begin with a clearly identified activity or set of information, followed by a review of whether the intended audience found it understandable. Availability alone is insufficient if people do not know the assistance exists or cannot use it when needed. The study does not establish an optimal language mix, staffing arrangement or translation method; these remain matters for informed local assessment.</w:t>
      </w:r>
    </w:p>
    <w:p>
      <w:bookmarkStart w:id="402" w:name="m402"/>
      <w:pPr>
        <w:pStyle w:val="Heading3"/>
        <w:pageBreakBefore w:val="0"/>
      </w:pPr>
      <w:r>
        <w:t>7.5.6 Assess family provision through distinct needs</w:t>
      </w:r>
      <w:bookmarkEnd w:id="402"/>
    </w:p>
    <w:p>
      <w:pPr>
        <w:pageBreakBefore w:val="0"/>
      </w:pPr>
      <w:r>
        <w:t>Family provision appears in twelve improvement entries and twelve final-practice entries. The improvement wording includes small groups, childcare or youth activities, and combined requests for engaging services and programmes for younger families. Identical totals across prompts do not establish identical respondents or needs. The recommendations should preserve the differences between activities rather than treat family provision as one programme with a single objective.</w:t>
      </w:r>
    </w:p>
    <w:p>
      <w:pPr>
        <w:pageBreakBefore w:val="0"/>
      </w:pPr>
      <w:r>
        <w:t>An appropriate ministry lead could begin by identifying which group seeks which opportunity and what existing provision already offers. For small groups, questions might concern the purpose of meeting and practical opportunities to participate. For activities involving children or teenagers, the assessment would require the church’s established arrangements for appropriately supervised provision. The dissertation does not specify those arrangements or verify their adequacy in the settings represented by the records.</w:t>
      </w:r>
    </w:p>
    <w:p>
      <w:pPr>
        <w:pageBreakBefore w:val="0"/>
      </w:pPr>
      <w:r>
        <w:t>Planning should address who would prepare and maintain the activity before commitments are made. A request for an additional programme does not demonstrate that volunteers, space or funding are available. This is particularly relevant alongside the separately reported capacity barriers. The unlinked datasets cannot prove a local shortage, but they justify making resources an explicit part of the assessment.</w:t>
      </w:r>
    </w:p>
    <w:p>
      <w:pPr>
        <w:pageBreakBefore w:val="0"/>
      </w:pPr>
      <w:r>
        <w:t>Evaluation could examine whether the intended participants can use the provision, whether its purpose is understood and whether those delivering it can sustain the responsibilities. Attendance provides one description of use, not a complete account of its value. Non-participation may require further enquiry rather than an assumption of disinterest. The recommendation remains a proposal to investigate and respond to a defined need, without promising improved retention or family wellbeing.</w:t>
      </w:r>
    </w:p>
    <w:p>
      <w:bookmarkStart w:id="403" w:name="m403"/>
      <w:pPr>
        <w:pStyle w:val="Heading3"/>
        <w:pageBreakBefore w:val="0"/>
      </w:pPr>
      <w:r>
        <w:t>7.5.7 Consider fundraising concerns as questions of experience and purpose</w:t>
      </w:r>
      <w:bookmarkEnd w:id="403"/>
    </w:p>
    <w:p>
      <w:pPr>
        <w:pageBreakBefore w:val="0"/>
      </w:pPr>
      <w:r>
        <w:t>Eight improvement entries request less emphasis on repeated fundraising appeals. This wording identifies concern about emphasis and repetition; it does not establish opposition to all giving or provide evidence of financial misconduct. The study contains no church budgets or records of appeals with which to assess the financial circumstances behind the requests. A recommendation should therefore address the experience and presentation of appeals without assuming that fundraising is unnecessary.</w:t>
      </w:r>
    </w:p>
    <w:p>
      <w:pPr>
        <w:pageBreakBefore w:val="0"/>
      </w:pPr>
      <w:r>
        <w:t>Leadership could examine when appeals occur, what they communicate and how people experience their place within church activities. Where concerns are raised, further discussion could distinguish repetition, unclear purpose and the perceived prominence of financial requests. These are possible explanations to explore, not meanings independently established by the brief entries. Their distinction matters because each could require a different response.</w:t>
      </w:r>
    </w:p>
    <w:p>
      <w:pPr>
        <w:pageBreakBefore w:val="0"/>
      </w:pPr>
      <w:r>
        <w:t>The resulting proposal might involve clarifying the purpose of an appeal or reconsidering its frequency and placement. Such decisions should account for both financial needs and the concern that organisational activity remain consistent with religious purpose. Evaluation should include how participants understand the revised approach, rather than treating funds raised as its sole criterion. The present evidence establishes neither an ideal frequency nor a tested relationship between appeals and participation.</w:t>
      </w:r>
    </w:p>
    <w:p>
      <w:bookmarkStart w:id="404" w:name="m404"/>
      <w:pPr>
        <w:pStyle w:val="Heading3"/>
        <w:pageBreakBefore w:val="0"/>
      </w:pPr>
      <w:r>
        <w:t>7.5.8 Discuss worship-related requests within the appropriate authority</w:t>
      </w:r>
      <w:bookmarkEnd w:id="404"/>
    </w:p>
    <w:p>
      <w:pPr>
        <w:pageBreakBefore w:val="0"/>
      </w:pPr>
      <w:r>
        <w:t>Five improvement entries combine more engaging services with stronger provision for younger families. Eight final-practice entries request services that feel more relevant and less formal where appropriate. These statements identify preferences requiring clarification. They do not define engaging worship, establish agreement on a particular style or authorise the researcher to recommend doctrinal or liturgical change.</w:t>
      </w:r>
    </w:p>
    <w:p>
      <w:pPr>
        <w:pageBreakBefore w:val="0"/>
      </w:pPr>
      <w:r>
        <w:t>The recommendation is for the appropriate religious leadership to explore what participants mean by the requested experience. Discussion could distinguish understanding what happens, opportunities for participation and preferences about formality. These possibilities should be treated as questions rather than conclusions about respondents’ intentions. Clarification can help identify whether the issue concerns communication, practical participation or a matter requiring theological judgement.</w:t>
      </w:r>
    </w:p>
    <w:p>
      <w:pPr>
        <w:pageBreakBefore w:val="0"/>
      </w:pPr>
      <w:r>
        <w:t>Any proposed response should be considered within the church’s religious commitments and decision-making arrangements. The management contribution is to make the expressed concern intelligible and its handling transparent. A majority preference would not, by itself, settle the religious question. Evaluation should therefore avoid presenting satisfaction as the sole measure of appropriate worship or equating a change in style with demonstrated spiritual benefit.</w:t>
      </w:r>
    </w:p>
    <w:p>
      <w:bookmarkStart w:id="405" w:name="m405"/>
      <w:pPr>
        <w:pStyle w:val="Heading3"/>
        <w:pageBreakBefore w:val="0"/>
      </w:pPr>
      <w:r>
        <w:t>7.5.9 Ground outreach proposals in an identified community need</w:t>
      </w:r>
      <w:bookmarkEnd w:id="405"/>
    </w:p>
    <w:p>
      <w:pPr>
        <w:pageBreakBefore w:val="0"/>
      </w:pPr>
      <w:r>
        <w:t>Outreach appears in two improvement entries and eleven final-practice entries. The prompts differ, and the records contributing to those counts do not overlap. The figures indicate the appearance of outreach within each response context rather than a combined count of people expressing the same request. The final-practice wording emphasises practical outreach for the local community but does not specify a project or assess community needs.</w:t>
      </w:r>
    </w:p>
    <w:p>
      <w:pPr>
        <w:pageBreakBefore w:val="0"/>
      </w:pPr>
      <w:r>
        <w:t>The proposed response is to identify a particular need with those affected before selecting an activity. An existing outreach lead could consider what the church already undertakes and whether another local organisation addresses the issue. The aim would be to establish a useful and feasible role, rather than assume that creating a new programme is necessarily preferable. The survey supplies no evidence about prospective partners or their capacity.</w:t>
      </w:r>
    </w:p>
    <w:p>
      <w:pPr>
        <w:pageBreakBefore w:val="0"/>
      </w:pPr>
      <w:r>
        <w:t>A proposal should explain whom it intends to serve, what activity it would undertake and what resources it would require. Assessment should include the perspective of intended recipients, whose views are not supplied by the present questionnaire as a distinct community sample. Participation in an activity or the number of hours contributed would describe delivery, while its usefulness would require a separate enquiry.</w:t>
      </w:r>
    </w:p>
    <w:p>
      <w:pPr>
        <w:pageBreakBefore w:val="0"/>
      </w:pPr>
      <w:r>
        <w:t>The dissertation does not establish that outreach increases church attendance, and attendance growth should not be presented as a demonstrated outcome of this recommendation. The evidential basis is the expressed interest in practical community activity. Its purpose and evaluation should be defined locally, with attention to recipient experience and the demands placed on those undertaking it.</w:t>
      </w:r>
    </w:p>
    <w:p>
      <w:bookmarkStart w:id="406" w:name="m406"/>
      <w:pPr>
        <w:pStyle w:val="Heading3"/>
        <w:pageBreakBefore w:val="0"/>
      </w:pPr>
      <w:r>
        <w:t>7.5.10 Select improvements without treating theme counts as a mandate</w:t>
      </w:r>
      <w:bookmarkEnd w:id="406"/>
    </w:p>
    <w:p>
      <w:pPr>
        <w:pageBreakBefore w:val="0"/>
      </w:pPr>
      <w:r>
        <w:t>The recommendations in this section arise from different kinds of requests, some more frequent than others. Theme frequencies help show how often a subject appears in the supplied text, but they cannot determine the correct allocation of local resources. A frequently mentioned activity may already operate effectively in a particular setting, while an infrequent access concern may have substantial consequences for those affected.</w:t>
      </w:r>
    </w:p>
    <w:p>
      <w:pPr>
        <w:pageBreakBefore w:val="0"/>
      </w:pPr>
      <w:r>
        <w:t>Selection should therefore combine the evidence of a local need with its seriousness, consistency with religious purpose and practical feasibility. Leadership should explain why a proposal is chosen and how other requests will be considered. Where a request remains unresolved, a clear explanation is preferable to implying that every suggestion has been accepted. This applies the earlier recommendation on visible response to the choice among improvements themselves.</w:t>
      </w:r>
    </w:p>
    <w:p>
      <w:pPr>
        <w:pageBreakBefore w:val="0"/>
      </w:pPr>
      <w:r>
        <w:t>The next section develops a proportionate approach to implementation and evaluation across these proposals. It will explain how to define responsibilities, examine intended and unintended effects and decide whether to continue, revise or stop an activity. The chapter will then address the limits of its conclusions and directions for further research before presenting the dissertation’s final conclusion.</w:t>
      </w:r>
    </w:p>
    <w:p>
      <w:bookmarkStart w:id="407" w:name="m407"/>
      <w:pPr>
        <w:pStyle w:val="Heading2"/>
        <w:pageBreakBefore w:val="0"/>
      </w:pPr>
      <w:r>
        <w:t>7.6 Implementation and Evaluation</w:t>
      </w:r>
      <w:bookmarkEnd w:id="407"/>
    </w:p>
    <w:p>
      <w:bookmarkStart w:id="408" w:name="m408"/>
      <w:pPr>
        <w:pStyle w:val="Heading3"/>
        <w:pageBreakBefore w:val="0"/>
      </w:pPr>
      <w:r>
        <w:t>7.6.1 Define a manageable change and its intended benefit</w:t>
      </w:r>
      <w:bookmarkEnd w:id="408"/>
    </w:p>
    <w:p>
      <w:pPr>
        <w:pageBreakBefore w:val="0"/>
      </w:pPr>
      <w:r>
        <w:t>Implementation should begin with a specific local issue and an explanation of the benefit the proposed change is intended to provide. The preceding recommendations identify areas for consideration, but the questionnaire findings do not establish a universal starting point. A church might investigate difficulty finding information, uncertainty about pastoral contact or the handling of suggestions. Selection should follow local evidence and assessment of purpose, seriousness and feasibility.</w:t>
      </w:r>
    </w:p>
    <w:p>
      <w:pPr>
        <w:pageBreakBefore w:val="0"/>
      </w:pPr>
      <w:r>
        <w:t>The first practical step is to describe the present arrangement before changing it. Those responsible should establish what currently happens, who undertakes the work and where the identified difficulty occurs. This description supplies a baseline for later review. It need not require an extensive survey, but it should be sufficiently clear to distinguish an actual change from a general impression that provision has improved.</w:t>
      </w:r>
    </w:p>
    <w:p>
      <w:pPr>
        <w:pageBreakBefore w:val="0"/>
      </w:pPr>
      <w:r>
        <w:t>The proposed response should then specify the intended benefit in terms appropriate to the task. For a feedback process, this might be that contributors understand how their suggestion was considered. For information provision, it might be that people can locate current details. Such statements keep evaluation close to the problem being addressed. They do not imply that broader outcomes, such as retention or spiritual growth, follow automatically.</w:t>
      </w:r>
    </w:p>
    <w:p>
      <w:bookmarkStart w:id="409" w:name="m409"/>
      <w:pPr>
        <w:pStyle w:val="Heading3"/>
        <w:pageBreakBefore w:val="0"/>
      </w:pPr>
      <w:r>
        <w:t>7.6.2 Agree responsibility resources and review points</w:t>
      </w:r>
      <w:bookmarkEnd w:id="409"/>
    </w:p>
    <w:p>
      <w:pPr>
        <w:pageBreakBefore w:val="0"/>
      </w:pPr>
      <w:r>
        <w:t>Responsibility for authorising a change should be distinguished from responsibility for operating it. An existing governing body or leader may approve a proposal while a coordinator manages its routine delivery. Those involved should understand what decisions they can make and where unresolved matters should be referred. The dissertation does not prescribe new posts; it recommends clarity about functions within the church’s own arrangements.</w:t>
      </w:r>
    </w:p>
    <w:p>
      <w:pPr>
        <w:pageBreakBefore w:val="0"/>
      </w:pPr>
      <w:r>
        <w:t>Resource assessment should include continuing demands as well as initial preparation. Maintaining current information, answering suggestions and reviewing volunteer roles require time after a process is introduced. The staff reports of budget constraints, fatigue and training needs justify making these demands explicit. They do not provide a cost estimate or establish which combination of resources a particular church possesses.</w:t>
      </w:r>
    </w:p>
    <w:p>
      <w:pPr>
        <w:pageBreakBefore w:val="0"/>
      </w:pPr>
      <w:r>
        <w:t>A limited introduction could allow the proposed arrangement to be assessed before wider use. Its duration should reflect the activity’s frequency and the opportunities available to observe it. Leadership should agree a review point and identify circumstances requiring earlier reconsideration, such as an unmanageable workload or an unresolved concern about purpose. These are proposed planning arrangements, not procedures tested in this dissertation.</w:t>
      </w:r>
    </w:p>
    <w:p>
      <w:bookmarkStart w:id="410" w:name="m410"/>
      <w:pPr>
        <w:pStyle w:val="Heading3"/>
        <w:pageBreakBefore w:val="0"/>
      </w:pPr>
      <w:r>
        <w:t>7.6.3 Distinguish implementation from experienced benefit</w:t>
      </w:r>
      <w:bookmarkEnd w:id="410"/>
    </w:p>
    <w:p>
      <w:pPr>
        <w:pageBreakBefore w:val="0"/>
      </w:pPr>
      <w:r>
        <w:t>Evaluation should first establish whether the intended activity occurred. A feedback route cannot be assessed as implemented simply because it was announced. Relevant questions might include whether responsibility was assigned, whether suggestions reached the appropriate person and whether responses were communicated. These observations concern the operation of the proposed process rather than the whole quality of congregational life.</w:t>
      </w:r>
    </w:p>
    <w:p>
      <w:pPr>
        <w:pageBreakBefore w:val="0"/>
      </w:pPr>
      <w:r>
        <w:t>A second enquiry should examine the experience of those receiving the provision. Contributors could be asked whether they understood the response and knew what would happen next. The people operating the process should also be asked about its demands and difficulties. These perspectives may differ without either being dismissed. A manageable process can be unhelpful to its recipients, while a valued service can be difficult to sustain.</w:t>
      </w:r>
    </w:p>
    <w:p>
      <w:pPr>
        <w:pageBreakBefore w:val="0"/>
      </w:pPr>
      <w:r>
        <w:t>Evidence should be interpreted in relation to the stated purpose. Counts of acknowledgements may show activity, but they cannot establish that replies were understandable. A favourable response from a small group may identify useful experience without representing everyone affected. Review should therefore preserve the number and circumstances of observations, alongside any reasons given, rather than present a general success claim unsupported by the information collected.</w:t>
      </w:r>
    </w:p>
    <w:p>
      <w:bookmarkStart w:id="411" w:name="m411"/>
      <w:pPr>
        <w:pStyle w:val="Heading3"/>
        <w:pageBreakBefore w:val="0"/>
      </w:pPr>
      <w:r>
        <w:t>7.6.4 Examine unintended effects and alternative explanations</w:t>
      </w:r>
      <w:bookmarkEnd w:id="411"/>
    </w:p>
    <w:p>
      <w:pPr>
        <w:pageBreakBefore w:val="0"/>
      </w:pPr>
      <w:r>
        <w:t>An evaluation should leave room for effects outside the intended benefit. A new communication channel might make information easier to find for some people while creating difficulty for others. A response procedure might clarify responsibility but add demands to an already busy role. These examples illustrate questions to investigate; the present study did not observe these consequences following an intervention.</w:t>
      </w:r>
    </w:p>
    <w:p>
      <w:pPr>
        <w:pageBreakBefore w:val="0"/>
      </w:pPr>
      <w:r>
        <w:t>Changes over time also require cautious interpretation. If feedback satisfaction improves after a new process begins, other circumstances may have changed at the same time. The people responding at review may differ from those who provided the baseline. A simple before-and-after comparison can describe a change in the available observations, but cannot on its own demonstrate that the intervention caused it.</w:t>
      </w:r>
    </w:p>
    <w:p>
      <w:pPr>
        <w:pageBreakBefore w:val="0"/>
      </w:pPr>
      <w:r>
        <w:t>Local review can still inform a practical decision without claiming causal proof. The appropriate question is whether the available evidence supports continuing the arrangement, what remains uncertain and what needs adjustment. A stronger claim about effectiveness would require a more rigorous evaluation design. The level of the conclusion should match the level of evidence, just as it does in interpreting this dissertation’s questionnaire records.</w:t>
      </w:r>
    </w:p>
    <w:p>
      <w:bookmarkStart w:id="412" w:name="m412"/>
      <w:pPr>
        <w:pStyle w:val="Heading3"/>
        <w:pageBreakBefore w:val="0"/>
      </w:pPr>
      <w:r>
        <w:t>7.6.5 Make continuation and revision explicit decisions</w:t>
      </w:r>
      <w:bookmarkEnd w:id="412"/>
    </w:p>
    <w:p>
      <w:pPr>
        <w:pageBreakBefore w:val="0"/>
      </w:pPr>
      <w:r>
        <w:t>At the agreed review point, those responsible should decide whether to continue, revise, extend or stop the activity. The decision should consider its intended benefit, its acceptability and the resources required to maintain it. Previous investment should not itself determine continuation. Equally, an initial difficulty need not justify abandonment where a specific and feasible adjustment can address it.</w:t>
      </w:r>
    </w:p>
    <w:p>
      <w:pPr>
        <w:pageBreakBefore w:val="0"/>
      </w:pPr>
      <w:r>
        <w:t>A short account of the decision can explain what was introduced, what was learned and what will happen next. Where appropriate, this account should be shared with those who contributed to the review. Personal information should be excluded when it is unnecessary to explain the organisational decision. This applies the recommendation on visible response to evaluation itself and gives participants a way to understand how their observations were used.</w:t>
      </w:r>
    </w:p>
    <w:p>
      <w:bookmarkStart w:id="413" w:name="m413"/>
      <w:pPr>
        <w:pStyle w:val="Heading2"/>
        <w:pageBreakBefore w:val="0"/>
      </w:pPr>
      <w:r>
        <w:t>7.7 Limitations and the Boundaries of the Conclusions</w:t>
      </w:r>
      <w:bookmarkEnd w:id="413"/>
    </w:p>
    <w:p>
      <w:bookmarkStart w:id="414" w:name="m414"/>
      <w:pPr>
        <w:pStyle w:val="Heading3"/>
        <w:pageBreakBefore w:val="0"/>
      </w:pPr>
      <w:r>
        <w:t>7.7.1 Provenance sampling and geographical scope</w:t>
      </w:r>
      <w:bookmarkEnd w:id="414"/>
    </w:p>
    <w:p>
      <w:pPr>
        <w:pageBreakBefore w:val="0"/>
      </w:pPr>
      <w:r>
        <w:t>The study analyses 100 congregant and 140 staff or volunteer records supplied as a transcription of completed questionnaires. The researcher confirmed that provenance, but the analysis did not independently compare the transcription with the original completed forms. Its detailed coding and calculations establish what is present in the supplied material; they do not independently authenticate collection or transcription.</w:t>
      </w:r>
    </w:p>
    <w:p>
      <w:pPr>
        <w:pageBreakBefore w:val="0"/>
      </w:pPr>
      <w:r>
        <w:t>The record totals also do not establish 240 unique participants. Recruitment procedures, collection dates, eligibility, possible overlap between questionnaires and the number of represented churches remain insufficiently documented. Denominational categories cannot resolve those gaps. The earlier intention to examine U.S. churches therefore does not justify presenting the analysed records as a verified national sample.</w:t>
      </w:r>
    </w:p>
    <w:p>
      <w:pPr>
        <w:pageBreakBefore w:val="0"/>
      </w:pPr>
      <w:r>
        <w:t>These limitations restrict generalisation and the interpretation of group comparisons. The concentration of particular answers within involvement categories describes this transcription, but cannot establish how regular attenders, former attenders or leaders generally respond. Unusually sharp patterns remain visible in the findings because concealing them would reduce transparency. Their explanation requires evidence beyond the present records.</w:t>
      </w:r>
    </w:p>
    <w:p>
      <w:bookmarkStart w:id="415" w:name="m415"/>
      <w:pPr>
        <w:pStyle w:val="Heading3"/>
        <w:pageBreakBefore w:val="0"/>
      </w:pPr>
      <w:r>
        <w:t>7.7.2 Measurement data preparation and integration</w:t>
      </w:r>
      <w:bookmarkEnd w:id="415"/>
    </w:p>
    <w:p>
      <w:pPr>
        <w:pageBreakBefore w:val="0"/>
      </w:pPr>
      <w:r>
        <w:t>The questionnaire distinguishes importance ratings from selected experiences and adoption attitudes. It does not supply a validated overall service-quality scale or matched expectation and performance measures. Single items concerning digital effectiveness, emotional engagement and spiritual authenticity cannot establish comprehensive measures of those concepts. The conclusions consequently concern the specific questions analysed rather than broader constructs retrospectively assigned to them.</w:t>
      </w:r>
    </w:p>
    <w:p>
      <w:pPr>
        <w:pageBreakBefore w:val="0"/>
      </w:pPr>
      <w:r>
        <w:t>Conflicting staff answers required item-level rules. The concerns analysis uses 116 valid records, and monitoring uses 117. Forty-four distinct records are affected across the two exclusions, with three affected in both. Unaffected answers remain available for the relevant analyses. These decisions clarify the primary tables but do not determine what respondents originally intended or eliminate possible transcription effects.</w:t>
      </w:r>
    </w:p>
    <w:p>
      <w:pPr>
        <w:pageBreakBefore w:val="0"/>
      </w:pPr>
      <w:r>
        <w:t>The staff and congregant records are not linked within churches. Their findings can inform a discussion of related organisational and recipient perspectives, but they cannot show that reported tools, leadership positions or barriers explain particular congregant experiences. Cross-sectional observations also leave causal direction unresolved. Recommendations based on their integration are reasoned proposals rather than estimates of intervention effects.</w:t>
      </w:r>
    </w:p>
    <w:p>
      <w:bookmarkStart w:id="416" w:name="m416"/>
      <w:pPr>
        <w:pStyle w:val="Heading3"/>
        <w:pageBreakBefore w:val="0"/>
      </w:pPr>
      <w:r>
        <w:t>7.7.3 Qualitative interpretation and literature boundaries</w:t>
      </w:r>
      <w:bookmarkEnd w:id="416"/>
    </w:p>
    <w:p>
      <w:pPr>
        <w:pageBreakBefore w:val="0"/>
      </w:pPr>
      <w:r>
        <w:t>The written material contains 300 non-empty entries, including 278 substantive responses across three prompts. There are 51 distinct response strings. Repetition permits a count of occurrences but does not provide the depth of separate interviews or establish thematic saturation. The coded categories overlap, and their frequencies should remain tied to the relevant prompt rather than pooled as counts of different people.</w:t>
      </w:r>
    </w:p>
    <w:p>
      <w:pPr>
        <w:pageBreakBefore w:val="0"/>
      </w:pPr>
      <w:r>
        <w:t>AI assistance was used in preparing the analysis and writing, with the researcher responsible for checking the interpretation and its use in the dissertation. Such assistance does not constitute independent corroboration or a second human coding assessment. The analytical account should therefore be judged through its documented rules, examples and relationship to the supplied material, rather than an unsupported claim of coding agreement.</w:t>
      </w:r>
    </w:p>
    <w:p>
      <w:pPr>
        <w:pageBreakBefore w:val="0"/>
      </w:pPr>
      <w:r>
        <w:t>The literature provides comparisons across commercial, nonprofit and religious settings, whose purposes and methods differ. Some sources remain limited to accessible abstracts or bibliographic records, with claims restricted accordingly. These boundaries constrain theoretical comparison and claims of originality. Conditional usefulness is consequently presented as an interpretation grounded in this corpus, not a validated general model of church adoption.</w:t>
      </w:r>
    </w:p>
    <w:p>
      <w:bookmarkStart w:id="417" w:name="m417"/>
      <w:pPr>
        <w:pStyle w:val="Heading2"/>
        <w:pageBreakBefore w:val="0"/>
      </w:pPr>
      <w:r>
        <w:t>7.8 Directions for Further Research</w:t>
      </w:r>
      <w:bookmarkEnd w:id="417"/>
    </w:p>
    <w:p>
      <w:bookmarkStart w:id="418" w:name="m418"/>
      <w:pPr>
        <w:pStyle w:val="Heading3"/>
        <w:pageBreakBefore w:val="0"/>
      </w:pPr>
      <w:r>
        <w:t>7.8.1 Establish a documented basis for comparison</w:t>
      </w:r>
      <w:bookmarkEnd w:id="418"/>
    </w:p>
    <w:p>
      <w:pPr>
        <w:pageBreakBefore w:val="0"/>
      </w:pPr>
      <w:r>
        <w:t>A subsequent study should establish a clear record of the administered questions, recruitment, eligibility, collection dates and handling of responses. Where church-level comparisons are intended, confidential identifiers could link organisational and congregant observations while preserving appropriate access restrictions. Such a design would allow researchers to examine relationships that the present unlinked datasets cannot address.</w:t>
      </w:r>
    </w:p>
    <w:p>
      <w:pPr>
        <w:pageBreakBefore w:val="0"/>
      </w:pPr>
      <w:r>
        <w:t>Sampling should follow the population and claims the study intends to support. Research confined to a particular setting can make a useful contextual contribution if its boundaries are explicit. Broader population estimates would require a sampling approach appropriate to that purpose, with attention to participation and non-response. A larger sample alone would not resolve unclear recruitment or measurement.</w:t>
      </w:r>
    </w:p>
    <w:p>
      <w:pPr>
        <w:pageBreakBefore w:val="0"/>
      </w:pPr>
      <w:r>
        <w:t>Further examination of the original completed questionnaires, where available and authorised, would also help assess correspondence with the existing transcription. This is a prospective verification step, not work represented as already completed. Its results could clarify ambiguous responses and provide a firmer basis for deciding which features of the current corpus reflect original answers.</w:t>
      </w:r>
    </w:p>
    <w:p>
      <w:bookmarkStart w:id="419" w:name="m419"/>
      <w:pPr>
        <w:pStyle w:val="Heading3"/>
        <w:pageBreakBefore w:val="0"/>
      </w:pPr>
      <w:r>
        <w:t>7.8.2 Develop measures that preserve conceptual distinctions</w:t>
      </w:r>
      <w:bookmarkEnd w:id="419"/>
    </w:p>
    <w:p>
      <w:pPr>
        <w:pageBreakBefore w:val="0"/>
      </w:pPr>
      <w:r>
        <w:t>Future instrument development should distinguish priorities, experienced provision, acceptance and outcomes. Importance items answer a different question from evaluations of performance. Compatibility and perceived spiritual risk should also remain separable unless empirical and conceptual work justifies combining them. The present findings suggest why a single favourable adoption score may conceal qualifications requiring further enquiry.</w:t>
      </w:r>
    </w:p>
    <w:p>
      <w:pPr>
        <w:pageBreakBefore w:val="0"/>
      </w:pPr>
      <w:r>
        <w:t>Conditional usefulness could be explored by asking about specified practices rather than business-like adoption in general. Researchers could investigate which benefits respondents recognise, what conditions they attach and when those conditions alter acceptance. Initial qualitative work could inform wording that participants understand. Subsequent measurement assessment would be needed before claiming that the resulting items represent a reliable and valid construct.</w:t>
      </w:r>
    </w:p>
    <w:p>
      <w:pPr>
        <w:pageBreakBefore w:val="0"/>
      </w:pPr>
      <w:r>
        <w:t>If future research examines retention, belonging or spiritual development, it should define and measure those outcomes explicitly. Their relationship to organisational practice should be investigated rather than assumed. Suitable designs would also need to account for alternative influences and the meaning of each outcome within the religious setting. Existing questionnaire items should not be relabelled to supply evidence they were not designed to collect.</w:t>
      </w:r>
    </w:p>
    <w:p>
      <w:bookmarkStart w:id="420" w:name="m420"/>
      <w:pPr>
        <w:pStyle w:val="Heading3"/>
        <w:pageBreakBefore w:val="0"/>
      </w:pPr>
      <w:r>
        <w:t>7.8.3 Explore contrasting accounts and actual decisions</w:t>
      </w:r>
      <w:bookmarkEnd w:id="420"/>
    </w:p>
    <w:p>
      <w:pPr>
        <w:pageBreakBefore w:val="0"/>
      </w:pPr>
      <w:r>
        <w:t>More extensive qualitative enquiry could examine what participants mean by commercialisation, appropriate professionalism and spiritual purpose. It should include contrasting positions, including people who support a specific improvement while rejecting its business framing. Their explanations could clarify whether differences concern terminology, authority, practical experience or substantive religious commitments. The present short answers identify these questions without resolving them.</w:t>
      </w:r>
    </w:p>
    <w:p>
      <w:pPr>
        <w:pageBreakBefore w:val="0"/>
      </w:pPr>
      <w:r>
        <w:t>Research following actual decisions could also examine how proposals are discussed, modified or declined. Observing the relationship between expressed support, authorisation and resource allocation would extend the cross-sectional adoption categories used here. Such work might identify circumstances in which conditional usefulness helps explain a decision and circumstances in which another interpretation is more appropriate.</w:t>
      </w:r>
    </w:p>
    <w:p>
      <w:pPr>
        <w:pageBreakBefore w:val="0"/>
      </w:pPr>
      <w:r>
        <w:t>This enquiry should remain open to revising the proposed interpretation. Conditions may not form a stable pattern across practices or groups, and feasibility may operate differently from perceived appropriateness. Research that actively examines exceptions would provide a stronger assessment than collecting only examples consistent with the framework. These are directions for testing its value, not assertions about relationships already established.</w:t>
      </w:r>
    </w:p>
    <w:p>
      <w:bookmarkStart w:id="421" w:name="m421"/>
      <w:pPr>
        <w:pStyle w:val="Heading3"/>
        <w:pageBreakBefore w:val="0"/>
      </w:pPr>
      <w:r>
        <w:t>7.8.4 Evaluate a defined intervention prospectively</w:t>
      </w:r>
      <w:bookmarkEnd w:id="421"/>
    </w:p>
    <w:p>
      <w:pPr>
        <w:pageBreakBefore w:val="0"/>
      </w:pPr>
      <w:r>
        <w:t>A prospective evaluation could examine one specific change, such as a feedback-response arrangement or preparation for a defined volunteer task. It should state the intended outcome, document the starting position and collect repeated observations using an appropriate design. Where feasible, comparison arrangements could help distinguish the proposed intervention from other changes occurring over the same period.</w:t>
      </w:r>
    </w:p>
    <w:p>
      <w:pPr>
        <w:pageBreakBefore w:val="0"/>
      </w:pPr>
      <w:r>
        <w:t>Evaluation should include implementation, recipient experience and demands on those providing the activity. It should also examine whether the practice is acceptable in its religious context. This would test the practical relationship between benefit, purpose and capacity more directly than the present descriptive evidence. Any wider claim about effectiveness would depend on the quality of that subsequent design and the results actually obtained.</w:t>
      </w:r>
    </w:p>
    <w:p>
      <w:bookmarkStart w:id="422" w:name="m422"/>
      <w:pPr>
        <w:pStyle w:val="Heading2"/>
        <w:pageBreakBefore w:val="0"/>
      </w:pPr>
      <w:r>
        <w:t>7.9 Final Conclusion</w:t>
      </w:r>
      <w:bookmarkEnd w:id="422"/>
    </w:p>
    <w:p>
      <w:pPr>
        <w:pageBreakBefore w:val="0"/>
      </w:pPr>
      <w:r>
        <w:t>The dissertation provides a documented analysis of service priorities, selected experiences and organisational judgements within the supplied church questionnaire records. Welcome, recognition and communication receive prominent importance ratings. Written reasons and suggestions show that interest in practical improvement can coexist with reservations about commercial language, religious purpose and the form of adoption. Staff accounts add concerns about resources and spiritual authenticity that require distinct consideration.</w:t>
      </w:r>
    </w:p>
    <w:p>
      <w:pPr>
        <w:pageBreakBefore w:val="0"/>
      </w:pPr>
      <w:r>
        <w:t>Conditional usefulness expresses the study’s central interpretation: a practice may be recognised as beneficial while its acceptance remains qualified. Its contribution is to preserve that qualification when interpreting support, opposition and requests for change. The interpretation does not establish a universal theory, theological judgement or causal explanation. Its value lies in clarifying the questions that the evidence raises and the limits of the answers available.</w:t>
      </w:r>
    </w:p>
    <w:p>
      <w:pPr>
        <w:pageBreakBefore w:val="0"/>
      </w:pPr>
      <w:r>
        <w:t>The resulting recommendations focus on identifiable activities, including listening, welcome, contact, communication, access and volunteer support. Their implementation requires local assessment of need, purpose and feasibility, followed by evaluation of what is delivered and experienced. The study therefore concludes that organisational service practices merit careful, selective consideration in church life, with their value assessed through evidence and their use governed by the purposes they are intended to serve.</w:t>
      </w:r>
    </w:p>
    <w:p>
      <w:bookmarkStart w:id="423" w:name="m423"/>
      <w:pPr>
        <w:pStyle w:val="Heading1"/>
        <w:pageBreakBefore/>
      </w:pPr>
      <w:r>
        <w:t>REFERENCES</w:t>
      </w:r>
      <w:bookmarkEnd w:id="423"/>
    </w:p>
    <w:p>
      <w:pPr>
        <w:keepLines/>
        <w:spacing w:line="240" w:lineRule="auto" w:after="160"/>
        <w:ind w:left="720" w:hanging="720"/>
      </w:pPr>
      <w:r>
        <w:rPr>
          <w:rFonts w:ascii="Times New Roman" w:hAnsi="Times New Roman"/>
          <w:color w:val="000000"/>
          <w:sz w:val="24"/>
        </w:rPr>
        <w:t xml:space="preserve">Babakus, E., &amp; Boller, G. W. (1992). An empirical assessment of the SERVQUAL scale. </w:t>
      </w:r>
      <w:r>
        <w:rPr>
          <w:rFonts w:ascii="Times New Roman" w:hAnsi="Times New Roman"/>
          <w:i/>
          <w:color w:val="000000"/>
          <w:sz w:val="24"/>
        </w:rPr>
        <w:t xml:space="preserve">Journal of Business Research, </w:t>
      </w:r>
      <w:r>
        <w:rPr>
          <w:rFonts w:ascii="Times New Roman" w:hAnsi="Times New Roman"/>
          <w:i/>
          <w:color w:val="000000"/>
          <w:sz w:val="24"/>
        </w:rPr>
        <w:t>24</w:t>
      </w:r>
      <w:r>
        <w:rPr>
          <w:rFonts w:ascii="Times New Roman" w:hAnsi="Times New Roman"/>
          <w:color w:val="000000"/>
          <w:sz w:val="24"/>
        </w:rPr>
        <w:t>(3)</w:t>
      </w:r>
      <w:r>
        <w:rPr>
          <w:rFonts w:ascii="Times New Roman" w:hAnsi="Times New Roman"/>
          <w:color w:val="000000"/>
          <w:sz w:val="24"/>
        </w:rPr>
        <w:t xml:space="preserve">, 253–268. </w:t>
      </w:r>
      <w:hyperlink r:id="rId9">
        <w:r>
          <w:rPr>
            <w:color w:val="000000"/>
          </w:rPr>
          <w:t>https://doi.org/10.1016/0148-2963(92)90022-4</w:t>
        </w:r>
      </w:hyperlink>
    </w:p>
    <w:p>
      <w:pPr>
        <w:keepLines/>
        <w:spacing w:line="240" w:lineRule="auto" w:after="160"/>
        <w:ind w:left="720" w:hanging="720"/>
      </w:pPr>
      <w:r>
        <w:rPr>
          <w:rFonts w:ascii="Times New Roman" w:hAnsi="Times New Roman"/>
          <w:color w:val="000000"/>
          <w:sz w:val="24"/>
        </w:rPr>
        <w:t xml:space="preserve">Basfirinci, C., &amp; Mitra, A. (2015). A cross cultural investigation of airlines service quality through integration of Servqual and the Kano model. </w:t>
      </w:r>
      <w:r>
        <w:rPr>
          <w:rFonts w:ascii="Times New Roman" w:hAnsi="Times New Roman"/>
          <w:i/>
          <w:color w:val="000000"/>
          <w:sz w:val="24"/>
        </w:rPr>
        <w:t xml:space="preserve">Journal of Air Transport Management, </w:t>
      </w:r>
      <w:r>
        <w:rPr>
          <w:rFonts w:ascii="Times New Roman" w:hAnsi="Times New Roman"/>
          <w:i/>
          <w:color w:val="000000"/>
          <w:sz w:val="24"/>
        </w:rPr>
        <w:t>42</w:t>
      </w:r>
      <w:r>
        <w:rPr>
          <w:rFonts w:ascii="Times New Roman" w:hAnsi="Times New Roman"/>
          <w:color w:val="000000"/>
          <w:sz w:val="24"/>
        </w:rPr>
        <w:t xml:space="preserve">, 239–248. </w:t>
      </w:r>
      <w:hyperlink r:id="rId10">
        <w:r>
          <w:rPr>
            <w:color w:val="000000"/>
          </w:rPr>
          <w:t>https://doi.org/10.1016/j.jairtraman.2014.11.005</w:t>
        </w:r>
      </w:hyperlink>
    </w:p>
    <w:p>
      <w:pPr>
        <w:keepLines/>
        <w:spacing w:line="240" w:lineRule="auto" w:after="160"/>
        <w:ind w:left="720" w:hanging="720"/>
      </w:pPr>
      <w:r>
        <w:rPr>
          <w:rFonts w:ascii="Times New Roman" w:hAnsi="Times New Roman"/>
          <w:color w:val="000000"/>
          <w:sz w:val="24"/>
        </w:rPr>
        <w:t xml:space="preserve">Bitner, M. J. (1992). Servicescapes: the impact of physical surroundings on customers and employees. </w:t>
      </w:r>
      <w:r>
        <w:rPr>
          <w:rFonts w:ascii="Times New Roman" w:hAnsi="Times New Roman"/>
          <w:i/>
          <w:color w:val="000000"/>
          <w:sz w:val="24"/>
        </w:rPr>
        <w:t xml:space="preserve">Journal of Marketing, </w:t>
      </w:r>
      <w:r>
        <w:rPr>
          <w:rFonts w:ascii="Times New Roman" w:hAnsi="Times New Roman"/>
          <w:i/>
          <w:color w:val="000000"/>
          <w:sz w:val="24"/>
        </w:rPr>
        <w:t>56</w:t>
      </w:r>
      <w:r>
        <w:rPr>
          <w:rFonts w:ascii="Times New Roman" w:hAnsi="Times New Roman"/>
          <w:color w:val="000000"/>
          <w:sz w:val="24"/>
        </w:rPr>
        <w:t>(2)</w:t>
      </w:r>
      <w:r>
        <w:rPr>
          <w:rFonts w:ascii="Times New Roman" w:hAnsi="Times New Roman"/>
          <w:color w:val="000000"/>
          <w:sz w:val="24"/>
        </w:rPr>
        <w:t xml:space="preserve">, 57–71. </w:t>
      </w:r>
      <w:hyperlink r:id="rId11">
        <w:r>
          <w:rPr>
            <w:color w:val="000000"/>
          </w:rPr>
          <w:t>https://doi.org/10.1177/002224299205600205</w:t>
        </w:r>
      </w:hyperlink>
    </w:p>
    <w:p>
      <w:pPr>
        <w:keepLines/>
        <w:spacing w:line="240" w:lineRule="auto" w:after="160"/>
        <w:ind w:left="720" w:hanging="720"/>
      </w:pPr>
      <w:r>
        <w:rPr>
          <w:rFonts w:ascii="Times New Roman" w:hAnsi="Times New Roman"/>
          <w:color w:val="000000"/>
          <w:sz w:val="24"/>
        </w:rPr>
        <w:t xml:space="preserve">Bowden, J. (2009). The process of customer engagement: A conceptual framework. </w:t>
      </w:r>
      <w:r>
        <w:rPr>
          <w:rFonts w:ascii="Times New Roman" w:hAnsi="Times New Roman"/>
          <w:i/>
          <w:color w:val="000000"/>
          <w:sz w:val="24"/>
        </w:rPr>
        <w:t xml:space="preserve">Journal of Marketing Theory and Practice, </w:t>
      </w:r>
      <w:r>
        <w:rPr>
          <w:rFonts w:ascii="Times New Roman" w:hAnsi="Times New Roman"/>
          <w:i/>
          <w:color w:val="000000"/>
          <w:sz w:val="24"/>
        </w:rPr>
        <w:t>17</w:t>
      </w:r>
      <w:r>
        <w:rPr>
          <w:rFonts w:ascii="Times New Roman" w:hAnsi="Times New Roman"/>
          <w:color w:val="000000"/>
          <w:sz w:val="24"/>
        </w:rPr>
        <w:t>(1)</w:t>
      </w:r>
      <w:r>
        <w:rPr>
          <w:rFonts w:ascii="Times New Roman" w:hAnsi="Times New Roman"/>
          <w:color w:val="000000"/>
          <w:sz w:val="24"/>
        </w:rPr>
        <w:t xml:space="preserve">, 63–74. </w:t>
      </w:r>
      <w:hyperlink r:id="rId12">
        <w:r>
          <w:rPr>
            <w:color w:val="000000"/>
          </w:rPr>
          <w:t>https://doi.org/10.2753/MTP1069-6679170105</w:t>
        </w:r>
      </w:hyperlink>
    </w:p>
    <w:p>
      <w:pPr>
        <w:keepLines/>
        <w:spacing w:line="240" w:lineRule="auto" w:after="160"/>
        <w:ind w:left="720" w:hanging="720"/>
      </w:pPr>
      <w:r>
        <w:rPr>
          <w:rFonts w:ascii="Times New Roman" w:hAnsi="Times New Roman"/>
          <w:color w:val="000000"/>
          <w:sz w:val="24"/>
        </w:rPr>
        <w:t>Braun, V., &amp; Clarke, V. (2006). Using thematic analysis in psychology. Qualitative Research in Psychology, 3(2), 77–101. https://doi.org/10.1191/1478088706qp063oa</w:t>
      </w:r>
    </w:p>
    <w:p>
      <w:pPr>
        <w:keepLines/>
        <w:spacing w:line="240" w:lineRule="auto" w:after="160"/>
        <w:ind w:left="720" w:hanging="720"/>
      </w:pPr>
      <w:r>
        <w:rPr>
          <w:rFonts w:ascii="Times New Roman" w:hAnsi="Times New Roman"/>
          <w:color w:val="000000"/>
          <w:sz w:val="24"/>
        </w:rPr>
        <w:t xml:space="preserve">Cronin, J. J., &amp; Taylor, S. A. (1992). Measuring service quality: a reexamination and extension. </w:t>
      </w:r>
      <w:r>
        <w:rPr>
          <w:rFonts w:ascii="Times New Roman" w:hAnsi="Times New Roman"/>
          <w:i/>
          <w:color w:val="000000"/>
          <w:sz w:val="24"/>
        </w:rPr>
        <w:t xml:space="preserve">Journal of Marketing, </w:t>
      </w:r>
      <w:r>
        <w:rPr>
          <w:rFonts w:ascii="Times New Roman" w:hAnsi="Times New Roman"/>
          <w:i/>
          <w:color w:val="000000"/>
          <w:sz w:val="24"/>
        </w:rPr>
        <w:t>56</w:t>
      </w:r>
      <w:r>
        <w:rPr>
          <w:rFonts w:ascii="Times New Roman" w:hAnsi="Times New Roman"/>
          <w:color w:val="000000"/>
          <w:sz w:val="24"/>
        </w:rPr>
        <w:t>(3)</w:t>
      </w:r>
      <w:r>
        <w:rPr>
          <w:rFonts w:ascii="Times New Roman" w:hAnsi="Times New Roman"/>
          <w:color w:val="000000"/>
          <w:sz w:val="24"/>
        </w:rPr>
        <w:t xml:space="preserve">, 55–68. </w:t>
      </w:r>
      <w:hyperlink r:id="rId13">
        <w:r>
          <w:rPr>
            <w:color w:val="000000"/>
          </w:rPr>
          <w:t>https://doi.org/10.1177/002224299205600304</w:t>
        </w:r>
      </w:hyperlink>
    </w:p>
    <w:p>
      <w:pPr>
        <w:keepLines/>
        <w:spacing w:line="240" w:lineRule="auto" w:after="160"/>
        <w:ind w:left="720" w:hanging="720"/>
      </w:pPr>
      <w:r>
        <w:rPr>
          <w:rFonts w:ascii="Times New Roman" w:hAnsi="Times New Roman"/>
          <w:color w:val="000000"/>
          <w:sz w:val="24"/>
        </w:rPr>
        <w:t xml:space="preserve">Hilton, B., Hajihashemi, B., Henderson, C. M., &amp; Palmatier, R. W. (2020). Customer success management: the next evolution in customer management practice? </w:t>
      </w:r>
      <w:r>
        <w:rPr>
          <w:rFonts w:ascii="Times New Roman" w:hAnsi="Times New Roman"/>
          <w:i/>
          <w:color w:val="000000"/>
          <w:sz w:val="24"/>
        </w:rPr>
        <w:t xml:space="preserve">Industrial Marketing Management, </w:t>
      </w:r>
      <w:r>
        <w:rPr>
          <w:rFonts w:ascii="Times New Roman" w:hAnsi="Times New Roman"/>
          <w:i/>
          <w:color w:val="000000"/>
          <w:sz w:val="24"/>
        </w:rPr>
        <w:t>90</w:t>
      </w:r>
      <w:r>
        <w:rPr>
          <w:rFonts w:ascii="Times New Roman" w:hAnsi="Times New Roman"/>
          <w:color w:val="000000"/>
          <w:sz w:val="24"/>
        </w:rPr>
        <w:t xml:space="preserve">, 360–369. </w:t>
      </w:r>
      <w:hyperlink r:id="rId15">
        <w:r>
          <w:rPr>
            <w:color w:val="000000"/>
          </w:rPr>
          <w:t>https://doi.org/10.1016/j.indmarman.2020.08.001</w:t>
        </w:r>
      </w:hyperlink>
    </w:p>
    <w:p>
      <w:pPr>
        <w:keepLines/>
        <w:spacing w:line="240" w:lineRule="auto" w:after="160"/>
        <w:ind w:left="720" w:hanging="720"/>
      </w:pPr>
      <w:r>
        <w:rPr>
          <w:rFonts w:ascii="Times New Roman" w:hAnsi="Times New Roman"/>
          <w:color w:val="000000"/>
          <w:sz w:val="24"/>
        </w:rPr>
        <w:t xml:space="preserve">Hochstein, B., Chaker, N. N., Rangarajan, D., Nagel, D., &amp; Hartmann, N. N. (2021). Proactive value co-creation via structural ambidexterity: customer success management and the modularization of frontline roles. </w:t>
      </w:r>
      <w:r>
        <w:rPr>
          <w:rFonts w:ascii="Times New Roman" w:hAnsi="Times New Roman"/>
          <w:i/>
          <w:color w:val="000000"/>
          <w:sz w:val="24"/>
        </w:rPr>
        <w:t xml:space="preserve">Journal of Service Research, </w:t>
      </w:r>
      <w:r>
        <w:rPr>
          <w:rFonts w:ascii="Times New Roman" w:hAnsi="Times New Roman"/>
          <w:i/>
          <w:color w:val="000000"/>
          <w:sz w:val="24"/>
        </w:rPr>
        <w:t>24</w:t>
      </w:r>
      <w:r>
        <w:rPr>
          <w:rFonts w:ascii="Times New Roman" w:hAnsi="Times New Roman"/>
          <w:color w:val="000000"/>
          <w:sz w:val="24"/>
        </w:rPr>
        <w:t>(4)</w:t>
      </w:r>
      <w:r>
        <w:rPr>
          <w:rFonts w:ascii="Times New Roman" w:hAnsi="Times New Roman"/>
          <w:color w:val="000000"/>
          <w:sz w:val="24"/>
        </w:rPr>
        <w:t xml:space="preserve">, 601–621. </w:t>
      </w:r>
      <w:hyperlink r:id="rId16">
        <w:r>
          <w:rPr>
            <w:color w:val="000000"/>
          </w:rPr>
          <w:t>https://doi.org/10.1177/1094670521997565</w:t>
        </w:r>
      </w:hyperlink>
    </w:p>
    <w:p>
      <w:pPr>
        <w:keepLines/>
        <w:spacing w:line="240" w:lineRule="auto" w:after="160"/>
        <w:ind w:left="720" w:hanging="720"/>
      </w:pPr>
      <w:r>
        <w:rPr>
          <w:rFonts w:ascii="Times New Roman" w:hAnsi="Times New Roman"/>
          <w:color w:val="000000"/>
          <w:sz w:val="24"/>
        </w:rPr>
        <w:t xml:space="preserve">Hutchings, T. (2011). Contemporary religious community and the online church. </w:t>
      </w:r>
      <w:r>
        <w:rPr>
          <w:rFonts w:ascii="Times New Roman" w:hAnsi="Times New Roman"/>
          <w:i/>
          <w:color w:val="000000"/>
          <w:sz w:val="24"/>
        </w:rPr>
        <w:t xml:space="preserve">Information, Communication &amp; Society, </w:t>
      </w:r>
      <w:r>
        <w:rPr>
          <w:rFonts w:ascii="Times New Roman" w:hAnsi="Times New Roman"/>
          <w:i/>
          <w:color w:val="000000"/>
          <w:sz w:val="24"/>
        </w:rPr>
        <w:t>14</w:t>
      </w:r>
      <w:r>
        <w:rPr>
          <w:rFonts w:ascii="Times New Roman" w:hAnsi="Times New Roman"/>
          <w:color w:val="000000"/>
          <w:sz w:val="24"/>
        </w:rPr>
        <w:t>(8)</w:t>
      </w:r>
      <w:r>
        <w:rPr>
          <w:rFonts w:ascii="Times New Roman" w:hAnsi="Times New Roman"/>
          <w:color w:val="000000"/>
          <w:sz w:val="24"/>
        </w:rPr>
        <w:t xml:space="preserve">, 1118–1135. </w:t>
      </w:r>
      <w:hyperlink r:id="rId17">
        <w:r>
          <w:rPr>
            <w:color w:val="000000"/>
          </w:rPr>
          <w:t>https://doi.org/10.1080/1369118x.2011.591410</w:t>
        </w:r>
      </w:hyperlink>
    </w:p>
    <w:p>
      <w:pPr>
        <w:keepLines/>
        <w:spacing w:line="240" w:lineRule="auto" w:after="160"/>
        <w:ind w:left="720" w:hanging="720"/>
      </w:pPr>
      <w:r>
        <w:rPr>
          <w:rFonts w:ascii="Times New Roman" w:hAnsi="Times New Roman"/>
          <w:color w:val="000000"/>
          <w:sz w:val="24"/>
        </w:rPr>
        <w:t>Ighomereho, O. S., Ojo, A. A., Omoyele, O. S., &amp; Olabode, O. S. (2022). From service quality to e-service quality: Measurement, dimensions and model [Archived article, arXiv:2205.00055]. https://arxiv.org/abs/2205.00055</w:t>
      </w:r>
    </w:p>
    <w:p>
      <w:pPr>
        <w:keepLines/>
        <w:spacing w:line="240" w:lineRule="auto" w:after="160"/>
        <w:ind w:left="720" w:hanging="720"/>
      </w:pPr>
      <w:r>
        <w:rPr>
          <w:rFonts w:ascii="Times New Roman" w:hAnsi="Times New Roman"/>
          <w:color w:val="000000"/>
          <w:sz w:val="24"/>
        </w:rPr>
        <w:t xml:space="preserve">Kano, N., Seraku, N., Takahashi, F., &amp; Tsuji, S. (1984). Attractive quality and must-be quality. </w:t>
      </w:r>
      <w:r>
        <w:rPr>
          <w:rFonts w:ascii="Times New Roman" w:hAnsi="Times New Roman"/>
          <w:i/>
          <w:color w:val="000000"/>
          <w:sz w:val="24"/>
        </w:rPr>
        <w:t xml:space="preserve">Journal of the Japanese Society for Quality Control, </w:t>
      </w:r>
      <w:r>
        <w:rPr>
          <w:rFonts w:ascii="Times New Roman" w:hAnsi="Times New Roman"/>
          <w:i/>
          <w:color w:val="000000"/>
          <w:sz w:val="24"/>
        </w:rPr>
        <w:t>14</w:t>
      </w:r>
      <w:r>
        <w:rPr>
          <w:rFonts w:ascii="Times New Roman" w:hAnsi="Times New Roman"/>
          <w:color w:val="000000"/>
          <w:sz w:val="24"/>
        </w:rPr>
        <w:t>(2)</w:t>
      </w:r>
      <w:r>
        <w:rPr>
          <w:rFonts w:ascii="Times New Roman" w:hAnsi="Times New Roman"/>
          <w:color w:val="000000"/>
          <w:sz w:val="24"/>
        </w:rPr>
        <w:t xml:space="preserve">, 147–156. </w:t>
      </w:r>
      <w:hyperlink r:id="rId19">
        <w:r>
          <w:rPr>
            <w:color w:val="000000"/>
          </w:rPr>
          <w:t>https://doi.org/10.20684/quality.14.2_147</w:t>
        </w:r>
      </w:hyperlink>
    </w:p>
    <w:p>
      <w:pPr>
        <w:keepLines/>
        <w:spacing w:line="240" w:lineRule="auto" w:after="160"/>
        <w:ind w:left="720" w:hanging="720"/>
      </w:pPr>
      <w:r>
        <w:rPr>
          <w:rFonts w:ascii="Times New Roman" w:hAnsi="Times New Roman"/>
          <w:color w:val="000000"/>
          <w:sz w:val="24"/>
        </w:rPr>
        <w:t xml:space="preserve">Lemon, K. N., &amp; Verhoef, P. C. (2016). Understanding customer experience throughout the customer journey. </w:t>
      </w:r>
      <w:r>
        <w:rPr>
          <w:rFonts w:ascii="Times New Roman" w:hAnsi="Times New Roman"/>
          <w:i/>
          <w:color w:val="000000"/>
          <w:sz w:val="24"/>
        </w:rPr>
        <w:t xml:space="preserve">Journal of Marketing, </w:t>
      </w:r>
      <w:r>
        <w:rPr>
          <w:rFonts w:ascii="Times New Roman" w:hAnsi="Times New Roman"/>
          <w:i/>
          <w:color w:val="000000"/>
          <w:sz w:val="24"/>
        </w:rPr>
        <w:t>80</w:t>
      </w:r>
      <w:r>
        <w:rPr>
          <w:rFonts w:ascii="Times New Roman" w:hAnsi="Times New Roman"/>
          <w:color w:val="000000"/>
          <w:sz w:val="24"/>
        </w:rPr>
        <w:t>(6)</w:t>
      </w:r>
      <w:r>
        <w:rPr>
          <w:rFonts w:ascii="Times New Roman" w:hAnsi="Times New Roman"/>
          <w:color w:val="000000"/>
          <w:sz w:val="24"/>
        </w:rPr>
        <w:t xml:space="preserve">, 69–96. </w:t>
      </w:r>
      <w:hyperlink r:id="rId21">
        <w:r>
          <w:rPr>
            <w:color w:val="000000"/>
          </w:rPr>
          <w:t>https://doi.org/10.1509/jm.15.0420</w:t>
        </w:r>
      </w:hyperlink>
    </w:p>
    <w:p>
      <w:pPr>
        <w:keepLines/>
        <w:spacing w:line="240" w:lineRule="auto" w:after="160"/>
        <w:ind w:left="720" w:hanging="720"/>
      </w:pPr>
      <w:r>
        <w:rPr>
          <w:rFonts w:ascii="Times New Roman" w:hAnsi="Times New Roman"/>
          <w:color w:val="000000"/>
          <w:sz w:val="24"/>
        </w:rPr>
        <w:t xml:space="preserve">Leventhal, L. (2008). The role of understanding customer expectations in aged care. </w:t>
      </w:r>
      <w:r>
        <w:rPr>
          <w:rFonts w:ascii="Times New Roman" w:hAnsi="Times New Roman"/>
          <w:i/>
          <w:color w:val="000000"/>
          <w:sz w:val="24"/>
        </w:rPr>
        <w:t xml:space="preserve">International Journal of Health Care Quality Assurance, </w:t>
      </w:r>
      <w:r>
        <w:rPr>
          <w:rFonts w:ascii="Times New Roman" w:hAnsi="Times New Roman"/>
          <w:i/>
          <w:color w:val="000000"/>
          <w:sz w:val="24"/>
        </w:rPr>
        <w:t>21</w:t>
      </w:r>
      <w:r>
        <w:rPr>
          <w:rFonts w:ascii="Times New Roman" w:hAnsi="Times New Roman"/>
          <w:color w:val="000000"/>
          <w:sz w:val="24"/>
        </w:rPr>
        <w:t>(1)</w:t>
      </w:r>
      <w:r>
        <w:rPr>
          <w:rFonts w:ascii="Times New Roman" w:hAnsi="Times New Roman"/>
          <w:color w:val="000000"/>
          <w:sz w:val="24"/>
        </w:rPr>
        <w:t xml:space="preserve">, 50–59. </w:t>
      </w:r>
      <w:hyperlink r:id="rId22">
        <w:r>
          <w:rPr>
            <w:color w:val="000000"/>
          </w:rPr>
          <w:t>https://doi.org/10.1108/09526860810841156</w:t>
        </w:r>
      </w:hyperlink>
    </w:p>
    <w:p>
      <w:pPr>
        <w:keepLines/>
        <w:spacing w:line="240" w:lineRule="auto" w:after="160"/>
        <w:ind w:left="720" w:hanging="720"/>
      </w:pPr>
      <w:r>
        <w:rPr>
          <w:rFonts w:ascii="Times New Roman" w:hAnsi="Times New Roman"/>
          <w:color w:val="000000"/>
          <w:sz w:val="24"/>
        </w:rPr>
        <w:t>Morgan, D. L. (2014). Pragmatism as a paradigm for social research. Qualitative Inquiry, 20(8), 1045–1053. https://doi.org/10.1177/1077800413513733</w:t>
      </w:r>
    </w:p>
    <w:p>
      <w:pPr>
        <w:keepLines/>
        <w:spacing w:line="240" w:lineRule="auto" w:after="160"/>
        <w:ind w:left="720" w:hanging="720"/>
      </w:pPr>
      <w:r>
        <w:rPr>
          <w:rFonts w:ascii="Times New Roman" w:hAnsi="Times New Roman"/>
          <w:color w:val="000000"/>
          <w:sz w:val="24"/>
        </w:rPr>
        <w:t xml:space="preserve">Mulyanegara, R. C., Tsarenko, Y., &amp; Mavondo, F. T. (2010). An empirical investigation on the role of market orientation in church participation. </w:t>
      </w:r>
      <w:r>
        <w:rPr>
          <w:rFonts w:ascii="Times New Roman" w:hAnsi="Times New Roman"/>
          <w:i/>
          <w:color w:val="000000"/>
          <w:sz w:val="24"/>
        </w:rPr>
        <w:t xml:space="preserve">International Journal of Nonprofit and Voluntary Sector Marketing, </w:t>
      </w:r>
      <w:r>
        <w:rPr>
          <w:rFonts w:ascii="Times New Roman" w:hAnsi="Times New Roman"/>
          <w:i/>
          <w:color w:val="000000"/>
          <w:sz w:val="24"/>
        </w:rPr>
        <w:t>15</w:t>
      </w:r>
      <w:r>
        <w:rPr>
          <w:rFonts w:ascii="Times New Roman" w:hAnsi="Times New Roman"/>
          <w:color w:val="000000"/>
          <w:sz w:val="24"/>
        </w:rPr>
        <w:t>(4)</w:t>
      </w:r>
      <w:r>
        <w:rPr>
          <w:rFonts w:ascii="Times New Roman" w:hAnsi="Times New Roman"/>
          <w:color w:val="000000"/>
          <w:sz w:val="24"/>
        </w:rPr>
        <w:t xml:space="preserve">, 339–351. </w:t>
      </w:r>
      <w:hyperlink r:id="rId24">
        <w:r>
          <w:rPr>
            <w:color w:val="000000"/>
          </w:rPr>
          <w:t>https://doi.org/10.1002/nvsm.399</w:t>
        </w:r>
      </w:hyperlink>
    </w:p>
    <w:p>
      <w:pPr>
        <w:keepLines/>
        <w:spacing w:line="240" w:lineRule="auto" w:after="160"/>
        <w:ind w:left="720" w:hanging="720"/>
      </w:pPr>
      <w:r>
        <w:rPr>
          <w:rFonts w:ascii="Times New Roman" w:hAnsi="Times New Roman"/>
          <w:color w:val="000000"/>
          <w:sz w:val="24"/>
        </w:rPr>
        <w:t xml:space="preserve">Mulyanegara, R. C., Tsarenko, Y., &amp; Mavondo, F. T. (2011). Church marketing: The effect of market orientation on perceived benefits and church participation. </w:t>
      </w:r>
      <w:r>
        <w:rPr>
          <w:rFonts w:ascii="Times New Roman" w:hAnsi="Times New Roman"/>
          <w:i/>
          <w:color w:val="000000"/>
          <w:sz w:val="24"/>
        </w:rPr>
        <w:t xml:space="preserve">Services Marketing Quarterly, </w:t>
      </w:r>
      <w:r>
        <w:rPr>
          <w:rFonts w:ascii="Times New Roman" w:hAnsi="Times New Roman"/>
          <w:i/>
          <w:color w:val="000000"/>
          <w:sz w:val="24"/>
        </w:rPr>
        <w:t>32</w:t>
      </w:r>
      <w:r>
        <w:rPr>
          <w:rFonts w:ascii="Times New Roman" w:hAnsi="Times New Roman"/>
          <w:color w:val="000000"/>
          <w:sz w:val="24"/>
        </w:rPr>
        <w:t>(1)</w:t>
      </w:r>
      <w:r>
        <w:rPr>
          <w:rFonts w:ascii="Times New Roman" w:hAnsi="Times New Roman"/>
          <w:color w:val="000000"/>
          <w:sz w:val="24"/>
        </w:rPr>
        <w:t xml:space="preserve">, 60–82. </w:t>
      </w:r>
      <w:hyperlink r:id="rId25">
        <w:r>
          <w:rPr>
            <w:color w:val="000000"/>
          </w:rPr>
          <w:t>https://doi.org/10.1080/15332969.2011.533100</w:t>
        </w:r>
      </w:hyperlink>
    </w:p>
    <w:p>
      <w:pPr>
        <w:keepLines/>
        <w:spacing w:line="240" w:lineRule="auto" w:after="160"/>
        <w:ind w:left="720" w:hanging="720"/>
      </w:pPr>
      <w:r>
        <w:rPr>
          <w:rFonts w:ascii="Times New Roman" w:hAnsi="Times New Roman"/>
          <w:color w:val="000000"/>
          <w:sz w:val="24"/>
        </w:rPr>
        <w:t xml:space="preserve">Parasuraman, A., Zeithaml, V. A., &amp; Berry, L. L. (1988). SERVQUAL: A multiple-item scale for measuring consumer perceptions of service quality. </w:t>
      </w:r>
      <w:r>
        <w:rPr>
          <w:rFonts w:ascii="Times New Roman" w:hAnsi="Times New Roman"/>
          <w:i/>
          <w:color w:val="000000"/>
          <w:sz w:val="24"/>
        </w:rPr>
        <w:t xml:space="preserve">Journal of Retailing, </w:t>
      </w:r>
      <w:r>
        <w:rPr>
          <w:rFonts w:ascii="Times New Roman" w:hAnsi="Times New Roman"/>
          <w:i/>
          <w:color w:val="000000"/>
          <w:sz w:val="24"/>
        </w:rPr>
        <w:t>64</w:t>
      </w:r>
      <w:r>
        <w:rPr>
          <w:rFonts w:ascii="Times New Roman" w:hAnsi="Times New Roman"/>
          <w:color w:val="000000"/>
          <w:sz w:val="24"/>
        </w:rPr>
        <w:t>(1)</w:t>
      </w:r>
      <w:r>
        <w:rPr>
          <w:rFonts w:ascii="Times New Roman" w:hAnsi="Times New Roman"/>
          <w:color w:val="000000"/>
          <w:sz w:val="24"/>
        </w:rPr>
        <w:t xml:space="preserve">, 12–40. </w:t>
      </w:r>
      <w:hyperlink r:id="rId26">
        <w:r>
          <w:rPr>
            <w:color w:val="000000"/>
          </w:rPr>
          <w:t>https://www.marketeurexpert.fr/wp-content/uploads/2023/12/servqual.pdf</w:t>
        </w:r>
      </w:hyperlink>
    </w:p>
    <w:p>
      <w:pPr>
        <w:keepLines/>
        <w:spacing w:line="240" w:lineRule="auto" w:after="160"/>
        <w:ind w:left="720" w:hanging="720"/>
      </w:pPr>
      <w:r>
        <w:rPr>
          <w:rFonts w:ascii="Times New Roman" w:hAnsi="Times New Roman"/>
          <w:color w:val="000000"/>
          <w:sz w:val="24"/>
        </w:rPr>
        <w:t xml:space="preserve">Pew Research Center. (2023, June 2). </w:t>
      </w:r>
      <w:r>
        <w:rPr>
          <w:rFonts w:ascii="Times New Roman" w:hAnsi="Times New Roman"/>
          <w:i/>
          <w:color w:val="000000"/>
          <w:sz w:val="24"/>
        </w:rPr>
        <w:t xml:space="preserve">Online religious services appeal to many Americans, but going in person remains more popular. </w:t>
      </w:r>
      <w:hyperlink r:id="rId27">
        <w:r>
          <w:rPr>
            <w:color w:val="000000"/>
          </w:rPr>
          <w:t>https://www.pewresearch.org/religion/2023/06/02/online-religious-services-appeal-to-many-americans-but-going-in-person-remains-more-popular/</w:t>
        </w:r>
      </w:hyperlink>
    </w:p>
    <w:p>
      <w:pPr>
        <w:keepLines/>
        <w:spacing w:line="240" w:lineRule="auto" w:after="160"/>
        <w:ind w:left="720" w:hanging="720"/>
      </w:pPr>
      <w:r>
        <w:rPr>
          <w:rFonts w:ascii="Times New Roman" w:hAnsi="Times New Roman"/>
          <w:color w:val="000000"/>
          <w:sz w:val="24"/>
        </w:rPr>
        <w:t xml:space="preserve">Prohl-Schwenke, K., &amp; Kleinaltenkamp, M. (2021). How business customers judge customer success management. </w:t>
      </w:r>
      <w:r>
        <w:rPr>
          <w:rFonts w:ascii="Times New Roman" w:hAnsi="Times New Roman"/>
          <w:i/>
          <w:color w:val="000000"/>
          <w:sz w:val="24"/>
        </w:rPr>
        <w:t xml:space="preserve">Industrial Marketing Management, </w:t>
      </w:r>
      <w:r>
        <w:rPr>
          <w:rFonts w:ascii="Times New Roman" w:hAnsi="Times New Roman"/>
          <w:i/>
          <w:color w:val="000000"/>
          <w:sz w:val="24"/>
        </w:rPr>
        <w:t>96</w:t>
      </w:r>
      <w:r>
        <w:rPr>
          <w:rFonts w:ascii="Times New Roman" w:hAnsi="Times New Roman"/>
          <w:color w:val="000000"/>
          <w:sz w:val="24"/>
        </w:rPr>
        <w:t xml:space="preserve">, 197–212. </w:t>
      </w:r>
      <w:hyperlink r:id="rId28">
        <w:r>
          <w:rPr>
            <w:color w:val="000000"/>
          </w:rPr>
          <w:t>https://doi.org/10.1016/j.indmarman.2021.05.004</w:t>
        </w:r>
      </w:hyperlink>
    </w:p>
    <w:p>
      <w:pPr>
        <w:keepLines/>
        <w:spacing w:line="240" w:lineRule="auto" w:after="160"/>
        <w:ind w:left="720" w:hanging="720"/>
      </w:pPr>
      <w:r>
        <w:rPr>
          <w:rFonts w:ascii="Times New Roman" w:hAnsi="Times New Roman"/>
          <w:color w:val="000000"/>
          <w:sz w:val="24"/>
        </w:rPr>
        <w:t xml:space="preserve">Santos, J., &amp; Mathews, B. P. (2001). Quality in religious services. </w:t>
      </w:r>
      <w:r>
        <w:rPr>
          <w:rFonts w:ascii="Times New Roman" w:hAnsi="Times New Roman"/>
          <w:i/>
          <w:color w:val="000000"/>
          <w:sz w:val="24"/>
        </w:rPr>
        <w:t xml:space="preserve">International Journal of Nonprofit and Voluntary Sector Marketing, </w:t>
      </w:r>
      <w:r>
        <w:rPr>
          <w:rFonts w:ascii="Times New Roman" w:hAnsi="Times New Roman"/>
          <w:i/>
          <w:color w:val="000000"/>
          <w:sz w:val="24"/>
        </w:rPr>
        <w:t>6</w:t>
      </w:r>
      <w:r>
        <w:rPr>
          <w:rFonts w:ascii="Times New Roman" w:hAnsi="Times New Roman"/>
          <w:color w:val="000000"/>
          <w:sz w:val="24"/>
        </w:rPr>
        <w:t>(3)</w:t>
      </w:r>
      <w:r>
        <w:rPr>
          <w:rFonts w:ascii="Times New Roman" w:hAnsi="Times New Roman"/>
          <w:color w:val="000000"/>
          <w:sz w:val="24"/>
        </w:rPr>
        <w:t xml:space="preserve">, 278–288. </w:t>
      </w:r>
      <w:hyperlink r:id="rId29">
        <w:r>
          <w:rPr>
            <w:color w:val="000000"/>
          </w:rPr>
          <w:t>https://doi.org/10.1002/nvsm.153</w:t>
        </w:r>
      </w:hyperlink>
    </w:p>
    <w:p>
      <w:pPr>
        <w:keepLines/>
        <w:spacing w:line="240" w:lineRule="auto" w:after="160"/>
        <w:ind w:left="720" w:hanging="720"/>
      </w:pPr>
      <w:r>
        <w:rPr>
          <w:rFonts w:ascii="Times New Roman" w:hAnsi="Times New Roman"/>
          <w:color w:val="000000"/>
          <w:sz w:val="24"/>
        </w:rPr>
        <w:t xml:space="preserve">Sinaga, J., Sinambela, J. L., Pelawi, S., &amp; Tinenti, M. L. (2022). Gereja Bintang Lima Dalam Pelayanan Ibadah Extravaganza. </w:t>
      </w:r>
      <w:r>
        <w:rPr>
          <w:rFonts w:ascii="Times New Roman" w:hAnsi="Times New Roman"/>
          <w:i/>
          <w:color w:val="000000"/>
          <w:sz w:val="24"/>
        </w:rPr>
        <w:t xml:space="preserve">Journal Kerusso, </w:t>
      </w:r>
      <w:r>
        <w:rPr>
          <w:rFonts w:ascii="Times New Roman" w:hAnsi="Times New Roman"/>
          <w:i/>
          <w:color w:val="000000"/>
          <w:sz w:val="24"/>
        </w:rPr>
        <w:t>7</w:t>
      </w:r>
      <w:r>
        <w:rPr>
          <w:rFonts w:ascii="Times New Roman" w:hAnsi="Times New Roman"/>
          <w:color w:val="000000"/>
          <w:sz w:val="24"/>
        </w:rPr>
        <w:t>(2)</w:t>
      </w:r>
      <w:r>
        <w:rPr>
          <w:rFonts w:ascii="Times New Roman" w:hAnsi="Times New Roman"/>
          <w:color w:val="000000"/>
          <w:sz w:val="24"/>
        </w:rPr>
        <w:t xml:space="preserve">, 1–13. </w:t>
      </w:r>
      <w:hyperlink r:id="rId31">
        <w:r>
          <w:rPr>
            <w:color w:val="000000"/>
          </w:rPr>
          <w:t>https://doi.org/10.33856/kerusso.v7i2.231</w:t>
        </w:r>
      </w:hyperlink>
    </w:p>
    <w:p>
      <w:pPr>
        <w:keepLines/>
        <w:spacing w:line="240" w:lineRule="auto" w:after="160"/>
        <w:ind w:left="720" w:hanging="720"/>
      </w:pPr>
      <w:r>
        <w:rPr>
          <w:rFonts w:ascii="Times New Roman" w:hAnsi="Times New Roman"/>
          <w:color w:val="000000"/>
          <w:sz w:val="24"/>
        </w:rPr>
        <w:t xml:space="preserve">Vuokko, P. (2000). Customer‐oriented thinking within the Finnish Lutheran Church. </w:t>
      </w:r>
      <w:r>
        <w:rPr>
          <w:rFonts w:ascii="Times New Roman" w:hAnsi="Times New Roman"/>
          <w:i/>
          <w:color w:val="000000"/>
          <w:sz w:val="24"/>
        </w:rPr>
        <w:t xml:space="preserve">International Journal of Nonprofit and Voluntary Sector Marketing, </w:t>
      </w:r>
      <w:r>
        <w:rPr>
          <w:rFonts w:ascii="Times New Roman" w:hAnsi="Times New Roman"/>
          <w:i/>
          <w:color w:val="000000"/>
          <w:sz w:val="24"/>
        </w:rPr>
        <w:t>5</w:t>
      </w:r>
      <w:r>
        <w:rPr>
          <w:rFonts w:ascii="Times New Roman" w:hAnsi="Times New Roman"/>
          <w:color w:val="000000"/>
          <w:sz w:val="24"/>
        </w:rPr>
        <w:t>(4)</w:t>
      </w:r>
      <w:r>
        <w:rPr>
          <w:rFonts w:ascii="Times New Roman" w:hAnsi="Times New Roman"/>
          <w:color w:val="000000"/>
          <w:sz w:val="24"/>
        </w:rPr>
        <w:t xml:space="preserve">, 333–347. </w:t>
      </w:r>
      <w:hyperlink r:id="rId32">
        <w:r>
          <w:rPr>
            <w:color w:val="000000"/>
          </w:rPr>
          <w:t>https://doi.org/10.1002/nvsm.124</w:t>
        </w:r>
      </w:hyperlink>
    </w:p>
    <w:p>
      <w:bookmarkStart w:id="424" w:name="m424"/>
      <w:pPr>
        <w:pStyle w:val="Heading1"/>
        <w:pageBreakBefore/>
      </w:pPr>
      <w:r>
        <w:rPr>
          <w:rFonts w:ascii="Times New Roman" w:hAnsi="Times New Roman"/>
          <w:b/>
          <w:color w:val="000000"/>
          <w:sz w:val="32"/>
        </w:rPr>
        <w:t>APPENDIX A — QUANTITATIVE PREPARATION AUDIT</w:t>
      </w:r>
      <w:bookmarkEnd w:id="424"/>
    </w:p>
    <w:p>
      <w:pPr>
        <w:spacing w:line="360" w:lineRule="auto" w:after="120"/>
      </w:pPr>
      <w:r>
        <w:rPr>
          <w:rFonts w:ascii="Times New Roman" w:hAnsi="Times New Roman"/>
          <w:color w:val="000000"/>
          <w:sz w:val="24"/>
        </w:rPr>
        <w:t>This appendix preserves the item-level audit trail for Chapter 4. The source transcription remains unchanged.</w:t>
      </w:r>
    </w:p>
    <w:p>
      <w:pPr>
        <w:spacing w:line="360" w:lineRule="auto" w:after="120"/>
      </w:pPr>
      <w:r>
        <w:rPr>
          <w:rFonts w:ascii="Times New Roman" w:hAnsi="Times New Roman"/>
          <w:color w:val="000000"/>
          <w:sz w:val="24"/>
        </w:rPr>
        <w:t>Concerns exclusions (24): S007, S011, S025, S028, S038, S039, S040, S041, S046, S049, S056, S071, S079, S083, S086, S087, S088, S102, S113, S120, S123, S130, S138, S140.</w:t>
      </w:r>
    </w:p>
    <w:p>
      <w:pPr>
        <w:spacing w:line="360" w:lineRule="auto" w:after="120"/>
      </w:pPr>
      <w:r>
        <w:rPr>
          <w:rFonts w:ascii="Times New Roman" w:hAnsi="Times New Roman"/>
          <w:color w:val="000000"/>
          <w:sz w:val="24"/>
        </w:rPr>
        <w:t>Monitoring exclusions (23): S002, S010, S021, S024, S034, S035, S036, S037, S049, S051, S056, S060, S065, S081, S101, S107, S120, S124, S125, S128, S132, S135, S136.</w:t>
      </w:r>
    </w:p>
    <w:p>
      <w:pPr>
        <w:spacing w:line="360" w:lineRule="auto" w:after="120"/>
      </w:pPr>
      <w:r>
        <w:rPr>
          <w:rFonts w:ascii="Times New Roman" w:hAnsi="Times New Roman"/>
          <w:color w:val="000000"/>
          <w:sz w:val="24"/>
        </w:rPr>
        <w:t>Overlap between the two exclusion sets (3): S049, S056 and S120. The union contains 44 records; 47 is the number of affected item responses, not distinct respondents.</w:t>
      </w:r>
    </w:p>
    <w:p>
      <w:pPr>
        <w:spacing w:line="360" w:lineRule="auto" w:after="120"/>
      </w:pPr>
      <w:r>
        <w:rPr>
          <w:rFonts w:ascii="Times New Roman" w:hAnsi="Times New Roman"/>
          <w:color w:val="000000"/>
          <w:sz w:val="24"/>
        </w:rPr>
        <w:t>Feedback-method entries retained with a “No formal process” ambiguity flag (11): S019, S024, S041, S045, S053, S080, S106, S107, S119, S127, S138. These records remain in the denominator of 140 for feedback methods. No respondent intention has been inferred.</w:t>
      </w:r>
    </w:p>
    <w:p>
      <w:pPr>
        <w:spacing w:line="360" w:lineRule="auto" w:after="120"/>
      </w:pPr>
      <w:r>
        <w:rPr>
          <w:rFonts w:ascii="Times New Roman" w:hAnsi="Times New Roman"/>
          <w:color w:val="000000"/>
          <w:sz w:val="24"/>
        </w:rPr>
        <w:t>Source: Helgard_Survey_Raw_Responses.docx, records C001–C100 and S001–S140. Analysis rules are documented in Section 3.5. The superseded questionnaire working document was not used for the calculations.</w:t>
      </w:r>
    </w:p>
    <w:p>
      <w:pPr>
        <w:spacing w:line="360" w:lineRule="auto" w:after="120"/>
      </w:pPr>
      <w:r>
        <w:rPr>
          <w:rFonts w:ascii="Times New Roman" w:hAnsi="Times New Roman"/>
          <w:color w:val="000000"/>
          <w:sz w:val="24"/>
        </w:rPr>
        <w:t>Source-file SHA-256 fingerprint:</w:t>
      </w:r>
    </w:p>
    <w:p>
      <w:pPr>
        <w:spacing w:line="360" w:lineRule="auto" w:after="120"/>
      </w:pPr>
      <w:r>
        <w:rPr>
          <w:rFonts w:ascii="Times New Roman" w:hAnsi="Times New Roman"/>
          <w:color w:val="000000"/>
          <w:sz w:val="18"/>
        </w:rPr>
        <w:t>b7b81ce18e8959872f601f45045c06a81370bfe5596de3648fe5d2f1a074ef90</w:t>
      </w:r>
    </w:p>
    <w:p>
      <w:pPr>
        <w:spacing w:line="360" w:lineRule="auto" w:after="120"/>
      </w:pPr>
      <w:r>
        <w:rPr>
          <w:rFonts w:ascii="Times New Roman" w:hAnsi="Times New Roman"/>
          <w:color w:val="000000"/>
          <w:sz w:val="24"/>
        </w:rPr>
        <w:t>The source fingerprint identifies the exact file analysed. Calculations used full precision before display rounding.</w:t>
      </w:r>
    </w:p>
    <w:p>
      <w:bookmarkStart w:id="425" w:name="m425"/>
      <w:pPr>
        <w:pStyle w:val="Heading1"/>
        <w:pageBreakBefore/>
      </w:pPr>
      <w:r>
        <w:rPr>
          <w:rFonts w:ascii="Times New Roman" w:hAnsi="Times New Roman"/>
          <w:b/>
          <w:color w:val="000000"/>
          <w:sz w:val="32"/>
        </w:rPr>
        <w:t>APPENDIX B — QUALITATIVE CODEBOOK AND CODING AUDIT</w:t>
      </w:r>
      <w:bookmarkEnd w:id="425"/>
    </w:p>
    <w:p>
      <w:pPr>
        <w:spacing w:line="360" w:lineRule="auto" w:after="120"/>
      </w:pPr>
      <w:r>
        <w:rPr>
          <w:rFonts w:ascii="Times New Roman" w:hAnsi="Times New Roman"/>
          <w:color w:val="000000"/>
          <w:sz w:val="24"/>
        </w:rPr>
        <w:t>This appendix preserves the code definitions and mapping for the AI-assisted descriptive content analysis in Chapter 5. The wording below reproduces the supplied transcription; it is not independently verified verbatim participant speech.</w:t>
      </w:r>
    </w:p>
    <w:p>
      <w:pPr>
        <w:pStyle w:val="Heading2"/>
        <w:pageBreakBefore w:val="0"/>
      </w:pPr>
      <w:r>
        <w:rPr>
          <w:rFonts w:ascii="Times New Roman" w:hAnsi="Times New Roman"/>
          <w:b/>
          <w:color w:val="000000"/>
          <w:sz w:val="26"/>
        </w:rPr>
        <w:t>Codebook  Adoption Reasons</w:t>
      </w:r>
    </w:p>
    <w:p>
      <w:pPr>
        <w:spacing w:line="360" w:lineRule="auto" w:after="120"/>
      </w:pPr>
      <w:r>
        <w:rPr>
          <w:rFonts w:ascii="Times New Roman" w:hAnsi="Times New Roman"/>
          <w:color w:val="000000"/>
          <w:sz w:val="24"/>
        </w:rPr>
        <w:t>Codes apply to explicit content in the reason field. They may overlap. Implicit motives or attitudes are not inferred from the respondent’s closed-question selection.</w:t>
      </w:r>
    </w:p>
    <w:tbl>
      <w:tblPr>
        <w:tblW w:type="auto" w:w="0"/>
        <w:tblLayout w:type="fixed"/>
        <w:tblLook w:firstColumn="1" w:firstRow="1" w:lastColumn="0" w:lastRow="0" w:noHBand="0" w:noVBand="1" w:val="04A0"/>
      </w:tblPr>
      <w:tblGrid>
        <w:gridCol w:w="864"/>
        <w:gridCol w:w="7776"/>
      </w:tblGrid>
      <w:tr>
        <w:trPr>
          <w:cantSplit/>
          <w:tblHeader/>
        </w:trPr>
        <w:tc>
          <w:tcPr>
            <w:tcW w:type="dxa" w:w="864"/>
            <w:tcBorders>
              <w:top w:val="single" w:sz="4" w:color="D9D9D9"/>
              <w:left w:val="single" w:sz="4" w:color="D9D9D9"/>
              <w:bottom w:val="single" w:sz="4" w:color="D9D9D9"/>
              <w:right w:val="single" w:sz="4" w:color="D9D9D9"/>
            </w:tcBorders>
            <w:shd w:fill="E7EEF4"/>
          </w:tcPr>
          <w:p>
            <w:pPr>
              <w:keepNext/>
              <w:spacing w:before="80" w:after="60" w:line="240" w:lineRule="auto"/>
            </w:pPr>
            <w:r>
              <w:rPr>
                <w:rFonts w:ascii="Times New Roman" w:hAnsi="Times New Roman"/>
                <w:b/>
                <w:sz w:val="20"/>
              </w:rPr>
              <w:t>Code</w:t>
            </w:r>
          </w:p>
        </w:tc>
        <w:tc>
          <w:tcPr>
            <w:tcW w:type="dxa" w:w="7776"/>
            <w:tcBorders>
              <w:top w:val="single" w:sz="4" w:color="D9D9D9"/>
              <w:left w:val="single" w:sz="4" w:color="D9D9D9"/>
              <w:bottom w:val="single" w:sz="4" w:color="D9D9D9"/>
              <w:right w:val="single" w:sz="4" w:color="D9D9D9"/>
            </w:tcBorders>
            <w:shd w:fill="E7EEF4"/>
          </w:tcPr>
          <w:p>
            <w:pPr>
              <w:keepNext/>
              <w:spacing w:before="80" w:after="60" w:line="240" w:lineRule="auto"/>
            </w:pPr>
            <w:r>
              <w:rPr>
                <w:rFonts w:ascii="Times New Roman" w:hAnsi="Times New Roman"/>
                <w:b/>
                <w:sz w:val="20"/>
              </w:rPr>
              <w:t>Category and operational rule</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A</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Selective or conditional adoption. Explicit conditions, selective use, “it depends”, or limits on which practices should be adopted. General concern alone does not trigger this code.</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B</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Practical value of service practices. An explicit statement that practices, structure, professionalism or service actions can help, are useful or are worthwhile. Conditional usefulness is included.</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M</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Protection of spiritual purpose. Explicit preservation of ministry, faith, spirituality, mission or spiritual purpose. General objections to customer language alone are insufficient.</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R</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Concern about commercial models or language. Explicit concern about commercialisation, corporate/customer framing, transactions, metrics replacing faith, or preference against commercial models.</w:t>
            </w:r>
          </w:p>
        </w:tc>
      </w:tr>
      <w:tr>
        <w:trPr>
          <w:cantSplit/>
        </w:trPr>
        <w:tc>
          <w:tcPr>
            <w:tcW w:type="dxa" w:w="864"/>
            <w:tcBorders>
              <w:top w:val="single" w:sz="4" w:color="D9D9D9"/>
              <w:left w:val="single" w:sz="4" w:color="D9D9D9"/>
              <w:bottom w:val="single" w:sz="4" w:color="D9D9D9"/>
              <w:right w:val="single" w:sz="4" w:color="D9D9D9"/>
            </w:tcBorders>
          </w:tcPr>
          <w:p>
            <w:pPr>
              <w:keepNext w:val="0"/>
              <w:spacing w:before="80" w:after="60" w:line="240" w:lineRule="auto"/>
            </w:pPr>
            <w:r>
              <w:rPr>
                <w:rFonts w:ascii="Times New Roman" w:hAnsi="Times New Roman"/>
                <w:b w:val="0"/>
                <w:sz w:val="20"/>
              </w:rPr>
              <w:t>E</w:t>
            </w:r>
          </w:p>
        </w:tc>
        <w:tc>
          <w:tcPr>
            <w:tcW w:type="dxa" w:w="7776"/>
            <w:tcBorders>
              <w:top w:val="single" w:sz="4" w:color="D9D9D9"/>
              <w:left w:val="single" w:sz="4" w:color="D9D9D9"/>
              <w:bottom w:val="single" w:sz="4" w:color="D9D9D9"/>
              <w:right w:val="single" w:sz="4" w:color="D9D9D9"/>
            </w:tcBorders>
          </w:tcPr>
          <w:p>
            <w:pPr>
              <w:keepNext w:val="0"/>
              <w:spacing w:before="80" w:after="60" w:line="240" w:lineRule="auto"/>
            </w:pPr>
            <w:r>
              <w:rPr>
                <w:rFonts w:ascii="Times New Roman" w:hAnsi="Times New Roman"/>
                <w:b w:val="0"/>
                <w:sz w:val="20"/>
              </w:rPr>
              <w:t>Preference for pastoral rather than business approaches. Explicit preference for pastoral care rather than business models; a narrow category retained for the two corresponding records.</w:t>
            </w:r>
          </w:p>
        </w:tc>
      </w:tr>
    </w:tbl>
    <w:p>
      <w:pPr>
        <w:spacing w:line="360" w:lineRule="auto" w:after="120"/>
      </w:pPr>
      <w:r>
        <w:rPr>
          <w:rFonts w:ascii="Times New Roman" w:hAnsi="Times New Roman"/>
          <w:color w:val="000000"/>
          <w:sz w:val="24"/>
        </w:rPr>
        <w:t>Coding decision: a statement can recognise practical value while criticising commercialisation. Such statements receive both B and R. The code for spiritual purpose is applied where the wording explicitly names that purpose, rather than being inferred for every church-related statement. The generic statement that an idea could work if applied selectively (R11) receives A only; it does not specify a service benefit.</w:t>
      </w:r>
    </w:p>
    <w:p>
      <w:pPr>
        <w:spacing w:line="360" w:lineRule="auto" w:after="120"/>
      </w:pPr>
      <w:r>
        <w:rPr>
          <w:rFonts w:ascii="Times New Roman" w:hAnsi="Times New Roman"/>
          <w:color w:val="000000"/>
          <w:sz w:val="24"/>
        </w:rPr>
        <w:t>The 20 distinct reason statements are labelled R01–R20 in the audit appendix. IDs identify the original congregant records. The labels are audit references, not additional respondents or interview identifiers.</w:t>
      </w:r>
    </w:p>
    <w:p>
      <w:pPr>
        <w:pStyle w:val="Heading2"/>
        <w:pageBreakBefore w:val="0"/>
      </w:pPr>
      <w:r>
        <w:rPr>
          <w:rFonts w:ascii="Times New Roman" w:hAnsi="Times New Roman"/>
          <w:b/>
          <w:color w:val="000000"/>
          <w:sz w:val="26"/>
        </w:rPr>
        <w:t>Codebook  Improvement and Practice Suggestions</w:t>
      </w:r>
    </w:p>
    <w:tbl>
      <w:tblPr>
        <w:tblW w:type="auto" w:w="0"/>
        <w:tblLayout w:type="fixed"/>
        <w:tblLook w:firstColumn="1" w:firstRow="1" w:lastColumn="0" w:lastRow="0" w:noHBand="0" w:noVBand="1" w:val="04A0"/>
      </w:tblPr>
      <w:tblGrid>
        <w:gridCol w:w="864"/>
        <w:gridCol w:w="7776"/>
      </w:tblGrid>
      <w:tr>
        <w:trPr>
          <w:cantSplit/>
          <w:tblHeader/>
        </w:trPr>
        <w:tc>
          <w:tcPr>
            <w:tcW w:type="dxa" w:w="864"/>
            <w:tcBorders>
              <w:top w:val="single" w:sz="4" w:color="D9D9D9"/>
              <w:left w:val="single" w:sz="4" w:color="D9D9D9"/>
              <w:bottom w:val="single" w:sz="4" w:color="D9D9D9"/>
              <w:right w:val="single" w:sz="4" w:color="D9D9D9"/>
            </w:tcBorders>
            <w:shd w:fill="E7EEF4"/>
          </w:tcPr>
          <w:p>
            <w:pPr>
              <w:keepNext/>
              <w:spacing w:before="80" w:after="60" w:line="240" w:lineRule="auto"/>
            </w:pPr>
            <w:r>
              <w:rPr>
                <w:rFonts w:ascii="Times New Roman" w:hAnsi="Times New Roman"/>
                <w:b/>
                <w:sz w:val="20"/>
              </w:rPr>
              <w:t>Code</w:t>
            </w:r>
          </w:p>
        </w:tc>
        <w:tc>
          <w:tcPr>
            <w:tcW w:type="dxa" w:w="7776"/>
            <w:tcBorders>
              <w:top w:val="single" w:sz="4" w:color="D9D9D9"/>
              <w:left w:val="single" w:sz="4" w:color="D9D9D9"/>
              <w:bottom w:val="single" w:sz="4" w:color="D9D9D9"/>
              <w:right w:val="single" w:sz="4" w:color="D9D9D9"/>
            </w:tcBorders>
            <w:shd w:fill="E7EEF4"/>
          </w:tcPr>
          <w:p>
            <w:pPr>
              <w:keepNext/>
              <w:spacing w:before="80" w:after="60" w:line="240" w:lineRule="auto"/>
            </w:pPr>
            <w:r>
              <w:rPr>
                <w:rFonts w:ascii="Times New Roman" w:hAnsi="Times New Roman"/>
                <w:b/>
                <w:sz w:val="20"/>
              </w:rPr>
              <w:t>Category and operational rule</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RC</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Personal welcome and pastoral connection. Personal welcome, newcomer attention, time with members, or pastoral contact and support.</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FB</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Listening and acting on feedback. Opportunities to express concerns; structured feedback sessions; follow-up on suggestions and explanation of action. General service follow-through without reference to feedback is not included.</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AI</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Accessibility and linguistic inclusion. Parking or facility access, inclusion, bilingual services or translation.</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VC</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Volunteer training and coordination. Volunteer or greeter training, clearer roles, professional coordination or service follow-through.</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FC</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Family provision and small-group community. Childcare, youth or family activities, or small groups to support community.</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FR</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Restraint in fundraising appeals. Reducing repeated fundraising appeals.</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CO</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Clear information and digital communication. Clear information about activities or support, email, apps, social media or online communication.</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WR</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Engaging and contextually relevant worship. More engaging, relevant or less formal services.</w:t>
            </w:r>
          </w:p>
        </w:tc>
      </w:tr>
      <w:tr>
        <w:trPr>
          <w:cantSplit/>
        </w:trPr>
        <w:tc>
          <w:tcPr>
            <w:tcW w:type="dxa" w:w="864"/>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OU</w:t>
            </w:r>
          </w:p>
        </w:tc>
        <w:tc>
          <w:tcPr>
            <w:tcW w:type="dxa" w:w="7776"/>
            <w:tcBorders>
              <w:top w:val="single" w:sz="4" w:color="D9D9D9"/>
              <w:left w:val="single" w:sz="4" w:color="D9D9D9"/>
              <w:bottom w:val="single" w:sz="4" w:color="D9D9D9"/>
              <w:right w:val="single" w:sz="4" w:color="D9D9D9"/>
            </w:tcBorders>
          </w:tcPr>
          <w:p>
            <w:pPr>
              <w:keepNext/>
              <w:spacing w:before="80" w:after="60" w:line="240" w:lineRule="auto"/>
            </w:pPr>
            <w:r>
              <w:rPr>
                <w:rFonts w:ascii="Times New Roman" w:hAnsi="Times New Roman"/>
                <w:b w:val="0"/>
                <w:sz w:val="20"/>
              </w:rPr>
              <w:t>Practical community outreach. Practical outreach to the wider community.</w:t>
            </w:r>
          </w:p>
        </w:tc>
      </w:tr>
      <w:tr>
        <w:trPr>
          <w:cantSplit/>
        </w:trPr>
        <w:tc>
          <w:tcPr>
            <w:tcW w:type="dxa" w:w="864"/>
            <w:tcBorders>
              <w:top w:val="single" w:sz="4" w:color="D9D9D9"/>
              <w:left w:val="single" w:sz="4" w:color="D9D9D9"/>
              <w:bottom w:val="single" w:sz="4" w:color="D9D9D9"/>
              <w:right w:val="single" w:sz="4" w:color="D9D9D9"/>
            </w:tcBorders>
          </w:tcPr>
          <w:p>
            <w:pPr>
              <w:keepNext w:val="0"/>
              <w:spacing w:before="80" w:after="60" w:line="240" w:lineRule="auto"/>
            </w:pPr>
            <w:r>
              <w:rPr>
                <w:rFonts w:ascii="Times New Roman" w:hAnsi="Times New Roman"/>
                <w:b w:val="0"/>
                <w:sz w:val="20"/>
              </w:rPr>
              <w:t>NONE</w:t>
            </w:r>
          </w:p>
        </w:tc>
        <w:tc>
          <w:tcPr>
            <w:tcW w:type="dxa" w:w="7776"/>
            <w:tcBorders>
              <w:top w:val="single" w:sz="4" w:color="D9D9D9"/>
              <w:left w:val="single" w:sz="4" w:color="D9D9D9"/>
              <w:bottom w:val="single" w:sz="4" w:color="D9D9D9"/>
              <w:right w:val="single" w:sz="4" w:color="D9D9D9"/>
            </w:tcBorders>
          </w:tcPr>
          <w:p>
            <w:pPr>
              <w:keepNext w:val="0"/>
              <w:spacing w:before="80" w:after="60" w:line="240" w:lineRule="auto"/>
            </w:pPr>
            <w:r>
              <w:rPr>
                <w:rFonts w:ascii="Times New Roman" w:hAnsi="Times New Roman"/>
                <w:b w:val="0"/>
                <w:sz w:val="20"/>
              </w:rPr>
              <w:t>No specific improvement suggested. Explicit “No specific improvement suggested”; a non-suggestion, not a substantive theme.</w:t>
            </w:r>
          </w:p>
        </w:tc>
      </w:tr>
    </w:tbl>
    <w:p>
      <w:pPr>
        <w:spacing w:line="360" w:lineRule="auto" w:after="120"/>
      </w:pPr>
      <w:r>
        <w:rPr>
          <w:rFonts w:ascii="Times New Roman" w:hAnsi="Times New Roman"/>
          <w:color w:val="000000"/>
          <w:sz w:val="24"/>
        </w:rPr>
        <w:t>Examples of overlap: training greeters to welcome newcomers receives VC and RC; digital communication with online pastoral support receives CO and RC; engaging services with family programmes receives WR and FC. Each matching record is counted once in each assigned category.</w:t>
      </w:r>
    </w:p>
    <w:p>
      <w:pPr>
        <w:pStyle w:val="Heading2"/>
        <w:pageBreakBefore w:val="0"/>
      </w:pPr>
      <w:r>
        <w:rPr>
          <w:rFonts w:ascii="Times New Roman" w:hAnsi="Times New Roman"/>
          <w:b/>
          <w:color w:val="000000"/>
          <w:sz w:val="26"/>
        </w:rPr>
        <w:t>Coding Audit  Adoption reasons</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R01 | n = 8 | Codes: A, B, M</w:t>
      </w:r>
    </w:p>
    <w:p>
      <w:pPr>
        <w:keepNext/>
        <w:spacing w:line="360" w:lineRule="auto" w:after="120"/>
      </w:pPr>
      <w:r>
        <w:rPr>
          <w:rFonts w:ascii="Times New Roman" w:hAnsi="Times New Roman"/>
          <w:color w:val="000000"/>
          <w:sz w:val="24"/>
        </w:rPr>
        <w:t>There is value in structure, as long as it supports rather than replaces ministry.</w:t>
      </w:r>
    </w:p>
    <w:p>
      <w:pPr>
        <w:spacing w:line="360" w:lineRule="auto" w:after="120"/>
      </w:pPr>
      <w:r>
        <w:rPr>
          <w:rFonts w:ascii="Times New Roman" w:hAnsi="Times New Roman"/>
          <w:color w:val="000000"/>
          <w:sz w:val="24"/>
        </w:rPr>
        <w:t>Records: C001, C022, C023, C040, C041, C092, C094, C098</w:t>
      </w:r>
    </w:p>
    <w:p>
      <w:pPr>
        <w:keepNext/>
        <w:spacing w:line="360" w:lineRule="auto" w:after="120"/>
      </w:pPr>
      <w:r>
        <w:rPr>
          <w:rFonts w:ascii="Times New Roman" w:hAnsi="Times New Roman"/>
          <w:b/>
          <w:color w:val="000000"/>
          <w:sz w:val="24"/>
        </w:rPr>
        <w:t>R02 | n = 7 | Codes: B, M</w:t>
      </w:r>
    </w:p>
    <w:p>
      <w:pPr>
        <w:keepNext/>
        <w:spacing w:line="360" w:lineRule="auto" w:after="120"/>
      </w:pPr>
      <w:r>
        <w:rPr>
          <w:rFonts w:ascii="Times New Roman" w:hAnsi="Times New Roman"/>
          <w:color w:val="000000"/>
          <w:sz w:val="24"/>
        </w:rPr>
        <w:t>Professional service standards can strengthen ministry without changing its purpose.</w:t>
      </w:r>
    </w:p>
    <w:p>
      <w:pPr>
        <w:spacing w:line="360" w:lineRule="auto" w:after="120"/>
      </w:pPr>
      <w:r>
        <w:rPr>
          <w:rFonts w:ascii="Times New Roman" w:hAnsi="Times New Roman"/>
          <w:color w:val="000000"/>
          <w:sz w:val="24"/>
        </w:rPr>
        <w:t>Records: C002, C003, C024, C026, C029, C072, C074</w:t>
      </w:r>
    </w:p>
    <w:p>
      <w:pPr>
        <w:keepNext/>
        <w:spacing w:line="360" w:lineRule="auto" w:after="120"/>
      </w:pPr>
      <w:r>
        <w:rPr>
          <w:rFonts w:ascii="Times New Roman" w:hAnsi="Times New Roman"/>
          <w:b/>
          <w:color w:val="000000"/>
          <w:sz w:val="24"/>
        </w:rPr>
        <w:t>R03 | n = 7 | Codes: A, B, M</w:t>
      </w:r>
    </w:p>
    <w:p>
      <w:pPr>
        <w:keepNext/>
        <w:spacing w:line="360" w:lineRule="auto" w:after="120"/>
      </w:pPr>
      <w:r>
        <w:rPr>
          <w:rFonts w:ascii="Times New Roman" w:hAnsi="Times New Roman"/>
          <w:color w:val="000000"/>
          <w:sz w:val="24"/>
        </w:rPr>
        <w:t>Some business practices are useful, especially communication and hospitality, but mission must come first.</w:t>
      </w:r>
    </w:p>
    <w:p>
      <w:pPr>
        <w:spacing w:line="360" w:lineRule="auto" w:after="120"/>
      </w:pPr>
      <w:r>
        <w:rPr>
          <w:rFonts w:ascii="Times New Roman" w:hAnsi="Times New Roman"/>
          <w:color w:val="000000"/>
          <w:sz w:val="24"/>
        </w:rPr>
        <w:t>Records: C004, C021, C028, C044, C053, C066, C083</w:t>
      </w:r>
    </w:p>
    <w:p>
      <w:pPr>
        <w:keepNext/>
        <w:spacing w:line="360" w:lineRule="auto" w:after="120"/>
      </w:pPr>
      <w:r>
        <w:rPr>
          <w:rFonts w:ascii="Times New Roman" w:hAnsi="Times New Roman"/>
          <w:b/>
          <w:color w:val="000000"/>
          <w:sz w:val="24"/>
        </w:rPr>
        <w:t>R04 | n = 7 | Codes: R, M</w:t>
      </w:r>
    </w:p>
    <w:p>
      <w:pPr>
        <w:keepNext/>
        <w:spacing w:line="360" w:lineRule="auto" w:after="120"/>
      </w:pPr>
      <w:r>
        <w:rPr>
          <w:rFonts w:ascii="Times New Roman" w:hAnsi="Times New Roman"/>
          <w:color w:val="000000"/>
          <w:sz w:val="24"/>
        </w:rPr>
        <w:t>Church is not a business, and too much corporate language can distract from spirituality.</w:t>
      </w:r>
    </w:p>
    <w:p>
      <w:pPr>
        <w:spacing w:line="360" w:lineRule="auto" w:after="120"/>
      </w:pPr>
      <w:r>
        <w:rPr>
          <w:rFonts w:ascii="Times New Roman" w:hAnsi="Times New Roman"/>
          <w:color w:val="000000"/>
          <w:sz w:val="24"/>
        </w:rPr>
        <w:t>Records: C005, C019, C033, C046, C047, C064, C078</w:t>
      </w:r>
    </w:p>
    <w:p>
      <w:pPr>
        <w:keepNext/>
        <w:spacing w:line="360" w:lineRule="auto" w:after="120"/>
      </w:pPr>
      <w:r>
        <w:rPr>
          <w:rFonts w:ascii="Times New Roman" w:hAnsi="Times New Roman"/>
          <w:b/>
          <w:color w:val="000000"/>
          <w:sz w:val="24"/>
        </w:rPr>
        <w:t>R05 | n = 6 | Codes: A, M</w:t>
      </w:r>
    </w:p>
    <w:p>
      <w:pPr>
        <w:keepNext/>
        <w:spacing w:line="360" w:lineRule="auto" w:after="120"/>
      </w:pPr>
      <w:r>
        <w:rPr>
          <w:rFonts w:ascii="Times New Roman" w:hAnsi="Times New Roman"/>
          <w:color w:val="000000"/>
          <w:sz w:val="24"/>
        </w:rPr>
        <w:t>It depends on the congregation and whether the practice supports its spiritual purpose.</w:t>
      </w:r>
    </w:p>
    <w:p>
      <w:pPr>
        <w:spacing w:line="360" w:lineRule="auto" w:after="120"/>
      </w:pPr>
      <w:r>
        <w:rPr>
          <w:rFonts w:ascii="Times New Roman" w:hAnsi="Times New Roman"/>
          <w:color w:val="000000"/>
          <w:sz w:val="24"/>
        </w:rPr>
        <w:t>Records: C006, C030, C052, C055, C077, C096</w:t>
      </w:r>
    </w:p>
    <w:p>
      <w:pPr>
        <w:keepNext/>
        <w:spacing w:line="360" w:lineRule="auto" w:after="120"/>
      </w:pPr>
      <w:r>
        <w:rPr>
          <w:rFonts w:ascii="Times New Roman" w:hAnsi="Times New Roman"/>
          <w:b/>
          <w:color w:val="000000"/>
          <w:sz w:val="24"/>
        </w:rPr>
        <w:t>R06 | n = 7 | Codes: B, R, M</w:t>
      </w:r>
    </w:p>
    <w:p>
      <w:pPr>
        <w:keepNext/>
        <w:spacing w:line="360" w:lineRule="auto" w:after="120"/>
      </w:pPr>
      <w:r>
        <w:rPr>
          <w:rFonts w:ascii="Times New Roman" w:hAnsi="Times New Roman"/>
          <w:color w:val="000000"/>
          <w:sz w:val="24"/>
        </w:rPr>
        <w:t>Training and responsiveness are worthwhile, but faith should not be reduced to metrics.</w:t>
      </w:r>
    </w:p>
    <w:p>
      <w:pPr>
        <w:spacing w:line="360" w:lineRule="auto" w:after="120"/>
      </w:pPr>
      <w:r>
        <w:rPr>
          <w:rFonts w:ascii="Times New Roman" w:hAnsi="Times New Roman"/>
          <w:color w:val="000000"/>
          <w:sz w:val="24"/>
        </w:rPr>
        <w:t>Records: C007, C031, C042, C043, C050, C063, C089</w:t>
      </w:r>
    </w:p>
    <w:p>
      <w:pPr>
        <w:pStyle w:val="Heading2"/>
        <w:pageBreakBefore w:val="0"/>
      </w:pPr>
      <w:r>
        <w:rPr>
          <w:rFonts w:ascii="Times New Roman" w:hAnsi="Times New Roman"/>
          <w:b/>
          <w:color w:val="000000"/>
          <w:sz w:val="26"/>
        </w:rPr>
        <w:t>Coding Audit  Adoption reasons continued</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R07 | n = 3 | Codes: A, B, R</w:t>
      </w:r>
    </w:p>
    <w:p>
      <w:pPr>
        <w:keepNext/>
        <w:spacing w:line="360" w:lineRule="auto" w:after="120"/>
      </w:pPr>
      <w:r>
        <w:rPr>
          <w:rFonts w:ascii="Times New Roman" w:hAnsi="Times New Roman"/>
          <w:color w:val="000000"/>
          <w:sz w:val="24"/>
        </w:rPr>
        <w:t>Some practices may help, but commercialization is a real concern.</w:t>
      </w:r>
    </w:p>
    <w:p>
      <w:pPr>
        <w:spacing w:line="360" w:lineRule="auto" w:after="120"/>
      </w:pPr>
      <w:r>
        <w:rPr>
          <w:rFonts w:ascii="Times New Roman" w:hAnsi="Times New Roman"/>
          <w:color w:val="000000"/>
          <w:sz w:val="24"/>
        </w:rPr>
        <w:t>Records: C008, C048, C060</w:t>
      </w:r>
    </w:p>
    <w:p>
      <w:pPr>
        <w:keepNext/>
        <w:spacing w:line="360" w:lineRule="auto" w:after="120"/>
      </w:pPr>
      <w:r>
        <w:rPr>
          <w:rFonts w:ascii="Times New Roman" w:hAnsi="Times New Roman"/>
          <w:b/>
          <w:color w:val="000000"/>
          <w:sz w:val="24"/>
        </w:rPr>
        <w:t>R08 | n = 3 | Codes: A, B, R</w:t>
      </w:r>
    </w:p>
    <w:p>
      <w:pPr>
        <w:keepNext/>
        <w:spacing w:line="360" w:lineRule="auto" w:after="120"/>
      </w:pPr>
      <w:r>
        <w:rPr>
          <w:rFonts w:ascii="Times New Roman" w:hAnsi="Times New Roman"/>
          <w:color w:val="000000"/>
          <w:sz w:val="24"/>
        </w:rPr>
        <w:t>It depends on the practice; some would help, while others could make church feel too commercial.</w:t>
      </w:r>
    </w:p>
    <w:p>
      <w:pPr>
        <w:spacing w:line="360" w:lineRule="auto" w:after="120"/>
      </w:pPr>
      <w:r>
        <w:rPr>
          <w:rFonts w:ascii="Times New Roman" w:hAnsi="Times New Roman"/>
          <w:color w:val="000000"/>
          <w:sz w:val="24"/>
        </w:rPr>
        <w:t>Records: C009, C020, C056</w:t>
      </w:r>
    </w:p>
    <w:p>
      <w:pPr>
        <w:keepNext/>
        <w:spacing w:line="360" w:lineRule="auto" w:after="120"/>
      </w:pPr>
      <w:r>
        <w:rPr>
          <w:rFonts w:ascii="Times New Roman" w:hAnsi="Times New Roman"/>
          <w:b/>
          <w:color w:val="000000"/>
          <w:sz w:val="24"/>
        </w:rPr>
        <w:t>R09 | n = 2 | Codes: R, M</w:t>
      </w:r>
    </w:p>
    <w:p>
      <w:pPr>
        <w:keepNext/>
        <w:spacing w:line="360" w:lineRule="auto" w:after="120"/>
      </w:pPr>
      <w:r>
        <w:rPr>
          <w:rFonts w:ascii="Times New Roman" w:hAnsi="Times New Roman"/>
          <w:color w:val="000000"/>
          <w:sz w:val="24"/>
        </w:rPr>
        <w:t>The spiritual purpose of church should remain separate from commercial models.</w:t>
      </w:r>
    </w:p>
    <w:p>
      <w:pPr>
        <w:spacing w:line="360" w:lineRule="auto" w:after="120"/>
      </w:pPr>
      <w:r>
        <w:rPr>
          <w:rFonts w:ascii="Times New Roman" w:hAnsi="Times New Roman"/>
          <w:color w:val="000000"/>
          <w:sz w:val="24"/>
        </w:rPr>
        <w:t>Records: C010, C057</w:t>
      </w:r>
    </w:p>
    <w:p>
      <w:pPr>
        <w:keepNext/>
        <w:spacing w:line="360" w:lineRule="auto" w:after="120"/>
      </w:pPr>
      <w:r>
        <w:rPr>
          <w:rFonts w:ascii="Times New Roman" w:hAnsi="Times New Roman"/>
          <w:b/>
          <w:color w:val="000000"/>
          <w:sz w:val="24"/>
        </w:rPr>
        <w:t>R10 | n = 3 | Codes: B, R</w:t>
      </w:r>
    </w:p>
    <w:p>
      <w:pPr>
        <w:keepNext/>
        <w:spacing w:line="360" w:lineRule="auto" w:after="120"/>
      </w:pPr>
      <w:r>
        <w:rPr>
          <w:rFonts w:ascii="Times New Roman" w:hAnsi="Times New Roman"/>
          <w:color w:val="000000"/>
          <w:sz w:val="24"/>
        </w:rPr>
        <w:t>Professionalism is useful, but copying business methods can make worship feel transactional.</w:t>
      </w:r>
    </w:p>
    <w:p>
      <w:pPr>
        <w:spacing w:line="360" w:lineRule="auto" w:after="120"/>
      </w:pPr>
      <w:r>
        <w:rPr>
          <w:rFonts w:ascii="Times New Roman" w:hAnsi="Times New Roman"/>
          <w:color w:val="000000"/>
          <w:sz w:val="24"/>
        </w:rPr>
        <w:t>Records: C011, C034, C090</w:t>
      </w:r>
    </w:p>
    <w:p>
      <w:pPr>
        <w:keepNext/>
        <w:spacing w:line="360" w:lineRule="auto" w:after="120"/>
      </w:pPr>
      <w:r>
        <w:rPr>
          <w:rFonts w:ascii="Times New Roman" w:hAnsi="Times New Roman"/>
          <w:b/>
          <w:color w:val="000000"/>
          <w:sz w:val="24"/>
        </w:rPr>
        <w:t>R11 | n = 1 | Codes: A</w:t>
      </w:r>
    </w:p>
    <w:p>
      <w:pPr>
        <w:keepNext/>
        <w:spacing w:line="360" w:lineRule="auto" w:after="120"/>
      </w:pPr>
      <w:r>
        <w:rPr>
          <w:rFonts w:ascii="Times New Roman" w:hAnsi="Times New Roman"/>
          <w:color w:val="000000"/>
          <w:sz w:val="24"/>
        </w:rPr>
        <w:t>The idea could work if applied carefully and selectively.</w:t>
      </w:r>
    </w:p>
    <w:p>
      <w:pPr>
        <w:spacing w:line="360" w:lineRule="auto" w:after="120"/>
      </w:pPr>
      <w:r>
        <w:rPr>
          <w:rFonts w:ascii="Times New Roman" w:hAnsi="Times New Roman"/>
          <w:color w:val="000000"/>
          <w:sz w:val="24"/>
        </w:rPr>
        <w:t>Records: C012</w:t>
      </w:r>
    </w:p>
    <w:p>
      <w:pPr>
        <w:keepNext/>
        <w:spacing w:line="360" w:lineRule="auto" w:after="120"/>
      </w:pPr>
      <w:r>
        <w:rPr>
          <w:rFonts w:ascii="Times New Roman" w:hAnsi="Times New Roman"/>
          <w:b/>
          <w:color w:val="000000"/>
          <w:sz w:val="24"/>
        </w:rPr>
        <w:t>R12 | n = 4 | Codes: R</w:t>
      </w:r>
    </w:p>
    <w:p>
      <w:pPr>
        <w:keepNext/>
        <w:spacing w:line="360" w:lineRule="auto" w:after="120"/>
      </w:pPr>
      <w:r>
        <w:rPr>
          <w:rFonts w:ascii="Times New Roman" w:hAnsi="Times New Roman"/>
          <w:color w:val="000000"/>
          <w:sz w:val="24"/>
        </w:rPr>
        <w:t>The church should not mimic corporations or treat worshippers like customers.</w:t>
      </w:r>
    </w:p>
    <w:p>
      <w:pPr>
        <w:spacing w:line="360" w:lineRule="auto" w:after="120"/>
      </w:pPr>
      <w:r>
        <w:rPr>
          <w:rFonts w:ascii="Times New Roman" w:hAnsi="Times New Roman"/>
          <w:color w:val="000000"/>
          <w:sz w:val="24"/>
        </w:rPr>
        <w:t>Records: C013, C058, C073, C088</w:t>
      </w:r>
    </w:p>
    <w:p>
      <w:pPr>
        <w:pStyle w:val="Heading2"/>
        <w:pageBreakBefore w:val="0"/>
      </w:pPr>
      <w:r>
        <w:rPr>
          <w:rFonts w:ascii="Times New Roman" w:hAnsi="Times New Roman"/>
          <w:b/>
          <w:color w:val="000000"/>
          <w:sz w:val="26"/>
        </w:rPr>
        <w:t>Coding Audit  Adoption reasons continued</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R13 | n = 3 | Codes: R</w:t>
      </w:r>
    </w:p>
    <w:p>
      <w:pPr>
        <w:keepNext/>
        <w:spacing w:line="360" w:lineRule="auto" w:after="120"/>
      </w:pPr>
      <w:r>
        <w:rPr>
          <w:rFonts w:ascii="Times New Roman" w:hAnsi="Times New Roman"/>
          <w:color w:val="000000"/>
          <w:sz w:val="24"/>
        </w:rPr>
        <w:t>Customer-service language does not fit how I think church should operate.</w:t>
      </w:r>
    </w:p>
    <w:p>
      <w:pPr>
        <w:spacing w:line="360" w:lineRule="auto" w:after="120"/>
      </w:pPr>
      <w:r>
        <w:rPr>
          <w:rFonts w:ascii="Times New Roman" w:hAnsi="Times New Roman"/>
          <w:color w:val="000000"/>
          <w:sz w:val="24"/>
        </w:rPr>
        <w:t>Records: C014, C015, C067</w:t>
      </w:r>
    </w:p>
    <w:p>
      <w:pPr>
        <w:keepNext/>
        <w:spacing w:line="360" w:lineRule="auto" w:after="120"/>
      </w:pPr>
      <w:r>
        <w:rPr>
          <w:rFonts w:ascii="Times New Roman" w:hAnsi="Times New Roman"/>
          <w:b/>
          <w:color w:val="000000"/>
          <w:sz w:val="24"/>
        </w:rPr>
        <w:t>R14 | n = 5 | Codes: A, B</w:t>
      </w:r>
    </w:p>
    <w:p>
      <w:pPr>
        <w:keepNext/>
        <w:spacing w:line="360" w:lineRule="auto" w:after="120"/>
      </w:pPr>
      <w:r>
        <w:rPr>
          <w:rFonts w:ascii="Times New Roman" w:hAnsi="Times New Roman"/>
          <w:color w:val="000000"/>
          <w:sz w:val="24"/>
        </w:rPr>
        <w:t>Some structure is useful, but not every business method belongs in a church.</w:t>
      </w:r>
    </w:p>
    <w:p>
      <w:pPr>
        <w:spacing w:line="360" w:lineRule="auto" w:after="120"/>
      </w:pPr>
      <w:r>
        <w:rPr>
          <w:rFonts w:ascii="Times New Roman" w:hAnsi="Times New Roman"/>
          <w:color w:val="000000"/>
          <w:sz w:val="24"/>
        </w:rPr>
        <w:t>Records: C016, C061, C070, C082, C099</w:t>
      </w:r>
    </w:p>
    <w:p>
      <w:pPr>
        <w:keepNext/>
        <w:spacing w:line="360" w:lineRule="auto" w:after="120"/>
      </w:pPr>
      <w:r>
        <w:rPr>
          <w:rFonts w:ascii="Times New Roman" w:hAnsi="Times New Roman"/>
          <w:b/>
          <w:color w:val="000000"/>
          <w:sz w:val="24"/>
        </w:rPr>
        <w:t>R15 | n = 6 | Codes: A, B, R</w:t>
      </w:r>
    </w:p>
    <w:p>
      <w:pPr>
        <w:keepNext/>
        <w:spacing w:line="360" w:lineRule="auto" w:after="120"/>
      </w:pPr>
      <w:r>
        <w:rPr>
          <w:rFonts w:ascii="Times New Roman" w:hAnsi="Times New Roman"/>
          <w:color w:val="000000"/>
          <w:sz w:val="24"/>
        </w:rPr>
        <w:t>Better organization would help, provided the church does not become overly corporate.</w:t>
      </w:r>
    </w:p>
    <w:p>
      <w:pPr>
        <w:spacing w:line="360" w:lineRule="auto" w:after="120"/>
      </w:pPr>
      <w:r>
        <w:rPr>
          <w:rFonts w:ascii="Times New Roman" w:hAnsi="Times New Roman"/>
          <w:color w:val="000000"/>
          <w:sz w:val="24"/>
        </w:rPr>
        <w:t>Records: C017, C036, C038, C059, C086, C087</w:t>
      </w:r>
    </w:p>
    <w:p>
      <w:pPr>
        <w:keepNext/>
        <w:spacing w:line="360" w:lineRule="auto" w:after="120"/>
      </w:pPr>
      <w:r>
        <w:rPr>
          <w:rFonts w:ascii="Times New Roman" w:hAnsi="Times New Roman"/>
          <w:b/>
          <w:color w:val="000000"/>
          <w:sz w:val="24"/>
        </w:rPr>
        <w:t>R16 | n = 11 | Codes: B</w:t>
      </w:r>
    </w:p>
    <w:p>
      <w:pPr>
        <w:keepNext/>
        <w:spacing w:line="360" w:lineRule="auto" w:after="120"/>
      </w:pPr>
      <w:r>
        <w:rPr>
          <w:rFonts w:ascii="Times New Roman" w:hAnsi="Times New Roman"/>
          <w:color w:val="000000"/>
          <w:sz w:val="24"/>
        </w:rPr>
        <w:t>Using proven service practices can help people feel welcomed and respected.</w:t>
      </w:r>
    </w:p>
    <w:p>
      <w:pPr>
        <w:spacing w:line="360" w:lineRule="auto" w:after="120"/>
      </w:pPr>
      <w:r>
        <w:rPr>
          <w:rFonts w:ascii="Times New Roman" w:hAnsi="Times New Roman"/>
          <w:color w:val="000000"/>
          <w:sz w:val="24"/>
        </w:rPr>
        <w:t>Records: C018, C027, C045, C062, C065, C068, C071, C075, C079, C091, C097</w:t>
      </w:r>
    </w:p>
    <w:p>
      <w:pPr>
        <w:keepNext/>
        <w:spacing w:line="360" w:lineRule="auto" w:after="120"/>
      </w:pPr>
      <w:r>
        <w:rPr>
          <w:rFonts w:ascii="Times New Roman" w:hAnsi="Times New Roman"/>
          <w:b/>
          <w:color w:val="000000"/>
          <w:sz w:val="24"/>
        </w:rPr>
        <w:t>R17 | n = 9 | Codes: B</w:t>
      </w:r>
    </w:p>
    <w:p>
      <w:pPr>
        <w:keepNext/>
        <w:spacing w:line="360" w:lineRule="auto" w:after="120"/>
      </w:pPr>
      <w:r>
        <w:rPr>
          <w:rFonts w:ascii="Times New Roman" w:hAnsi="Times New Roman"/>
          <w:color w:val="000000"/>
          <w:sz w:val="24"/>
        </w:rPr>
        <w:t>Good communication, follow-up and hospitality are practical expressions of care.</w:t>
      </w:r>
    </w:p>
    <w:p>
      <w:pPr>
        <w:spacing w:line="360" w:lineRule="auto" w:after="120"/>
      </w:pPr>
      <w:r>
        <w:rPr>
          <w:rFonts w:ascii="Times New Roman" w:hAnsi="Times New Roman"/>
          <w:color w:val="000000"/>
          <w:sz w:val="24"/>
        </w:rPr>
        <w:t>Records: C025, C032, C037, C054, C069, C085, C093, C095, C100</w:t>
      </w:r>
    </w:p>
    <w:p>
      <w:pPr>
        <w:keepNext/>
        <w:spacing w:line="360" w:lineRule="auto" w:after="120"/>
      </w:pPr>
      <w:r>
        <w:rPr>
          <w:rFonts w:ascii="Times New Roman" w:hAnsi="Times New Roman"/>
          <w:b/>
          <w:color w:val="000000"/>
          <w:sz w:val="24"/>
        </w:rPr>
        <w:t>R18 | n = 2 | Codes: R, E</w:t>
      </w:r>
    </w:p>
    <w:p>
      <w:pPr>
        <w:keepNext/>
        <w:spacing w:line="360" w:lineRule="auto" w:after="120"/>
      </w:pPr>
      <w:r>
        <w:rPr>
          <w:rFonts w:ascii="Times New Roman" w:hAnsi="Times New Roman"/>
          <w:color w:val="000000"/>
          <w:sz w:val="24"/>
        </w:rPr>
        <w:t>I would prefer improvements to come from pastoral care rather than business models.</w:t>
      </w:r>
    </w:p>
    <w:p>
      <w:pPr>
        <w:spacing w:line="360" w:lineRule="auto" w:after="120"/>
      </w:pPr>
      <w:r>
        <w:rPr>
          <w:rFonts w:ascii="Times New Roman" w:hAnsi="Times New Roman"/>
          <w:color w:val="000000"/>
          <w:sz w:val="24"/>
        </w:rPr>
        <w:t>Records: C035, C080</w:t>
      </w:r>
    </w:p>
    <w:p>
      <w:pPr>
        <w:pStyle w:val="Heading2"/>
        <w:pageBreakBefore w:val="0"/>
      </w:pPr>
      <w:r>
        <w:rPr>
          <w:rFonts w:ascii="Times New Roman" w:hAnsi="Times New Roman"/>
          <w:b/>
          <w:color w:val="000000"/>
          <w:sz w:val="26"/>
        </w:rPr>
        <w:t>Coding Audit  Adoption reasons continued</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R19 | n = 5 | Codes: B, M</w:t>
      </w:r>
    </w:p>
    <w:p>
      <w:pPr>
        <w:keepNext/>
        <w:spacing w:line="360" w:lineRule="auto" w:after="120"/>
      </w:pPr>
      <w:r>
        <w:rPr>
          <w:rFonts w:ascii="Times New Roman" w:hAnsi="Times New Roman"/>
          <w:color w:val="000000"/>
          <w:sz w:val="24"/>
        </w:rPr>
        <w:t>Churches should be as professional as other organizations while keeping the mission central.</w:t>
      </w:r>
    </w:p>
    <w:p>
      <w:pPr>
        <w:spacing w:line="360" w:lineRule="auto" w:after="120"/>
      </w:pPr>
      <w:r>
        <w:rPr>
          <w:rFonts w:ascii="Times New Roman" w:hAnsi="Times New Roman"/>
          <w:color w:val="000000"/>
          <w:sz w:val="24"/>
        </w:rPr>
        <w:t>Records: C039, C049, C051, C076, C084</w:t>
      </w:r>
    </w:p>
    <w:p>
      <w:pPr>
        <w:keepNext/>
        <w:spacing w:line="360" w:lineRule="auto" w:after="120"/>
      </w:pPr>
      <w:r>
        <w:rPr>
          <w:rFonts w:ascii="Times New Roman" w:hAnsi="Times New Roman"/>
          <w:b/>
          <w:color w:val="000000"/>
          <w:sz w:val="24"/>
        </w:rPr>
        <w:t>R20 | n = 1 | Codes: R</w:t>
      </w:r>
    </w:p>
    <w:p>
      <w:pPr>
        <w:keepNext/>
        <w:spacing w:line="360" w:lineRule="auto" w:after="120"/>
      </w:pPr>
      <w:r>
        <w:rPr>
          <w:rFonts w:ascii="Times New Roman" w:hAnsi="Times New Roman"/>
          <w:color w:val="000000"/>
          <w:sz w:val="24"/>
        </w:rPr>
        <w:t>Business-style approaches risk turning ministry into a transaction.</w:t>
      </w:r>
    </w:p>
    <w:p>
      <w:pPr>
        <w:spacing w:line="360" w:lineRule="auto" w:after="120"/>
      </w:pPr>
      <w:r>
        <w:rPr>
          <w:rFonts w:ascii="Times New Roman" w:hAnsi="Times New Roman"/>
          <w:color w:val="000000"/>
          <w:sz w:val="24"/>
        </w:rPr>
        <w:t>Records: C081</w:t>
      </w:r>
    </w:p>
    <w:p>
      <w:pPr>
        <w:pStyle w:val="Heading2"/>
        <w:pageBreakBefore w:val="0"/>
      </w:pPr>
      <w:r>
        <w:rPr>
          <w:rFonts w:ascii="Times New Roman" w:hAnsi="Times New Roman"/>
          <w:b/>
          <w:color w:val="000000"/>
          <w:sz w:val="26"/>
        </w:rPr>
        <w:t>Coding Audit  Improvement suggestions</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I01 | n = 8 | Codes: RC</w:t>
      </w:r>
    </w:p>
    <w:p>
      <w:pPr>
        <w:keepNext/>
        <w:spacing w:line="360" w:lineRule="auto" w:after="120"/>
      </w:pPr>
      <w:r>
        <w:rPr>
          <w:rFonts w:ascii="Times New Roman" w:hAnsi="Times New Roman"/>
          <w:color w:val="000000"/>
          <w:sz w:val="24"/>
        </w:rPr>
        <w:t>More pastoral engagement with members after services.</w:t>
      </w:r>
    </w:p>
    <w:p>
      <w:pPr>
        <w:spacing w:line="360" w:lineRule="auto" w:after="120"/>
      </w:pPr>
      <w:r>
        <w:rPr>
          <w:rFonts w:ascii="Times New Roman" w:hAnsi="Times New Roman"/>
          <w:color w:val="000000"/>
          <w:sz w:val="24"/>
        </w:rPr>
        <w:t>Records: C001, C041, C063, C071, C074, C076, C084, C089</w:t>
      </w:r>
    </w:p>
    <w:p>
      <w:pPr>
        <w:keepNext/>
        <w:spacing w:line="360" w:lineRule="auto" w:after="120"/>
      </w:pPr>
      <w:r>
        <w:rPr>
          <w:rFonts w:ascii="Times New Roman" w:hAnsi="Times New Roman"/>
          <w:b/>
          <w:color w:val="000000"/>
          <w:sz w:val="24"/>
        </w:rPr>
        <w:t>I02 | n = 5 | Codes: FB</w:t>
      </w:r>
    </w:p>
    <w:p>
      <w:pPr>
        <w:keepNext/>
        <w:spacing w:line="360" w:lineRule="auto" w:after="120"/>
      </w:pPr>
      <w:r>
        <w:rPr>
          <w:rFonts w:ascii="Times New Roman" w:hAnsi="Times New Roman"/>
          <w:color w:val="000000"/>
          <w:sz w:val="24"/>
        </w:rPr>
        <w:t>Follow up when members provide feedback.</w:t>
      </w:r>
    </w:p>
    <w:p>
      <w:pPr>
        <w:spacing w:line="360" w:lineRule="auto" w:after="120"/>
      </w:pPr>
      <w:r>
        <w:rPr>
          <w:rFonts w:ascii="Times New Roman" w:hAnsi="Times New Roman"/>
          <w:color w:val="000000"/>
          <w:sz w:val="24"/>
        </w:rPr>
        <w:t>Records: C002, C022, C038, C051, C085</w:t>
      </w:r>
    </w:p>
    <w:p>
      <w:pPr>
        <w:keepNext/>
        <w:spacing w:line="360" w:lineRule="auto" w:after="120"/>
      </w:pPr>
      <w:r>
        <w:rPr>
          <w:rFonts w:ascii="Times New Roman" w:hAnsi="Times New Roman"/>
          <w:b/>
          <w:color w:val="000000"/>
          <w:sz w:val="24"/>
        </w:rPr>
        <w:t>I03 | n = 5 | Codes: FB</w:t>
      </w:r>
    </w:p>
    <w:p>
      <w:pPr>
        <w:keepNext/>
        <w:spacing w:line="360" w:lineRule="auto" w:after="120"/>
      </w:pPr>
      <w:r>
        <w:rPr>
          <w:rFonts w:ascii="Times New Roman" w:hAnsi="Times New Roman"/>
          <w:color w:val="000000"/>
        </w:rPr>
        <w:t>More opportunities for members to express concerns and be heard.</w:t>
      </w:r>
    </w:p>
    <w:p>
      <w:pPr>
        <w:spacing w:line="360" w:lineRule="auto" w:after="120"/>
      </w:pPr>
      <w:r>
        <w:rPr>
          <w:rFonts w:ascii="Times New Roman" w:hAnsi="Times New Roman"/>
          <w:color w:val="000000"/>
          <w:sz w:val="24"/>
        </w:rPr>
        <w:t>Records: C003, C012, C023, C037, C093</w:t>
      </w:r>
    </w:p>
    <w:p>
      <w:pPr>
        <w:keepNext/>
        <w:spacing w:line="360" w:lineRule="auto" w:after="120"/>
      </w:pPr>
      <w:r>
        <w:rPr>
          <w:rFonts w:ascii="Times New Roman" w:hAnsi="Times New Roman"/>
          <w:b/>
          <w:color w:val="000000"/>
          <w:sz w:val="24"/>
        </w:rPr>
        <w:t>I04 | n = 5 | Codes: AI</w:t>
      </w:r>
    </w:p>
    <w:p>
      <w:pPr>
        <w:keepNext/>
        <w:spacing w:line="360" w:lineRule="auto" w:after="120"/>
      </w:pPr>
      <w:r>
        <w:rPr>
          <w:rFonts w:ascii="Times New Roman" w:hAnsi="Times New Roman"/>
          <w:color w:val="000000"/>
          <w:sz w:val="24"/>
        </w:rPr>
        <w:t>Improve parking and accessibility for older members.</w:t>
      </w:r>
    </w:p>
    <w:p>
      <w:pPr>
        <w:spacing w:line="360" w:lineRule="auto" w:after="120"/>
      </w:pPr>
      <w:r>
        <w:rPr>
          <w:rFonts w:ascii="Times New Roman" w:hAnsi="Times New Roman"/>
          <w:color w:val="000000"/>
          <w:sz w:val="24"/>
        </w:rPr>
        <w:t>Records: C004, C054, C061, C069, C095</w:t>
      </w:r>
    </w:p>
    <w:p>
      <w:pPr>
        <w:keepNext/>
        <w:spacing w:line="360" w:lineRule="auto" w:after="120"/>
      </w:pPr>
      <w:r>
        <w:rPr>
          <w:rFonts w:ascii="Times New Roman" w:hAnsi="Times New Roman"/>
          <w:b/>
          <w:color w:val="000000"/>
          <w:sz w:val="24"/>
        </w:rPr>
        <w:t>I05 | n = 22 | Codes: NONE</w:t>
      </w:r>
    </w:p>
    <w:p>
      <w:pPr>
        <w:keepNext/>
        <w:spacing w:line="360" w:lineRule="auto" w:after="120"/>
      </w:pPr>
      <w:r>
        <w:rPr>
          <w:rFonts w:ascii="Times New Roman" w:hAnsi="Times New Roman"/>
          <w:color w:val="000000"/>
          <w:sz w:val="24"/>
        </w:rPr>
        <w:t>No specific improvement suggested.</w:t>
      </w:r>
    </w:p>
    <w:p>
      <w:pPr>
        <w:spacing w:line="360" w:lineRule="auto" w:after="120"/>
      </w:pPr>
      <w:r>
        <w:rPr>
          <w:rFonts w:ascii="Times New Roman" w:hAnsi="Times New Roman"/>
          <w:color w:val="000000"/>
          <w:sz w:val="24"/>
        </w:rPr>
        <w:t>Records: C005, C008, C010, C011, C013, C014, C015, C019, C033, C034, C035, C046, C047, C048, C057, C058, C060, C064, C067, C073, C078, C088</w:t>
      </w:r>
    </w:p>
    <w:p>
      <w:pPr>
        <w:keepNext/>
        <w:spacing w:line="360" w:lineRule="auto" w:after="120"/>
      </w:pPr>
      <w:r>
        <w:rPr>
          <w:rFonts w:ascii="Times New Roman" w:hAnsi="Times New Roman"/>
          <w:b/>
          <w:color w:val="000000"/>
          <w:sz w:val="24"/>
        </w:rPr>
        <w:t>I06 | n = 7 | Codes: VC</w:t>
      </w:r>
    </w:p>
    <w:p>
      <w:pPr>
        <w:keepNext/>
        <w:spacing w:line="360" w:lineRule="auto" w:after="120"/>
      </w:pPr>
      <w:r>
        <w:rPr>
          <w:rFonts w:ascii="Times New Roman" w:hAnsi="Times New Roman"/>
          <w:color w:val="000000"/>
          <w:sz w:val="24"/>
        </w:rPr>
        <w:t>Coordinate volunteers more professionally.</w:t>
      </w:r>
    </w:p>
    <w:p>
      <w:pPr>
        <w:spacing w:line="360" w:lineRule="auto" w:after="120"/>
      </w:pPr>
      <w:r>
        <w:rPr>
          <w:rFonts w:ascii="Times New Roman" w:hAnsi="Times New Roman"/>
          <w:color w:val="000000"/>
          <w:sz w:val="24"/>
        </w:rPr>
        <w:t>Records: C006, C017, C029, C055, C066, C077, C083</w:t>
      </w:r>
    </w:p>
    <w:p>
      <w:pPr>
        <w:pStyle w:val="Heading2"/>
        <w:pageBreakBefore w:val="0"/>
      </w:pPr>
      <w:r>
        <w:rPr>
          <w:rFonts w:ascii="Times New Roman" w:hAnsi="Times New Roman"/>
          <w:b/>
          <w:color w:val="000000"/>
          <w:sz w:val="26"/>
        </w:rPr>
        <w:t>Coding Audit  Improvement suggestions continued</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I07 | n = 5 | Codes: FC</w:t>
      </w:r>
    </w:p>
    <w:p>
      <w:pPr>
        <w:keepNext/>
        <w:spacing w:line="360" w:lineRule="auto" w:after="120"/>
      </w:pPr>
      <w:r>
        <w:rPr>
          <w:rFonts w:ascii="Times New Roman" w:hAnsi="Times New Roman"/>
          <w:color w:val="000000"/>
          <w:sz w:val="24"/>
        </w:rPr>
        <w:t>More small groups during the week to strengthen community.</w:t>
      </w:r>
    </w:p>
    <w:p>
      <w:pPr>
        <w:spacing w:line="360" w:lineRule="auto" w:after="120"/>
      </w:pPr>
      <w:r>
        <w:rPr>
          <w:rFonts w:ascii="Times New Roman" w:hAnsi="Times New Roman"/>
          <w:color w:val="000000"/>
          <w:sz w:val="24"/>
        </w:rPr>
        <w:t>Records: C007, C009, C024, C049, C059</w:t>
      </w:r>
    </w:p>
    <w:p>
      <w:pPr>
        <w:keepNext/>
        <w:spacing w:line="360" w:lineRule="auto" w:after="120"/>
      </w:pPr>
      <w:r>
        <w:rPr>
          <w:rFonts w:ascii="Times New Roman" w:hAnsi="Times New Roman"/>
          <w:b/>
          <w:color w:val="000000"/>
          <w:sz w:val="24"/>
        </w:rPr>
        <w:t>I08 | n = 2 | Codes: AI</w:t>
      </w:r>
    </w:p>
    <w:p>
      <w:pPr>
        <w:keepNext/>
        <w:spacing w:line="360" w:lineRule="auto" w:after="120"/>
      </w:pPr>
      <w:r>
        <w:rPr>
          <w:rFonts w:ascii="Times New Roman" w:hAnsi="Times New Roman"/>
          <w:color w:val="000000"/>
          <w:sz w:val="24"/>
        </w:rPr>
        <w:t>Offer bilingual services or translations where needed.</w:t>
      </w:r>
    </w:p>
    <w:p>
      <w:pPr>
        <w:spacing w:line="360" w:lineRule="auto" w:after="120"/>
      </w:pPr>
      <w:r>
        <w:rPr>
          <w:rFonts w:ascii="Times New Roman" w:hAnsi="Times New Roman"/>
          <w:color w:val="000000"/>
          <w:sz w:val="24"/>
        </w:rPr>
        <w:t>Records: C016, C062</w:t>
      </w:r>
    </w:p>
    <w:p>
      <w:pPr>
        <w:keepNext/>
        <w:spacing w:line="360" w:lineRule="auto" w:after="120"/>
      </w:pPr>
      <w:r>
        <w:rPr>
          <w:rFonts w:ascii="Times New Roman" w:hAnsi="Times New Roman"/>
          <w:b/>
          <w:color w:val="000000"/>
          <w:sz w:val="24"/>
        </w:rPr>
        <w:t>I09 | n = 6 | Codes: VC, RC</w:t>
      </w:r>
    </w:p>
    <w:p>
      <w:pPr>
        <w:keepNext/>
        <w:spacing w:line="360" w:lineRule="auto" w:after="120"/>
      </w:pPr>
      <w:r>
        <w:rPr>
          <w:rFonts w:ascii="Times New Roman" w:hAnsi="Times New Roman"/>
          <w:color w:val="000000"/>
          <w:sz w:val="24"/>
        </w:rPr>
        <w:t>Friendlier and better-trained ushers and greeters.</w:t>
      </w:r>
    </w:p>
    <w:p>
      <w:pPr>
        <w:spacing w:line="360" w:lineRule="auto" w:after="120"/>
      </w:pPr>
      <w:r>
        <w:rPr>
          <w:rFonts w:ascii="Times New Roman" w:hAnsi="Times New Roman"/>
          <w:color w:val="000000"/>
          <w:sz w:val="24"/>
        </w:rPr>
        <w:t>Records: C018, C027, C032, C050, C065, C082</w:t>
      </w:r>
    </w:p>
    <w:p>
      <w:pPr>
        <w:keepNext/>
        <w:spacing w:line="360" w:lineRule="auto" w:after="120"/>
      </w:pPr>
      <w:r>
        <w:rPr>
          <w:rFonts w:ascii="Times New Roman" w:hAnsi="Times New Roman"/>
          <w:b/>
          <w:color w:val="000000"/>
          <w:sz w:val="24"/>
        </w:rPr>
        <w:t>I10 | n = 8 | Codes: FR</w:t>
      </w:r>
    </w:p>
    <w:p>
      <w:pPr>
        <w:keepNext/>
        <w:spacing w:line="360" w:lineRule="auto" w:after="120"/>
      </w:pPr>
      <w:r>
        <w:rPr>
          <w:rFonts w:ascii="Times New Roman" w:hAnsi="Times New Roman"/>
          <w:color w:val="000000"/>
          <w:sz w:val="24"/>
        </w:rPr>
        <w:t>Reduce the emphasis on repeated fundraising appeals.</w:t>
      </w:r>
    </w:p>
    <w:p>
      <w:pPr>
        <w:spacing w:line="360" w:lineRule="auto" w:after="120"/>
      </w:pPr>
      <w:r>
        <w:rPr>
          <w:rFonts w:ascii="Times New Roman" w:hAnsi="Times New Roman"/>
          <w:color w:val="000000"/>
          <w:sz w:val="24"/>
        </w:rPr>
        <w:t>Records: C020, C040, C044, C052, C053, C056, C090, C096</w:t>
      </w:r>
    </w:p>
    <w:p>
      <w:pPr>
        <w:keepNext/>
        <w:spacing w:line="360" w:lineRule="auto" w:after="120"/>
      </w:pPr>
      <w:r>
        <w:rPr>
          <w:rFonts w:ascii="Times New Roman" w:hAnsi="Times New Roman"/>
          <w:b/>
          <w:color w:val="000000"/>
          <w:sz w:val="24"/>
        </w:rPr>
        <w:t>I11 | n = 6 | Codes: CO</w:t>
      </w:r>
    </w:p>
    <w:p>
      <w:pPr>
        <w:keepNext/>
        <w:spacing w:line="360" w:lineRule="auto" w:after="120"/>
      </w:pPr>
      <w:r>
        <w:rPr>
          <w:rFonts w:ascii="Times New Roman" w:hAnsi="Times New Roman"/>
          <w:color w:val="000000"/>
          <w:sz w:val="24"/>
        </w:rPr>
        <w:t>Provide clearer information about activities and support services.</w:t>
      </w:r>
    </w:p>
    <w:p>
      <w:pPr>
        <w:spacing w:line="360" w:lineRule="auto" w:after="120"/>
      </w:pPr>
      <w:r>
        <w:rPr>
          <w:rFonts w:ascii="Times New Roman" w:hAnsi="Times New Roman"/>
          <w:color w:val="000000"/>
          <w:sz w:val="24"/>
        </w:rPr>
        <w:t>Records: C021, C026, C030, C042, C075, C100</w:t>
      </w:r>
    </w:p>
    <w:p>
      <w:pPr>
        <w:keepNext/>
        <w:spacing w:line="360" w:lineRule="auto" w:after="120"/>
      </w:pPr>
      <w:r>
        <w:rPr>
          <w:rFonts w:ascii="Times New Roman" w:hAnsi="Times New Roman"/>
          <w:b/>
          <w:color w:val="000000"/>
          <w:sz w:val="24"/>
        </w:rPr>
        <w:t>I12 | n = 6 | Codes: RC</w:t>
      </w:r>
    </w:p>
    <w:p>
      <w:pPr>
        <w:keepNext/>
        <w:spacing w:line="360" w:lineRule="auto" w:after="120"/>
      </w:pPr>
      <w:r>
        <w:rPr>
          <w:rFonts w:ascii="Times New Roman" w:hAnsi="Times New Roman"/>
          <w:color w:val="000000"/>
          <w:sz w:val="24"/>
        </w:rPr>
        <w:t>Make first-time visitors feel personally welcomed.</w:t>
      </w:r>
    </w:p>
    <w:p>
      <w:pPr>
        <w:spacing w:line="360" w:lineRule="auto" w:after="120"/>
      </w:pPr>
      <w:r>
        <w:rPr>
          <w:rFonts w:ascii="Times New Roman" w:hAnsi="Times New Roman"/>
          <w:color w:val="000000"/>
          <w:sz w:val="24"/>
        </w:rPr>
        <w:t>Records: C025, C045, C080, C091, C097, C099</w:t>
      </w:r>
    </w:p>
    <w:p>
      <w:pPr>
        <w:pStyle w:val="Heading2"/>
        <w:pageBreakBefore w:val="0"/>
      </w:pPr>
      <w:r>
        <w:rPr>
          <w:rFonts w:ascii="Times New Roman" w:hAnsi="Times New Roman"/>
          <w:b/>
          <w:color w:val="000000"/>
          <w:sz w:val="26"/>
        </w:rPr>
        <w:t>Coding Audit  Improvement suggestions continued</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I13 | n = 5 | Codes: FC, WR</w:t>
      </w:r>
    </w:p>
    <w:p>
      <w:pPr>
        <w:keepNext/>
        <w:spacing w:line="360" w:lineRule="auto" w:after="120"/>
      </w:pPr>
      <w:r>
        <w:rPr>
          <w:rFonts w:ascii="Times New Roman" w:hAnsi="Times New Roman"/>
          <w:color w:val="000000"/>
          <w:sz w:val="24"/>
        </w:rPr>
        <w:t>More engaging services and stronger programs for younger families.</w:t>
      </w:r>
    </w:p>
    <w:p>
      <w:pPr>
        <w:spacing w:line="360" w:lineRule="auto" w:after="120"/>
      </w:pPr>
      <w:r>
        <w:rPr>
          <w:rFonts w:ascii="Times New Roman" w:hAnsi="Times New Roman"/>
          <w:color w:val="000000"/>
          <w:sz w:val="24"/>
        </w:rPr>
        <w:t>Records: C028, C031, C036, C081, C092</w:t>
      </w:r>
    </w:p>
    <w:p>
      <w:pPr>
        <w:keepNext/>
        <w:spacing w:line="360" w:lineRule="auto" w:after="120"/>
      </w:pPr>
      <w:r>
        <w:rPr>
          <w:rFonts w:ascii="Times New Roman" w:hAnsi="Times New Roman"/>
          <w:b/>
          <w:color w:val="000000"/>
          <w:sz w:val="24"/>
        </w:rPr>
        <w:t>I14 | n = 6 | Codes: CO</w:t>
      </w:r>
    </w:p>
    <w:p>
      <w:pPr>
        <w:keepNext/>
        <w:spacing w:line="360" w:lineRule="auto" w:after="120"/>
      </w:pPr>
      <w:r>
        <w:rPr>
          <w:rFonts w:ascii="Times New Roman" w:hAnsi="Times New Roman"/>
          <w:color w:val="000000"/>
          <w:sz w:val="24"/>
        </w:rPr>
        <w:t>Better email, app and social-media communication about events.</w:t>
      </w:r>
    </w:p>
    <w:p>
      <w:pPr>
        <w:spacing w:line="360" w:lineRule="auto" w:after="120"/>
      </w:pPr>
      <w:r>
        <w:rPr>
          <w:rFonts w:ascii="Times New Roman" w:hAnsi="Times New Roman"/>
          <w:color w:val="000000"/>
          <w:sz w:val="24"/>
        </w:rPr>
        <w:t>Records: C039, C043, C072, C079, C086, C098</w:t>
      </w:r>
    </w:p>
    <w:p>
      <w:pPr>
        <w:keepNext/>
        <w:spacing w:line="360" w:lineRule="auto" w:after="120"/>
      </w:pPr>
      <w:r>
        <w:rPr>
          <w:rFonts w:ascii="Times New Roman" w:hAnsi="Times New Roman"/>
          <w:b/>
          <w:color w:val="000000"/>
          <w:sz w:val="24"/>
        </w:rPr>
        <w:t>I15 | n = 2 | Codes: FC</w:t>
      </w:r>
    </w:p>
    <w:p>
      <w:pPr>
        <w:keepNext/>
        <w:spacing w:line="360" w:lineRule="auto" w:after="120"/>
      </w:pPr>
      <w:r>
        <w:rPr>
          <w:rFonts w:ascii="Times New Roman" w:hAnsi="Times New Roman"/>
          <w:color w:val="000000"/>
          <w:sz w:val="24"/>
        </w:rPr>
        <w:t>Improve childcare and youth activities.</w:t>
      </w:r>
    </w:p>
    <w:p>
      <w:pPr>
        <w:spacing w:line="360" w:lineRule="auto" w:after="120"/>
      </w:pPr>
      <w:r>
        <w:rPr>
          <w:rFonts w:ascii="Times New Roman" w:hAnsi="Times New Roman"/>
          <w:color w:val="000000"/>
          <w:sz w:val="24"/>
        </w:rPr>
        <w:t>Records: C068, C087</w:t>
      </w:r>
    </w:p>
    <w:p>
      <w:pPr>
        <w:keepNext/>
        <w:spacing w:line="360" w:lineRule="auto" w:after="120"/>
      </w:pPr>
      <w:r>
        <w:rPr>
          <w:rFonts w:ascii="Times New Roman" w:hAnsi="Times New Roman"/>
          <w:b/>
          <w:color w:val="000000"/>
          <w:sz w:val="24"/>
        </w:rPr>
        <w:t>I16 | n = 2 | Codes: OU</w:t>
      </w:r>
    </w:p>
    <w:p>
      <w:pPr>
        <w:keepNext/>
        <w:spacing w:line="360" w:lineRule="auto" w:after="120"/>
      </w:pPr>
      <w:r>
        <w:rPr>
          <w:rFonts w:ascii="Times New Roman" w:hAnsi="Times New Roman"/>
          <w:color w:val="000000"/>
          <w:sz w:val="24"/>
        </w:rPr>
        <w:t>Create more community outreach opportunities.</w:t>
      </w:r>
    </w:p>
    <w:p>
      <w:pPr>
        <w:spacing w:line="360" w:lineRule="auto" w:after="120"/>
      </w:pPr>
      <w:r>
        <w:rPr>
          <w:rFonts w:ascii="Times New Roman" w:hAnsi="Times New Roman"/>
          <w:color w:val="000000"/>
          <w:sz w:val="24"/>
        </w:rPr>
        <w:t>Records: C070, C094</w:t>
      </w:r>
    </w:p>
    <w:p>
      <w:pPr>
        <w:pStyle w:val="Heading2"/>
        <w:pageBreakBefore w:val="0"/>
      </w:pPr>
      <w:r>
        <w:rPr>
          <w:rFonts w:ascii="Times New Roman" w:hAnsi="Times New Roman"/>
          <w:b/>
          <w:color w:val="000000"/>
          <w:sz w:val="26"/>
        </w:rPr>
        <w:t>Coding Audit  Final suggested practices</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P01 | n = 11 | Codes: OU</w:t>
      </w:r>
    </w:p>
    <w:p>
      <w:pPr>
        <w:keepNext/>
        <w:spacing w:line="360" w:lineRule="auto" w:after="120"/>
      </w:pPr>
      <w:r>
        <w:rPr>
          <w:rFonts w:ascii="Times New Roman" w:hAnsi="Times New Roman"/>
          <w:color w:val="000000"/>
          <w:sz w:val="24"/>
        </w:rPr>
        <w:t>Do more practical outreach for the local community.</w:t>
      </w:r>
    </w:p>
    <w:p>
      <w:pPr>
        <w:spacing w:line="360" w:lineRule="auto" w:after="120"/>
      </w:pPr>
      <w:r>
        <w:rPr>
          <w:rFonts w:ascii="Times New Roman" w:hAnsi="Times New Roman"/>
          <w:color w:val="000000"/>
          <w:sz w:val="24"/>
        </w:rPr>
        <w:t>Records: C001, C004, C018, C019, C022, C027, C028, C062, C085, C088, C097</w:t>
      </w:r>
    </w:p>
    <w:p>
      <w:pPr>
        <w:keepNext/>
        <w:spacing w:line="360" w:lineRule="auto" w:after="120"/>
      </w:pPr>
      <w:r>
        <w:rPr>
          <w:rFonts w:ascii="Times New Roman" w:hAnsi="Times New Roman"/>
          <w:b/>
          <w:color w:val="000000"/>
          <w:sz w:val="24"/>
        </w:rPr>
        <w:t>P02 | n = 7 | Codes: AI</w:t>
      </w:r>
    </w:p>
    <w:p>
      <w:pPr>
        <w:keepNext/>
        <w:spacing w:line="360" w:lineRule="auto" w:after="120"/>
      </w:pPr>
      <w:r>
        <w:rPr>
          <w:rFonts w:ascii="Times New Roman" w:hAnsi="Times New Roman"/>
          <w:color w:val="000000"/>
          <w:sz w:val="24"/>
        </w:rPr>
        <w:t>Offer bilingual services for immigrant families.</w:t>
      </w:r>
    </w:p>
    <w:p>
      <w:pPr>
        <w:spacing w:line="360" w:lineRule="auto" w:after="120"/>
      </w:pPr>
      <w:r>
        <w:rPr>
          <w:rFonts w:ascii="Times New Roman" w:hAnsi="Times New Roman"/>
          <w:color w:val="000000"/>
          <w:sz w:val="24"/>
        </w:rPr>
        <w:t>Records: C002, C043, C044, C048, C060, C080, C087</w:t>
      </w:r>
    </w:p>
    <w:p>
      <w:pPr>
        <w:keepNext/>
        <w:spacing w:line="360" w:lineRule="auto" w:after="120"/>
      </w:pPr>
      <w:r>
        <w:rPr>
          <w:rFonts w:ascii="Times New Roman" w:hAnsi="Times New Roman"/>
          <w:b/>
          <w:color w:val="000000"/>
          <w:sz w:val="24"/>
        </w:rPr>
        <w:t>P03 | n = 7 | Codes: AI</w:t>
      </w:r>
    </w:p>
    <w:p>
      <w:pPr>
        <w:keepNext/>
        <w:spacing w:line="360" w:lineRule="auto" w:after="120"/>
      </w:pPr>
      <w:r>
        <w:rPr>
          <w:rFonts w:ascii="Times New Roman" w:hAnsi="Times New Roman"/>
          <w:color w:val="000000"/>
          <w:sz w:val="24"/>
        </w:rPr>
        <w:t>Make facilities more accessible and inclusive.</w:t>
      </w:r>
    </w:p>
    <w:p>
      <w:pPr>
        <w:spacing w:line="360" w:lineRule="auto" w:after="120"/>
      </w:pPr>
      <w:r>
        <w:rPr>
          <w:rFonts w:ascii="Times New Roman" w:hAnsi="Times New Roman"/>
          <w:color w:val="000000"/>
          <w:sz w:val="24"/>
        </w:rPr>
        <w:t>Records: C003, C007, C009, C010, C037, C059, C079</w:t>
      </w:r>
    </w:p>
    <w:p>
      <w:pPr>
        <w:keepNext/>
        <w:spacing w:line="360" w:lineRule="auto" w:after="120"/>
      </w:pPr>
      <w:r>
        <w:rPr>
          <w:rFonts w:ascii="Times New Roman" w:hAnsi="Times New Roman"/>
          <w:b/>
          <w:color w:val="000000"/>
          <w:sz w:val="24"/>
        </w:rPr>
        <w:t>P04 | n = 8 | Codes: VC</w:t>
      </w:r>
    </w:p>
    <w:p>
      <w:pPr>
        <w:keepNext/>
        <w:spacing w:line="360" w:lineRule="auto" w:after="120"/>
      </w:pPr>
      <w:r>
        <w:rPr>
          <w:rFonts w:ascii="Times New Roman" w:hAnsi="Times New Roman"/>
          <w:color w:val="000000"/>
          <w:sz w:val="24"/>
        </w:rPr>
        <w:t>Train ushers and volunteers in service and follow-through.</w:t>
      </w:r>
    </w:p>
    <w:p>
      <w:pPr>
        <w:spacing w:line="360" w:lineRule="auto" w:after="120"/>
      </w:pPr>
      <w:r>
        <w:rPr>
          <w:rFonts w:ascii="Times New Roman" w:hAnsi="Times New Roman"/>
          <w:color w:val="000000"/>
          <w:sz w:val="24"/>
        </w:rPr>
        <w:t>Records: C005, C030, C045, C047, C067, C073, C082, C100</w:t>
      </w:r>
    </w:p>
    <w:p>
      <w:pPr>
        <w:keepNext/>
        <w:spacing w:line="360" w:lineRule="auto" w:after="120"/>
      </w:pPr>
      <w:r>
        <w:rPr>
          <w:rFonts w:ascii="Times New Roman" w:hAnsi="Times New Roman"/>
          <w:b/>
          <w:color w:val="000000"/>
          <w:sz w:val="24"/>
        </w:rPr>
        <w:t>P05 | n = 6 | Codes: RC</w:t>
      </w:r>
    </w:p>
    <w:p>
      <w:pPr>
        <w:keepNext/>
        <w:spacing w:line="360" w:lineRule="auto" w:after="120"/>
      </w:pPr>
      <w:r>
        <w:rPr>
          <w:rFonts w:ascii="Times New Roman" w:hAnsi="Times New Roman"/>
          <w:color w:val="000000"/>
          <w:sz w:val="24"/>
        </w:rPr>
        <w:t>Encourage clergy and leaders to spend more time with members after services.</w:t>
      </w:r>
    </w:p>
    <w:p>
      <w:pPr>
        <w:spacing w:line="360" w:lineRule="auto" w:after="120"/>
      </w:pPr>
      <w:r>
        <w:rPr>
          <w:rFonts w:ascii="Times New Roman" w:hAnsi="Times New Roman"/>
          <w:color w:val="000000"/>
          <w:sz w:val="24"/>
        </w:rPr>
        <w:t>Records: C006, C042, C050, C066, C076, C095</w:t>
      </w:r>
    </w:p>
    <w:p>
      <w:pPr>
        <w:keepNext/>
        <w:spacing w:line="360" w:lineRule="auto" w:after="120"/>
      </w:pPr>
      <w:r>
        <w:rPr>
          <w:rFonts w:ascii="Times New Roman" w:hAnsi="Times New Roman"/>
          <w:b/>
          <w:color w:val="000000"/>
          <w:sz w:val="24"/>
        </w:rPr>
        <w:t>P06 | n = 9 | Codes: FB</w:t>
      </w:r>
    </w:p>
    <w:p>
      <w:pPr>
        <w:keepNext/>
        <w:spacing w:line="360" w:lineRule="auto" w:after="120"/>
      </w:pPr>
      <w:r>
        <w:rPr>
          <w:rFonts w:ascii="Times New Roman" w:hAnsi="Times New Roman"/>
          <w:color w:val="000000"/>
          <w:sz w:val="24"/>
        </w:rPr>
        <w:t>Hold structured feedback sessions at least twice a year.</w:t>
      </w:r>
    </w:p>
    <w:p>
      <w:pPr>
        <w:spacing w:line="360" w:lineRule="auto" w:after="120"/>
      </w:pPr>
      <w:r>
        <w:rPr>
          <w:rFonts w:ascii="Times New Roman" w:hAnsi="Times New Roman"/>
          <w:color w:val="000000"/>
          <w:sz w:val="24"/>
        </w:rPr>
        <w:t>Records: C008, C025, C051, C052, C054, C063, C072, C090, C099</w:t>
      </w:r>
    </w:p>
    <w:p>
      <w:pPr>
        <w:pStyle w:val="Heading2"/>
        <w:pageBreakBefore w:val="0"/>
      </w:pPr>
      <w:r>
        <w:rPr>
          <w:rFonts w:ascii="Times New Roman" w:hAnsi="Times New Roman"/>
          <w:b/>
          <w:color w:val="000000"/>
          <w:sz w:val="26"/>
        </w:rPr>
        <w:t>Coding Audit  Final suggested practices continued</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P07 | n = 8 | Codes: WR</w:t>
      </w:r>
    </w:p>
    <w:p>
      <w:pPr>
        <w:keepNext/>
        <w:spacing w:line="360" w:lineRule="auto" w:after="120"/>
      </w:pPr>
      <w:r>
        <w:rPr>
          <w:rFonts w:ascii="Times New Roman" w:hAnsi="Times New Roman"/>
          <w:color w:val="000000"/>
          <w:sz w:val="24"/>
        </w:rPr>
        <w:t>Make services feel more relevant and less formal where appropriate.</w:t>
      </w:r>
    </w:p>
    <w:p>
      <w:pPr>
        <w:spacing w:line="360" w:lineRule="auto" w:after="120"/>
      </w:pPr>
      <w:r>
        <w:rPr>
          <w:rFonts w:ascii="Times New Roman" w:hAnsi="Times New Roman"/>
          <w:color w:val="000000"/>
          <w:sz w:val="24"/>
        </w:rPr>
        <w:t>Records: C011, C039, C040, C064, C074, C083, C093, C096</w:t>
      </w:r>
    </w:p>
    <w:p>
      <w:pPr>
        <w:keepNext/>
        <w:spacing w:line="360" w:lineRule="auto" w:after="120"/>
      </w:pPr>
      <w:r>
        <w:rPr>
          <w:rFonts w:ascii="Times New Roman" w:hAnsi="Times New Roman"/>
          <w:b/>
          <w:color w:val="000000"/>
          <w:sz w:val="24"/>
        </w:rPr>
        <w:t>P08 | n = 13 | Codes: FB</w:t>
      </w:r>
    </w:p>
    <w:p>
      <w:pPr>
        <w:keepNext/>
        <w:spacing w:line="360" w:lineRule="auto" w:after="120"/>
      </w:pPr>
      <w:r>
        <w:rPr>
          <w:rFonts w:ascii="Times New Roman" w:hAnsi="Times New Roman"/>
          <w:color w:val="000000"/>
          <w:sz w:val="24"/>
        </w:rPr>
        <w:t>Follow up on suggestions and explain what action was taken.</w:t>
      </w:r>
    </w:p>
    <w:p>
      <w:pPr>
        <w:spacing w:line="360" w:lineRule="auto" w:after="120"/>
      </w:pPr>
      <w:r>
        <w:rPr>
          <w:rFonts w:ascii="Times New Roman" w:hAnsi="Times New Roman"/>
          <w:color w:val="000000"/>
          <w:sz w:val="24"/>
        </w:rPr>
        <w:t>Records: C012, C021, C024, C031, C035, C046, C049, C061, C065, C070, C077, C078, C084</w:t>
      </w:r>
    </w:p>
    <w:p>
      <w:pPr>
        <w:keepNext/>
        <w:spacing w:line="360" w:lineRule="auto" w:after="120"/>
      </w:pPr>
      <w:r>
        <w:rPr>
          <w:rFonts w:ascii="Times New Roman" w:hAnsi="Times New Roman"/>
          <w:b/>
          <w:color w:val="000000"/>
          <w:sz w:val="24"/>
        </w:rPr>
        <w:t>P09 | n = 1 | Codes: CO</w:t>
      </w:r>
    </w:p>
    <w:p>
      <w:pPr>
        <w:keepNext/>
        <w:spacing w:line="360" w:lineRule="auto" w:after="120"/>
      </w:pPr>
      <w:r>
        <w:rPr>
          <w:rFonts w:ascii="Times New Roman" w:hAnsi="Times New Roman"/>
          <w:color w:val="000000"/>
          <w:sz w:val="24"/>
        </w:rPr>
        <w:t>More consistent emails and social-media updates.</w:t>
      </w:r>
    </w:p>
    <w:p>
      <w:pPr>
        <w:spacing w:line="360" w:lineRule="auto" w:after="120"/>
      </w:pPr>
      <w:r>
        <w:rPr>
          <w:rFonts w:ascii="Times New Roman" w:hAnsi="Times New Roman"/>
          <w:color w:val="000000"/>
          <w:sz w:val="24"/>
        </w:rPr>
        <w:t>Records: C013</w:t>
      </w:r>
    </w:p>
    <w:p>
      <w:pPr>
        <w:keepNext/>
        <w:spacing w:line="360" w:lineRule="auto" w:after="120"/>
      </w:pPr>
      <w:r>
        <w:rPr>
          <w:rFonts w:ascii="Times New Roman" w:hAnsi="Times New Roman"/>
          <w:b/>
          <w:color w:val="000000"/>
          <w:sz w:val="24"/>
        </w:rPr>
        <w:t>P10 | n = 6 | Codes: FC</w:t>
      </w:r>
    </w:p>
    <w:p>
      <w:pPr>
        <w:keepNext/>
        <w:spacing w:line="360" w:lineRule="auto" w:after="120"/>
      </w:pPr>
      <w:r>
        <w:rPr>
          <w:rFonts w:ascii="Times New Roman" w:hAnsi="Times New Roman"/>
          <w:color w:val="000000"/>
          <w:sz w:val="24"/>
        </w:rPr>
        <w:t>Add more small groups for young families during the week.</w:t>
      </w:r>
    </w:p>
    <w:p>
      <w:pPr>
        <w:spacing w:line="360" w:lineRule="auto" w:after="120"/>
      </w:pPr>
      <w:r>
        <w:rPr>
          <w:rFonts w:ascii="Times New Roman" w:hAnsi="Times New Roman"/>
          <w:color w:val="000000"/>
          <w:sz w:val="24"/>
        </w:rPr>
        <w:t>Records: C014, C026, C057, C071, C089, C091</w:t>
      </w:r>
    </w:p>
    <w:p>
      <w:pPr>
        <w:keepNext/>
        <w:spacing w:line="360" w:lineRule="auto" w:after="120"/>
      </w:pPr>
      <w:r>
        <w:rPr>
          <w:rFonts w:ascii="Times New Roman" w:hAnsi="Times New Roman"/>
          <w:b/>
          <w:color w:val="000000"/>
          <w:sz w:val="24"/>
        </w:rPr>
        <w:t>P11 | n = 6 | Codes: FC</w:t>
      </w:r>
    </w:p>
    <w:p>
      <w:pPr>
        <w:keepNext/>
        <w:spacing w:line="360" w:lineRule="auto" w:after="120"/>
      </w:pPr>
      <w:r>
        <w:rPr>
          <w:rFonts w:ascii="Times New Roman" w:hAnsi="Times New Roman"/>
          <w:color w:val="000000"/>
          <w:sz w:val="24"/>
        </w:rPr>
        <w:t>Create more activities for children and teenagers.</w:t>
      </w:r>
    </w:p>
    <w:p>
      <w:pPr>
        <w:spacing w:line="360" w:lineRule="auto" w:after="120"/>
      </w:pPr>
      <w:r>
        <w:rPr>
          <w:rFonts w:ascii="Times New Roman" w:hAnsi="Times New Roman"/>
          <w:color w:val="000000"/>
          <w:sz w:val="24"/>
        </w:rPr>
        <w:t>Records: C015, C038, C055, C075, C081, C086</w:t>
      </w:r>
    </w:p>
    <w:p>
      <w:pPr>
        <w:keepNext/>
        <w:spacing w:line="360" w:lineRule="auto" w:after="120"/>
      </w:pPr>
      <w:r>
        <w:rPr>
          <w:rFonts w:ascii="Times New Roman" w:hAnsi="Times New Roman"/>
          <w:b/>
          <w:color w:val="000000"/>
          <w:sz w:val="24"/>
        </w:rPr>
        <w:t>P12 | n = 6 | Codes: CO</w:t>
      </w:r>
    </w:p>
    <w:p>
      <w:pPr>
        <w:keepNext/>
        <w:spacing w:line="360" w:lineRule="auto" w:after="120"/>
      </w:pPr>
      <w:r>
        <w:rPr>
          <w:rFonts w:ascii="Times New Roman" w:hAnsi="Times New Roman"/>
          <w:color w:val="000000"/>
          <w:sz w:val="24"/>
        </w:rPr>
        <w:t>Use social media better to share events and testimonies.</w:t>
      </w:r>
    </w:p>
    <w:p>
      <w:pPr>
        <w:spacing w:line="360" w:lineRule="auto" w:after="120"/>
      </w:pPr>
      <w:r>
        <w:rPr>
          <w:rFonts w:ascii="Times New Roman" w:hAnsi="Times New Roman"/>
          <w:color w:val="000000"/>
          <w:sz w:val="24"/>
        </w:rPr>
        <w:t>Records: C016, C017, C032, C033, C058, C092</w:t>
      </w:r>
    </w:p>
    <w:p>
      <w:pPr>
        <w:pStyle w:val="Heading2"/>
        <w:pageBreakBefore w:val="0"/>
      </w:pPr>
      <w:r>
        <w:rPr>
          <w:rFonts w:ascii="Times New Roman" w:hAnsi="Times New Roman"/>
          <w:b/>
          <w:color w:val="000000"/>
          <w:sz w:val="26"/>
        </w:rPr>
        <w:t>Coding Audit  Final suggested practices continued</w:t>
      </w:r>
    </w:p>
    <w:p>
      <w:pPr>
        <w:spacing w:line="360" w:lineRule="auto" w:after="120"/>
      </w:pPr>
      <w:r>
        <w:rPr>
          <w:rFonts w:ascii="Times New Roman" w:hAnsi="Times New Roman"/>
          <w:color w:val="000000"/>
          <w:sz w:val="24"/>
        </w:rPr>
        <w:t>Text below reproduces the supplied transcription for audit purposes. It is not presented as verified verbatim participant quotation. Codes are defined in the preceding codebook.</w:t>
      </w:r>
    </w:p>
    <w:p>
      <w:pPr>
        <w:keepNext/>
        <w:spacing w:line="360" w:lineRule="auto" w:after="120"/>
      </w:pPr>
      <w:r>
        <w:rPr>
          <w:rFonts w:ascii="Times New Roman" w:hAnsi="Times New Roman"/>
          <w:b/>
          <w:color w:val="000000"/>
          <w:sz w:val="24"/>
        </w:rPr>
        <w:t>P13 | n = 4 | Codes: VC</w:t>
      </w:r>
    </w:p>
    <w:p>
      <w:pPr>
        <w:keepNext/>
        <w:spacing w:line="360" w:lineRule="auto" w:after="120"/>
      </w:pPr>
      <w:r>
        <w:rPr>
          <w:rFonts w:ascii="Times New Roman" w:hAnsi="Times New Roman"/>
          <w:color w:val="000000"/>
          <w:sz w:val="24"/>
        </w:rPr>
        <w:t>Give volunteers clearer roles and better coordination.</w:t>
      </w:r>
    </w:p>
    <w:p>
      <w:pPr>
        <w:spacing w:line="360" w:lineRule="auto" w:after="120"/>
      </w:pPr>
      <w:r>
        <w:rPr>
          <w:rFonts w:ascii="Times New Roman" w:hAnsi="Times New Roman"/>
          <w:color w:val="000000"/>
          <w:sz w:val="24"/>
        </w:rPr>
        <w:t>Records: C020, C034, C041, C053</w:t>
      </w:r>
    </w:p>
    <w:p>
      <w:pPr>
        <w:keepNext/>
        <w:spacing w:line="360" w:lineRule="auto" w:after="120"/>
      </w:pPr>
      <w:r>
        <w:rPr>
          <w:rFonts w:ascii="Times New Roman" w:hAnsi="Times New Roman"/>
          <w:b/>
          <w:color w:val="000000"/>
          <w:sz w:val="24"/>
        </w:rPr>
        <w:t>P14 | n = 5 | Codes: RC, VC</w:t>
      </w:r>
    </w:p>
    <w:p>
      <w:pPr>
        <w:keepNext/>
        <w:spacing w:line="360" w:lineRule="auto" w:after="120"/>
      </w:pPr>
      <w:r>
        <w:rPr>
          <w:rFonts w:ascii="Times New Roman" w:hAnsi="Times New Roman"/>
          <w:color w:val="000000"/>
          <w:sz w:val="24"/>
        </w:rPr>
        <w:t>Train greeters to welcome newcomers warmly.</w:t>
      </w:r>
    </w:p>
    <w:p>
      <w:pPr>
        <w:spacing w:line="360" w:lineRule="auto" w:after="120"/>
      </w:pPr>
      <w:r>
        <w:rPr>
          <w:rFonts w:ascii="Times New Roman" w:hAnsi="Times New Roman"/>
          <w:color w:val="000000"/>
          <w:sz w:val="24"/>
        </w:rPr>
        <w:t>Records: C023, C029, C036, C056, C069</w:t>
      </w:r>
    </w:p>
    <w:p>
      <w:pPr>
        <w:keepNext/>
        <w:spacing w:line="360" w:lineRule="auto" w:after="120"/>
      </w:pPr>
      <w:r>
        <w:rPr>
          <w:rFonts w:ascii="Times New Roman" w:hAnsi="Times New Roman"/>
          <w:b/>
          <w:color w:val="000000"/>
          <w:sz w:val="24"/>
        </w:rPr>
        <w:t>P15 | n = 3 | Codes: CO, RC</w:t>
      </w:r>
    </w:p>
    <w:p>
      <w:pPr>
        <w:keepNext/>
        <w:spacing w:line="360" w:lineRule="auto" w:after="120"/>
      </w:pPr>
      <w:r>
        <w:rPr>
          <w:rFonts w:ascii="Times New Roman" w:hAnsi="Times New Roman"/>
          <w:color w:val="000000"/>
          <w:sz w:val="24"/>
        </w:rPr>
        <w:t>Improve digital communication and online pastoral support.</w:t>
      </w:r>
    </w:p>
    <w:p>
      <w:pPr>
        <w:spacing w:line="360" w:lineRule="auto" w:after="120"/>
      </w:pPr>
      <w:r>
        <w:rPr>
          <w:rFonts w:ascii="Times New Roman" w:hAnsi="Times New Roman"/>
          <w:color w:val="000000"/>
          <w:sz w:val="24"/>
        </w:rPr>
        <w:t>Records: C068, C094, C098</w:t>
      </w:r>
    </w:p>
    <w:sectPr w:rsidR="00FC693F" w:rsidRPr="0006063C" w:rsidSect="00034616">
      <w:footerReference w:type="default" r:id="rId9"/>
      <w:pgSz w:w="12240" w:h="15840"/>
      <w:pgMar w:top="1440" w:right="1440" w:bottom="1440" w:left="216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8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cstheme="majorBidi"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cstheme="majorBidi"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outlineLvl w:val="3"/>
    </w:pPr>
    <w:rPr>
      <w:rFonts w:cstheme="majorBidi" w:ascii="Times New Roman" w:hAnsi="Times New Roman"/>
      <w:b/>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Times New Roman" w:hAnsi="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Times New Roman" w:hAnsi="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Times New Roman" w:hAnsi="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Times New Roman" w:hAnsi="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Times New Roman" w:hAnsi="Times New Roman"/>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40"/>
      <w:contextualSpacing/>
    </w:pPr>
    <w:rPr>
      <w:rFonts w:cstheme="majorBidi" w:ascii="Times New Roman" w:hAnsi="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Times New Roman" w:hAnsi="Times New Roman"/>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Times New Roman" w:hAnsi="Times New Roman"/>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Times New Roman" w:hAnsi="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color w:val="000000"/>
    </w:rPr>
  </w:style>
  <w:style w:type="paragraph" w:styleId="ListBullet">
    <w:name w:val="List Bullet"/>
    <w:basedOn w:val="Normal"/>
    <w:uiPriority w:val="99"/>
    <w:unhideWhenUsed/>
    <w:rsid w:val="00326F90"/>
    <w:pPr>
      <w:numPr>
        <w:numId w:val="1"/>
      </w:numPr>
      <w:contextualSpacing/>
    </w:pPr>
    <w:rPr>
      <w:rFonts w:ascii="Times New Roman" w:hAnsi="Times New Roman"/>
      <w:color w:val="000000"/>
    </w:rPr>
  </w:style>
  <w:style w:type="paragraph" w:styleId="ListBullet2">
    <w:name w:val="List Bullet 2"/>
    <w:basedOn w:val="Normal"/>
    <w:uiPriority w:val="99"/>
    <w:unhideWhenUsed/>
    <w:rsid w:val="00326F90"/>
    <w:pPr>
      <w:numPr>
        <w:numId w:val="2"/>
      </w:numPr>
      <w:contextualSpacing/>
    </w:pPr>
    <w:rPr>
      <w:rFonts w:ascii="Times New Roman" w:hAnsi="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Times New Roman" w:hAnsi="Times New Roman"/>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ssemblyContents">
    <w:name w:val="Assembly Contents"/>
    <w:pPr>
      <w:keepLines/>
      <w:tabs>
        <w:tab w:pos="8640" w:val="right" w:leader="dot"/>
      </w:tabs>
      <w:spacing w:line="240" w:lineRule="auto" w:after="80"/>
    </w:pPr>
    <w:rPr>
      <w:rFonts w:ascii="Times New Roman" w:hAnsi="Times New Roman"/>
      <w:sz w:val="22"/>
    </w:rPr>
  </w:style>
  <w:style w:type="paragraph" w:customStyle="1" w:styleId="AssemblyTableList">
    <w:name w:val="Assembly Table List"/>
    <w:pPr>
      <w:keepLines/>
      <w:tabs>
        <w:tab w:pos="8640" w:val="right" w:leader="dot"/>
      </w:tabs>
      <w:spacing w:line="240" w:lineRule="auto" w:after="80"/>
    </w:pPr>
    <w:rPr>
      <w:rFonts w:ascii="Times New Roman" w:hAnsi="Times New Roman"/>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Service in a Church Context</dc:title>
  <dc:subject>Revised PhD dissertation master for professor review</dc:subject>
  <dc:creator>Helgard Terblanche</dc:creator>
  <cp:keywords/>
  <dc:description>Expanded master assembled from the revised chapter parts.</dc:description>
  <cp:lastModifiedBy/>
  <cp:revision>1</cp:revision>
  <dcterms:created xsi:type="dcterms:W3CDTF">2013-12-23T23:15:00Z</dcterms:created>
  <dcterms:modified xsi:type="dcterms:W3CDTF">2013-12-23T23:15:00Z</dcterms:modified>
  <cp:category/>
</cp:coreProperties>
</file>